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D681E">
      <w:pPr>
        <w:pStyle w:val="136"/>
        <w:rPr>
          <w:rFonts w:ascii="宋体" w:hAnsi="宋体" w:eastAsia="宋体" w:cs="宋体"/>
          <w:b w:val="0"/>
          <w:bCs/>
          <w:color w:val="auto"/>
          <w:sz w:val="48"/>
          <w:szCs w:val="48"/>
          <w:highlight w:val="none"/>
        </w:rPr>
      </w:pPr>
    </w:p>
    <w:p w14:paraId="3BD94038">
      <w:pPr>
        <w:pStyle w:val="136"/>
        <w:rPr>
          <w:rFonts w:ascii="宋体" w:hAnsi="宋体" w:eastAsia="宋体" w:cs="宋体"/>
          <w:b w:val="0"/>
          <w:bCs/>
          <w:color w:val="auto"/>
          <w:sz w:val="48"/>
          <w:szCs w:val="48"/>
          <w:highlight w:val="none"/>
        </w:rPr>
      </w:pPr>
    </w:p>
    <w:p w14:paraId="4E309B85">
      <w:pPr>
        <w:pStyle w:val="136"/>
        <w:rPr>
          <w:rFonts w:ascii="宋体" w:hAnsi="宋体" w:eastAsia="宋体" w:cs="宋体"/>
          <w:b w:val="0"/>
          <w:bCs/>
          <w:color w:val="auto"/>
          <w:sz w:val="48"/>
          <w:szCs w:val="48"/>
          <w:highlight w:val="none"/>
        </w:rPr>
      </w:pPr>
    </w:p>
    <w:p w14:paraId="0637E4A4">
      <w:pPr>
        <w:pStyle w:val="136"/>
        <w:rPr>
          <w:rFonts w:hint="eastAsia" w:ascii="宋体" w:hAnsi="宋体" w:eastAsia="宋体" w:cs="宋体"/>
          <w:b w:val="0"/>
          <w:bCs/>
          <w:color w:val="auto"/>
          <w:sz w:val="48"/>
          <w:szCs w:val="48"/>
          <w:highlight w:val="none"/>
        </w:rPr>
      </w:pPr>
    </w:p>
    <w:p w14:paraId="65B3E2E4">
      <w:pPr>
        <w:adjustRightInd w:val="0"/>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72"/>
          <w:szCs w:val="72"/>
          <w:highlight w:val="none"/>
          <w:lang w:val="en-US" w:eastAsia="zh-CN"/>
        </w:rPr>
        <w:t>建设工程</w:t>
      </w:r>
      <w:r>
        <w:rPr>
          <w:rFonts w:hint="eastAsia" w:ascii="宋体" w:hAnsi="宋体" w:eastAsia="宋体" w:cs="宋体"/>
          <w:b/>
          <w:bCs/>
          <w:color w:val="auto"/>
          <w:sz w:val="72"/>
          <w:szCs w:val="72"/>
          <w:highlight w:val="none"/>
        </w:rPr>
        <w:t>施工合同</w:t>
      </w:r>
    </w:p>
    <w:p w14:paraId="1A08C662">
      <w:pPr>
        <w:wordWrap w:val="0"/>
        <w:adjustRightInd w:val="0"/>
        <w:snapToGrid w:val="0"/>
        <w:spacing w:line="360" w:lineRule="auto"/>
        <w:ind w:left="1419" w:hanging="1419" w:hangingChars="471"/>
        <w:jc w:val="left"/>
        <w:rPr>
          <w:rFonts w:ascii="宋体" w:hAnsi="宋体" w:eastAsia="宋体" w:cs="宋体"/>
          <w:b/>
          <w:color w:val="auto"/>
          <w:sz w:val="30"/>
          <w:szCs w:val="30"/>
          <w:highlight w:val="none"/>
        </w:rPr>
      </w:pPr>
    </w:p>
    <w:p w14:paraId="54DC2285">
      <w:pPr>
        <w:wordWrap w:val="0"/>
        <w:adjustRightInd w:val="0"/>
        <w:snapToGrid w:val="0"/>
        <w:spacing w:line="360" w:lineRule="auto"/>
        <w:ind w:left="1419" w:hanging="1419" w:hangingChars="471"/>
        <w:jc w:val="left"/>
        <w:rPr>
          <w:rFonts w:hint="eastAsia" w:ascii="宋体" w:hAnsi="宋体" w:eastAsia="宋体" w:cs="宋体"/>
          <w:b/>
          <w:color w:val="auto"/>
          <w:sz w:val="30"/>
          <w:szCs w:val="30"/>
          <w:highlight w:val="none"/>
        </w:rPr>
      </w:pPr>
    </w:p>
    <w:p w14:paraId="5C564F0F">
      <w:pPr>
        <w:wordWrap w:val="0"/>
        <w:adjustRightInd w:val="0"/>
        <w:snapToGrid w:val="0"/>
        <w:spacing w:line="360" w:lineRule="auto"/>
        <w:ind w:left="1419" w:hanging="1419" w:hangingChars="471"/>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工程名称：广州机场二期噪音安置区光充互联项目二期施工总承包</w:t>
      </w:r>
    </w:p>
    <w:p w14:paraId="7B48B06E">
      <w:pPr>
        <w:wordWrap w:val="0"/>
        <w:adjustRightInd w:val="0"/>
        <w:snapToGrid w:val="0"/>
        <w:spacing w:line="360" w:lineRule="auto"/>
        <w:ind w:left="1419" w:hanging="1419" w:hangingChars="471"/>
        <w:jc w:val="left"/>
        <w:rPr>
          <w:rFonts w:hint="eastAsia" w:ascii="宋体" w:hAnsi="宋体" w:eastAsia="宋体" w:cs="宋体"/>
          <w:b/>
          <w:color w:val="auto"/>
          <w:sz w:val="30"/>
          <w:szCs w:val="30"/>
          <w:highlight w:val="none"/>
        </w:rPr>
      </w:pPr>
    </w:p>
    <w:p w14:paraId="71B3E9E5">
      <w:pPr>
        <w:wordWrap w:val="0"/>
        <w:adjustRightInd w:val="0"/>
        <w:snapToGrid w:val="0"/>
        <w:spacing w:line="360" w:lineRule="auto"/>
        <w:jc w:val="left"/>
        <w:rPr>
          <w:rFonts w:hint="eastAsia" w:ascii="宋体" w:hAnsi="宋体" w:eastAsia="宋体" w:cs="宋体"/>
          <w:b/>
          <w:color w:val="auto"/>
          <w:sz w:val="30"/>
          <w:szCs w:val="30"/>
          <w:highlight w:val="none"/>
        </w:rPr>
      </w:pPr>
    </w:p>
    <w:p w14:paraId="769776D2">
      <w:pPr>
        <w:wordWrap w:val="0"/>
        <w:adjustRightInd w:val="0"/>
        <w:snapToGrid w:val="0"/>
        <w:spacing w:line="360" w:lineRule="auto"/>
        <w:ind w:left="1419" w:hanging="1419" w:hangingChars="471"/>
        <w:jc w:val="left"/>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发包人：</w:t>
      </w:r>
      <w:r>
        <w:rPr>
          <w:rFonts w:hint="eastAsia" w:ascii="宋体" w:hAnsi="宋体" w:eastAsia="宋体" w:cs="宋体"/>
          <w:b/>
          <w:color w:val="auto"/>
          <w:sz w:val="30"/>
          <w:szCs w:val="30"/>
          <w:highlight w:val="none"/>
          <w:lang w:eastAsia="zh-CN"/>
        </w:rPr>
        <w:t>广州机场新能源有限公司</w:t>
      </w:r>
    </w:p>
    <w:p w14:paraId="7159D37E">
      <w:pPr>
        <w:wordWrap w:val="0"/>
        <w:adjustRightInd w:val="0"/>
        <w:snapToGrid w:val="0"/>
        <w:spacing w:line="360" w:lineRule="auto"/>
        <w:ind w:left="1419" w:hanging="1419" w:hangingChars="471"/>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合同编号：</w:t>
      </w:r>
    </w:p>
    <w:p w14:paraId="3C8798C3">
      <w:pPr>
        <w:wordWrap w:val="0"/>
        <w:adjustRightInd w:val="0"/>
        <w:snapToGrid w:val="0"/>
        <w:spacing w:line="360" w:lineRule="auto"/>
        <w:ind w:left="1419" w:hanging="1419" w:hangingChars="471"/>
        <w:jc w:val="left"/>
        <w:rPr>
          <w:rFonts w:hint="eastAsia" w:ascii="宋体" w:hAnsi="宋体" w:eastAsia="宋体" w:cs="宋体"/>
          <w:b/>
          <w:color w:val="auto"/>
          <w:sz w:val="30"/>
          <w:szCs w:val="30"/>
          <w:highlight w:val="none"/>
        </w:rPr>
      </w:pPr>
    </w:p>
    <w:p w14:paraId="1D6F0F15">
      <w:pPr>
        <w:wordWrap w:val="0"/>
        <w:adjustRightInd w:val="0"/>
        <w:snapToGrid w:val="0"/>
        <w:spacing w:line="360" w:lineRule="auto"/>
        <w:ind w:left="1419" w:hanging="1419" w:hangingChars="471"/>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承包人：</w:t>
      </w:r>
    </w:p>
    <w:p w14:paraId="20952BE9">
      <w:pPr>
        <w:wordWrap w:val="0"/>
        <w:adjustRightInd w:val="0"/>
        <w:snapToGrid w:val="0"/>
        <w:spacing w:line="360" w:lineRule="auto"/>
        <w:ind w:left="1419" w:hanging="1419" w:hangingChars="471"/>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合同编号：</w:t>
      </w:r>
    </w:p>
    <w:p w14:paraId="12578F34">
      <w:pPr>
        <w:wordWrap w:val="0"/>
        <w:adjustRightInd w:val="0"/>
        <w:snapToGrid w:val="0"/>
        <w:spacing w:line="360" w:lineRule="auto"/>
        <w:ind w:left="1419" w:hanging="1419" w:hangingChars="471"/>
        <w:jc w:val="left"/>
        <w:rPr>
          <w:rFonts w:hint="eastAsia" w:ascii="宋体" w:hAnsi="宋体" w:eastAsia="宋体" w:cs="宋体"/>
          <w:b/>
          <w:color w:val="auto"/>
          <w:sz w:val="30"/>
          <w:szCs w:val="30"/>
          <w:highlight w:val="none"/>
        </w:rPr>
      </w:pPr>
    </w:p>
    <w:p w14:paraId="0C31650D">
      <w:pPr>
        <w:wordWrap w:val="0"/>
        <w:adjustRightInd w:val="0"/>
        <w:snapToGrid w:val="0"/>
        <w:spacing w:line="360" w:lineRule="auto"/>
        <w:ind w:left="1419" w:hanging="1419" w:hangingChars="471"/>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签订日期：20</w:t>
      </w:r>
      <w:r>
        <w:rPr>
          <w:rFonts w:ascii="宋体" w:hAnsi="宋体" w:eastAsia="宋体" w:cs="宋体"/>
          <w:b/>
          <w:color w:val="auto"/>
          <w:sz w:val="30"/>
          <w:szCs w:val="30"/>
          <w:highlight w:val="none"/>
        </w:rPr>
        <w:t xml:space="preserve">  </w:t>
      </w:r>
      <w:r>
        <w:rPr>
          <w:rFonts w:hint="eastAsia" w:ascii="宋体" w:hAnsi="宋体" w:eastAsia="宋体" w:cs="宋体"/>
          <w:b/>
          <w:color w:val="auto"/>
          <w:sz w:val="30"/>
          <w:szCs w:val="30"/>
          <w:highlight w:val="none"/>
        </w:rPr>
        <w:t>年   月  日</w:t>
      </w:r>
    </w:p>
    <w:p w14:paraId="28DAB685">
      <w:pPr>
        <w:wordWrap w:val="0"/>
        <w:adjustRightInd w:val="0"/>
        <w:snapToGrid w:val="0"/>
        <w:spacing w:line="360" w:lineRule="auto"/>
        <w:ind w:left="1419" w:hanging="1419" w:hangingChars="471"/>
        <w:jc w:val="left"/>
        <w:rPr>
          <w:rFonts w:hint="eastAsia" w:ascii="宋体" w:hAnsi="宋体" w:eastAsia="宋体" w:cs="宋体"/>
          <w:b/>
          <w:color w:val="auto"/>
          <w:sz w:val="30"/>
          <w:szCs w:val="30"/>
          <w:highlight w:val="none"/>
        </w:rPr>
      </w:pPr>
    </w:p>
    <w:p w14:paraId="456C5E12">
      <w:pPr>
        <w:wordWrap w:val="0"/>
        <w:adjustRightInd w:val="0"/>
        <w:snapToGrid w:val="0"/>
        <w:spacing w:line="360" w:lineRule="auto"/>
        <w:ind w:left="1419" w:hanging="1419" w:hangingChars="471"/>
        <w:jc w:val="left"/>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签订</w:t>
      </w:r>
      <w:r>
        <w:rPr>
          <w:rFonts w:hint="eastAsia" w:ascii="宋体" w:hAnsi="宋体" w:eastAsia="宋体" w:cs="宋体"/>
          <w:b/>
          <w:color w:val="auto"/>
          <w:sz w:val="30"/>
          <w:szCs w:val="30"/>
          <w:highlight w:val="none"/>
          <w:lang w:val="en-US" w:eastAsia="zh-CN"/>
        </w:rPr>
        <w:t>地点</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lang w:val="en-US" w:eastAsia="zh-CN"/>
        </w:rPr>
        <w:t>广州市</w:t>
      </w:r>
    </w:p>
    <w:p w14:paraId="6ECFDF02">
      <w:pPr>
        <w:wordWrap w:val="0"/>
        <w:adjustRightInd w:val="0"/>
        <w:snapToGrid w:val="0"/>
        <w:spacing w:line="360" w:lineRule="auto"/>
        <w:ind w:left="1419" w:hanging="1419" w:hangingChars="471"/>
        <w:jc w:val="left"/>
        <w:rPr>
          <w:rFonts w:hint="eastAsia" w:ascii="宋体" w:hAnsi="宋体" w:eastAsia="宋体" w:cs="宋体"/>
          <w:b/>
          <w:color w:val="auto"/>
          <w:sz w:val="30"/>
          <w:szCs w:val="30"/>
          <w:highlight w:val="none"/>
        </w:rPr>
        <w:sectPr>
          <w:pgSz w:w="11907" w:h="16840"/>
          <w:pgMar w:top="1440" w:right="1797" w:bottom="1440" w:left="1797" w:header="851" w:footer="992" w:gutter="0"/>
          <w:pgNumType w:start="0"/>
          <w:cols w:space="720" w:num="1"/>
          <w:titlePg/>
          <w:docGrid w:type="lines" w:linePitch="312" w:charSpace="0"/>
        </w:sectPr>
      </w:pPr>
    </w:p>
    <w:p w14:paraId="3C698666">
      <w:pPr>
        <w:adjustRightInd w:val="0"/>
        <w:snapToGrid w:val="0"/>
        <w:spacing w:line="360" w:lineRule="auto"/>
        <w:jc w:val="center"/>
        <w:rPr>
          <w:rFonts w:hint="eastAsia" w:ascii="宋体" w:hAnsi="宋体" w:eastAsia="宋体" w:cs="宋体"/>
          <w:b/>
          <w:bCs/>
          <w:snapToGrid w:val="0"/>
          <w:color w:val="auto"/>
          <w:kern w:val="0"/>
          <w:sz w:val="48"/>
          <w:szCs w:val="48"/>
          <w:highlight w:val="none"/>
          <w:u w:val="single"/>
        </w:rPr>
      </w:pPr>
      <w:r>
        <w:rPr>
          <w:rFonts w:hint="eastAsia" w:ascii="宋体" w:hAnsi="宋体" w:eastAsia="宋体" w:cs="宋体"/>
          <w:b/>
          <w:bCs/>
          <w:snapToGrid w:val="0"/>
          <w:color w:val="auto"/>
          <w:kern w:val="0"/>
          <w:sz w:val="48"/>
          <w:szCs w:val="48"/>
          <w:highlight w:val="none"/>
          <w:u w:val="single"/>
        </w:rPr>
        <w:t>重要提示</w:t>
      </w:r>
    </w:p>
    <w:p w14:paraId="2762015F">
      <w:pPr>
        <w:adjustRightInd w:val="0"/>
        <w:snapToGrid w:val="0"/>
        <w:spacing w:line="360" w:lineRule="auto"/>
        <w:rPr>
          <w:rFonts w:hint="eastAsia" w:ascii="宋体" w:hAnsi="宋体" w:eastAsia="宋体" w:cs="宋体"/>
          <w:b/>
          <w:snapToGrid w:val="0"/>
          <w:color w:val="auto"/>
          <w:kern w:val="0"/>
          <w:sz w:val="24"/>
          <w:highlight w:val="none"/>
        </w:rPr>
      </w:pPr>
    </w:p>
    <w:p w14:paraId="470800B5">
      <w:pPr>
        <w:ind w:firstLine="562" w:firstLineChars="200"/>
        <w:rPr>
          <w:rFonts w:hint="eastAsia" w:ascii="宋体" w:hAnsi="宋体" w:eastAsia="宋体" w:cs="宋体"/>
          <w:b/>
          <w:bCs/>
          <w:color w:val="auto"/>
          <w:sz w:val="28"/>
          <w:szCs w:val="28"/>
          <w:highlight w:val="none"/>
        </w:rPr>
        <w:sectPr>
          <w:footerReference r:id="rId3" w:type="default"/>
          <w:type w:val="nextColumn"/>
          <w:pgSz w:w="11907" w:h="16840"/>
          <w:pgMar w:top="1440" w:right="1797" w:bottom="1440" w:left="1797" w:header="851" w:footer="992" w:gutter="0"/>
          <w:pgNumType w:start="1"/>
          <w:cols w:space="720" w:num="1"/>
          <w:docGrid w:type="lines" w:linePitch="312" w:charSpace="0"/>
        </w:sectPr>
      </w:pPr>
      <w:r>
        <w:rPr>
          <w:rFonts w:hint="eastAsia" w:ascii="宋体" w:hAnsi="宋体" w:eastAsia="宋体" w:cs="宋体"/>
          <w:b/>
          <w:snapToGrid w:val="0"/>
          <w:color w:val="auto"/>
          <w:kern w:val="0"/>
          <w:sz w:val="28"/>
          <w:szCs w:val="28"/>
          <w:highlight w:val="none"/>
        </w:rPr>
        <w:t>本合同由合同协议书、合同专用条款、合同通用条款和合同附件四大部分组成。</w:t>
      </w:r>
      <w:r>
        <w:rPr>
          <w:rFonts w:hint="eastAsia" w:ascii="宋体" w:hAnsi="宋体" w:eastAsia="宋体" w:cs="宋体"/>
          <w:b/>
          <w:bCs/>
          <w:color w:val="auto"/>
          <w:sz w:val="28"/>
          <w:szCs w:val="28"/>
          <w:highlight w:val="none"/>
        </w:rPr>
        <w:t>合同中方框</w:t>
      </w:r>
      <w:r>
        <w:rPr>
          <w:rFonts w:hint="eastAsia" w:ascii="宋体" w:hAnsi="宋体" w:eastAsia="宋体" w:cs="宋体"/>
          <w:b/>
          <w:bCs/>
          <w:snapToGrid w:val="0"/>
          <w:color w:val="auto"/>
          <w:kern w:val="0"/>
          <w:sz w:val="24"/>
          <w:highlight w:val="none"/>
          <w:bdr w:val="single" w:color="auto" w:sz="4" w:space="0"/>
        </w:rPr>
        <w:t>√</w:t>
      </w:r>
      <w:r>
        <w:rPr>
          <w:rFonts w:hint="eastAsia" w:ascii="宋体" w:hAnsi="宋体" w:eastAsia="宋体" w:cs="宋体"/>
          <w:b/>
          <w:bCs/>
          <w:color w:val="auto"/>
          <w:sz w:val="28"/>
          <w:szCs w:val="28"/>
          <w:highlight w:val="none"/>
        </w:rPr>
        <w:t>部分选项为本</w:t>
      </w:r>
      <w:r>
        <w:rPr>
          <w:rFonts w:hint="eastAsia" w:ascii="宋体" w:hAnsi="宋体" w:eastAsia="宋体" w:cs="宋体"/>
          <w:b/>
          <w:bCs/>
          <w:snapToGrid w:val="0"/>
          <w:color w:val="auto"/>
          <w:kern w:val="0"/>
          <w:sz w:val="28"/>
          <w:szCs w:val="28"/>
          <w:highlight w:val="none"/>
        </w:rPr>
        <w:t>合同协议书、合同专用条款和合同附件的选定内容，本合同的</w:t>
      </w:r>
      <w:r>
        <w:rPr>
          <w:rFonts w:hint="eastAsia" w:ascii="宋体" w:hAnsi="宋体" w:eastAsia="宋体" w:cs="宋体"/>
          <w:b/>
          <w:bCs/>
          <w:color w:val="auto"/>
          <w:sz w:val="28"/>
          <w:szCs w:val="28"/>
          <w:highlight w:val="none"/>
        </w:rPr>
        <w:t>《合同通用条款》约定的内容与《合同专用条款》约定的内容相冲突时，以《专用条款》所约定的内容为准。</w:t>
      </w:r>
    </w:p>
    <w:p w14:paraId="525698DF">
      <w:pPr>
        <w:pStyle w:val="527"/>
        <w:spacing w:line="480" w:lineRule="auto"/>
        <w:jc w:val="center"/>
        <w:rPr>
          <w:rFonts w:hint="eastAsia" w:ascii="宋体" w:hAnsi="宋体"/>
          <w:color w:val="auto"/>
          <w:highlight w:val="none"/>
        </w:rPr>
      </w:pPr>
      <w:r>
        <w:rPr>
          <w:rFonts w:hint="eastAsia" w:ascii="宋体" w:hAnsi="宋体"/>
          <w:color w:val="auto"/>
          <w:highlight w:val="none"/>
          <w:lang w:val="zh-CN"/>
        </w:rPr>
        <w:t>目   录</w:t>
      </w:r>
    </w:p>
    <w:p w14:paraId="0EA7B2B9">
      <w:pPr>
        <w:pStyle w:val="55"/>
        <w:tabs>
          <w:tab w:val="right" w:leader="dot" w:pos="8303"/>
        </w:tabs>
        <w:spacing w:line="480" w:lineRule="auto"/>
        <w:rPr>
          <w:rFonts w:hint="eastAsia"/>
          <w:caps w:val="0"/>
          <w:color w:val="auto"/>
          <w:kern w:val="2"/>
          <w:sz w:val="21"/>
          <w:szCs w:val="22"/>
          <w:highlight w:val="none"/>
        </w:rPr>
      </w:pPr>
      <w:r>
        <w:rPr>
          <w:rFonts w:hint="eastAsia"/>
          <w:color w:val="auto"/>
          <w:highlight w:val="none"/>
        </w:rPr>
        <w:fldChar w:fldCharType="begin"/>
      </w:r>
      <w:r>
        <w:rPr>
          <w:rFonts w:hint="eastAsia"/>
          <w:color w:val="auto"/>
          <w:highlight w:val="none"/>
        </w:rPr>
        <w:instrText xml:space="preserve">TOC \o "1-1" \h \u </w:instrText>
      </w:r>
      <w:r>
        <w:rPr>
          <w:rFonts w:hint="eastAsia"/>
          <w:color w:val="auto"/>
          <w:highlight w:val="none"/>
        </w:rPr>
        <w:fldChar w:fldCharType="separate"/>
      </w:r>
      <w:r>
        <w:rPr>
          <w:rStyle w:val="90"/>
          <w:rFonts w:hint="eastAsia" w:ascii="宋体" w:hAnsi="宋体"/>
          <w:color w:val="auto"/>
          <w:highlight w:val="none"/>
        </w:rPr>
        <w:fldChar w:fldCharType="begin"/>
      </w:r>
      <w:r>
        <w:rPr>
          <w:rStyle w:val="90"/>
          <w:rFonts w:hint="eastAsia" w:ascii="宋体" w:hAnsi="宋体"/>
          <w:color w:val="auto"/>
          <w:highlight w:val="none"/>
        </w:rPr>
        <w:instrText xml:space="preserve"> </w:instrText>
      </w:r>
      <w:r>
        <w:rPr>
          <w:rFonts w:hint="eastAsia"/>
          <w:color w:val="auto"/>
          <w:highlight w:val="none"/>
        </w:rPr>
        <w:instrText xml:space="preserve">HYPERLINK \l "_Toc114651583"</w:instrText>
      </w:r>
      <w:r>
        <w:rPr>
          <w:rStyle w:val="90"/>
          <w:rFonts w:hint="eastAsia" w:ascii="宋体" w:hAnsi="宋体"/>
          <w:color w:val="auto"/>
          <w:highlight w:val="none"/>
        </w:rPr>
        <w:instrText xml:space="preserve"> </w:instrText>
      </w:r>
      <w:r>
        <w:rPr>
          <w:rStyle w:val="90"/>
          <w:rFonts w:hint="eastAsia" w:ascii="宋体" w:hAnsi="宋体"/>
          <w:color w:val="auto"/>
          <w:highlight w:val="none"/>
        </w:rPr>
        <w:fldChar w:fldCharType="separate"/>
      </w:r>
      <w:r>
        <w:rPr>
          <w:rStyle w:val="90"/>
          <w:rFonts w:hint="eastAsia" w:ascii="宋体" w:hAnsi="宋体"/>
          <w:snapToGrid w:val="0"/>
          <w:color w:val="auto"/>
          <w:highlight w:val="none"/>
        </w:rPr>
        <w:t>第一篇  合同协议书</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_Toc114651583 \h </w:instrText>
      </w:r>
      <w:r>
        <w:rPr>
          <w:rFonts w:hint="eastAsia"/>
          <w:color w:val="auto"/>
          <w:highlight w:val="none"/>
        </w:rPr>
        <w:fldChar w:fldCharType="separate"/>
      </w:r>
      <w:r>
        <w:rPr>
          <w:rFonts w:hint="eastAsia"/>
          <w:color w:val="auto"/>
          <w:highlight w:val="none"/>
        </w:rPr>
        <w:t>3</w:t>
      </w:r>
      <w:r>
        <w:rPr>
          <w:rFonts w:hint="eastAsia"/>
          <w:color w:val="auto"/>
          <w:highlight w:val="none"/>
        </w:rPr>
        <w:fldChar w:fldCharType="end"/>
      </w:r>
      <w:r>
        <w:rPr>
          <w:rStyle w:val="90"/>
          <w:rFonts w:hint="eastAsia" w:ascii="宋体" w:hAnsi="宋体"/>
          <w:color w:val="auto"/>
          <w:highlight w:val="none"/>
        </w:rPr>
        <w:fldChar w:fldCharType="end"/>
      </w:r>
    </w:p>
    <w:p w14:paraId="423B2B2A">
      <w:pPr>
        <w:pStyle w:val="55"/>
        <w:tabs>
          <w:tab w:val="right" w:leader="dot" w:pos="8303"/>
        </w:tabs>
        <w:spacing w:line="480" w:lineRule="auto"/>
        <w:rPr>
          <w:rFonts w:hint="eastAsia"/>
          <w:caps w:val="0"/>
          <w:color w:val="auto"/>
          <w:kern w:val="2"/>
          <w:sz w:val="21"/>
          <w:szCs w:val="22"/>
          <w:highlight w:val="none"/>
        </w:rPr>
      </w:pPr>
      <w:r>
        <w:rPr>
          <w:rStyle w:val="90"/>
          <w:rFonts w:hint="eastAsia" w:ascii="宋体" w:hAnsi="宋体"/>
          <w:color w:val="auto"/>
          <w:highlight w:val="none"/>
        </w:rPr>
        <w:fldChar w:fldCharType="begin"/>
      </w:r>
      <w:r>
        <w:rPr>
          <w:rStyle w:val="90"/>
          <w:rFonts w:hint="eastAsia" w:ascii="宋体" w:hAnsi="宋体"/>
          <w:color w:val="auto"/>
          <w:highlight w:val="none"/>
        </w:rPr>
        <w:instrText xml:space="preserve"> </w:instrText>
      </w:r>
      <w:r>
        <w:rPr>
          <w:rFonts w:hint="eastAsia"/>
          <w:color w:val="auto"/>
          <w:highlight w:val="none"/>
        </w:rPr>
        <w:instrText xml:space="preserve">HYPERLINK \l "_Toc114651584"</w:instrText>
      </w:r>
      <w:r>
        <w:rPr>
          <w:rStyle w:val="90"/>
          <w:rFonts w:hint="eastAsia" w:ascii="宋体" w:hAnsi="宋体"/>
          <w:color w:val="auto"/>
          <w:highlight w:val="none"/>
        </w:rPr>
        <w:instrText xml:space="preserve"> </w:instrText>
      </w:r>
      <w:r>
        <w:rPr>
          <w:rStyle w:val="90"/>
          <w:rFonts w:hint="eastAsia" w:ascii="宋体" w:hAnsi="宋体"/>
          <w:color w:val="auto"/>
          <w:highlight w:val="none"/>
        </w:rPr>
        <w:fldChar w:fldCharType="separate"/>
      </w:r>
      <w:r>
        <w:rPr>
          <w:rStyle w:val="90"/>
          <w:rFonts w:hint="eastAsia" w:ascii="宋体" w:hAnsi="宋体"/>
          <w:snapToGrid w:val="0"/>
          <w:color w:val="auto"/>
          <w:highlight w:val="none"/>
        </w:rPr>
        <w:t>第二篇  合同通用条款</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_Toc114651584 \h </w:instrText>
      </w:r>
      <w:r>
        <w:rPr>
          <w:rFonts w:hint="eastAsia"/>
          <w:color w:val="auto"/>
          <w:highlight w:val="none"/>
        </w:rPr>
        <w:fldChar w:fldCharType="separate"/>
      </w:r>
      <w:r>
        <w:rPr>
          <w:rFonts w:hint="eastAsia"/>
          <w:color w:val="auto"/>
          <w:highlight w:val="none"/>
        </w:rPr>
        <w:t>9</w:t>
      </w:r>
      <w:r>
        <w:rPr>
          <w:rFonts w:hint="eastAsia"/>
          <w:color w:val="auto"/>
          <w:highlight w:val="none"/>
        </w:rPr>
        <w:fldChar w:fldCharType="end"/>
      </w:r>
      <w:r>
        <w:rPr>
          <w:rStyle w:val="90"/>
          <w:rFonts w:hint="eastAsia" w:ascii="宋体" w:hAnsi="宋体"/>
          <w:color w:val="auto"/>
          <w:highlight w:val="none"/>
        </w:rPr>
        <w:fldChar w:fldCharType="end"/>
      </w:r>
    </w:p>
    <w:p w14:paraId="4FB4954E">
      <w:pPr>
        <w:pStyle w:val="55"/>
        <w:tabs>
          <w:tab w:val="right" w:leader="dot" w:pos="8303"/>
        </w:tabs>
        <w:spacing w:line="480" w:lineRule="auto"/>
        <w:rPr>
          <w:rFonts w:hint="eastAsia"/>
          <w:caps w:val="0"/>
          <w:color w:val="auto"/>
          <w:kern w:val="2"/>
          <w:sz w:val="21"/>
          <w:szCs w:val="22"/>
          <w:highlight w:val="none"/>
        </w:rPr>
      </w:pPr>
      <w:r>
        <w:rPr>
          <w:rStyle w:val="90"/>
          <w:rFonts w:hint="eastAsia" w:ascii="宋体" w:hAnsi="宋体"/>
          <w:color w:val="auto"/>
          <w:highlight w:val="none"/>
        </w:rPr>
        <w:fldChar w:fldCharType="begin"/>
      </w:r>
      <w:r>
        <w:rPr>
          <w:rStyle w:val="90"/>
          <w:rFonts w:hint="eastAsia" w:ascii="宋体" w:hAnsi="宋体"/>
          <w:color w:val="auto"/>
          <w:highlight w:val="none"/>
        </w:rPr>
        <w:instrText xml:space="preserve"> </w:instrText>
      </w:r>
      <w:r>
        <w:rPr>
          <w:rFonts w:hint="eastAsia"/>
          <w:color w:val="auto"/>
          <w:highlight w:val="none"/>
        </w:rPr>
        <w:instrText xml:space="preserve">HYPERLINK \l "_Toc114651585"</w:instrText>
      </w:r>
      <w:r>
        <w:rPr>
          <w:rStyle w:val="90"/>
          <w:rFonts w:hint="eastAsia" w:ascii="宋体" w:hAnsi="宋体"/>
          <w:color w:val="auto"/>
          <w:highlight w:val="none"/>
        </w:rPr>
        <w:instrText xml:space="preserve"> </w:instrText>
      </w:r>
      <w:r>
        <w:rPr>
          <w:rStyle w:val="90"/>
          <w:rFonts w:hint="eastAsia" w:ascii="宋体" w:hAnsi="宋体"/>
          <w:color w:val="auto"/>
          <w:highlight w:val="none"/>
        </w:rPr>
        <w:fldChar w:fldCharType="separate"/>
      </w:r>
      <w:r>
        <w:rPr>
          <w:rStyle w:val="90"/>
          <w:rFonts w:hint="eastAsia" w:ascii="宋体" w:hAnsi="宋体"/>
          <w:snapToGrid w:val="0"/>
          <w:color w:val="auto"/>
          <w:highlight w:val="none"/>
        </w:rPr>
        <w:t>第三篇  合同专用条款</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_Toc114651585 \h </w:instrText>
      </w:r>
      <w:r>
        <w:rPr>
          <w:rFonts w:hint="eastAsia"/>
          <w:color w:val="auto"/>
          <w:highlight w:val="none"/>
        </w:rPr>
        <w:fldChar w:fldCharType="separate"/>
      </w:r>
      <w:r>
        <w:rPr>
          <w:rFonts w:hint="eastAsia"/>
          <w:color w:val="auto"/>
          <w:highlight w:val="none"/>
        </w:rPr>
        <w:t>33</w:t>
      </w:r>
      <w:r>
        <w:rPr>
          <w:rFonts w:hint="eastAsia"/>
          <w:color w:val="auto"/>
          <w:highlight w:val="none"/>
        </w:rPr>
        <w:fldChar w:fldCharType="end"/>
      </w:r>
      <w:r>
        <w:rPr>
          <w:rStyle w:val="90"/>
          <w:rFonts w:hint="eastAsia" w:ascii="宋体" w:hAnsi="宋体"/>
          <w:color w:val="auto"/>
          <w:highlight w:val="none"/>
        </w:rPr>
        <w:fldChar w:fldCharType="end"/>
      </w:r>
    </w:p>
    <w:p w14:paraId="526F41EF">
      <w:pPr>
        <w:pStyle w:val="55"/>
        <w:tabs>
          <w:tab w:val="right" w:leader="dot" w:pos="8303"/>
        </w:tabs>
        <w:spacing w:line="480" w:lineRule="auto"/>
        <w:rPr>
          <w:rFonts w:hint="eastAsia"/>
          <w:caps w:val="0"/>
          <w:color w:val="auto"/>
          <w:kern w:val="2"/>
          <w:sz w:val="21"/>
          <w:szCs w:val="22"/>
          <w:highlight w:val="none"/>
        </w:rPr>
      </w:pPr>
      <w:r>
        <w:rPr>
          <w:rStyle w:val="90"/>
          <w:rFonts w:hint="eastAsia" w:ascii="宋体" w:hAnsi="宋体"/>
          <w:color w:val="auto"/>
          <w:highlight w:val="none"/>
        </w:rPr>
        <w:fldChar w:fldCharType="begin"/>
      </w:r>
      <w:r>
        <w:rPr>
          <w:rStyle w:val="90"/>
          <w:rFonts w:hint="eastAsia" w:ascii="宋体" w:hAnsi="宋体"/>
          <w:color w:val="auto"/>
          <w:highlight w:val="none"/>
        </w:rPr>
        <w:instrText xml:space="preserve"> </w:instrText>
      </w:r>
      <w:r>
        <w:rPr>
          <w:rFonts w:hint="eastAsia"/>
          <w:color w:val="auto"/>
          <w:highlight w:val="none"/>
        </w:rPr>
        <w:instrText xml:space="preserve">HYPERLINK \l "_Toc114651586"</w:instrText>
      </w:r>
      <w:r>
        <w:rPr>
          <w:rStyle w:val="90"/>
          <w:rFonts w:hint="eastAsia" w:ascii="宋体" w:hAnsi="宋体"/>
          <w:color w:val="auto"/>
          <w:highlight w:val="none"/>
        </w:rPr>
        <w:instrText xml:space="preserve"> </w:instrText>
      </w:r>
      <w:r>
        <w:rPr>
          <w:rStyle w:val="90"/>
          <w:rFonts w:hint="eastAsia" w:ascii="宋体" w:hAnsi="宋体"/>
          <w:color w:val="auto"/>
          <w:highlight w:val="none"/>
        </w:rPr>
        <w:fldChar w:fldCharType="separate"/>
      </w:r>
      <w:r>
        <w:rPr>
          <w:rStyle w:val="90"/>
          <w:rFonts w:hint="eastAsia" w:ascii="宋体" w:hAnsi="宋体"/>
          <w:snapToGrid w:val="0"/>
          <w:color w:val="auto"/>
          <w:highlight w:val="none"/>
        </w:rPr>
        <w:t>第四篇  合同附件</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_Toc114651586 \h </w:instrText>
      </w:r>
      <w:r>
        <w:rPr>
          <w:rFonts w:hint="eastAsia"/>
          <w:color w:val="auto"/>
          <w:highlight w:val="none"/>
        </w:rPr>
        <w:fldChar w:fldCharType="separate"/>
      </w:r>
      <w:r>
        <w:rPr>
          <w:rFonts w:hint="eastAsia"/>
          <w:color w:val="auto"/>
          <w:highlight w:val="none"/>
        </w:rPr>
        <w:t>100</w:t>
      </w:r>
      <w:r>
        <w:rPr>
          <w:rFonts w:hint="eastAsia"/>
          <w:color w:val="auto"/>
          <w:highlight w:val="none"/>
        </w:rPr>
        <w:fldChar w:fldCharType="end"/>
      </w:r>
      <w:r>
        <w:rPr>
          <w:rStyle w:val="90"/>
          <w:rFonts w:hint="eastAsia" w:ascii="宋体" w:hAnsi="宋体"/>
          <w:color w:val="auto"/>
          <w:highlight w:val="none"/>
        </w:rPr>
        <w:fldChar w:fldCharType="end"/>
      </w:r>
    </w:p>
    <w:p w14:paraId="36F39993">
      <w:pPr>
        <w:pStyle w:val="55"/>
        <w:tabs>
          <w:tab w:val="right" w:leader="dot" w:pos="8364"/>
        </w:tabs>
        <w:spacing w:line="480" w:lineRule="auto"/>
        <w:rPr>
          <w:rFonts w:hint="eastAsia"/>
          <w:color w:val="auto"/>
          <w:highlight w:val="none"/>
        </w:rPr>
        <w:sectPr>
          <w:footerReference r:id="rId4" w:type="default"/>
          <w:type w:val="nextColumn"/>
          <w:pgSz w:w="11907" w:h="16840"/>
          <w:pgMar w:top="1440" w:right="1797" w:bottom="1440" w:left="1797" w:header="851" w:footer="992" w:gutter="0"/>
          <w:cols w:space="720" w:num="1"/>
          <w:docGrid w:type="lines" w:linePitch="312" w:charSpace="0"/>
        </w:sectPr>
      </w:pPr>
      <w:r>
        <w:rPr>
          <w:rFonts w:hint="eastAsia"/>
          <w:color w:val="auto"/>
          <w:highlight w:val="none"/>
        </w:rPr>
        <w:fldChar w:fldCharType="end"/>
      </w:r>
    </w:p>
    <w:p w14:paraId="7496F210">
      <w:pPr>
        <w:pStyle w:val="6"/>
        <w:rPr>
          <w:rFonts w:hint="eastAsia" w:ascii="宋体" w:hAnsi="宋体"/>
          <w:snapToGrid w:val="0"/>
          <w:color w:val="auto"/>
          <w:kern w:val="0"/>
          <w:highlight w:val="none"/>
        </w:rPr>
      </w:pPr>
      <w:bookmarkStart w:id="0" w:name="_Toc517954560"/>
      <w:bookmarkStart w:id="1" w:name="_Toc518481719"/>
      <w:bookmarkStart w:id="2" w:name="_Toc517774547"/>
      <w:bookmarkStart w:id="3" w:name="_Toc520901447"/>
      <w:bookmarkStart w:id="4" w:name="_Toc514663845"/>
      <w:bookmarkStart w:id="5" w:name="_Toc520902814"/>
      <w:bookmarkStart w:id="6" w:name="_Toc520902592"/>
      <w:bookmarkStart w:id="7" w:name="_Toc520902743"/>
      <w:bookmarkStart w:id="8" w:name="_Toc514666960"/>
      <w:bookmarkStart w:id="9" w:name="_Toc114651583"/>
      <w:bookmarkStart w:id="10" w:name="_Toc514665130"/>
      <w:bookmarkStart w:id="11" w:name="_Toc519502237"/>
      <w:bookmarkStart w:id="12" w:name="_Toc520358041"/>
      <w:bookmarkStart w:id="13" w:name="_Toc514664847"/>
      <w:bookmarkStart w:id="14" w:name="_Toc519503067"/>
      <w:bookmarkStart w:id="15" w:name="_Toc514681750"/>
      <w:bookmarkStart w:id="16" w:name="_Toc514665269"/>
      <w:bookmarkStart w:id="17" w:name="_Toc35083081"/>
      <w:bookmarkStart w:id="18" w:name="_Toc516495963"/>
      <w:bookmarkStart w:id="19" w:name="_Toc514681169"/>
      <w:bookmarkStart w:id="20" w:name="_Toc520358217"/>
      <w:r>
        <w:rPr>
          <w:rFonts w:hint="eastAsia" w:ascii="宋体" w:hAnsi="宋体"/>
          <w:snapToGrid w:val="0"/>
          <w:color w:val="auto"/>
          <w:kern w:val="0"/>
          <w:highlight w:val="none"/>
        </w:rPr>
        <w:t>第一篇  合同协议书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7D0EA00">
      <w:pPr>
        <w:pStyle w:val="47"/>
        <w:adjustRightInd w:val="0"/>
        <w:snapToGrid w:val="0"/>
        <w:spacing w:line="360" w:lineRule="auto"/>
        <w:ind w:right="11"/>
        <w:jc w:val="center"/>
        <w:rPr>
          <w:rFonts w:hint="eastAsia" w:ascii="宋体" w:hAnsi="宋体" w:eastAsia="宋体" w:cs="宋体"/>
          <w:snapToGrid w:val="0"/>
          <w:color w:val="auto"/>
          <w:kern w:val="0"/>
          <w:sz w:val="24"/>
          <w:highlight w:val="none"/>
        </w:rPr>
      </w:pPr>
    </w:p>
    <w:p w14:paraId="6D22A4FC">
      <w:pPr>
        <w:adjustRightInd w:val="0"/>
        <w:snapToGrid w:val="0"/>
        <w:spacing w:line="360" w:lineRule="auto"/>
        <w:ind w:firstLine="480"/>
        <w:rPr>
          <w:rFonts w:hint="default"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rPr>
        <w:t>发包人（甲方）：</w:t>
      </w:r>
      <w:r>
        <w:rPr>
          <w:rFonts w:hint="eastAsia" w:ascii="宋体" w:hAnsi="宋体" w:eastAsia="宋体" w:cs="宋体"/>
          <w:b w:val="0"/>
          <w:bCs w:val="0"/>
          <w:color w:val="auto"/>
          <w:sz w:val="24"/>
          <w:szCs w:val="24"/>
          <w:highlight w:val="none"/>
          <w:u w:val="single"/>
        </w:rPr>
        <w:t>广州机场</w:t>
      </w:r>
      <w:r>
        <w:rPr>
          <w:rFonts w:hint="eastAsia" w:ascii="宋体" w:hAnsi="宋体" w:eastAsia="宋体" w:cs="宋体"/>
          <w:b w:val="0"/>
          <w:bCs w:val="0"/>
          <w:color w:val="auto"/>
          <w:sz w:val="24"/>
          <w:szCs w:val="24"/>
          <w:highlight w:val="none"/>
          <w:u w:val="single"/>
          <w:lang w:val="en-US" w:eastAsia="zh-CN"/>
        </w:rPr>
        <w:t>新能源</w:t>
      </w:r>
      <w:r>
        <w:rPr>
          <w:rFonts w:hint="eastAsia" w:ascii="宋体" w:hAnsi="宋体" w:eastAsia="宋体" w:cs="宋体"/>
          <w:b w:val="0"/>
          <w:bCs w:val="0"/>
          <w:color w:val="auto"/>
          <w:sz w:val="24"/>
          <w:szCs w:val="24"/>
          <w:highlight w:val="none"/>
          <w:u w:val="single"/>
        </w:rPr>
        <w:t>有限公司</w:t>
      </w:r>
    </w:p>
    <w:p w14:paraId="0DBC39E5">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承包人（乙方）：</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eastAsia="zh-CN"/>
        </w:rPr>
        <w:t xml:space="preserve">     </w:t>
      </w:r>
      <w:r>
        <w:rPr>
          <w:rFonts w:hint="eastAsia" w:ascii="宋体" w:hAnsi="宋体" w:eastAsia="宋体" w:cs="宋体"/>
          <w:b w:val="0"/>
          <w:bCs w:val="0"/>
          <w:color w:val="auto"/>
          <w:sz w:val="24"/>
          <w:szCs w:val="24"/>
          <w:highlight w:val="none"/>
          <w:u w:val="single"/>
        </w:rPr>
        <w:t xml:space="preserve">    </w:t>
      </w:r>
    </w:p>
    <w:p w14:paraId="6886ECB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依照《中华人民共和国民法典》《中华人民共和国建筑法》《中华人民共和国招标投标法》及其他有关法律、行政法规、部门规章、地方性法规和规章，遵循平等、自愿、公平和诚实信用的原则，就</w:t>
      </w:r>
      <w:r>
        <w:rPr>
          <w:rFonts w:hint="eastAsia" w:ascii="宋体" w:hAnsi="宋体" w:eastAsia="宋体" w:cs="宋体"/>
          <w:b w:val="0"/>
          <w:bCs w:val="0"/>
          <w:color w:val="auto"/>
          <w:sz w:val="24"/>
          <w:szCs w:val="24"/>
          <w:highlight w:val="none"/>
          <w:u w:val="single"/>
        </w:rPr>
        <w:t>广州机场二期噪音安置区光充互联项目二期施工总承包</w:t>
      </w:r>
      <w:r>
        <w:rPr>
          <w:rFonts w:hint="eastAsia" w:ascii="宋体" w:hAnsi="宋体" w:eastAsia="宋体" w:cs="宋体"/>
          <w:b w:val="0"/>
          <w:bCs w:val="0"/>
          <w:color w:val="auto"/>
          <w:sz w:val="24"/>
          <w:szCs w:val="24"/>
          <w:highlight w:val="none"/>
          <w:u w:val="single"/>
          <w:lang w:val="en-US" w:eastAsia="zh-CN"/>
        </w:rPr>
        <w:t>工程</w:t>
      </w:r>
      <w:r>
        <w:rPr>
          <w:rFonts w:hint="eastAsia" w:ascii="宋体" w:hAnsi="宋体" w:eastAsia="宋体" w:cs="宋体"/>
          <w:color w:val="auto"/>
          <w:sz w:val="24"/>
          <w:szCs w:val="24"/>
          <w:highlight w:val="none"/>
        </w:rPr>
        <w:t>（以下简称“本工程”）的施工事宜协商一致，订立本合同。</w:t>
      </w:r>
    </w:p>
    <w:p w14:paraId="3F7FC184">
      <w:pPr>
        <w:pStyle w:val="10"/>
        <w:spacing w:line="360" w:lineRule="auto"/>
        <w:jc w:val="left"/>
        <w:rPr>
          <w:rFonts w:hint="eastAsia" w:ascii="宋体" w:hAnsi="宋体"/>
          <w:snapToGrid w:val="0"/>
          <w:color w:val="auto"/>
          <w:kern w:val="0"/>
          <w:sz w:val="24"/>
          <w:szCs w:val="24"/>
          <w:highlight w:val="none"/>
        </w:rPr>
      </w:pPr>
      <w:bookmarkStart w:id="21" w:name="_Toc519503068"/>
      <w:bookmarkStart w:id="22" w:name="_Toc35083082"/>
      <w:bookmarkStart w:id="23" w:name="_Toc520901448"/>
      <w:bookmarkStart w:id="24" w:name="_Toc514681751"/>
      <w:bookmarkStart w:id="25" w:name="_Toc520902744"/>
      <w:bookmarkStart w:id="26" w:name="_Toc520358042"/>
      <w:bookmarkStart w:id="27" w:name="_Toc520358218"/>
      <w:bookmarkStart w:id="28" w:name="_Toc514665270"/>
      <w:bookmarkStart w:id="29" w:name="_Toc516495964"/>
      <w:bookmarkStart w:id="30" w:name="_Toc514681170"/>
      <w:bookmarkStart w:id="31" w:name="_Toc514664848"/>
      <w:bookmarkStart w:id="32" w:name="_Toc519502238"/>
      <w:bookmarkStart w:id="33" w:name="_Toc517954561"/>
      <w:bookmarkStart w:id="34" w:name="_Toc514666961"/>
      <w:bookmarkStart w:id="35" w:name="_Toc514663846"/>
      <w:bookmarkStart w:id="36" w:name="_Toc518481720"/>
      <w:bookmarkStart w:id="37" w:name="_Toc520902593"/>
      <w:bookmarkStart w:id="38" w:name="_Toc520902815"/>
      <w:bookmarkStart w:id="39" w:name="_Toc517774548"/>
      <w:bookmarkStart w:id="40" w:name="_Toc514665131"/>
      <w:r>
        <w:rPr>
          <w:rFonts w:hint="eastAsia" w:ascii="宋体" w:hAnsi="宋体"/>
          <w:snapToGrid w:val="0"/>
          <w:color w:val="auto"/>
          <w:kern w:val="0"/>
          <w:sz w:val="24"/>
          <w:szCs w:val="24"/>
          <w:highlight w:val="none"/>
        </w:rPr>
        <w:t>一、工程概况</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46E03E9">
      <w:pPr>
        <w:adjustRightInd w:val="0"/>
        <w:snapToGrid w:val="0"/>
        <w:spacing w:line="360" w:lineRule="auto"/>
        <w:ind w:right="11"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1.1工程名称：</w:t>
      </w:r>
      <w:r>
        <w:rPr>
          <w:rFonts w:hint="eastAsia" w:ascii="宋体" w:hAnsi="宋体" w:eastAsia="宋体" w:cs="宋体"/>
          <w:bCs/>
          <w:snapToGrid w:val="0"/>
          <w:color w:val="auto"/>
          <w:kern w:val="0"/>
          <w:sz w:val="24"/>
          <w:szCs w:val="24"/>
          <w:highlight w:val="none"/>
          <w:u w:val="single"/>
        </w:rPr>
        <w:t>【广州机场二期噪音安置区光充互联项目二期施工总承包】</w:t>
      </w:r>
    </w:p>
    <w:p w14:paraId="5AB5CFD5">
      <w:pPr>
        <w:adjustRightInd w:val="0"/>
        <w:snapToGrid w:val="0"/>
        <w:spacing w:line="360" w:lineRule="auto"/>
        <w:ind w:right="11"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1.2工程地点：</w:t>
      </w:r>
      <w:r>
        <w:rPr>
          <w:rFonts w:hint="eastAsia" w:ascii="宋体" w:hAnsi="宋体" w:eastAsia="宋体" w:cs="宋体"/>
          <w:bCs/>
          <w:snapToGrid w:val="0"/>
          <w:color w:val="auto"/>
          <w:kern w:val="0"/>
          <w:sz w:val="24"/>
          <w:szCs w:val="24"/>
          <w:highlight w:val="none"/>
          <w:u w:val="single"/>
        </w:rPr>
        <w:t>【广州市白云区】</w:t>
      </w:r>
    </w:p>
    <w:p w14:paraId="7B53226C">
      <w:pPr>
        <w:adjustRightInd w:val="0"/>
        <w:snapToGrid w:val="0"/>
        <w:spacing w:line="360" w:lineRule="auto"/>
        <w:ind w:right="105" w:rightChars="50" w:firstLine="480" w:firstLineChars="200"/>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Cs/>
          <w:snapToGrid w:val="0"/>
          <w:color w:val="auto"/>
          <w:kern w:val="0"/>
          <w:sz w:val="24"/>
          <w:szCs w:val="24"/>
          <w:highlight w:val="none"/>
        </w:rPr>
        <w:t>1.3工程规模、内容：</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u w:val="single"/>
          <w:lang w:eastAsia="zh-CN"/>
        </w:rPr>
        <w:t>广州机场二期噪音安置区光充互联项目二期施工总承包项目建设</w:t>
      </w:r>
      <w:r>
        <w:rPr>
          <w:rFonts w:hint="eastAsia" w:ascii="宋体" w:hAnsi="宋体" w:eastAsia="宋体" w:cs="宋体"/>
          <w:bCs/>
          <w:snapToGrid w:val="0"/>
          <w:color w:val="auto"/>
          <w:kern w:val="0"/>
          <w:sz w:val="24"/>
          <w:szCs w:val="24"/>
          <w:highlight w:val="none"/>
          <w:u w:val="single"/>
          <w:lang w:val="en-US" w:eastAsia="zh-CN"/>
        </w:rPr>
        <w:t>地址位于广州市白云区人和镇（广州机场二期噪音安置区地块1、3、5）</w:t>
      </w:r>
      <w:r>
        <w:rPr>
          <w:rFonts w:hint="eastAsia" w:ascii="宋体" w:hAnsi="宋体" w:eastAsia="宋体" w:cs="宋体"/>
          <w:bCs/>
          <w:snapToGrid w:val="0"/>
          <w:color w:val="auto"/>
          <w:kern w:val="0"/>
          <w:sz w:val="24"/>
          <w:szCs w:val="24"/>
          <w:highlight w:val="none"/>
          <w:u w:val="single"/>
          <w:lang w:eastAsia="zh-CN"/>
        </w:rPr>
        <w:t>。本项目光伏电站总装机容量</w:t>
      </w:r>
      <w:r>
        <w:rPr>
          <w:rFonts w:hint="eastAsia" w:ascii="宋体" w:hAnsi="宋体" w:eastAsia="宋体" w:cs="宋体"/>
          <w:bCs/>
          <w:snapToGrid w:val="0"/>
          <w:color w:val="auto"/>
          <w:kern w:val="0"/>
          <w:sz w:val="24"/>
          <w:szCs w:val="24"/>
          <w:highlight w:val="none"/>
          <w:u w:val="single"/>
          <w:lang w:val="en-US" w:eastAsia="zh-CN"/>
        </w:rPr>
        <w:t>约</w:t>
      </w:r>
      <w:r>
        <w:rPr>
          <w:rFonts w:hint="eastAsia" w:ascii="宋体" w:hAnsi="宋体" w:eastAsia="宋体" w:cs="宋体"/>
          <w:bCs/>
          <w:snapToGrid w:val="0"/>
          <w:color w:val="auto"/>
          <w:kern w:val="0"/>
          <w:sz w:val="24"/>
          <w:szCs w:val="24"/>
          <w:highlight w:val="none"/>
          <w:u w:val="single"/>
          <w:lang w:eastAsia="zh-CN"/>
        </w:rPr>
        <w:t>为2680kWp，采用585Wp双面</w:t>
      </w:r>
      <w:r>
        <w:rPr>
          <w:rFonts w:hint="eastAsia" w:ascii="宋体" w:hAnsi="宋体" w:eastAsia="宋体" w:cs="宋体"/>
          <w:bCs/>
          <w:snapToGrid w:val="0"/>
          <w:color w:val="auto"/>
          <w:kern w:val="0"/>
          <w:sz w:val="24"/>
          <w:szCs w:val="24"/>
          <w:highlight w:val="none"/>
          <w:u w:val="single"/>
          <w:lang w:val="en-US" w:eastAsia="zh-CN"/>
        </w:rPr>
        <w:t>单晶硅</w:t>
      </w:r>
      <w:r>
        <w:rPr>
          <w:rFonts w:hint="eastAsia" w:ascii="宋体" w:hAnsi="宋体" w:eastAsia="宋体" w:cs="宋体"/>
          <w:bCs/>
          <w:snapToGrid w:val="0"/>
          <w:color w:val="auto"/>
          <w:kern w:val="0"/>
          <w:sz w:val="24"/>
          <w:szCs w:val="24"/>
          <w:highlight w:val="none"/>
          <w:u w:val="single"/>
          <w:lang w:eastAsia="zh-CN"/>
        </w:rPr>
        <w:t>组件。本项目包括太阳能光伏发电系统相应的配套上网设施、运维设施、交流充电桩、充电车棚、安防系统、防雷接地、消防设施等。本光伏发电系统拟通过若干个并网点分别接入小区配电房专变母线进行并网，采用“自发自用，余电上网”模式。最终接入方案以当地供电局批复方案为准。</w:t>
      </w:r>
      <w:r>
        <w:rPr>
          <w:rFonts w:hint="eastAsia" w:ascii="宋体" w:hAnsi="宋体" w:eastAsia="宋体" w:cs="宋体"/>
          <w:bCs/>
          <w:snapToGrid w:val="0"/>
          <w:color w:val="auto"/>
          <w:kern w:val="0"/>
          <w:sz w:val="24"/>
          <w:szCs w:val="24"/>
          <w:highlight w:val="none"/>
          <w:u w:val="single"/>
        </w:rPr>
        <w:t>】</w:t>
      </w:r>
    </w:p>
    <w:p w14:paraId="76E2A1BF">
      <w:pPr>
        <w:adjustRightInd w:val="0"/>
        <w:snapToGrid w:val="0"/>
        <w:spacing w:line="360" w:lineRule="auto"/>
        <w:ind w:right="105" w:rightChars="50" w:firstLine="480" w:firstLineChars="200"/>
        <w:rPr>
          <w:rFonts w:hint="eastAsia" w:ascii="宋体" w:hAnsi="宋体" w:eastAsia="宋体" w:cs="宋体"/>
          <w:bCs/>
          <w:snapToGrid w:val="0"/>
          <w:color w:val="auto"/>
          <w:kern w:val="0"/>
          <w:sz w:val="24"/>
          <w:szCs w:val="24"/>
          <w:highlight w:val="none"/>
          <w:u w:val="single"/>
          <w:lang w:eastAsia="zh-CN"/>
        </w:rPr>
      </w:pPr>
      <w:r>
        <w:rPr>
          <w:rFonts w:hint="eastAsia" w:ascii="宋体" w:hAnsi="宋体" w:eastAsia="宋体" w:cs="宋体"/>
          <w:bCs/>
          <w:snapToGrid w:val="0"/>
          <w:color w:val="auto"/>
          <w:kern w:val="0"/>
          <w:sz w:val="24"/>
          <w:szCs w:val="24"/>
          <w:highlight w:val="none"/>
        </w:rPr>
        <w:t>1.</w:t>
      </w:r>
      <w:r>
        <w:rPr>
          <w:rFonts w:ascii="宋体" w:hAnsi="宋体" w:eastAsia="宋体" w:cs="宋体"/>
          <w:bCs/>
          <w:snapToGrid w:val="0"/>
          <w:color w:val="auto"/>
          <w:kern w:val="0"/>
          <w:sz w:val="24"/>
          <w:szCs w:val="24"/>
          <w:highlight w:val="none"/>
        </w:rPr>
        <w:t>4</w:t>
      </w:r>
      <w:r>
        <w:rPr>
          <w:rFonts w:hint="eastAsia" w:ascii="宋体" w:hAnsi="宋体" w:eastAsia="宋体" w:cs="宋体"/>
          <w:bCs/>
          <w:snapToGrid w:val="0"/>
          <w:color w:val="auto"/>
          <w:kern w:val="0"/>
          <w:sz w:val="24"/>
          <w:szCs w:val="24"/>
          <w:highlight w:val="none"/>
        </w:rPr>
        <w:t>工程立项批准文号：</w:t>
      </w:r>
      <w:r>
        <w:rPr>
          <w:rFonts w:hint="eastAsia" w:ascii="宋体" w:hAnsi="宋体" w:eastAsia="宋体" w:cs="宋体"/>
          <w:bCs/>
          <w:snapToGrid w:val="0"/>
          <w:color w:val="auto"/>
          <w:kern w:val="0"/>
          <w:sz w:val="24"/>
          <w:szCs w:val="24"/>
          <w:highlight w:val="none"/>
          <w:u w:val="single"/>
          <w:lang w:eastAsia="zh-CN"/>
        </w:rPr>
        <w:t>【2410-440111-04-01-375804、2410-440111-04</w:t>
      </w:r>
    </w:p>
    <w:p w14:paraId="6774D2EB">
      <w:pPr>
        <w:adjustRightInd w:val="0"/>
        <w:snapToGrid w:val="0"/>
        <w:spacing w:line="360" w:lineRule="auto"/>
        <w:ind w:right="105" w:rightChars="50" w:firstLine="0" w:firstLineChars="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u w:val="single"/>
          <w:lang w:eastAsia="zh-CN"/>
        </w:rPr>
        <w:t>-01-159707、2410-440111-04-01-774210】</w:t>
      </w:r>
    </w:p>
    <w:p w14:paraId="0F56E9C9">
      <w:pPr>
        <w:adjustRightInd w:val="0"/>
        <w:snapToGrid w:val="0"/>
        <w:spacing w:line="360" w:lineRule="auto"/>
        <w:ind w:right="11"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w:t>
      </w:r>
      <w:r>
        <w:rPr>
          <w:rFonts w:ascii="宋体" w:hAnsi="宋体" w:eastAsia="宋体" w:cs="宋体"/>
          <w:bCs/>
          <w:snapToGrid w:val="0"/>
          <w:color w:val="auto"/>
          <w:kern w:val="0"/>
          <w:sz w:val="24"/>
          <w:szCs w:val="24"/>
          <w:highlight w:val="none"/>
        </w:rPr>
        <w:t>5</w:t>
      </w:r>
      <w:r>
        <w:rPr>
          <w:rFonts w:hint="eastAsia" w:ascii="宋体" w:hAnsi="宋体" w:eastAsia="宋体" w:cs="宋体"/>
          <w:bCs/>
          <w:snapToGrid w:val="0"/>
          <w:color w:val="auto"/>
          <w:kern w:val="0"/>
          <w:sz w:val="24"/>
          <w:szCs w:val="24"/>
          <w:highlight w:val="none"/>
        </w:rPr>
        <w:t>资金来源：</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u w:val="single"/>
          <w:lang w:val="en-US" w:eastAsia="zh-CN"/>
        </w:rPr>
        <w:t>自有资金</w:t>
      </w:r>
      <w:r>
        <w:rPr>
          <w:rFonts w:hint="eastAsia" w:ascii="宋体" w:hAnsi="宋体" w:eastAsia="宋体" w:cs="宋体"/>
          <w:bCs/>
          <w:snapToGrid w:val="0"/>
          <w:color w:val="auto"/>
          <w:kern w:val="0"/>
          <w:sz w:val="24"/>
          <w:szCs w:val="24"/>
          <w:highlight w:val="none"/>
          <w:u w:val="single"/>
        </w:rPr>
        <w:t>】</w:t>
      </w:r>
    </w:p>
    <w:p w14:paraId="6450EB6D">
      <w:pPr>
        <w:pStyle w:val="10"/>
        <w:spacing w:line="360" w:lineRule="auto"/>
        <w:jc w:val="left"/>
        <w:rPr>
          <w:rFonts w:hint="eastAsia" w:ascii="宋体" w:hAnsi="宋体"/>
          <w:snapToGrid w:val="0"/>
          <w:color w:val="auto"/>
          <w:kern w:val="0"/>
          <w:sz w:val="24"/>
          <w:szCs w:val="24"/>
          <w:highlight w:val="none"/>
        </w:rPr>
      </w:pPr>
      <w:bookmarkStart w:id="41" w:name="_Toc517774549"/>
      <w:bookmarkStart w:id="42" w:name="_Toc520358219"/>
      <w:bookmarkStart w:id="43" w:name="_Toc514666962"/>
      <w:bookmarkStart w:id="44" w:name="_Toc514665271"/>
      <w:bookmarkStart w:id="45" w:name="_Toc520901449"/>
      <w:bookmarkStart w:id="46" w:name="_Toc517954562"/>
      <w:bookmarkStart w:id="47" w:name="_Toc516495965"/>
      <w:bookmarkStart w:id="48" w:name="_Toc514663847"/>
      <w:bookmarkStart w:id="49" w:name="_Toc520902594"/>
      <w:bookmarkStart w:id="50" w:name="_Toc514681171"/>
      <w:bookmarkStart w:id="51" w:name="_Toc520902816"/>
      <w:bookmarkStart w:id="52" w:name="_Toc514665132"/>
      <w:bookmarkStart w:id="53" w:name="_Toc514681752"/>
      <w:bookmarkStart w:id="54" w:name="_Toc519503069"/>
      <w:bookmarkStart w:id="55" w:name="_Toc35083083"/>
      <w:bookmarkStart w:id="56" w:name="_Toc514664849"/>
      <w:bookmarkStart w:id="57" w:name="_Toc520902745"/>
      <w:bookmarkStart w:id="58" w:name="_Toc518481721"/>
      <w:bookmarkStart w:id="59" w:name="_Toc519502239"/>
      <w:bookmarkStart w:id="60" w:name="_Toc520358043"/>
      <w:r>
        <w:rPr>
          <w:rFonts w:hint="eastAsia" w:ascii="宋体" w:hAnsi="宋体"/>
          <w:snapToGrid w:val="0"/>
          <w:color w:val="auto"/>
          <w:kern w:val="0"/>
          <w:sz w:val="24"/>
          <w:szCs w:val="24"/>
          <w:highlight w:val="none"/>
        </w:rPr>
        <w:t>二、承包范围和承包方式</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5C916AF2">
      <w:pPr>
        <w:adjustRightInd w:val="0"/>
        <w:snapToGrid w:val="0"/>
        <w:spacing w:line="360" w:lineRule="auto"/>
        <w:ind w:right="105" w:rightChars="50" w:firstLine="480" w:firstLineChars="200"/>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Cs/>
          <w:snapToGrid w:val="0"/>
          <w:color w:val="auto"/>
          <w:kern w:val="0"/>
          <w:sz w:val="24"/>
          <w:szCs w:val="24"/>
          <w:highlight w:val="none"/>
        </w:rPr>
        <w:t>2.1承包范围：</w:t>
      </w:r>
      <w:r>
        <w:rPr>
          <w:rFonts w:hint="eastAsia" w:ascii="宋体" w:hAnsi="宋体" w:eastAsia="宋体" w:cs="宋体"/>
          <w:bCs/>
          <w:snapToGrid w:val="0"/>
          <w:color w:val="auto"/>
          <w:kern w:val="0"/>
          <w:sz w:val="24"/>
          <w:szCs w:val="24"/>
          <w:highlight w:val="none"/>
          <w:u w:val="single"/>
        </w:rPr>
        <w:t>包括但不仅限于：新建满足招标文件技术要求的完整的太阳能并网光伏电站；安装</w:t>
      </w:r>
      <w:r>
        <w:rPr>
          <w:rFonts w:hint="eastAsia" w:ascii="宋体" w:hAnsi="宋体" w:eastAsia="宋体" w:cs="宋体"/>
          <w:bCs/>
          <w:snapToGrid w:val="0"/>
          <w:color w:val="auto"/>
          <w:kern w:val="0"/>
          <w:sz w:val="24"/>
          <w:szCs w:val="24"/>
          <w:highlight w:val="none"/>
          <w:u w:val="single"/>
          <w:lang w:val="en-US" w:eastAsia="zh-CN"/>
        </w:rPr>
        <w:t>满足系统功能完善的相关部件、设施</w:t>
      </w:r>
      <w:r>
        <w:rPr>
          <w:rFonts w:hint="eastAsia" w:ascii="宋体" w:hAnsi="宋体" w:eastAsia="宋体" w:cs="宋体"/>
          <w:bCs/>
          <w:snapToGrid w:val="0"/>
          <w:color w:val="auto"/>
          <w:kern w:val="0"/>
          <w:sz w:val="24"/>
          <w:szCs w:val="24"/>
          <w:highlight w:val="none"/>
          <w:u w:val="single"/>
        </w:rPr>
        <w:t>、防水补漏</w:t>
      </w:r>
      <w:r>
        <w:rPr>
          <w:rFonts w:hint="eastAsia" w:ascii="宋体" w:hAnsi="宋体" w:eastAsia="宋体" w:cs="宋体"/>
          <w:bCs/>
          <w:snapToGrid w:val="0"/>
          <w:color w:val="auto"/>
          <w:kern w:val="0"/>
          <w:sz w:val="24"/>
          <w:szCs w:val="24"/>
          <w:highlight w:val="none"/>
          <w:u w:val="single"/>
          <w:lang w:eastAsia="zh-CN"/>
        </w:rPr>
        <w:t>、</w:t>
      </w:r>
      <w:r>
        <w:rPr>
          <w:rFonts w:hint="eastAsia" w:ascii="宋体" w:hAnsi="宋体" w:eastAsia="宋体" w:cs="宋体"/>
          <w:bCs/>
          <w:snapToGrid w:val="0"/>
          <w:color w:val="auto"/>
          <w:kern w:val="0"/>
          <w:sz w:val="24"/>
          <w:szCs w:val="24"/>
          <w:highlight w:val="none"/>
          <w:u w:val="single"/>
          <w:lang w:val="en-US" w:eastAsia="zh-CN"/>
        </w:rPr>
        <w:t>系统及设施清洗</w:t>
      </w:r>
      <w:r>
        <w:rPr>
          <w:rFonts w:hint="eastAsia" w:ascii="宋体" w:hAnsi="宋体" w:eastAsia="宋体" w:cs="宋体"/>
          <w:bCs/>
          <w:snapToGrid w:val="0"/>
          <w:color w:val="auto"/>
          <w:kern w:val="0"/>
          <w:sz w:val="24"/>
          <w:szCs w:val="24"/>
          <w:highlight w:val="none"/>
          <w:u w:val="single"/>
        </w:rPr>
        <w:t>等；能满足太阳能光伏电站从发电直至并网正常运行所需具备的采购、运输及储存、备案、建筑安装、施工</w:t>
      </w:r>
      <w:r>
        <w:rPr>
          <w:rFonts w:hint="eastAsia" w:ascii="宋体" w:hAnsi="宋体" w:eastAsia="宋体" w:cs="宋体"/>
          <w:bCs/>
          <w:snapToGrid w:val="0"/>
          <w:color w:val="auto"/>
          <w:kern w:val="0"/>
          <w:sz w:val="24"/>
          <w:szCs w:val="24"/>
          <w:highlight w:val="none"/>
          <w:u w:val="single"/>
          <w:lang w:eastAsia="zh-CN"/>
        </w:rPr>
        <w:t>、</w:t>
      </w:r>
      <w:r>
        <w:rPr>
          <w:rFonts w:hint="eastAsia" w:ascii="宋体" w:hAnsi="宋体" w:eastAsia="宋体" w:cs="宋体"/>
          <w:bCs/>
          <w:snapToGrid w:val="0"/>
          <w:color w:val="auto"/>
          <w:kern w:val="0"/>
          <w:sz w:val="24"/>
          <w:szCs w:val="24"/>
          <w:highlight w:val="none"/>
          <w:u w:val="single"/>
          <w:lang w:val="en-US" w:eastAsia="zh-CN"/>
        </w:rPr>
        <w:t>调试、试验及测试、试运行、消缺、培训和最终交付投产、质保期等</w:t>
      </w:r>
      <w:r>
        <w:rPr>
          <w:rFonts w:hint="eastAsia" w:ascii="宋体" w:hAnsi="宋体" w:eastAsia="宋体" w:cs="宋体"/>
          <w:bCs/>
          <w:snapToGrid w:val="0"/>
          <w:color w:val="auto"/>
          <w:kern w:val="0"/>
          <w:sz w:val="24"/>
          <w:szCs w:val="24"/>
          <w:highlight w:val="none"/>
          <w:u w:val="single"/>
        </w:rPr>
        <w:t>；整体光伏系统的交付前的光伏板、支架、基础、线缆及相关系统设备、防雷接地系统、门禁系统设备及线路的清理、清洗工作；调试、试验及测试、试运行、消缺、培训和最终交付投产。详见</w:t>
      </w:r>
      <w:r>
        <w:rPr>
          <w:rFonts w:hint="eastAsia" w:ascii="宋体" w:hAnsi="宋体" w:eastAsia="宋体" w:cs="宋体"/>
          <w:bCs/>
          <w:snapToGrid w:val="0"/>
          <w:color w:val="auto"/>
          <w:kern w:val="0"/>
          <w:sz w:val="24"/>
          <w:szCs w:val="24"/>
          <w:highlight w:val="none"/>
          <w:u w:val="single"/>
          <w:lang w:eastAsia="zh-CN"/>
        </w:rPr>
        <w:t>《</w:t>
      </w:r>
      <w:r>
        <w:rPr>
          <w:rFonts w:hint="eastAsia" w:ascii="宋体" w:hAnsi="宋体" w:eastAsia="宋体" w:cs="宋体"/>
          <w:bCs/>
          <w:snapToGrid w:val="0"/>
          <w:color w:val="auto"/>
          <w:kern w:val="0"/>
          <w:sz w:val="24"/>
          <w:szCs w:val="24"/>
          <w:highlight w:val="none"/>
          <w:u w:val="single"/>
          <w:lang w:val="en-US" w:eastAsia="zh-CN"/>
        </w:rPr>
        <w:t>发包人要求》</w:t>
      </w:r>
      <w:r>
        <w:rPr>
          <w:rFonts w:hint="eastAsia" w:ascii="宋体" w:hAnsi="宋体" w:eastAsia="宋体" w:cs="宋体"/>
          <w:bCs/>
          <w:snapToGrid w:val="0"/>
          <w:color w:val="auto"/>
          <w:kern w:val="0"/>
          <w:sz w:val="24"/>
          <w:szCs w:val="24"/>
          <w:highlight w:val="none"/>
          <w:u w:val="single"/>
        </w:rPr>
        <w:t>。</w:t>
      </w:r>
    </w:p>
    <w:p w14:paraId="71B62BFC">
      <w:pPr>
        <w:adjustRightInd w:val="0"/>
        <w:snapToGrid w:val="0"/>
        <w:spacing w:line="360" w:lineRule="auto"/>
        <w:ind w:right="105" w:rightChars="50"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2.2承包方式：</w:t>
      </w:r>
    </w:p>
    <w:p w14:paraId="75BE6922">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由承包人按照本合同约定范围和图纸内容实行工程施工总承包，包括但不限于包工、包料、包质量、包安全生产、包文明施工、包工期、包承包范围内工程验收通过、包通水</w:t>
      </w:r>
      <w:r>
        <w:rPr>
          <w:rFonts w:hint="eastAsia" w:ascii="宋体" w:hAnsi="宋体" w:eastAsia="宋体" w:cs="宋体"/>
          <w:bCs/>
          <w:snapToGrid w:val="0"/>
          <w:color w:val="auto"/>
          <w:kern w:val="0"/>
          <w:sz w:val="24"/>
          <w:highlight w:val="none"/>
          <w:lang w:eastAsia="zh-CN"/>
        </w:rPr>
        <w:t>（</w:t>
      </w:r>
      <w:r>
        <w:rPr>
          <w:rFonts w:hint="eastAsia" w:ascii="宋体" w:hAnsi="宋体" w:eastAsia="宋体" w:cs="宋体"/>
          <w:bCs/>
          <w:snapToGrid w:val="0"/>
          <w:color w:val="auto"/>
          <w:kern w:val="0"/>
          <w:sz w:val="24"/>
          <w:highlight w:val="none"/>
          <w:lang w:val="en-US" w:eastAsia="zh-CN"/>
        </w:rPr>
        <w:t>如有</w:t>
      </w:r>
      <w:r>
        <w:rPr>
          <w:rFonts w:hint="eastAsia" w:ascii="宋体" w:hAnsi="宋体" w:eastAsia="宋体" w:cs="宋体"/>
          <w:bCs/>
          <w:snapToGrid w:val="0"/>
          <w:color w:val="auto"/>
          <w:kern w:val="0"/>
          <w:sz w:val="24"/>
          <w:highlight w:val="none"/>
          <w:lang w:eastAsia="zh-CN"/>
        </w:rPr>
        <w:t>）</w:t>
      </w:r>
      <w:r>
        <w:rPr>
          <w:rFonts w:hint="eastAsia" w:ascii="宋体" w:hAnsi="宋体" w:eastAsia="宋体" w:cs="宋体"/>
          <w:bCs/>
          <w:snapToGrid w:val="0"/>
          <w:color w:val="auto"/>
          <w:kern w:val="0"/>
          <w:sz w:val="24"/>
          <w:highlight w:val="none"/>
        </w:rPr>
        <w:t>、包通电、包移交、包结算</w:t>
      </w:r>
      <w:r>
        <w:rPr>
          <w:rFonts w:hint="eastAsia" w:ascii="宋体" w:hAnsi="宋体" w:eastAsia="宋体"/>
          <w:bCs/>
          <w:snapToGrid w:val="0"/>
          <w:color w:val="auto"/>
          <w:kern w:val="0"/>
          <w:sz w:val="24"/>
          <w:highlight w:val="none"/>
        </w:rPr>
        <w:t>的</w:t>
      </w:r>
      <w:r>
        <w:rPr>
          <w:rFonts w:hint="eastAsia" w:ascii="宋体" w:hAnsi="宋体" w:eastAsia="宋体" w:cs="宋体"/>
          <w:bCs/>
          <w:snapToGrid w:val="0"/>
          <w:color w:val="auto"/>
          <w:kern w:val="0"/>
          <w:sz w:val="24"/>
          <w:highlight w:val="none"/>
        </w:rPr>
        <w:t>组织实施工作和资料整理、包施工范围内的管理和现场整体组织、包专业协调及配合、</w:t>
      </w:r>
      <w:r>
        <w:rPr>
          <w:rFonts w:hint="eastAsia" w:ascii="宋体" w:hAnsi="宋体" w:eastAsia="宋体"/>
          <w:bCs/>
          <w:snapToGrid w:val="0"/>
          <w:color w:val="auto"/>
          <w:kern w:val="0"/>
          <w:sz w:val="24"/>
          <w:highlight w:val="none"/>
        </w:rPr>
        <w:t>包承包人应当购买的保险、包竣工图编制（须满足各专项验收要求）</w:t>
      </w:r>
      <w:r>
        <w:rPr>
          <w:rFonts w:hint="eastAsia" w:ascii="宋体" w:hAnsi="宋体" w:eastAsia="宋体"/>
          <w:bCs/>
          <w:snapToGrid w:val="0"/>
          <w:color w:val="auto"/>
          <w:kern w:val="0"/>
          <w:sz w:val="24"/>
          <w:highlight w:val="none"/>
          <w:lang w:eastAsia="zh-CN"/>
        </w:rPr>
        <w:t>、包并网方案</w:t>
      </w:r>
      <w:r>
        <w:rPr>
          <w:rFonts w:hint="eastAsia" w:ascii="宋体" w:hAnsi="宋体" w:eastAsia="宋体"/>
          <w:bCs/>
          <w:snapToGrid w:val="0"/>
          <w:color w:val="auto"/>
          <w:kern w:val="0"/>
          <w:sz w:val="24"/>
          <w:highlight w:val="none"/>
          <w:lang w:val="en-US" w:eastAsia="zh-CN"/>
        </w:rPr>
        <w:t>和并网</w:t>
      </w:r>
      <w:r>
        <w:rPr>
          <w:rFonts w:hint="eastAsia" w:ascii="宋体" w:hAnsi="宋体" w:eastAsia="宋体"/>
          <w:bCs/>
          <w:snapToGrid w:val="0"/>
          <w:color w:val="auto"/>
          <w:kern w:val="0"/>
          <w:sz w:val="24"/>
          <w:highlight w:val="none"/>
          <w:lang w:eastAsia="zh-CN"/>
        </w:rPr>
        <w:t>图纸设计、包通过供电审核通过、包获取并网审查意见书</w:t>
      </w:r>
      <w:r>
        <w:rPr>
          <w:rFonts w:hint="eastAsia" w:ascii="宋体" w:hAnsi="宋体" w:eastAsia="宋体" w:cs="宋体"/>
          <w:bCs/>
          <w:snapToGrid w:val="0"/>
          <w:color w:val="auto"/>
          <w:kern w:val="0"/>
          <w:sz w:val="24"/>
          <w:highlight w:val="none"/>
        </w:rPr>
        <w:t>等。承包</w:t>
      </w:r>
      <w:r>
        <w:rPr>
          <w:rFonts w:hint="eastAsia" w:ascii="宋体" w:hAnsi="宋体" w:eastAsia="宋体" w:cs="宋体"/>
          <w:bCs/>
          <w:snapToGrid w:val="0"/>
          <w:color w:val="auto"/>
          <w:kern w:val="0"/>
          <w:sz w:val="24"/>
          <w:highlight w:val="none"/>
          <w:lang w:val="en-US" w:eastAsia="zh-CN"/>
        </w:rPr>
        <w:t>人</w:t>
      </w:r>
      <w:r>
        <w:rPr>
          <w:rFonts w:hint="eastAsia" w:ascii="宋体" w:hAnsi="宋体" w:eastAsia="宋体" w:cs="宋体"/>
          <w:bCs/>
          <w:snapToGrid w:val="0"/>
          <w:color w:val="auto"/>
          <w:kern w:val="0"/>
          <w:sz w:val="24"/>
          <w:highlight w:val="none"/>
        </w:rPr>
        <w:t>无条件配合发包</w:t>
      </w:r>
      <w:r>
        <w:rPr>
          <w:rFonts w:hint="eastAsia" w:ascii="宋体" w:hAnsi="宋体" w:eastAsia="宋体" w:cs="宋体"/>
          <w:bCs/>
          <w:snapToGrid w:val="0"/>
          <w:color w:val="auto"/>
          <w:kern w:val="0"/>
          <w:sz w:val="24"/>
          <w:highlight w:val="none"/>
          <w:lang w:val="en-US" w:eastAsia="zh-CN"/>
        </w:rPr>
        <w:t>人</w:t>
      </w:r>
      <w:r>
        <w:rPr>
          <w:rFonts w:hint="eastAsia" w:ascii="宋体" w:hAnsi="宋体" w:eastAsia="宋体" w:cs="宋体"/>
          <w:bCs/>
          <w:snapToGrid w:val="0"/>
          <w:color w:val="auto"/>
          <w:kern w:val="0"/>
          <w:sz w:val="24"/>
          <w:highlight w:val="none"/>
        </w:rPr>
        <w:t>组织的项目检查工作及政府相关部门或机构组织的项目检查工作，并配合做好迎检工作</w:t>
      </w:r>
      <w:r>
        <w:rPr>
          <w:rFonts w:hint="eastAsia" w:ascii="宋体" w:hAnsi="宋体" w:eastAsia="宋体" w:cs="宋体"/>
          <w:bCs/>
          <w:snapToGrid w:val="0"/>
          <w:color w:val="auto"/>
          <w:kern w:val="0"/>
          <w:sz w:val="24"/>
          <w:highlight w:val="none"/>
          <w:lang w:eastAsia="zh-CN"/>
        </w:rPr>
        <w:t>。</w:t>
      </w:r>
      <w:r>
        <w:rPr>
          <w:rFonts w:hint="eastAsia" w:ascii="宋体" w:hAnsi="宋体" w:eastAsia="宋体" w:cs="宋体"/>
          <w:bCs/>
          <w:snapToGrid w:val="0"/>
          <w:color w:val="auto"/>
          <w:kern w:val="0"/>
          <w:sz w:val="24"/>
          <w:highlight w:val="none"/>
        </w:rPr>
        <w:t>承包</w:t>
      </w:r>
      <w:r>
        <w:rPr>
          <w:rFonts w:hint="eastAsia" w:ascii="宋体" w:hAnsi="宋体" w:eastAsia="宋体" w:cs="宋体"/>
          <w:bCs/>
          <w:snapToGrid w:val="0"/>
          <w:color w:val="auto"/>
          <w:kern w:val="0"/>
          <w:sz w:val="24"/>
          <w:highlight w:val="none"/>
          <w:lang w:val="en-US" w:eastAsia="zh-CN"/>
        </w:rPr>
        <w:t>人承担</w:t>
      </w:r>
      <w:r>
        <w:rPr>
          <w:rFonts w:hint="eastAsia" w:ascii="宋体" w:hAnsi="宋体" w:eastAsia="宋体" w:cs="宋体"/>
          <w:bCs/>
          <w:snapToGrid w:val="0"/>
          <w:color w:val="auto"/>
          <w:kern w:val="0"/>
          <w:sz w:val="24"/>
          <w:highlight w:val="none"/>
          <w:lang w:eastAsia="zh-CN"/>
        </w:rPr>
        <w:t>供电局现场勘察、专项验收、竣工验收、并网接入发生的一切配合费用。</w:t>
      </w:r>
      <w:r>
        <w:rPr>
          <w:rFonts w:hint="eastAsia" w:ascii="宋体" w:hAnsi="宋体" w:eastAsia="宋体" w:cs="宋体"/>
          <w:bCs/>
          <w:snapToGrid w:val="0"/>
          <w:color w:val="auto"/>
          <w:kern w:val="0"/>
          <w:sz w:val="24"/>
          <w:highlight w:val="none"/>
        </w:rPr>
        <w:t>合同价款按如下约定执行：</w:t>
      </w:r>
    </w:p>
    <w:p w14:paraId="313672F7">
      <w:pPr>
        <w:adjustRightInd w:val="0"/>
        <w:snapToGrid w:val="0"/>
        <w:spacing w:line="360" w:lineRule="auto"/>
        <w:ind w:right="11" w:firstLine="482" w:firstLineChars="200"/>
        <w:rPr>
          <w:rFonts w:hint="eastAsia" w:ascii="宋体" w:hAnsi="宋体" w:eastAsia="宋体" w:cs="宋体"/>
          <w:bCs/>
          <w:snapToGrid w:val="0"/>
          <w:color w:val="auto"/>
          <w:kern w:val="0"/>
          <w:sz w:val="24"/>
          <w:highlight w:val="none"/>
        </w:rPr>
      </w:pPr>
      <w:r>
        <w:rPr>
          <w:rFonts w:hint="eastAsia" w:ascii="宋体" w:hAnsi="宋体" w:eastAsia="宋体" w:cs="宋体"/>
          <w:b/>
          <w:bCs/>
          <w:snapToGrid w:val="0"/>
          <w:color w:val="auto"/>
          <w:kern w:val="0"/>
          <w:sz w:val="24"/>
          <w:highlight w:val="none"/>
          <w:lang w:eastAsia="zh-CN"/>
        </w:rPr>
        <w:t>□</w:t>
      </w:r>
      <w:r>
        <w:rPr>
          <w:rFonts w:hint="eastAsia" w:ascii="宋体" w:hAnsi="宋体" w:eastAsia="宋体" w:cs="宋体"/>
          <w:bCs/>
          <w:snapToGrid w:val="0"/>
          <w:color w:val="auto"/>
          <w:kern w:val="0"/>
          <w:sz w:val="24"/>
          <w:highlight w:val="none"/>
        </w:rPr>
        <w:t>（1）合同价款固定不变，结算价即为合同价（暂列金额除外）。</w:t>
      </w:r>
    </w:p>
    <w:p w14:paraId="231CB721">
      <w:pPr>
        <w:adjustRightInd w:val="0"/>
        <w:snapToGrid w:val="0"/>
        <w:spacing w:line="360" w:lineRule="auto"/>
        <w:ind w:right="11" w:firstLine="482" w:firstLineChars="200"/>
        <w:rPr>
          <w:rFonts w:hint="eastAsia" w:ascii="宋体" w:hAnsi="宋体" w:eastAsia="宋体" w:cs="宋体"/>
          <w:bCs/>
          <w:snapToGrid w:val="0"/>
          <w:color w:val="auto"/>
          <w:kern w:val="0"/>
          <w:sz w:val="24"/>
          <w:highlight w:val="none"/>
        </w:rPr>
      </w:pPr>
      <w:r>
        <w:rPr>
          <w:rFonts w:hint="eastAsia" w:ascii="宋体" w:hAnsi="宋体" w:eastAsia="宋体" w:cs="宋体"/>
          <w:b/>
          <w:bCs/>
          <w:snapToGrid w:val="0"/>
          <w:color w:val="auto"/>
          <w:kern w:val="0"/>
          <w:sz w:val="24"/>
          <w:highlight w:val="none"/>
          <w:lang w:eastAsia="zh-CN"/>
        </w:rPr>
        <w:t>□</w:t>
      </w:r>
      <w:r>
        <w:rPr>
          <w:rFonts w:hint="eastAsia" w:ascii="宋体" w:hAnsi="宋体" w:eastAsia="宋体" w:cs="宋体"/>
          <w:bCs/>
          <w:snapToGrid w:val="0"/>
          <w:color w:val="auto"/>
          <w:kern w:val="0"/>
          <w:sz w:val="24"/>
          <w:highlight w:val="none"/>
        </w:rPr>
        <w:t>（2）合同价款总价包干，若招标范围和承包内容不发生变化，则本工程结算价即为合同价（招标文件及本合同另有约定可以调整的项目除外）。</w:t>
      </w:r>
    </w:p>
    <w:p w14:paraId="45E32B75">
      <w:pPr>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highlight w:val="none"/>
          <w:lang w:eastAsia="zh-CN"/>
        </w:rPr>
        <w:t>☑</w:t>
      </w:r>
      <w:r>
        <w:rPr>
          <w:rFonts w:hint="eastAsia" w:ascii="宋体" w:hAnsi="宋体" w:eastAsia="宋体" w:cs="宋体"/>
          <w:bCs/>
          <w:snapToGrid w:val="0"/>
          <w:color w:val="auto"/>
          <w:kern w:val="0"/>
          <w:sz w:val="24"/>
          <w:highlight w:val="none"/>
        </w:rPr>
        <w:t>（3）</w:t>
      </w:r>
      <w:bookmarkStart w:id="61" w:name="_Hlk134458212"/>
      <w:r>
        <w:rPr>
          <w:rFonts w:hint="eastAsia" w:ascii="宋体" w:hAnsi="宋体" w:eastAsia="宋体" w:cs="宋体"/>
          <w:bCs/>
          <w:snapToGrid w:val="0"/>
          <w:color w:val="auto"/>
          <w:kern w:val="0"/>
          <w:sz w:val="24"/>
          <w:highlight w:val="none"/>
        </w:rPr>
        <w:t>分部分项工程量清单综合单价包干、措施项目（注：除模板综合单价包干外）综合合价包干，招标文件及本合同另有约定的除外。实际工程量以最终施工图为准。如施工图工程量与招标工程量产生偏差，承包人应按最终施工图施工，综合单价及支付进度不作调整。该单价中已综合考虑了在合同有效期内的材料设备、机械、人工等所有市场价格波动的风险，在合同有效期内不做任何调整。</w:t>
      </w:r>
      <w:bookmarkEnd w:id="61"/>
    </w:p>
    <w:p w14:paraId="0D351001">
      <w:pPr>
        <w:adjustRightInd w:val="0"/>
        <w:snapToGrid w:val="0"/>
        <w:spacing w:line="360" w:lineRule="auto"/>
        <w:ind w:firstLine="482" w:firstLineChars="200"/>
        <w:rPr>
          <w:rFonts w:hint="eastAsia" w:ascii="宋体" w:hAnsi="宋体" w:eastAsia="宋体" w:cs="宋体"/>
          <w:strike/>
          <w:snapToGrid w:val="0"/>
          <w:color w:val="auto"/>
          <w:kern w:val="0"/>
          <w:sz w:val="24"/>
          <w:highlight w:val="none"/>
        </w:rPr>
      </w:pPr>
      <w:r>
        <w:rPr>
          <w:rFonts w:hint="eastAsia" w:ascii="宋体" w:hAnsi="宋体" w:eastAsia="宋体" w:cs="宋体"/>
          <w:b/>
          <w:bCs/>
          <w:snapToGrid w:val="0"/>
          <w:color w:val="auto"/>
          <w:kern w:val="0"/>
          <w:sz w:val="24"/>
          <w:highlight w:val="none"/>
          <w:lang w:eastAsia="zh-CN"/>
        </w:rPr>
        <w:t>☑</w:t>
      </w:r>
      <w:r>
        <w:rPr>
          <w:rFonts w:hint="eastAsia" w:ascii="宋体" w:hAnsi="宋体" w:eastAsia="宋体" w:cs="宋体"/>
          <w:bCs/>
          <w:snapToGrid w:val="0"/>
          <w:color w:val="auto"/>
          <w:kern w:val="0"/>
          <w:sz w:val="24"/>
          <w:highlight w:val="none"/>
        </w:rPr>
        <w:t>（4）</w:t>
      </w:r>
      <w:r>
        <w:rPr>
          <w:rFonts w:hint="eastAsia" w:ascii="宋体" w:hAnsi="宋体" w:eastAsia="宋体" w:cs="宋体"/>
          <w:bCs/>
          <w:snapToGrid w:val="0"/>
          <w:color w:val="auto"/>
          <w:kern w:val="0"/>
          <w:sz w:val="24"/>
          <w:highlight w:val="none"/>
          <w:u w:val="single"/>
        </w:rPr>
        <w:t>承包人应在本工程开工前按《关于做好我省铁路、公路、水运、水利、能源、机场工程建设项目参加工伤保险工作的通知》（粤人社规</w:t>
      </w:r>
      <w:r>
        <w:rPr>
          <w:rFonts w:hint="eastAsia" w:ascii="宋体" w:hAnsi="宋体" w:eastAsia="宋体" w:cs="宋体"/>
          <w:bCs/>
          <w:snapToGrid w:val="0"/>
          <w:color w:val="auto"/>
          <w:kern w:val="0"/>
          <w:sz w:val="24"/>
          <w:highlight w:val="none"/>
          <w:u w:val="single"/>
          <w:lang w:val="en-US" w:eastAsia="zh-CN"/>
        </w:rPr>
        <w:t>〔2018〕1</w:t>
      </w:r>
      <w:r>
        <w:rPr>
          <w:rFonts w:hint="eastAsia" w:ascii="宋体" w:hAnsi="宋体" w:eastAsia="宋体" w:cs="宋体"/>
          <w:bCs/>
          <w:snapToGrid w:val="0"/>
          <w:color w:val="auto"/>
          <w:kern w:val="0"/>
          <w:sz w:val="24"/>
          <w:highlight w:val="none"/>
          <w:u w:val="single"/>
        </w:rPr>
        <w:t>5号）的规定缴纳工伤保险费。如因承包人未按规定缴纳工伤保险费导致本工程施工许可证未能如期办理的，由此引起的相关责任全部由承包人承担。</w:t>
      </w:r>
    </w:p>
    <w:p w14:paraId="19240C04">
      <w:pPr>
        <w:adjustRightInd w:val="0"/>
        <w:snapToGrid w:val="0"/>
        <w:spacing w:line="360" w:lineRule="auto"/>
        <w:ind w:right="105" w:rightChars="50"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2.3发包人根据工程实施情况或上级部门要求，有权对承包人的承包范围及内容进行适当调整，承包人必须无条件服从调整；承包人未经发包人书面同意不得擅自变更工程承包范围及内容。</w:t>
      </w:r>
    </w:p>
    <w:p w14:paraId="7E95C197">
      <w:pPr>
        <w:pStyle w:val="10"/>
        <w:spacing w:line="360" w:lineRule="auto"/>
        <w:jc w:val="left"/>
        <w:rPr>
          <w:rFonts w:hint="eastAsia" w:ascii="宋体" w:hAnsi="宋体"/>
          <w:snapToGrid w:val="0"/>
          <w:color w:val="auto"/>
          <w:kern w:val="0"/>
          <w:sz w:val="24"/>
          <w:szCs w:val="24"/>
          <w:highlight w:val="none"/>
        </w:rPr>
      </w:pPr>
      <w:bookmarkStart w:id="62" w:name="_Toc514664850"/>
      <w:bookmarkStart w:id="63" w:name="_Toc517774550"/>
      <w:bookmarkStart w:id="64" w:name="_Toc520358044"/>
      <w:bookmarkStart w:id="65" w:name="_Toc520902817"/>
      <w:bookmarkStart w:id="66" w:name="_Toc520358220"/>
      <w:bookmarkStart w:id="67" w:name="_Toc520901450"/>
      <w:bookmarkStart w:id="68" w:name="_Toc519503070"/>
      <w:bookmarkStart w:id="69" w:name="_Toc35083084"/>
      <w:bookmarkStart w:id="70" w:name="_Toc520902595"/>
      <w:bookmarkStart w:id="71" w:name="_Toc516495966"/>
      <w:bookmarkStart w:id="72" w:name="_Toc514663848"/>
      <w:bookmarkStart w:id="73" w:name="_Toc514666963"/>
      <w:bookmarkStart w:id="74" w:name="_Toc520902746"/>
      <w:bookmarkStart w:id="75" w:name="_Toc517954563"/>
      <w:bookmarkStart w:id="76" w:name="_Toc514681753"/>
      <w:bookmarkStart w:id="77" w:name="_Toc514665272"/>
      <w:bookmarkStart w:id="78" w:name="_Toc514681172"/>
      <w:bookmarkStart w:id="79" w:name="_Toc518481722"/>
      <w:bookmarkStart w:id="80" w:name="_Toc519502240"/>
      <w:bookmarkStart w:id="81" w:name="_Toc514665133"/>
      <w:r>
        <w:rPr>
          <w:rFonts w:hint="eastAsia" w:ascii="宋体" w:hAnsi="宋体"/>
          <w:snapToGrid w:val="0"/>
          <w:color w:val="auto"/>
          <w:kern w:val="0"/>
          <w:sz w:val="24"/>
          <w:szCs w:val="24"/>
          <w:highlight w:val="none"/>
        </w:rPr>
        <w:t>三、合同工期</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22A49F62">
      <w:pPr>
        <w:adjustRightInd w:val="0"/>
        <w:snapToGrid w:val="0"/>
        <w:spacing w:line="360" w:lineRule="auto"/>
        <w:ind w:right="11" w:firstLine="475" w:firstLineChars="198"/>
        <w:rPr>
          <w:rFonts w:hint="eastAsia" w:ascii="宋体" w:hAnsi="宋体" w:eastAsia="宋体" w:cs="宋体"/>
          <w:bCs/>
          <w:snapToGrid w:val="0"/>
          <w:color w:val="auto"/>
          <w:kern w:val="0"/>
          <w:sz w:val="24"/>
          <w:szCs w:val="24"/>
          <w:highlight w:val="none"/>
        </w:rPr>
      </w:pPr>
      <w:bookmarkStart w:id="82" w:name="_Toc517774551"/>
      <w:bookmarkStart w:id="83" w:name="_Toc520358045"/>
      <w:bookmarkStart w:id="84" w:name="_Toc520358221"/>
      <w:bookmarkStart w:id="85" w:name="_Toc516495967"/>
      <w:bookmarkStart w:id="86" w:name="_Toc520902596"/>
      <w:bookmarkStart w:id="87" w:name="_Toc514664851"/>
      <w:bookmarkStart w:id="88" w:name="_Toc514681754"/>
      <w:bookmarkStart w:id="89" w:name="_Toc519502241"/>
      <w:bookmarkStart w:id="90" w:name="_Toc514666964"/>
      <w:bookmarkStart w:id="91" w:name="_Toc520901451"/>
      <w:bookmarkStart w:id="92" w:name="_Toc520902747"/>
      <w:bookmarkStart w:id="93" w:name="_Toc518481723"/>
      <w:bookmarkStart w:id="94" w:name="_Toc514665134"/>
      <w:bookmarkStart w:id="95" w:name="_Toc517954564"/>
      <w:bookmarkStart w:id="96" w:name="_Toc514663849"/>
      <w:bookmarkStart w:id="97" w:name="_Toc514665273"/>
      <w:bookmarkStart w:id="98" w:name="_Toc519503071"/>
      <w:bookmarkStart w:id="99" w:name="_Toc514681173"/>
      <w:bookmarkStart w:id="100" w:name="_Toc520902818"/>
      <w:r>
        <w:rPr>
          <w:rFonts w:hint="eastAsia" w:ascii="宋体" w:hAnsi="宋体" w:eastAsia="宋体" w:cs="宋体"/>
          <w:bCs/>
          <w:snapToGrid w:val="0"/>
          <w:color w:val="auto"/>
          <w:kern w:val="0"/>
          <w:sz w:val="24"/>
          <w:szCs w:val="24"/>
          <w:highlight w:val="none"/>
        </w:rPr>
        <w:t>3.1本工程总工期暂定为</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u w:val="single"/>
          <w:lang w:val="en-US" w:eastAsia="zh-CN"/>
        </w:rPr>
        <w:t xml:space="preserve">   </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rPr>
        <w:t>个日历天，计划</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u w:val="single"/>
          <w:lang w:val="en-US" w:eastAsia="zh-CN"/>
        </w:rPr>
        <w:t xml:space="preserve">    </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rPr>
        <w:t>年</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u w:val="single"/>
          <w:lang w:val="en-US" w:eastAsia="zh-CN"/>
        </w:rPr>
        <w:t xml:space="preserve">  </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rPr>
        <w:t>月</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u w:val="single"/>
          <w:lang w:val="en-US" w:eastAsia="zh-CN"/>
        </w:rPr>
        <w:t xml:space="preserve">  </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rPr>
        <w:t>日开工，</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u w:val="single"/>
          <w:lang w:val="en-US" w:eastAsia="zh-CN"/>
        </w:rPr>
        <w:t xml:space="preserve">    </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rPr>
        <w:t>年</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u w:val="single"/>
          <w:lang w:val="en-US" w:eastAsia="zh-CN"/>
        </w:rPr>
        <w:t xml:space="preserve">  </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rPr>
        <w:t>月</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u w:val="single"/>
          <w:lang w:val="en-US" w:eastAsia="zh-CN"/>
        </w:rPr>
        <w:t xml:space="preserve">  </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rPr>
        <w:t>日竣工，具体开工日期以总监理工程师发出的开工令为准。</w:t>
      </w:r>
    </w:p>
    <w:p w14:paraId="2FF33204">
      <w:pPr>
        <w:adjustRightInd w:val="0"/>
        <w:snapToGrid w:val="0"/>
        <w:spacing w:line="360" w:lineRule="auto"/>
        <w:ind w:right="11" w:firstLine="475" w:firstLineChars="198"/>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3.2在合同履行过程中，因以下原因造成延误的，经发包人书面确认，工期可以相应顺延：</w:t>
      </w:r>
    </w:p>
    <w:p w14:paraId="16E1940A">
      <w:pPr>
        <w:adjustRightInd w:val="0"/>
        <w:snapToGrid w:val="0"/>
        <w:spacing w:line="360" w:lineRule="auto"/>
        <w:ind w:right="11" w:firstLine="475" w:firstLineChars="198"/>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（1）如因</w:t>
      </w:r>
      <w:r>
        <w:rPr>
          <w:rFonts w:hint="eastAsia" w:ascii="宋体" w:hAnsi="宋体" w:eastAsia="宋体" w:cs="宋体"/>
          <w:bCs/>
          <w:snapToGrid w:val="0"/>
          <w:color w:val="auto"/>
          <w:kern w:val="0"/>
          <w:sz w:val="24"/>
          <w:szCs w:val="24"/>
          <w:highlight w:val="none"/>
          <w:lang w:val="en-US" w:eastAsia="zh-CN"/>
        </w:rPr>
        <w:t>施工场地移交</w:t>
      </w:r>
      <w:r>
        <w:rPr>
          <w:rFonts w:hint="eastAsia" w:ascii="宋体" w:hAnsi="宋体" w:eastAsia="宋体" w:cs="宋体"/>
          <w:bCs/>
          <w:snapToGrid w:val="0"/>
          <w:color w:val="auto"/>
          <w:kern w:val="0"/>
          <w:sz w:val="24"/>
          <w:szCs w:val="24"/>
          <w:highlight w:val="none"/>
        </w:rPr>
        <w:t>滞后致使承包人暂时无法进行正常施工的。</w:t>
      </w:r>
    </w:p>
    <w:p w14:paraId="48D5E92E">
      <w:pPr>
        <w:adjustRightInd w:val="0"/>
        <w:snapToGrid w:val="0"/>
        <w:spacing w:line="360" w:lineRule="auto"/>
        <w:ind w:right="11" w:firstLine="475" w:firstLineChars="198"/>
        <w:rPr>
          <w:rFonts w:hint="eastAsia" w:ascii="宋体" w:hAnsi="宋体" w:eastAsia="宋体"/>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（2）因不可抗力因素致使施工不能正常进行的。</w:t>
      </w:r>
      <w:bookmarkStart w:id="101" w:name="_Toc35083085"/>
    </w:p>
    <w:p w14:paraId="18C210E1">
      <w:pPr>
        <w:pStyle w:val="10"/>
        <w:spacing w:after="0" w:line="360" w:lineRule="auto"/>
        <w:jc w:val="left"/>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四、质量标准和目标</w:t>
      </w:r>
    </w:p>
    <w:p w14:paraId="78047858">
      <w:pPr>
        <w:adjustRightInd w:val="0"/>
        <w:snapToGrid w:val="0"/>
        <w:spacing w:line="360" w:lineRule="auto"/>
        <w:ind w:right="11" w:firstLine="480" w:firstLineChars="200"/>
        <w:rPr>
          <w:rFonts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（1）质量标准：</w:t>
      </w:r>
      <w:bookmarkStart w:id="818" w:name="_GoBack"/>
      <w:r>
        <w:rPr>
          <w:rFonts w:hint="eastAsia" w:ascii="宋体" w:hAnsi="宋体" w:eastAsia="宋体" w:cs="宋体"/>
          <w:bCs/>
          <w:snapToGrid w:val="0"/>
          <w:color w:val="auto"/>
          <w:kern w:val="0"/>
          <w:sz w:val="24"/>
          <w:highlight w:val="none"/>
          <w:u w:val="none"/>
        </w:rPr>
        <w:t>工程质量达到国家或行业质量检验评定的合格标准，</w:t>
      </w:r>
      <w:bookmarkEnd w:id="818"/>
      <w:r>
        <w:rPr>
          <w:rFonts w:hint="eastAsia" w:ascii="宋体" w:hAnsi="宋体" w:eastAsia="宋体" w:cs="宋体"/>
          <w:bCs/>
          <w:snapToGrid w:val="0"/>
          <w:color w:val="auto"/>
          <w:kern w:val="0"/>
          <w:sz w:val="24"/>
          <w:highlight w:val="none"/>
          <w:u w:val="single"/>
        </w:rPr>
        <w:t>且</w:t>
      </w:r>
      <w:r>
        <w:rPr>
          <w:rFonts w:hint="eastAsia" w:ascii="宋体" w:hAnsi="宋体" w:eastAsia="宋体" w:cs="宋体"/>
          <w:bCs/>
          <w:snapToGrid w:val="0"/>
          <w:color w:val="auto"/>
          <w:kern w:val="0"/>
          <w:sz w:val="24"/>
          <w:highlight w:val="none"/>
          <w:u w:val="single"/>
        </w:rPr>
        <w:t>达到投标承诺的标准。</w:t>
      </w:r>
    </w:p>
    <w:p w14:paraId="25EA319D">
      <w:pPr>
        <w:adjustRightInd w:val="0"/>
        <w:snapToGrid w:val="0"/>
        <w:spacing w:line="360" w:lineRule="auto"/>
        <w:ind w:right="11" w:firstLine="480" w:firstLineChars="200"/>
        <w:rPr>
          <w:rFonts w:hint="eastAsia" w:ascii="宋体" w:hAnsi="宋体" w:eastAsia="宋体"/>
          <w:color w:val="auto"/>
          <w:sz w:val="24"/>
          <w:szCs w:val="24"/>
          <w:highlight w:val="none"/>
          <w:u w:val="single"/>
          <w:lang w:eastAsia="zh-CN"/>
        </w:rPr>
      </w:pPr>
      <w:r>
        <w:rPr>
          <w:rFonts w:hint="eastAsia" w:ascii="宋体" w:hAnsi="宋体" w:eastAsia="宋体" w:cs="宋体"/>
          <w:bCs/>
          <w:snapToGrid w:val="0"/>
          <w:color w:val="auto"/>
          <w:kern w:val="0"/>
          <w:sz w:val="24"/>
          <w:highlight w:val="none"/>
        </w:rPr>
        <w:t>（2）质量目标：</w:t>
      </w:r>
      <w:r>
        <w:rPr>
          <w:rFonts w:hint="eastAsia" w:ascii="宋体" w:hAnsi="宋体" w:eastAsia="宋体"/>
          <w:color w:val="auto"/>
          <w:sz w:val="24"/>
          <w:szCs w:val="24"/>
          <w:highlight w:val="none"/>
          <w:u w:val="single"/>
        </w:rPr>
        <w:t>一次验收合格，分部工程验收合格率100%，项目所涉及的政府专项验收全部通过，单位工程一次竣工验收合格</w:t>
      </w:r>
      <w:r>
        <w:rPr>
          <w:rFonts w:hint="eastAsia" w:ascii="宋体" w:hAnsi="宋体" w:eastAsia="宋体"/>
          <w:color w:val="auto"/>
          <w:sz w:val="24"/>
          <w:szCs w:val="24"/>
          <w:highlight w:val="none"/>
          <w:u w:val="single"/>
          <w:lang w:eastAsia="zh-CN"/>
        </w:rPr>
        <w:t>。</w:t>
      </w:r>
    </w:p>
    <w:p w14:paraId="7134BAEE">
      <w:pPr>
        <w:adjustRightInd w:val="0"/>
        <w:snapToGrid w:val="0"/>
        <w:spacing w:line="360" w:lineRule="auto"/>
        <w:ind w:right="11" w:firstLine="480" w:firstLineChars="200"/>
        <w:rPr>
          <w:rFonts w:hint="default"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具体详见发包人要求。</w:t>
      </w:r>
    </w:p>
    <w:p w14:paraId="68419DB9">
      <w:pPr>
        <w:pStyle w:val="10"/>
        <w:spacing w:line="360" w:lineRule="auto"/>
        <w:jc w:val="both"/>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五、职业健康安全管理目标和环境管理目标</w:t>
      </w:r>
    </w:p>
    <w:p w14:paraId="5B1F1B77">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bCs/>
          <w:snapToGrid w:val="0"/>
          <w:color w:val="auto"/>
          <w:kern w:val="0"/>
          <w:sz w:val="24"/>
          <w:highlight w:val="none"/>
        </w:rPr>
        <w:t>（1）职业健康安全管理目标：</w:t>
      </w:r>
      <w:r>
        <w:rPr>
          <w:rFonts w:hint="eastAsia" w:ascii="宋体" w:hAnsi="宋体" w:eastAsia="宋体" w:cs="宋体"/>
          <w:snapToGrid w:val="0"/>
          <w:color w:val="auto"/>
          <w:kern w:val="0"/>
          <w:sz w:val="24"/>
          <w:highlight w:val="none"/>
        </w:rPr>
        <w:t>杜绝发生一般事故等级及以上的伤亡事故</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且工伤责任事故死亡人数为零。</w:t>
      </w:r>
    </w:p>
    <w:p w14:paraId="1BE9B319">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（2）环境管理目标：</w:t>
      </w:r>
      <w:r>
        <w:rPr>
          <w:rFonts w:hint="eastAsia" w:ascii="宋体" w:hAnsi="宋体" w:eastAsia="宋体" w:cs="宋体"/>
          <w:snapToGrid w:val="0"/>
          <w:color w:val="auto"/>
          <w:kern w:val="0"/>
          <w:sz w:val="24"/>
          <w:highlight w:val="none"/>
        </w:rPr>
        <w:t>严格执行</w:t>
      </w:r>
      <w:r>
        <w:rPr>
          <w:rFonts w:hint="eastAsia" w:ascii="宋体" w:hAnsi="宋体" w:eastAsia="宋体" w:cs="宋体"/>
          <w:bCs/>
          <w:snapToGrid w:val="0"/>
          <w:color w:val="auto"/>
          <w:kern w:val="0"/>
          <w:sz w:val="24"/>
          <w:highlight w:val="none"/>
        </w:rPr>
        <w:t>《广州市建设工程现场文明施工管理办法》（穗建质〔2008〕937号）、《关于进一步规范建设工程施工现场围蔽的通知》（穗建质〔2008〕1008号）、《广州市住房和城乡建设局等8部门关于印发广州市建设工程扬尘防治“6个100%”管理标准图集（V2.0版）的通知》和《广州市住房和城乡建设局等9部门关于印发广州市建设工程绿色施工围蔽指导图集（V2.0版）的通知》（穗建质〔2020〕1号）等。</w:t>
      </w:r>
    </w:p>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14:paraId="3AF1492F">
      <w:pPr>
        <w:adjustRightInd w:val="0"/>
        <w:snapToGrid w:val="0"/>
        <w:spacing w:line="360" w:lineRule="auto"/>
        <w:ind w:right="11" w:firstLine="480"/>
        <w:rPr>
          <w:rFonts w:hint="eastAsia" w:ascii="宋体" w:hAnsi="宋体" w:eastAsia="宋体" w:cs="宋体"/>
          <w:bCs/>
          <w:snapToGrid w:val="0"/>
          <w:color w:val="auto"/>
          <w:kern w:val="0"/>
          <w:sz w:val="24"/>
          <w:highlight w:val="none"/>
          <w:lang w:val="en-US" w:eastAsia="zh-CN"/>
        </w:rPr>
      </w:pPr>
      <w:bookmarkStart w:id="102" w:name="_Toc35083087"/>
      <w:bookmarkStart w:id="103" w:name="_Toc519502243"/>
      <w:bookmarkStart w:id="104" w:name="_Toc520902749"/>
      <w:bookmarkStart w:id="105" w:name="_Toc517774553"/>
      <w:bookmarkStart w:id="106" w:name="_Toc514681175"/>
      <w:bookmarkStart w:id="107" w:name="_Toc520358223"/>
      <w:bookmarkStart w:id="108" w:name="_Toc520358047"/>
      <w:bookmarkStart w:id="109" w:name="_Toc516495969"/>
      <w:bookmarkStart w:id="110" w:name="_Toc514665275"/>
      <w:bookmarkStart w:id="111" w:name="_Toc514664853"/>
      <w:bookmarkStart w:id="112" w:name="_Toc514663851"/>
      <w:bookmarkStart w:id="113" w:name="_Toc518481725"/>
      <w:bookmarkStart w:id="114" w:name="_Toc520902820"/>
      <w:bookmarkStart w:id="115" w:name="_Toc520902598"/>
      <w:bookmarkStart w:id="116" w:name="_Toc517954566"/>
      <w:bookmarkStart w:id="117" w:name="_Toc520901453"/>
      <w:bookmarkStart w:id="118" w:name="_Toc514665136"/>
      <w:bookmarkStart w:id="119" w:name="_Toc514681756"/>
      <w:bookmarkStart w:id="120" w:name="_Toc514666966"/>
      <w:bookmarkStart w:id="121" w:name="_Toc519503073"/>
      <w:r>
        <w:rPr>
          <w:rFonts w:hint="eastAsia" w:ascii="宋体" w:hAnsi="宋体" w:eastAsia="宋体" w:cs="宋体"/>
          <w:bCs/>
          <w:snapToGrid w:val="0"/>
          <w:color w:val="auto"/>
          <w:kern w:val="0"/>
          <w:sz w:val="24"/>
          <w:szCs w:val="20"/>
          <w:highlight w:val="none"/>
          <w:u w:val="none"/>
          <w:lang w:val="en-US" w:eastAsia="zh-CN"/>
        </w:rPr>
        <w:t>具体要求详见附件8</w:t>
      </w:r>
      <w:r>
        <w:rPr>
          <w:rFonts w:hint="eastAsia" w:ascii="宋体" w:hAnsi="宋体" w:eastAsia="宋体" w:cs="宋体"/>
          <w:bCs/>
          <w:snapToGrid w:val="0"/>
          <w:color w:val="auto"/>
          <w:kern w:val="0"/>
          <w:sz w:val="24"/>
          <w:highlight w:val="none"/>
        </w:rPr>
        <w:t>安健环管理协议</w:t>
      </w:r>
      <w:r>
        <w:rPr>
          <w:rFonts w:hint="eastAsia" w:ascii="宋体" w:hAnsi="宋体" w:eastAsia="宋体" w:cs="宋体"/>
          <w:bCs/>
          <w:snapToGrid w:val="0"/>
          <w:color w:val="auto"/>
          <w:kern w:val="0"/>
          <w:sz w:val="24"/>
          <w:highlight w:val="none"/>
          <w:lang w:eastAsia="zh-CN"/>
        </w:rPr>
        <w:t>。</w:t>
      </w:r>
    </w:p>
    <w:p w14:paraId="03FD9216">
      <w:pPr>
        <w:pStyle w:val="10"/>
        <w:spacing w:line="360" w:lineRule="auto"/>
        <w:ind w:left="0" w:firstLine="0"/>
        <w:jc w:val="left"/>
        <w:rPr>
          <w:rFonts w:hint="eastAsia" w:ascii="宋体" w:hAnsi="宋体"/>
          <w:color w:val="auto"/>
          <w:sz w:val="24"/>
          <w:highlight w:val="none"/>
        </w:rPr>
      </w:pPr>
      <w:r>
        <w:rPr>
          <w:rFonts w:hint="eastAsia" w:ascii="宋体" w:hAnsi="宋体"/>
          <w:color w:val="auto"/>
          <w:sz w:val="24"/>
          <w:highlight w:val="none"/>
        </w:rPr>
        <w:t>六、合同价款</w:t>
      </w:r>
      <w:bookmarkEnd w:id="102"/>
    </w:p>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14:paraId="3D771149">
      <w:pPr>
        <w:adjustRightInd w:val="0"/>
        <w:snapToGrid w:val="0"/>
        <w:spacing w:line="360" w:lineRule="auto"/>
        <w:ind w:right="11" w:firstLine="480" w:firstLineChars="200"/>
        <w:rPr>
          <w:rFonts w:hint="eastAsia" w:ascii="宋体" w:hAnsi="宋体" w:eastAsia="宋体" w:cs="宋体"/>
          <w:bCs/>
          <w:snapToGrid w:val="0"/>
          <w:color w:val="auto"/>
          <w:kern w:val="0"/>
          <w:sz w:val="24"/>
          <w:szCs w:val="24"/>
          <w:highlight w:val="none"/>
        </w:rPr>
      </w:pPr>
      <w:bookmarkStart w:id="122" w:name="_Toc35083088"/>
      <w:bookmarkStart w:id="123" w:name="_Toc517774554"/>
      <w:bookmarkStart w:id="124" w:name="_Toc520358048"/>
      <w:bookmarkStart w:id="125" w:name="_Toc516495970"/>
      <w:bookmarkStart w:id="126" w:name="_Toc520902599"/>
      <w:bookmarkStart w:id="127" w:name="_Toc519503074"/>
      <w:bookmarkStart w:id="128" w:name="_Toc514663852"/>
      <w:bookmarkStart w:id="129" w:name="_Toc514664854"/>
      <w:bookmarkStart w:id="130" w:name="_Toc514665276"/>
      <w:bookmarkStart w:id="131" w:name="_Toc514681176"/>
      <w:bookmarkStart w:id="132" w:name="_Toc514665137"/>
      <w:bookmarkStart w:id="133" w:name="_Toc517954567"/>
      <w:bookmarkStart w:id="134" w:name="_Toc519502244"/>
      <w:bookmarkStart w:id="135" w:name="_Toc518481726"/>
      <w:bookmarkStart w:id="136" w:name="_Toc520902750"/>
      <w:bookmarkStart w:id="137" w:name="_Toc520901454"/>
      <w:bookmarkStart w:id="138" w:name="_Toc514666967"/>
      <w:bookmarkStart w:id="139" w:name="_Toc520902821"/>
      <w:bookmarkStart w:id="140" w:name="_Toc520358224"/>
      <w:bookmarkStart w:id="141" w:name="_Toc514681757"/>
      <w:r>
        <w:rPr>
          <w:rFonts w:hint="eastAsia" w:ascii="宋体" w:hAnsi="宋体" w:eastAsia="宋体" w:cs="宋体"/>
          <w:bCs/>
          <w:snapToGrid w:val="0"/>
          <w:color w:val="auto"/>
          <w:kern w:val="0"/>
          <w:sz w:val="24"/>
          <w:szCs w:val="24"/>
          <w:highlight w:val="none"/>
        </w:rPr>
        <w:t>本合同价款暂定总价（含税）为人民币</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u w:val="single"/>
          <w:lang w:val="en-US" w:eastAsia="zh-CN"/>
        </w:rPr>
        <w:t xml:space="preserve">      </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rPr>
        <w:t>（小写：￥</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u w:val="single"/>
          <w:lang w:val="en-US" w:eastAsia="zh-CN"/>
        </w:rPr>
        <w:t xml:space="preserve">     </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rPr>
        <w:t>元），其中：不含税合同价暂定为人民币</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u w:val="single"/>
          <w:lang w:val="en-US" w:eastAsia="zh-CN"/>
        </w:rPr>
        <w:t xml:space="preserve">     </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rPr>
        <w:t>（￥</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u w:val="single"/>
          <w:lang w:val="en-US" w:eastAsia="zh-CN"/>
        </w:rPr>
        <w:t xml:space="preserve">    </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rPr>
        <w:t>元），增值税率为</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u w:val="single"/>
          <w:lang w:val="en-US" w:eastAsia="zh-CN"/>
        </w:rPr>
        <w:t xml:space="preserve"> </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rPr>
        <w:t>%（本合同约定不含税价格不因国家税率变化而变化，若在合同履行期间，国家的税率调整，则价税合计（总价）相应调整，以开具发票的时间为准），本合同价款由以下四部分费用组成：</w:t>
      </w:r>
    </w:p>
    <w:p w14:paraId="58049AAF">
      <w:pPr>
        <w:adjustRightInd w:val="0"/>
        <w:snapToGrid w:val="0"/>
        <w:spacing w:line="360" w:lineRule="auto"/>
        <w:ind w:right="11"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（1）分部分项工程量清单计价汇总合计</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u w:val="single"/>
          <w:lang w:val="en-US" w:eastAsia="zh-CN"/>
        </w:rPr>
        <w:t xml:space="preserve">     </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rPr>
        <w:t>元；</w:t>
      </w:r>
    </w:p>
    <w:p w14:paraId="5CF9BA57">
      <w:pPr>
        <w:adjustRightInd w:val="0"/>
        <w:snapToGrid w:val="0"/>
        <w:spacing w:line="360" w:lineRule="auto"/>
        <w:ind w:right="11"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（2）措施项目清单计价汇总合计</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u w:val="single"/>
          <w:lang w:val="en-US" w:eastAsia="zh-CN"/>
        </w:rPr>
        <w:t xml:space="preserve">     </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rPr>
        <w:t>元，其中，绿色施工安全防护措施费：</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u w:val="single"/>
          <w:lang w:val="en-US" w:eastAsia="zh-CN"/>
        </w:rPr>
        <w:t xml:space="preserve">     </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rPr>
        <w:t>元。</w:t>
      </w:r>
    </w:p>
    <w:p w14:paraId="6B6C9573">
      <w:pPr>
        <w:adjustRightInd w:val="0"/>
        <w:snapToGrid w:val="0"/>
        <w:spacing w:line="360" w:lineRule="auto"/>
        <w:ind w:right="11" w:firstLine="480" w:firstLineChars="200"/>
        <w:rPr>
          <w:rFonts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（3）其他项目清单计价汇总合计</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u w:val="single"/>
          <w:lang w:val="en-US" w:eastAsia="zh-CN"/>
        </w:rPr>
        <w:t xml:space="preserve">     </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rPr>
        <w:t>元，其中，暂列金额</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u w:val="single"/>
          <w:lang w:val="en-US" w:eastAsia="zh-CN"/>
        </w:rPr>
        <w:t xml:space="preserve">    </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rPr>
        <w:t>元。</w:t>
      </w:r>
    </w:p>
    <w:p w14:paraId="6CE77598">
      <w:pPr>
        <w:adjustRightInd w:val="0"/>
        <w:snapToGrid w:val="0"/>
        <w:spacing w:line="360" w:lineRule="auto"/>
        <w:ind w:right="11" w:firstLine="480" w:firstLineChars="200"/>
        <w:rPr>
          <w:rFonts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（4）税金项目计价汇总合计暂定为</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u w:val="single"/>
          <w:lang w:val="en-US" w:eastAsia="zh-CN"/>
        </w:rPr>
        <w:t xml:space="preserve">     </w:t>
      </w:r>
      <w:r>
        <w:rPr>
          <w:rFonts w:hint="eastAsia" w:ascii="宋体" w:hAnsi="宋体" w:eastAsia="宋体" w:cs="宋体"/>
          <w:bCs/>
          <w:snapToGrid w:val="0"/>
          <w:color w:val="auto"/>
          <w:kern w:val="0"/>
          <w:sz w:val="24"/>
          <w:szCs w:val="24"/>
          <w:highlight w:val="none"/>
          <w:u w:val="single"/>
        </w:rPr>
        <w:t>】</w:t>
      </w:r>
      <w:r>
        <w:rPr>
          <w:rFonts w:hint="eastAsia" w:ascii="宋体" w:hAnsi="宋体" w:eastAsia="宋体" w:cs="宋体"/>
          <w:bCs/>
          <w:snapToGrid w:val="0"/>
          <w:color w:val="auto"/>
          <w:kern w:val="0"/>
          <w:sz w:val="24"/>
          <w:szCs w:val="24"/>
          <w:highlight w:val="none"/>
        </w:rPr>
        <w:t>元（税金按政府及税务部门有关规定计算）。</w:t>
      </w:r>
    </w:p>
    <w:p w14:paraId="3997A42B">
      <w:pPr>
        <w:pStyle w:val="10"/>
        <w:spacing w:line="360" w:lineRule="auto"/>
        <w:jc w:val="left"/>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七、组成合同的文件</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3C4E13B4">
      <w:pPr>
        <w:adjustRightInd w:val="0"/>
        <w:snapToGrid w:val="0"/>
        <w:spacing w:line="360" w:lineRule="auto"/>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下列文件应被认为是组成本合同的一部分，并互为补充和解释，如各文件存在冲突之处，以如下排列次序在前者优先适用：</w:t>
      </w:r>
    </w:p>
    <w:p w14:paraId="3EFA4C5B">
      <w:pPr>
        <w:adjustRightInd w:val="0"/>
        <w:snapToGrid w:val="0"/>
        <w:spacing w:line="360" w:lineRule="auto"/>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（1）补充合同（协议）或修正文件</w:t>
      </w:r>
    </w:p>
    <w:p w14:paraId="10F847A0">
      <w:pPr>
        <w:adjustRightInd w:val="0"/>
        <w:snapToGrid w:val="0"/>
        <w:spacing w:line="360" w:lineRule="auto"/>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（2）合同协议书；</w:t>
      </w:r>
    </w:p>
    <w:p w14:paraId="21AB6245">
      <w:pPr>
        <w:adjustRightInd w:val="0"/>
        <w:snapToGrid w:val="0"/>
        <w:spacing w:line="360" w:lineRule="auto"/>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（3）中标通知书；</w:t>
      </w:r>
    </w:p>
    <w:p w14:paraId="0AA5FEC1">
      <w:pPr>
        <w:adjustRightInd w:val="0"/>
        <w:snapToGrid w:val="0"/>
        <w:spacing w:line="360" w:lineRule="auto"/>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（4）合同专用条款；</w:t>
      </w:r>
    </w:p>
    <w:p w14:paraId="5B3BFCBA">
      <w:pPr>
        <w:adjustRightInd w:val="0"/>
        <w:snapToGrid w:val="0"/>
        <w:spacing w:line="360" w:lineRule="auto"/>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（5）承包人投标文件及其附件[含投标文件澄清等，属本条第（7）项内容的除外]；</w:t>
      </w:r>
    </w:p>
    <w:p w14:paraId="76ED85BA">
      <w:pPr>
        <w:adjustRightInd w:val="0"/>
        <w:snapToGrid w:val="0"/>
        <w:spacing w:line="360" w:lineRule="auto"/>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（6）发包人针对本工程管理的各项制度、规定；</w:t>
      </w:r>
    </w:p>
    <w:p w14:paraId="4D0414FF">
      <w:pPr>
        <w:adjustRightInd w:val="0"/>
        <w:snapToGrid w:val="0"/>
        <w:spacing w:line="360" w:lineRule="auto"/>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（7）合同附件[属本条第（1）项和第（6）项内容的除外]；</w:t>
      </w:r>
    </w:p>
    <w:p w14:paraId="4C55DBC2">
      <w:pPr>
        <w:adjustRightInd w:val="0"/>
        <w:snapToGrid w:val="0"/>
        <w:spacing w:line="360" w:lineRule="auto"/>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（8）通用合同条款；</w:t>
      </w:r>
    </w:p>
    <w:p w14:paraId="2E98FA93">
      <w:pPr>
        <w:adjustRightInd w:val="0"/>
        <w:snapToGrid w:val="0"/>
        <w:spacing w:line="360" w:lineRule="auto"/>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（9）招标文件[含招标文件补充文件、澄清文件、答疑文件、招标图等，属本条第（7）项内容的除外]；</w:t>
      </w:r>
    </w:p>
    <w:p w14:paraId="045C057E">
      <w:pPr>
        <w:adjustRightInd w:val="0"/>
        <w:snapToGrid w:val="0"/>
        <w:spacing w:line="360" w:lineRule="auto"/>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（10）相关政府主管部门关于本工程的有关文件；</w:t>
      </w:r>
    </w:p>
    <w:p w14:paraId="3736AFBE">
      <w:pPr>
        <w:adjustRightInd w:val="0"/>
        <w:snapToGrid w:val="0"/>
        <w:spacing w:line="360" w:lineRule="auto"/>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（11）国家及广东省、广州市的标准、规范及有关技术文件及其不时更新；</w:t>
      </w:r>
    </w:p>
    <w:p w14:paraId="24659AA1">
      <w:pPr>
        <w:adjustRightInd w:val="0"/>
        <w:snapToGrid w:val="0"/>
        <w:spacing w:line="360" w:lineRule="auto"/>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（12）组成合同的其他文件。</w:t>
      </w:r>
    </w:p>
    <w:p w14:paraId="5505F949">
      <w:pPr>
        <w:adjustRightInd w:val="0"/>
        <w:snapToGrid w:val="0"/>
        <w:spacing w:line="360" w:lineRule="auto"/>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上述各项合同文件包括合同当事人就该项合同文件所作出的补充和修改，属于同一类内容的文件，应以最新签署的为准。</w:t>
      </w:r>
    </w:p>
    <w:p w14:paraId="6DED3C22">
      <w:pPr>
        <w:pStyle w:val="10"/>
        <w:spacing w:line="360" w:lineRule="auto"/>
        <w:jc w:val="left"/>
        <w:rPr>
          <w:rFonts w:hint="eastAsia" w:ascii="宋体" w:hAnsi="宋体"/>
          <w:snapToGrid w:val="0"/>
          <w:color w:val="auto"/>
          <w:kern w:val="0"/>
          <w:sz w:val="24"/>
          <w:szCs w:val="24"/>
          <w:highlight w:val="none"/>
        </w:rPr>
      </w:pPr>
      <w:bookmarkStart w:id="142" w:name="_Toc520902600"/>
      <w:bookmarkStart w:id="143" w:name="_Toc516495971"/>
      <w:bookmarkStart w:id="144" w:name="_Toc519502245"/>
      <w:bookmarkStart w:id="145" w:name="_Toc520902822"/>
      <w:bookmarkStart w:id="146" w:name="_Toc520902751"/>
      <w:bookmarkStart w:id="147" w:name="_Toc514666968"/>
      <w:bookmarkStart w:id="148" w:name="_Toc520358049"/>
      <w:bookmarkStart w:id="149" w:name="_Toc514664855"/>
      <w:bookmarkStart w:id="150" w:name="_Toc514681177"/>
      <w:bookmarkStart w:id="151" w:name="_Toc520901455"/>
      <w:bookmarkStart w:id="152" w:name="_Toc35083089"/>
      <w:bookmarkStart w:id="153" w:name="_Toc520358225"/>
      <w:bookmarkStart w:id="154" w:name="_Toc519503075"/>
      <w:bookmarkStart w:id="155" w:name="_Toc514663853"/>
      <w:bookmarkStart w:id="156" w:name="_Toc514681758"/>
      <w:bookmarkStart w:id="157" w:name="_Toc518481727"/>
      <w:bookmarkStart w:id="158" w:name="_Toc514665277"/>
      <w:bookmarkStart w:id="159" w:name="_Toc517774555"/>
      <w:bookmarkStart w:id="160" w:name="_Toc514665138"/>
      <w:bookmarkStart w:id="161" w:name="_Toc517954568"/>
      <w:r>
        <w:rPr>
          <w:rFonts w:hint="eastAsia" w:ascii="宋体" w:hAnsi="宋体"/>
          <w:snapToGrid w:val="0"/>
          <w:color w:val="auto"/>
          <w:kern w:val="0"/>
          <w:sz w:val="24"/>
          <w:szCs w:val="24"/>
          <w:highlight w:val="none"/>
        </w:rPr>
        <w:t>八、承诺</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270DDDCB">
      <w:pPr>
        <w:adjustRightInd w:val="0"/>
        <w:snapToGrid w:val="0"/>
        <w:spacing w:line="360" w:lineRule="auto"/>
        <w:ind w:right="11"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8.1承包人应在收到中标通知书之日起5日内以书面形式向发包人提交其法定代表人、本工程项目经理（项目负责人）的姓名、身份证复印件、职务、职称、联系方式（包括办公电话、手机、传真号码、邮箱）、通信地址等信息。</w:t>
      </w:r>
    </w:p>
    <w:p w14:paraId="4C65ACB7">
      <w:pPr>
        <w:adjustRightInd w:val="0"/>
        <w:snapToGrid w:val="0"/>
        <w:spacing w:line="360" w:lineRule="auto"/>
        <w:ind w:right="11"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8.2在本合同有效期内，承包人的单位名称变更的，应在变更之日起7日内以书面形式通知发包人并附上变更登记资料；法定代表人变更的，应在变更前15日内向发包人以书面形式提交新法定代表人的姓名、身份证复印件、职务、职称、联系电话、通信地址等信息。</w:t>
      </w:r>
    </w:p>
    <w:p w14:paraId="4D3DDF91">
      <w:pPr>
        <w:adjustRightInd w:val="0"/>
        <w:snapToGrid w:val="0"/>
        <w:spacing w:line="360" w:lineRule="auto"/>
        <w:ind w:right="11"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8.3在本合同有效期内，承包人更换本工程项目经理（项目负责人）的，应提前将新项目经理（项目负责人）的姓名、职务、职称、联系电话、通信地址等信息提交给发包人，并经发包人书面同意。但发包人的同意并不免除承包人按合同条款的有关约定应承担的违约责任。</w:t>
      </w:r>
    </w:p>
    <w:p w14:paraId="1574107B">
      <w:pPr>
        <w:adjustRightInd w:val="0"/>
        <w:snapToGrid w:val="0"/>
        <w:spacing w:line="360" w:lineRule="auto"/>
        <w:ind w:right="11" w:firstLine="480"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8.4承包人应投入足够且合格的人员并配备足够的设备，确保及时准确地与发包人进行信息沟通及管理。</w:t>
      </w:r>
    </w:p>
    <w:p w14:paraId="69436EEB">
      <w:pPr>
        <w:adjustRightInd w:val="0"/>
        <w:snapToGrid w:val="0"/>
        <w:spacing w:line="360" w:lineRule="auto"/>
        <w:ind w:right="11"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8.5合同协议书中有关词语含义与合同通用条款、合同专用条款中分别赋予它们的定义相同。</w:t>
      </w:r>
    </w:p>
    <w:p w14:paraId="2FFAC005">
      <w:pPr>
        <w:adjustRightInd w:val="0"/>
        <w:snapToGrid w:val="0"/>
        <w:spacing w:line="360" w:lineRule="auto"/>
        <w:ind w:right="11"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8.6承包人向发包人承诺按照合同约定进行采购、施工、竣工验收、移交、结算、管理及配合服务，并在质量保修期内承担工程质量保修责任。</w:t>
      </w:r>
    </w:p>
    <w:p w14:paraId="7E22DAF3">
      <w:pPr>
        <w:adjustRightInd w:val="0"/>
        <w:snapToGrid w:val="0"/>
        <w:spacing w:line="360" w:lineRule="auto"/>
        <w:ind w:right="11"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8.7发包人向承包人承诺按照合同约定的期限和方式支付合同价款及按合同约定应支付的其他款项。</w:t>
      </w:r>
    </w:p>
    <w:p w14:paraId="3720356E">
      <w:pPr>
        <w:pStyle w:val="10"/>
        <w:spacing w:line="360" w:lineRule="auto"/>
        <w:jc w:val="left"/>
        <w:rPr>
          <w:rFonts w:hint="eastAsia" w:ascii="宋体" w:hAnsi="宋体"/>
          <w:snapToGrid w:val="0"/>
          <w:color w:val="auto"/>
          <w:kern w:val="0"/>
          <w:sz w:val="24"/>
          <w:szCs w:val="24"/>
          <w:highlight w:val="none"/>
        </w:rPr>
      </w:pPr>
      <w:bookmarkStart w:id="162" w:name="_Toc514681178"/>
      <w:bookmarkStart w:id="163" w:name="_Toc520902823"/>
      <w:bookmarkStart w:id="164" w:name="_Toc35083091"/>
      <w:bookmarkStart w:id="165" w:name="_Toc514681759"/>
      <w:bookmarkStart w:id="166" w:name="_Toc517954569"/>
      <w:bookmarkStart w:id="167" w:name="_Toc514664856"/>
      <w:bookmarkStart w:id="168" w:name="_Toc520358226"/>
      <w:bookmarkStart w:id="169" w:name="_Toc514663854"/>
      <w:bookmarkStart w:id="170" w:name="_Toc520902752"/>
      <w:bookmarkStart w:id="171" w:name="_Toc516495972"/>
      <w:bookmarkStart w:id="172" w:name="_Toc518481728"/>
      <w:bookmarkStart w:id="173" w:name="_Toc520901456"/>
      <w:bookmarkStart w:id="174" w:name="_Toc514665278"/>
      <w:bookmarkStart w:id="175" w:name="_Toc517774556"/>
      <w:bookmarkStart w:id="176" w:name="_Toc514666969"/>
      <w:bookmarkStart w:id="177" w:name="_Toc514665139"/>
      <w:bookmarkStart w:id="178" w:name="_Toc519503076"/>
      <w:bookmarkStart w:id="179" w:name="_Toc520902601"/>
      <w:bookmarkStart w:id="180" w:name="_Toc519502246"/>
      <w:bookmarkStart w:id="181" w:name="_Toc520358050"/>
      <w:r>
        <w:rPr>
          <w:rFonts w:hint="eastAsia" w:ascii="宋体" w:hAnsi="宋体"/>
          <w:snapToGrid w:val="0"/>
          <w:color w:val="auto"/>
          <w:kern w:val="0"/>
          <w:sz w:val="24"/>
          <w:szCs w:val="24"/>
          <w:highlight w:val="none"/>
        </w:rPr>
        <w:t>九、合同生效</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3AC87A45">
      <w:pPr>
        <w:pStyle w:val="12"/>
        <w:spacing w:line="360" w:lineRule="auto"/>
        <w:rPr>
          <w:rFonts w:hint="eastAsia" w:ascii="宋体" w:hAnsi="宋体" w:cs="宋体"/>
          <w:color w:val="auto"/>
          <w:sz w:val="24"/>
          <w:szCs w:val="24"/>
          <w:highlight w:val="none"/>
        </w:rPr>
      </w:pPr>
      <w:r>
        <w:rPr>
          <w:rFonts w:hint="eastAsia" w:ascii="宋体" w:hAnsi="宋体" w:cs="宋体"/>
          <w:bCs/>
          <w:color w:val="auto"/>
          <w:sz w:val="24"/>
          <w:szCs w:val="24"/>
          <w:highlight w:val="none"/>
        </w:rPr>
        <w:t>本合同自双方法定代表人或授权代表签字盖章（公章或合同专用章）之日起生效。</w:t>
      </w:r>
      <w:r>
        <w:rPr>
          <w:rFonts w:hint="eastAsia" w:ascii="宋体" w:hAnsi="宋体" w:cs="宋体"/>
          <w:color w:val="auto"/>
          <w:sz w:val="24"/>
          <w:szCs w:val="24"/>
          <w:highlight w:val="none"/>
        </w:rPr>
        <w:t>承包人履行完毕本合同项下全部合同义务（含工程质量保修义务）且发包人按合同约定支付完成合同款项后本合同即终止。本合同终止后，不影响本合同中保密条款、争议解决条款和其他适用条款的效力。</w:t>
      </w:r>
      <w:bookmarkStart w:id="182" w:name="OLE_LINK15"/>
      <w:bookmarkStart w:id="183" w:name="OLE_LINK16"/>
    </w:p>
    <w:p w14:paraId="01988620">
      <w:pPr>
        <w:pStyle w:val="12"/>
        <w:spacing w:line="360" w:lineRule="auto"/>
        <w:rPr>
          <w:rFonts w:hint="eastAsia" w:ascii="宋体" w:hAnsi="宋体" w:cs="宋体"/>
          <w:bCs/>
          <w:snapToGrid w:val="0"/>
          <w:color w:val="auto"/>
          <w:kern w:val="0"/>
          <w:sz w:val="24"/>
          <w:szCs w:val="24"/>
          <w:highlight w:val="none"/>
        </w:rPr>
      </w:pPr>
      <w:r>
        <w:rPr>
          <w:rFonts w:hint="eastAsia" w:ascii="宋体" w:hAnsi="宋体" w:cs="宋体"/>
          <w:color w:val="auto"/>
          <w:sz w:val="24"/>
          <w:szCs w:val="24"/>
          <w:highlight w:val="none"/>
        </w:rPr>
        <w:t>合同执行过程中出现的未尽事宜，双方在不违背合同和谈判文件的前提下协商解决。双方应根据协商结果签署补充协议，补充协议与合同具有同等效力。其中一方不得随意变更</w:t>
      </w:r>
      <w:bookmarkEnd w:id="182"/>
      <w:bookmarkEnd w:id="183"/>
      <w:r>
        <w:rPr>
          <w:rFonts w:hint="eastAsia" w:ascii="宋体" w:hAnsi="宋体" w:cs="宋体"/>
          <w:color w:val="auto"/>
          <w:sz w:val="24"/>
          <w:szCs w:val="24"/>
          <w:highlight w:val="none"/>
        </w:rPr>
        <w:t>。</w:t>
      </w:r>
    </w:p>
    <w:p w14:paraId="3FA03E56">
      <w:pPr>
        <w:pStyle w:val="10"/>
        <w:spacing w:line="360" w:lineRule="auto"/>
        <w:jc w:val="left"/>
        <w:rPr>
          <w:rFonts w:hint="eastAsia" w:ascii="宋体" w:hAnsi="宋体"/>
          <w:snapToGrid w:val="0"/>
          <w:color w:val="auto"/>
          <w:kern w:val="0"/>
          <w:sz w:val="24"/>
          <w:szCs w:val="24"/>
          <w:highlight w:val="none"/>
        </w:rPr>
      </w:pPr>
      <w:bookmarkStart w:id="184" w:name="_Toc517954570"/>
      <w:bookmarkStart w:id="185" w:name="_Toc514665140"/>
      <w:bookmarkStart w:id="186" w:name="_Toc35083092"/>
      <w:bookmarkStart w:id="187" w:name="_Toc514681760"/>
      <w:bookmarkStart w:id="188" w:name="_Toc520901457"/>
      <w:bookmarkStart w:id="189" w:name="_Toc518481729"/>
      <w:bookmarkStart w:id="190" w:name="_Toc514664857"/>
      <w:bookmarkStart w:id="191" w:name="_Toc520902824"/>
      <w:bookmarkStart w:id="192" w:name="_Toc520902602"/>
      <w:bookmarkStart w:id="193" w:name="_Toc520902753"/>
      <w:bookmarkStart w:id="194" w:name="_Toc520358051"/>
      <w:bookmarkStart w:id="195" w:name="_Toc519503077"/>
      <w:bookmarkStart w:id="196" w:name="_Toc520358227"/>
      <w:bookmarkStart w:id="197" w:name="_Toc517774557"/>
      <w:bookmarkStart w:id="198" w:name="_Toc516495973"/>
      <w:bookmarkStart w:id="199" w:name="_Toc514665279"/>
      <w:bookmarkStart w:id="200" w:name="_Toc514681179"/>
      <w:bookmarkStart w:id="201" w:name="_Toc519502247"/>
      <w:bookmarkStart w:id="202" w:name="_Toc514666970"/>
      <w:bookmarkStart w:id="203" w:name="_Toc514663855"/>
      <w:r>
        <w:rPr>
          <w:rFonts w:hint="eastAsia" w:ascii="宋体" w:hAnsi="宋体"/>
          <w:snapToGrid w:val="0"/>
          <w:color w:val="auto"/>
          <w:kern w:val="0"/>
          <w:sz w:val="24"/>
          <w:szCs w:val="24"/>
          <w:highlight w:val="none"/>
        </w:rPr>
        <w:t>十、合同份数</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3A7D3715">
      <w:pPr>
        <w:adjustRightInd w:val="0"/>
        <w:snapToGrid w:val="0"/>
        <w:spacing w:line="360" w:lineRule="auto"/>
        <w:ind w:left="105" w:leftChars="50" w:right="11" w:firstLine="360" w:firstLineChars="15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本合同一式</w:t>
      </w:r>
      <w:r>
        <w:rPr>
          <w:rFonts w:hint="eastAsia" w:ascii="宋体" w:hAnsi="宋体" w:eastAsia="宋体" w:cs="宋体"/>
          <w:bCs/>
          <w:snapToGrid w:val="0"/>
          <w:color w:val="auto"/>
          <w:kern w:val="0"/>
          <w:sz w:val="24"/>
          <w:szCs w:val="24"/>
          <w:highlight w:val="none"/>
          <w:u w:val="single"/>
          <w:lang w:eastAsia="zh-CN"/>
        </w:rPr>
        <w:t>【</w:t>
      </w:r>
      <w:r>
        <w:rPr>
          <w:rFonts w:hint="eastAsia" w:ascii="宋体" w:hAnsi="宋体" w:eastAsia="宋体" w:cs="宋体"/>
          <w:bCs/>
          <w:snapToGrid w:val="0"/>
          <w:color w:val="auto"/>
          <w:kern w:val="0"/>
          <w:sz w:val="24"/>
          <w:szCs w:val="24"/>
          <w:highlight w:val="none"/>
          <w:u w:val="single"/>
          <w:lang w:val="en-US" w:eastAsia="zh-CN"/>
        </w:rPr>
        <w:t>肆</w:t>
      </w:r>
      <w:r>
        <w:rPr>
          <w:rFonts w:hint="eastAsia" w:ascii="宋体" w:hAnsi="宋体" w:eastAsia="宋体" w:cs="宋体"/>
          <w:bCs/>
          <w:snapToGrid w:val="0"/>
          <w:color w:val="auto"/>
          <w:kern w:val="0"/>
          <w:sz w:val="24"/>
          <w:szCs w:val="24"/>
          <w:highlight w:val="none"/>
          <w:u w:val="single"/>
          <w:lang w:eastAsia="zh-CN"/>
        </w:rPr>
        <w:t>】</w:t>
      </w:r>
      <w:r>
        <w:rPr>
          <w:rFonts w:hint="eastAsia" w:ascii="宋体" w:hAnsi="宋体" w:eastAsia="宋体" w:cs="宋体"/>
          <w:bCs/>
          <w:snapToGrid w:val="0"/>
          <w:color w:val="auto"/>
          <w:kern w:val="0"/>
          <w:sz w:val="24"/>
          <w:szCs w:val="24"/>
          <w:highlight w:val="none"/>
        </w:rPr>
        <w:t>份，双方各执</w:t>
      </w:r>
      <w:r>
        <w:rPr>
          <w:rFonts w:hint="eastAsia" w:ascii="宋体" w:hAnsi="宋体" w:eastAsia="宋体" w:cs="宋体"/>
          <w:bCs/>
          <w:snapToGrid w:val="0"/>
          <w:color w:val="auto"/>
          <w:kern w:val="0"/>
          <w:sz w:val="24"/>
          <w:szCs w:val="24"/>
          <w:highlight w:val="none"/>
          <w:u w:val="single"/>
          <w:lang w:eastAsia="zh-CN"/>
        </w:rPr>
        <w:t>【</w:t>
      </w:r>
      <w:r>
        <w:rPr>
          <w:rFonts w:hint="eastAsia" w:ascii="宋体" w:hAnsi="宋体" w:eastAsia="宋体" w:cs="宋体"/>
          <w:bCs/>
          <w:snapToGrid w:val="0"/>
          <w:color w:val="auto"/>
          <w:kern w:val="0"/>
          <w:sz w:val="24"/>
          <w:szCs w:val="24"/>
          <w:highlight w:val="none"/>
          <w:u w:val="single"/>
          <w:lang w:val="en-US" w:eastAsia="zh-CN"/>
        </w:rPr>
        <w:t>贰</w:t>
      </w:r>
      <w:r>
        <w:rPr>
          <w:rFonts w:hint="eastAsia" w:ascii="宋体" w:hAnsi="宋体" w:eastAsia="宋体" w:cs="宋体"/>
          <w:bCs/>
          <w:snapToGrid w:val="0"/>
          <w:color w:val="auto"/>
          <w:kern w:val="0"/>
          <w:sz w:val="24"/>
          <w:szCs w:val="24"/>
          <w:highlight w:val="none"/>
          <w:u w:val="single"/>
          <w:lang w:eastAsia="zh-CN"/>
        </w:rPr>
        <w:t>】</w:t>
      </w:r>
      <w:r>
        <w:rPr>
          <w:rFonts w:hint="eastAsia" w:ascii="宋体" w:hAnsi="宋体" w:eastAsia="宋体" w:cs="宋体"/>
          <w:bCs/>
          <w:snapToGrid w:val="0"/>
          <w:color w:val="auto"/>
          <w:kern w:val="0"/>
          <w:sz w:val="24"/>
          <w:szCs w:val="24"/>
          <w:highlight w:val="none"/>
        </w:rPr>
        <w:t>份。</w:t>
      </w:r>
      <w:bookmarkStart w:id="204" w:name="_Toc514666971"/>
      <w:bookmarkStart w:id="205" w:name="_Toc516495974"/>
      <w:bookmarkStart w:id="206" w:name="_Toc514681180"/>
      <w:bookmarkStart w:id="207" w:name="_Toc514664858"/>
      <w:bookmarkStart w:id="208" w:name="_Toc122759215"/>
      <w:bookmarkStart w:id="209" w:name="_Toc514665280"/>
      <w:bookmarkStart w:id="210" w:name="_Toc519503078"/>
      <w:bookmarkStart w:id="211" w:name="_Toc35083093"/>
      <w:bookmarkStart w:id="212" w:name="_Toc520902603"/>
      <w:bookmarkStart w:id="213" w:name="_Toc514665141"/>
      <w:bookmarkStart w:id="214" w:name="_Toc520902754"/>
      <w:bookmarkStart w:id="215" w:name="_Toc519502248"/>
      <w:bookmarkStart w:id="216" w:name="_Toc514663856"/>
      <w:bookmarkStart w:id="217" w:name="_Toc520902825"/>
      <w:bookmarkStart w:id="218" w:name="_Toc114119682"/>
      <w:bookmarkStart w:id="219" w:name="_Toc518481730"/>
      <w:bookmarkStart w:id="220" w:name="_Toc520358228"/>
      <w:bookmarkStart w:id="221" w:name="_Toc115711030"/>
      <w:bookmarkStart w:id="222" w:name="_Toc517774558"/>
      <w:bookmarkStart w:id="223" w:name="_Toc82141021"/>
      <w:bookmarkStart w:id="224" w:name="_Toc520901458"/>
      <w:bookmarkStart w:id="225" w:name="_Toc517954571"/>
      <w:bookmarkStart w:id="226" w:name="_Toc520358052"/>
      <w:bookmarkStart w:id="227" w:name="_Toc514681761"/>
    </w:p>
    <w:p w14:paraId="5748DFC6">
      <w:pPr>
        <w:adjustRightInd w:val="0"/>
        <w:snapToGrid w:val="0"/>
        <w:spacing w:line="360" w:lineRule="auto"/>
        <w:ind w:left="105" w:leftChars="50" w:right="11" w:firstLine="360" w:firstLineChars="150"/>
        <w:rPr>
          <w:rFonts w:hint="eastAsia" w:ascii="宋体" w:hAnsi="宋体" w:eastAsia="宋体" w:cs="宋体"/>
          <w:bCs/>
          <w:snapToGrid w:val="0"/>
          <w:color w:val="auto"/>
          <w:kern w:val="0"/>
          <w:sz w:val="24"/>
          <w:szCs w:val="24"/>
          <w:highlight w:val="none"/>
        </w:rPr>
      </w:pPr>
    </w:p>
    <w:tbl>
      <w:tblPr>
        <w:tblStyle w:val="77"/>
        <w:tblW w:w="9395" w:type="dxa"/>
        <w:tblInd w:w="0" w:type="dxa"/>
        <w:tblLayout w:type="fixed"/>
        <w:tblCellMar>
          <w:top w:w="0" w:type="dxa"/>
          <w:left w:w="108" w:type="dxa"/>
          <w:bottom w:w="0" w:type="dxa"/>
          <w:right w:w="108" w:type="dxa"/>
        </w:tblCellMar>
      </w:tblPr>
      <w:tblGrid>
        <w:gridCol w:w="4697"/>
        <w:gridCol w:w="4698"/>
      </w:tblGrid>
      <w:tr w14:paraId="271E29BC">
        <w:tblPrEx>
          <w:tblCellMar>
            <w:top w:w="0" w:type="dxa"/>
            <w:left w:w="108" w:type="dxa"/>
            <w:bottom w:w="0" w:type="dxa"/>
            <w:right w:w="108" w:type="dxa"/>
          </w:tblCellMar>
        </w:tblPrEx>
        <w:trPr>
          <w:trHeight w:val="5713" w:hRule="atLeast"/>
        </w:trPr>
        <w:tc>
          <w:tcPr>
            <w:tcW w:w="4697" w:type="dxa"/>
            <w:noWrap w:val="0"/>
            <w:vAlign w:val="top"/>
          </w:tcPr>
          <w:p w14:paraId="2BB7D473">
            <w:pPr>
              <w:pStyle w:val="630"/>
              <w:tabs>
                <w:tab w:val="left" w:pos="3420"/>
                <w:tab w:val="left" w:pos="3600"/>
              </w:tabs>
              <w:spacing w:line="360" w:lineRule="auto"/>
              <w:rPr>
                <w:rFonts w:hint="eastAsia" w:ascii="宋体" w:hAnsi="宋体"/>
                <w:color w:val="auto"/>
                <w:sz w:val="24"/>
                <w:highlight w:val="none"/>
              </w:rPr>
            </w:pPr>
            <w:r>
              <w:rPr>
                <w:rFonts w:hint="eastAsia" w:ascii="宋体" w:hAnsi="宋体" w:cs="宋体"/>
                <w:color w:val="auto"/>
                <w:sz w:val="24"/>
                <w:highlight w:val="none"/>
              </w:rPr>
              <w:br w:type="page"/>
            </w:r>
            <w:r>
              <w:rPr>
                <w:rFonts w:hint="eastAsia" w:ascii="宋体" w:hAnsi="宋体"/>
                <w:color w:val="auto"/>
                <w:sz w:val="24"/>
                <w:highlight w:val="none"/>
              </w:rPr>
              <w:t>发包人：（盖章）</w:t>
            </w:r>
          </w:p>
          <w:p w14:paraId="5E3C91A7">
            <w:pPr>
              <w:pStyle w:val="630"/>
              <w:tabs>
                <w:tab w:val="left" w:pos="3420"/>
                <w:tab w:val="left" w:pos="3600"/>
              </w:tabs>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广州机场新能源有限公司</w:t>
            </w:r>
          </w:p>
          <w:p w14:paraId="1AE39D74">
            <w:pPr>
              <w:pStyle w:val="630"/>
              <w:tabs>
                <w:tab w:val="left" w:pos="3420"/>
                <w:tab w:val="left" w:pos="3600"/>
              </w:tabs>
              <w:spacing w:line="360" w:lineRule="auto"/>
              <w:rPr>
                <w:rFonts w:hint="eastAsia" w:ascii="宋体" w:hAnsi="宋体"/>
                <w:color w:val="auto"/>
                <w:sz w:val="24"/>
                <w:highlight w:val="none"/>
              </w:rPr>
            </w:pPr>
            <w:r>
              <w:rPr>
                <w:rFonts w:hint="eastAsia" w:ascii="宋体" w:hAnsi="宋体"/>
                <w:color w:val="auto"/>
                <w:sz w:val="24"/>
                <w:highlight w:val="none"/>
              </w:rPr>
              <w:t>统一社会信用代码：</w:t>
            </w:r>
          </w:p>
          <w:p w14:paraId="146F17E6">
            <w:pPr>
              <w:pStyle w:val="630"/>
              <w:tabs>
                <w:tab w:val="left" w:pos="3420"/>
                <w:tab w:val="left" w:pos="3600"/>
              </w:tabs>
              <w:spacing w:line="360" w:lineRule="auto"/>
              <w:rPr>
                <w:rFonts w:hint="eastAsia" w:ascii="宋体" w:hAnsi="宋体"/>
                <w:color w:val="auto"/>
                <w:sz w:val="24"/>
                <w:highlight w:val="none"/>
              </w:rPr>
            </w:pPr>
            <w:r>
              <w:rPr>
                <w:rFonts w:hint="eastAsia" w:ascii="宋体" w:hAnsi="宋体"/>
                <w:color w:val="auto"/>
                <w:sz w:val="24"/>
                <w:highlight w:val="none"/>
              </w:rPr>
              <w:t>地址：</w:t>
            </w:r>
          </w:p>
          <w:p w14:paraId="01BD037C">
            <w:pPr>
              <w:pStyle w:val="630"/>
              <w:tabs>
                <w:tab w:val="left" w:pos="3420"/>
                <w:tab w:val="left" w:pos="3600"/>
              </w:tabs>
              <w:spacing w:line="360" w:lineRule="auto"/>
              <w:rPr>
                <w:rFonts w:hint="eastAsia" w:ascii="宋体" w:hAnsi="宋体"/>
                <w:color w:val="auto"/>
                <w:sz w:val="24"/>
                <w:highlight w:val="none"/>
              </w:rPr>
            </w:pPr>
          </w:p>
          <w:p w14:paraId="3B54F20C">
            <w:pPr>
              <w:pStyle w:val="630"/>
              <w:tabs>
                <w:tab w:val="left" w:pos="3420"/>
                <w:tab w:val="left" w:pos="3600"/>
              </w:tabs>
              <w:spacing w:line="360" w:lineRule="auto"/>
              <w:rPr>
                <w:rFonts w:hint="eastAsia" w:ascii="宋体" w:hAnsi="宋体"/>
                <w:color w:val="auto"/>
                <w:sz w:val="24"/>
                <w:highlight w:val="none"/>
              </w:rPr>
            </w:pPr>
            <w:r>
              <w:rPr>
                <w:rFonts w:hint="eastAsia" w:ascii="宋体" w:hAnsi="宋体"/>
                <w:color w:val="auto"/>
                <w:sz w:val="24"/>
                <w:highlight w:val="none"/>
              </w:rPr>
              <w:t>法定代表人：</w:t>
            </w:r>
          </w:p>
          <w:p w14:paraId="2558840D">
            <w:pPr>
              <w:pStyle w:val="630"/>
              <w:tabs>
                <w:tab w:val="left" w:pos="3420"/>
                <w:tab w:val="left" w:pos="3600"/>
              </w:tabs>
              <w:spacing w:line="360" w:lineRule="auto"/>
              <w:rPr>
                <w:rFonts w:hint="eastAsia" w:ascii="宋体" w:hAnsi="宋体"/>
                <w:color w:val="auto"/>
                <w:sz w:val="24"/>
                <w:highlight w:val="none"/>
              </w:rPr>
            </w:pPr>
            <w:r>
              <w:rPr>
                <w:rFonts w:hint="eastAsia" w:ascii="宋体" w:hAnsi="宋体"/>
                <w:color w:val="auto"/>
                <w:sz w:val="24"/>
                <w:highlight w:val="none"/>
              </w:rPr>
              <w:t>或授权代表：</w:t>
            </w:r>
          </w:p>
          <w:p w14:paraId="5D10A1D9">
            <w:pPr>
              <w:pStyle w:val="630"/>
              <w:tabs>
                <w:tab w:val="left" w:pos="3420"/>
                <w:tab w:val="left" w:pos="3600"/>
              </w:tabs>
              <w:spacing w:line="360" w:lineRule="auto"/>
              <w:rPr>
                <w:rFonts w:hint="eastAsia" w:ascii="宋体" w:hAnsi="宋体"/>
                <w:color w:val="auto"/>
                <w:sz w:val="24"/>
                <w:highlight w:val="none"/>
              </w:rPr>
            </w:pPr>
            <w:r>
              <w:rPr>
                <w:rFonts w:hint="eastAsia" w:ascii="宋体" w:hAnsi="宋体"/>
                <w:color w:val="auto"/>
                <w:sz w:val="24"/>
                <w:highlight w:val="none"/>
              </w:rPr>
              <w:t>联系人：</w:t>
            </w:r>
          </w:p>
          <w:p w14:paraId="1A53588B">
            <w:pPr>
              <w:pStyle w:val="630"/>
              <w:tabs>
                <w:tab w:val="left" w:pos="3420"/>
                <w:tab w:val="left" w:pos="3600"/>
              </w:tabs>
              <w:spacing w:line="360" w:lineRule="auto"/>
              <w:rPr>
                <w:rFonts w:hint="eastAsia" w:ascii="宋体" w:hAnsi="宋体"/>
                <w:color w:val="auto"/>
                <w:sz w:val="24"/>
                <w:highlight w:val="none"/>
              </w:rPr>
            </w:pPr>
            <w:r>
              <w:rPr>
                <w:rFonts w:hint="eastAsia" w:ascii="宋体" w:hAnsi="宋体"/>
                <w:color w:val="auto"/>
                <w:sz w:val="24"/>
                <w:highlight w:val="none"/>
              </w:rPr>
              <w:t>电话：</w:t>
            </w:r>
          </w:p>
          <w:p w14:paraId="4AB14890">
            <w:pPr>
              <w:pStyle w:val="630"/>
              <w:tabs>
                <w:tab w:val="left" w:pos="3420"/>
                <w:tab w:val="left" w:pos="3600"/>
              </w:tabs>
              <w:spacing w:line="360" w:lineRule="auto"/>
              <w:rPr>
                <w:rFonts w:hint="eastAsia" w:ascii="宋体" w:hAnsi="宋体"/>
                <w:color w:val="auto"/>
                <w:sz w:val="24"/>
                <w:highlight w:val="none"/>
              </w:rPr>
            </w:pPr>
            <w:r>
              <w:rPr>
                <w:rFonts w:hint="eastAsia" w:ascii="宋体" w:hAnsi="宋体"/>
                <w:color w:val="auto"/>
                <w:sz w:val="24"/>
                <w:highlight w:val="none"/>
              </w:rPr>
              <w:t>传真：</w:t>
            </w:r>
          </w:p>
          <w:p w14:paraId="6C88BFEE">
            <w:pPr>
              <w:pStyle w:val="631"/>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开户银行：</w:t>
            </w:r>
          </w:p>
          <w:p w14:paraId="65480846">
            <w:pPr>
              <w:pStyle w:val="630"/>
              <w:tabs>
                <w:tab w:val="left" w:pos="3420"/>
                <w:tab w:val="left" w:pos="3600"/>
              </w:tabs>
              <w:spacing w:line="360" w:lineRule="auto"/>
              <w:rPr>
                <w:rFonts w:hint="eastAsia" w:ascii="宋体" w:hAnsi="宋体"/>
                <w:color w:val="auto"/>
                <w:sz w:val="24"/>
                <w:highlight w:val="none"/>
              </w:rPr>
            </w:pPr>
            <w:r>
              <w:rPr>
                <w:rFonts w:hint="eastAsia" w:ascii="宋体" w:hAnsi="宋体"/>
                <w:color w:val="auto"/>
                <w:sz w:val="24"/>
                <w:highlight w:val="none"/>
              </w:rPr>
              <w:t>账号：</w:t>
            </w:r>
          </w:p>
          <w:p w14:paraId="714A8E32">
            <w:pPr>
              <w:pStyle w:val="630"/>
              <w:tabs>
                <w:tab w:val="left" w:pos="3420"/>
                <w:tab w:val="left" w:pos="3600"/>
              </w:tabs>
              <w:spacing w:line="360" w:lineRule="auto"/>
              <w:rPr>
                <w:rFonts w:hint="eastAsia" w:ascii="宋体" w:hAnsi="宋体"/>
                <w:color w:val="auto"/>
                <w:sz w:val="24"/>
                <w:highlight w:val="none"/>
              </w:rPr>
            </w:pPr>
            <w:r>
              <w:rPr>
                <w:rFonts w:hint="eastAsia" w:ascii="宋体" w:hAnsi="宋体"/>
                <w:color w:val="auto"/>
                <w:sz w:val="24"/>
                <w:highlight w:val="none"/>
              </w:rPr>
              <w:t>邮政编码：</w:t>
            </w:r>
          </w:p>
          <w:p w14:paraId="6E62364E">
            <w:pPr>
              <w:pStyle w:val="630"/>
              <w:tabs>
                <w:tab w:val="left" w:pos="3420"/>
                <w:tab w:val="left" w:pos="3600"/>
              </w:tabs>
              <w:spacing w:line="360" w:lineRule="auto"/>
              <w:rPr>
                <w:rFonts w:hint="eastAsia" w:ascii="宋体" w:hAnsi="宋体"/>
                <w:color w:val="auto"/>
                <w:sz w:val="24"/>
                <w:highlight w:val="none"/>
              </w:rPr>
            </w:pPr>
            <w:r>
              <w:rPr>
                <w:rFonts w:hint="eastAsia" w:ascii="宋体" w:hAnsi="宋体"/>
                <w:color w:val="auto"/>
                <w:sz w:val="24"/>
                <w:highlight w:val="none"/>
              </w:rPr>
              <w:t>电子邮箱：</w:t>
            </w:r>
          </w:p>
        </w:tc>
        <w:tc>
          <w:tcPr>
            <w:tcW w:w="4698" w:type="dxa"/>
            <w:noWrap w:val="0"/>
            <w:vAlign w:val="top"/>
          </w:tcPr>
          <w:p w14:paraId="51B6C952">
            <w:pPr>
              <w:pStyle w:val="630"/>
              <w:tabs>
                <w:tab w:val="left" w:pos="3420"/>
                <w:tab w:val="left" w:pos="3600"/>
              </w:tabs>
              <w:spacing w:line="360" w:lineRule="auto"/>
              <w:rPr>
                <w:rFonts w:hint="eastAsia" w:ascii="宋体" w:hAnsi="宋体"/>
                <w:color w:val="auto"/>
                <w:sz w:val="24"/>
                <w:highlight w:val="none"/>
              </w:rPr>
            </w:pPr>
            <w:r>
              <w:rPr>
                <w:rFonts w:hint="eastAsia" w:ascii="宋体" w:hAnsi="宋体"/>
                <w:color w:val="auto"/>
                <w:sz w:val="24"/>
                <w:highlight w:val="none"/>
              </w:rPr>
              <w:t>承包人：（盖章）</w:t>
            </w:r>
          </w:p>
          <w:p w14:paraId="4743DACE">
            <w:pPr>
              <w:pStyle w:val="630"/>
              <w:tabs>
                <w:tab w:val="left" w:pos="3420"/>
                <w:tab w:val="left" w:pos="3600"/>
              </w:tabs>
              <w:spacing w:line="360" w:lineRule="auto"/>
              <w:rPr>
                <w:rFonts w:hint="eastAsia" w:ascii="宋体" w:hAnsi="宋体"/>
                <w:color w:val="auto"/>
                <w:sz w:val="24"/>
                <w:highlight w:val="none"/>
              </w:rPr>
            </w:pPr>
          </w:p>
          <w:p w14:paraId="2990F499">
            <w:pPr>
              <w:pStyle w:val="630"/>
              <w:tabs>
                <w:tab w:val="left" w:pos="3420"/>
                <w:tab w:val="left" w:pos="3600"/>
              </w:tabs>
              <w:spacing w:line="360" w:lineRule="auto"/>
              <w:rPr>
                <w:rFonts w:hint="eastAsia" w:ascii="宋体" w:hAnsi="宋体"/>
                <w:color w:val="auto"/>
                <w:sz w:val="24"/>
                <w:highlight w:val="none"/>
              </w:rPr>
            </w:pPr>
            <w:r>
              <w:rPr>
                <w:rFonts w:hint="eastAsia" w:ascii="宋体" w:hAnsi="宋体"/>
                <w:color w:val="auto"/>
                <w:sz w:val="24"/>
                <w:highlight w:val="none"/>
              </w:rPr>
              <w:t>统一社会信用代码：</w:t>
            </w:r>
          </w:p>
          <w:p w14:paraId="0A9D7C50">
            <w:pPr>
              <w:pStyle w:val="630"/>
              <w:tabs>
                <w:tab w:val="left" w:pos="3420"/>
                <w:tab w:val="left" w:pos="3600"/>
              </w:tabs>
              <w:spacing w:line="360" w:lineRule="auto"/>
              <w:rPr>
                <w:rFonts w:hint="eastAsia" w:ascii="宋体" w:hAnsi="宋体"/>
                <w:color w:val="auto"/>
                <w:sz w:val="24"/>
                <w:highlight w:val="none"/>
              </w:rPr>
            </w:pPr>
            <w:r>
              <w:rPr>
                <w:rFonts w:hint="eastAsia" w:ascii="宋体" w:hAnsi="宋体"/>
                <w:color w:val="auto"/>
                <w:sz w:val="24"/>
                <w:highlight w:val="none"/>
              </w:rPr>
              <w:t>地址：</w:t>
            </w:r>
          </w:p>
          <w:p w14:paraId="1BA1B9C5">
            <w:pPr>
              <w:pStyle w:val="630"/>
              <w:tabs>
                <w:tab w:val="left" w:pos="3420"/>
                <w:tab w:val="left" w:pos="3600"/>
              </w:tabs>
              <w:spacing w:line="360" w:lineRule="auto"/>
              <w:rPr>
                <w:rFonts w:hint="eastAsia" w:ascii="宋体" w:hAnsi="宋体"/>
                <w:color w:val="auto"/>
                <w:sz w:val="24"/>
                <w:highlight w:val="none"/>
              </w:rPr>
            </w:pPr>
          </w:p>
          <w:p w14:paraId="6248CF1B">
            <w:pPr>
              <w:pStyle w:val="630"/>
              <w:tabs>
                <w:tab w:val="left" w:pos="3420"/>
                <w:tab w:val="left" w:pos="3600"/>
              </w:tabs>
              <w:spacing w:line="360" w:lineRule="auto"/>
              <w:rPr>
                <w:rFonts w:hint="eastAsia" w:ascii="宋体" w:hAnsi="宋体"/>
                <w:color w:val="auto"/>
                <w:sz w:val="24"/>
                <w:highlight w:val="none"/>
              </w:rPr>
            </w:pPr>
            <w:r>
              <w:rPr>
                <w:rFonts w:hint="eastAsia" w:ascii="宋体" w:hAnsi="宋体"/>
                <w:color w:val="auto"/>
                <w:sz w:val="24"/>
                <w:highlight w:val="none"/>
              </w:rPr>
              <w:t>法定代表人：</w:t>
            </w:r>
          </w:p>
          <w:p w14:paraId="30BB2C98">
            <w:pPr>
              <w:pStyle w:val="630"/>
              <w:tabs>
                <w:tab w:val="left" w:pos="3420"/>
                <w:tab w:val="left" w:pos="3600"/>
              </w:tabs>
              <w:spacing w:line="360" w:lineRule="auto"/>
              <w:rPr>
                <w:rFonts w:hint="eastAsia" w:ascii="宋体" w:hAnsi="宋体"/>
                <w:color w:val="auto"/>
                <w:sz w:val="24"/>
                <w:highlight w:val="none"/>
              </w:rPr>
            </w:pPr>
            <w:r>
              <w:rPr>
                <w:rFonts w:hint="eastAsia" w:ascii="宋体" w:hAnsi="宋体"/>
                <w:color w:val="auto"/>
                <w:sz w:val="24"/>
                <w:highlight w:val="none"/>
              </w:rPr>
              <w:t>或授权代表：</w:t>
            </w:r>
          </w:p>
          <w:p w14:paraId="6CB59BE0">
            <w:pPr>
              <w:pStyle w:val="630"/>
              <w:tabs>
                <w:tab w:val="left" w:pos="3420"/>
                <w:tab w:val="left" w:pos="3600"/>
              </w:tabs>
              <w:spacing w:line="360" w:lineRule="auto"/>
              <w:rPr>
                <w:rFonts w:hint="eastAsia" w:ascii="宋体" w:hAnsi="宋体"/>
                <w:color w:val="auto"/>
                <w:sz w:val="24"/>
                <w:highlight w:val="none"/>
              </w:rPr>
            </w:pPr>
            <w:r>
              <w:rPr>
                <w:rFonts w:hint="eastAsia" w:ascii="宋体" w:hAnsi="宋体"/>
                <w:color w:val="auto"/>
                <w:sz w:val="24"/>
                <w:highlight w:val="none"/>
              </w:rPr>
              <w:t>联系人：</w:t>
            </w:r>
          </w:p>
          <w:p w14:paraId="32AB8BEA">
            <w:pPr>
              <w:pStyle w:val="630"/>
              <w:tabs>
                <w:tab w:val="left" w:pos="3420"/>
                <w:tab w:val="left" w:pos="3600"/>
              </w:tabs>
              <w:spacing w:line="360" w:lineRule="auto"/>
              <w:rPr>
                <w:rFonts w:hint="eastAsia" w:ascii="宋体" w:hAnsi="宋体"/>
                <w:color w:val="auto"/>
                <w:sz w:val="24"/>
                <w:highlight w:val="none"/>
              </w:rPr>
            </w:pPr>
            <w:r>
              <w:rPr>
                <w:rFonts w:hint="eastAsia" w:ascii="宋体" w:hAnsi="宋体"/>
                <w:color w:val="auto"/>
                <w:sz w:val="24"/>
                <w:highlight w:val="none"/>
              </w:rPr>
              <w:t>电话：</w:t>
            </w:r>
          </w:p>
          <w:p w14:paraId="3D51DCCB">
            <w:pPr>
              <w:pStyle w:val="630"/>
              <w:tabs>
                <w:tab w:val="left" w:pos="3420"/>
                <w:tab w:val="left" w:pos="3600"/>
              </w:tabs>
              <w:spacing w:line="360" w:lineRule="auto"/>
              <w:rPr>
                <w:rFonts w:hint="eastAsia" w:ascii="宋体" w:hAnsi="宋体"/>
                <w:color w:val="auto"/>
                <w:sz w:val="24"/>
                <w:highlight w:val="none"/>
              </w:rPr>
            </w:pPr>
            <w:r>
              <w:rPr>
                <w:rFonts w:hint="eastAsia" w:ascii="宋体" w:hAnsi="宋体"/>
                <w:color w:val="auto"/>
                <w:sz w:val="24"/>
                <w:highlight w:val="none"/>
              </w:rPr>
              <w:t>传真：</w:t>
            </w:r>
          </w:p>
          <w:p w14:paraId="6A8D4E76">
            <w:pPr>
              <w:pStyle w:val="631"/>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开户银行：</w:t>
            </w:r>
          </w:p>
          <w:p w14:paraId="7EB487A0">
            <w:pPr>
              <w:pStyle w:val="630"/>
              <w:tabs>
                <w:tab w:val="left" w:pos="3420"/>
                <w:tab w:val="left" w:pos="3600"/>
              </w:tabs>
              <w:spacing w:line="360" w:lineRule="auto"/>
              <w:rPr>
                <w:rFonts w:hint="eastAsia" w:ascii="宋体" w:hAnsi="宋体"/>
                <w:color w:val="auto"/>
                <w:sz w:val="24"/>
                <w:highlight w:val="none"/>
              </w:rPr>
            </w:pPr>
            <w:r>
              <w:rPr>
                <w:rFonts w:hint="eastAsia" w:ascii="宋体" w:hAnsi="宋体"/>
                <w:color w:val="auto"/>
                <w:sz w:val="24"/>
                <w:highlight w:val="none"/>
              </w:rPr>
              <w:t>账号：</w:t>
            </w:r>
          </w:p>
          <w:p w14:paraId="28F876F8">
            <w:pPr>
              <w:pStyle w:val="630"/>
              <w:tabs>
                <w:tab w:val="left" w:pos="3420"/>
                <w:tab w:val="left" w:pos="3600"/>
              </w:tabs>
              <w:spacing w:line="360" w:lineRule="auto"/>
              <w:rPr>
                <w:rFonts w:hint="eastAsia" w:ascii="宋体" w:hAnsi="宋体"/>
                <w:color w:val="auto"/>
                <w:sz w:val="24"/>
                <w:highlight w:val="none"/>
              </w:rPr>
            </w:pPr>
            <w:r>
              <w:rPr>
                <w:rFonts w:hint="eastAsia" w:ascii="宋体" w:hAnsi="宋体"/>
                <w:color w:val="auto"/>
                <w:sz w:val="24"/>
                <w:highlight w:val="none"/>
              </w:rPr>
              <w:t>邮政编码：</w:t>
            </w:r>
          </w:p>
          <w:p w14:paraId="7236C9DA">
            <w:pPr>
              <w:pStyle w:val="631"/>
              <w:spacing w:line="360" w:lineRule="auto"/>
              <w:rPr>
                <w:rFonts w:hint="eastAsia" w:ascii="宋体" w:hAnsi="宋体"/>
                <w:color w:val="auto"/>
                <w:sz w:val="24"/>
                <w:highlight w:val="none"/>
              </w:rPr>
            </w:pPr>
            <w:r>
              <w:rPr>
                <w:rFonts w:hint="eastAsia" w:ascii="宋体" w:hAnsi="宋体"/>
                <w:color w:val="auto"/>
                <w:sz w:val="24"/>
                <w:szCs w:val="24"/>
                <w:highlight w:val="none"/>
              </w:rPr>
              <w:t>电子邮箱：</w:t>
            </w:r>
          </w:p>
        </w:tc>
      </w:tr>
    </w:tbl>
    <w:p w14:paraId="3F388A8E">
      <w:pPr>
        <w:pStyle w:val="6"/>
        <w:rPr>
          <w:rFonts w:ascii="宋体" w:hAnsi="宋体"/>
          <w:snapToGrid w:val="0"/>
          <w:color w:val="auto"/>
          <w:kern w:val="0"/>
          <w:highlight w:val="none"/>
        </w:rPr>
      </w:pPr>
      <w:r>
        <w:rPr>
          <w:rFonts w:hint="eastAsia" w:ascii="宋体" w:hAnsi="宋体"/>
          <w:b w:val="0"/>
          <w:bCs w:val="0"/>
          <w:color w:val="auto"/>
          <w:kern w:val="2"/>
          <w:sz w:val="24"/>
          <w:szCs w:val="24"/>
          <w:highlight w:val="none"/>
        </w:rPr>
        <w:br w:type="page"/>
      </w:r>
      <w:bookmarkStart w:id="228" w:name="_Toc35083106"/>
      <w:bookmarkStart w:id="229" w:name="_Toc114651584"/>
      <w:r>
        <w:rPr>
          <w:rFonts w:hint="eastAsia" w:ascii="宋体" w:hAnsi="宋体"/>
          <w:snapToGrid w:val="0"/>
          <w:color w:val="auto"/>
          <w:kern w:val="0"/>
          <w:highlight w:val="none"/>
        </w:rPr>
        <w:t>第二篇  合同通用条款</w:t>
      </w:r>
      <w:bookmarkEnd w:id="228"/>
      <w:bookmarkEnd w:id="229"/>
    </w:p>
    <w:p w14:paraId="5928F1B8">
      <w:pPr>
        <w:pStyle w:val="10"/>
        <w:jc w:val="left"/>
        <w:rPr>
          <w:rFonts w:hint="eastAsia" w:ascii="宋体" w:hAnsi="宋体"/>
          <w:snapToGrid w:val="0"/>
          <w:color w:val="auto"/>
          <w:kern w:val="0"/>
          <w:highlight w:val="none"/>
        </w:rPr>
      </w:pPr>
      <w:bookmarkStart w:id="230" w:name="_Toc517774572"/>
      <w:bookmarkStart w:id="231" w:name="_Toc520358066"/>
      <w:bookmarkStart w:id="232" w:name="_Toc514666985"/>
      <w:bookmarkStart w:id="233" w:name="_Toc520902768"/>
      <w:bookmarkStart w:id="234" w:name="_Toc514663871"/>
      <w:bookmarkStart w:id="235" w:name="_Toc514681194"/>
      <w:bookmarkStart w:id="236" w:name="_Toc514681775"/>
      <w:bookmarkStart w:id="237" w:name="_Toc517954585"/>
      <w:bookmarkStart w:id="238" w:name="_Toc520902839"/>
      <w:bookmarkStart w:id="239" w:name="_Toc514665155"/>
      <w:bookmarkStart w:id="240" w:name="_Toc514665294"/>
      <w:bookmarkStart w:id="241" w:name="_Toc35083107"/>
      <w:bookmarkStart w:id="242" w:name="_Toc520901472"/>
      <w:bookmarkStart w:id="243" w:name="_Toc516495988"/>
      <w:bookmarkStart w:id="244" w:name="_Toc519502262"/>
      <w:bookmarkStart w:id="245" w:name="_Toc518481744"/>
      <w:bookmarkStart w:id="246" w:name="_Toc519503092"/>
      <w:bookmarkStart w:id="247" w:name="_Toc520358242"/>
      <w:bookmarkStart w:id="248" w:name="_Toc520902617"/>
      <w:bookmarkStart w:id="249" w:name="_Toc514664872"/>
      <w:r>
        <w:rPr>
          <w:rFonts w:hint="eastAsia" w:ascii="宋体" w:hAnsi="宋体"/>
          <w:snapToGrid w:val="0"/>
          <w:color w:val="auto"/>
          <w:kern w:val="0"/>
          <w:highlight w:val="none"/>
        </w:rPr>
        <w:t>一、词语定义及合同文件</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13A85AAE">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1、词语定义</w:t>
      </w:r>
    </w:p>
    <w:p w14:paraId="6552A77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下列词语除合同专用条款另有约定外，应具有本条所赋予的定义：</w:t>
      </w:r>
    </w:p>
    <w:p w14:paraId="1D518EA8">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1.1合同通用条款：是根据法律、行政法规规定及建设工程施工的需要订立，通用于建设工程施工的条款。</w:t>
      </w:r>
    </w:p>
    <w:p w14:paraId="651D616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1.2合同专用条款：是发包人与承包人根据法律、行政法规规定，结合具体工程实际，经协商达成一致意见的条款，是对合同通用条款的具体化、补充或修改。</w:t>
      </w:r>
    </w:p>
    <w:p w14:paraId="39B48B13">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1.3发包人：指在合同协议书中约定，具有工程发包主体资格和支付工程价款能力的当事人以及取得该当事人资格的合法继承人。</w:t>
      </w:r>
    </w:p>
    <w:p w14:paraId="16FA46A1">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1.4承包人：指在合同协议书中约定，被发包人接受的具有工程施工承包主体资格的当事人以及取得该当事人资格的合法继承人。</w:t>
      </w:r>
    </w:p>
    <w:p w14:paraId="7153F64B">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1.5项目经理：指承包人在合同专用条款中指定的负责施工管理和合同履行的代表。</w:t>
      </w:r>
    </w:p>
    <w:p w14:paraId="35BCDEC1">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1.6设计单位：指发包人委托的负责本工程设计并取得相应工程设计资质等级证书的单位。</w:t>
      </w:r>
    </w:p>
    <w:p w14:paraId="31C66F5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1.7监理单位：指发包人委托的负责本工程监理并取得相应工程监理资质等级证书的单位。</w:t>
      </w:r>
    </w:p>
    <w:p w14:paraId="55100B63">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1.8工程师：指本工程监理单位委派的总监理工程师或发包人指定的履行本合同的代表，其具体身份和职权由发包人、承包人在合同专用条款中约定。</w:t>
      </w:r>
    </w:p>
    <w:p w14:paraId="1E9F15B2">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1.9工程造价管理部门：指国务院有关部门、县级以上人民政府建设行政主管部门或其委托的工程造价管理机构。</w:t>
      </w:r>
    </w:p>
    <w:p w14:paraId="269A2D2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1.10工程：指发包人、承包人在合同协议书中约定的承包范围内的工程。</w:t>
      </w:r>
    </w:p>
    <w:p w14:paraId="63BC24B7">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1.11合同价款：指发包人、承包人在合同协议书中约定，发包人用以支付承包人按照合同约定完成承包范围内全部工程并承担质量保修责任的款项。</w:t>
      </w:r>
    </w:p>
    <w:p w14:paraId="06FE0114">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1.12追加合同价款：指在合同履行中发生需要增加合同价款的情况，经发包人确认后按计算合同价款的方法增加的合同价款。</w:t>
      </w:r>
    </w:p>
    <w:p w14:paraId="6169C562">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1.13费用：指不包含在合同价款之内的应当由发包人或承包人承担的经济支出。</w:t>
      </w:r>
    </w:p>
    <w:p w14:paraId="566E07B7">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1.14工期：指发包人、承包人在合同协议书中约定，按总日历天数（包括法定节假日）计算的承包天数。</w:t>
      </w:r>
    </w:p>
    <w:p w14:paraId="7C967835">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1.15开工日期：指发包人、承包人在合同协议书中约定，承包人开始施工的绝对或相对的日期。</w:t>
      </w:r>
    </w:p>
    <w:p w14:paraId="0A11D61C">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1.16竣工日期：指发包人、承包人在合同协议书中约定，承包人完成承包范围内工程的绝对或相对的日期。</w:t>
      </w:r>
    </w:p>
    <w:p w14:paraId="7E409DEC">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1.17图纸：指由发包人提供或由承包人提供并经发包人批准，满足承包人施工需要的所有图纸（包括配套说明和有关资料）。</w:t>
      </w:r>
    </w:p>
    <w:p w14:paraId="182F3B9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1.18施工场地：指由发包人提供的用于工程施工的场所以及发包人在图纸中具体指定的供施工使用的任何其他场所。</w:t>
      </w:r>
    </w:p>
    <w:p w14:paraId="5978158B">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1.19书面形式：指合同书、信件和数据电文（包括电报、电传、传真、电子数据交换和电子邮件）等可以有形地表现所载内容的形式。</w:t>
      </w:r>
    </w:p>
    <w:p w14:paraId="21C7017B">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1.20违约责任：指合同一方不履行合同义务或履行合同义务不符合约定所应承担的责任。</w:t>
      </w:r>
    </w:p>
    <w:p w14:paraId="57011724">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1.21索赔：指在合同履行过程中，对于并非自己的过错，而是应由对方承担责任的情况造成的实际损失，向对方提出经济补偿和（或）工期顺延的要求。</w:t>
      </w:r>
    </w:p>
    <w:p w14:paraId="14DD781C">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1.22不可抗力：指不能预见、不能避免并不能克服的客观情况。</w:t>
      </w:r>
    </w:p>
    <w:p w14:paraId="3560384E">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14:paraId="3614B5FF">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2、合同文件及解释顺序</w:t>
      </w:r>
    </w:p>
    <w:p w14:paraId="7D75B4F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2.1合同文件应能相互解释，互为说明。除合同专用条款另有约定外，组成本合同的文件及优先解释顺序如下：</w:t>
      </w:r>
    </w:p>
    <w:p w14:paraId="21807DEC">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（1）合同协议书</w:t>
      </w:r>
    </w:p>
    <w:p w14:paraId="464F02B3">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（2）中标通知书</w:t>
      </w:r>
    </w:p>
    <w:p w14:paraId="3D5BDEFC">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（3）投标书及其附件</w:t>
      </w:r>
    </w:p>
    <w:p w14:paraId="11EB56AC">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（4）合同专用条款</w:t>
      </w:r>
    </w:p>
    <w:p w14:paraId="09AB1195">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（5）合同通用条款</w:t>
      </w:r>
    </w:p>
    <w:p w14:paraId="4428B19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（6）标准、规范及有关技术文件</w:t>
      </w:r>
    </w:p>
    <w:p w14:paraId="6FFD535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（7）图纸</w:t>
      </w:r>
    </w:p>
    <w:p w14:paraId="2289A5D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（8）工程量清单</w:t>
      </w:r>
    </w:p>
    <w:p w14:paraId="7733F64B">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（9）工程报价单或预算书</w:t>
      </w:r>
    </w:p>
    <w:p w14:paraId="7E744FD4">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合同履行中，发包人、承包人有关工程的洽商、变更等书面协议或文件视为本合同的组成部分。</w:t>
      </w:r>
    </w:p>
    <w:p w14:paraId="14F0314E">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2.2当合同文件内容含糊不清或不相一致时，在不影响工程正常进行的情况下，由发包人、承包人协商解决。双方也可以提请负责监理的工程师作出解释。双方协商不成或不同意负责监理的工程师的解释时，按合同通用条款40条关于争议的约定处理。</w:t>
      </w:r>
    </w:p>
    <w:p w14:paraId="4EEC6841">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3、语言文字和适用法律、标准及规范</w:t>
      </w:r>
    </w:p>
    <w:p w14:paraId="213E2067">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3.1语言文字</w:t>
      </w:r>
    </w:p>
    <w:p w14:paraId="3C8CDEB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本合同文件使用汉语语言文字书写、解释和说明。如合同专用条款约定使用两种以上（含两种）语言文字时，汉语应为解释和说明本合同的标准语言文字。</w:t>
      </w:r>
    </w:p>
    <w:p w14:paraId="4163A657">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在少数民族地区，双方可以约定使用少数民族语言文字书写和解释、说明本合同。</w:t>
      </w:r>
    </w:p>
    <w:p w14:paraId="6DF4F94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3.2适用法律和法规</w:t>
      </w:r>
    </w:p>
    <w:p w14:paraId="5C7C23C7">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本合同文件适用国家的法律和行政法规。需要明示的法律、行政法规，由双方在合同专用条款中约定。</w:t>
      </w:r>
    </w:p>
    <w:p w14:paraId="6D6E6508">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3.3适用标准、规范</w:t>
      </w:r>
    </w:p>
    <w:p w14:paraId="1F089889">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双方在合同专用条款内约定适用国家标准、规范的名称；没有国家标准、规范由有行业标准、规范的，约定适用行业标准、规范的名称；没有国家和行业标准、规范的，约定适用工程所在地地方标准、规范的名称。发包人应按合同专用条款约定的时间向承包人提供一式两份约定的标准、规范。</w:t>
      </w:r>
    </w:p>
    <w:p w14:paraId="4D5E8B53">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国内没有相应标准、规范的，由发包人按合同专用条款约定的时间向承包人提出施工技术要求，承包人按约定的时间和要求提出施工工艺经发包人认可后执行。发包人要求使用国外标准、规范的，应负责提供中文译本。</w:t>
      </w:r>
    </w:p>
    <w:p w14:paraId="02D33167">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本条所发生的购买、翻译标准、规范或制定施工工艺的费用，由发包人承担。</w:t>
      </w:r>
    </w:p>
    <w:p w14:paraId="01757190">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4、图纸</w:t>
      </w:r>
    </w:p>
    <w:p w14:paraId="7CE2ED53">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4.1发包人应按合同专用条款约定的日期的套数，向承包人提供图纸。承包人需要增加图纸套数的，发包人应代为复制，复制费用由承包人承担。发包人对工程有保密要求的，应在合同专用条款中提出保密要求，保密措施费用由发包人承担，承包人在约定保密期限内履行保密义务。</w:t>
      </w:r>
    </w:p>
    <w:p w14:paraId="0EB84798">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4.2承包人未经发包人同意，不得将本工程图纸转给第三人。工程质量保修期满后，除承包人存档需要的图纸外，应将全部图纸退还给发包人。</w:t>
      </w:r>
    </w:p>
    <w:p w14:paraId="420E2D36">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4.3承包人应在施工现场保留一套完整图纸，供工程师及有关人员进行工程检查时使用。</w:t>
      </w:r>
    </w:p>
    <w:p w14:paraId="548A37B2">
      <w:pPr>
        <w:pStyle w:val="10"/>
        <w:jc w:val="left"/>
        <w:rPr>
          <w:rFonts w:hint="eastAsia" w:ascii="宋体" w:hAnsi="宋体"/>
          <w:snapToGrid w:val="0"/>
          <w:color w:val="auto"/>
          <w:kern w:val="0"/>
          <w:highlight w:val="none"/>
        </w:rPr>
      </w:pPr>
      <w:bookmarkStart w:id="250" w:name="_Toc519503093"/>
      <w:bookmarkStart w:id="251" w:name="_Toc514664873"/>
      <w:bookmarkStart w:id="252" w:name="_Toc514681776"/>
      <w:bookmarkStart w:id="253" w:name="_Toc517954586"/>
      <w:bookmarkStart w:id="254" w:name="_Toc520358067"/>
      <w:bookmarkStart w:id="255" w:name="_Toc516495989"/>
      <w:bookmarkStart w:id="256" w:name="_Toc519502263"/>
      <w:bookmarkStart w:id="257" w:name="_Toc520902840"/>
      <w:bookmarkStart w:id="258" w:name="_Toc35083108"/>
      <w:bookmarkStart w:id="259" w:name="_Toc520358243"/>
      <w:bookmarkStart w:id="260" w:name="_Toc514666986"/>
      <w:bookmarkStart w:id="261" w:name="_Toc514665295"/>
      <w:bookmarkStart w:id="262" w:name="_Toc520902769"/>
      <w:bookmarkStart w:id="263" w:name="_Toc517774573"/>
      <w:bookmarkStart w:id="264" w:name="_Toc520901473"/>
      <w:bookmarkStart w:id="265" w:name="_Toc520902618"/>
      <w:bookmarkStart w:id="266" w:name="_Toc518481745"/>
      <w:bookmarkStart w:id="267" w:name="_Toc514665156"/>
      <w:bookmarkStart w:id="268" w:name="_Toc514681195"/>
      <w:bookmarkStart w:id="269" w:name="_Toc514663872"/>
      <w:r>
        <w:rPr>
          <w:rFonts w:hint="eastAsia" w:ascii="宋体" w:hAnsi="宋体"/>
          <w:snapToGrid w:val="0"/>
          <w:color w:val="auto"/>
          <w:kern w:val="0"/>
          <w:highlight w:val="none"/>
        </w:rPr>
        <w:t>二、双方一般权利和义务</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29263D70">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5、工程师</w:t>
      </w:r>
    </w:p>
    <w:p w14:paraId="7FD1313E">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5.1实行工程监理的，发包人应在实施监理前将委托的监理单位名称、监理内容及监理权限以书面形式通知承包人。</w:t>
      </w:r>
    </w:p>
    <w:p w14:paraId="7E0801AE">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5.2监理单位委派的总监理工程师在本合同中称工程师，其姓名、职务、职权由发包人、承包人在合同专用条款内写明。工程师按合同约定行使职权，发包人在合同专用条款内要求工程师在行使某些职权前需要征得发包人批准的，工程师应征得发包人批准。</w:t>
      </w:r>
    </w:p>
    <w:p w14:paraId="41F55072">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5.3发包人派驻施工场地履行合同的代表在本合同中也称工程师，其姓名、职务、职权由发包人在合同专用条款内写明，但职权不得与监理单位委派的总监理工程师职权相互交叉。双方职权发生交叉或不明确时，由发包人予以明确，并以书面形式通知承包人。</w:t>
      </w:r>
    </w:p>
    <w:p w14:paraId="7FD8725E">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5.4合同履行中，发生影响发包人、承包人双方权利或义务和事件时，负责监理的工程师应依据合同在其职权范围内客观公正地进行处理。一方对工程师的处理有异议时，按合同通用条款40条关于争议的约定处理。</w:t>
      </w:r>
    </w:p>
    <w:p w14:paraId="7D5F1CC5">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5.5除合同内有明确约定或经发包人同意外，负责监理的工程师无权解释本合同约定的承包人任何权利与义务。</w:t>
      </w:r>
    </w:p>
    <w:p w14:paraId="26C3442C">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5.6不实行工程监理的，本合同中工程师专指发包人派驻施工场地履行合同的代表，其具体职权由发包人在合同专用条款内写明。</w:t>
      </w:r>
    </w:p>
    <w:p w14:paraId="337EC7EF">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6、工程师的委派和指令</w:t>
      </w:r>
    </w:p>
    <w:p w14:paraId="6046B8A8">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6.1工程师可委派工程师代表，行使合同约定的自己的职权，并可在认为必要时撤回委派。委派和撤回均应提前7天以书面形式通知承包人，负责监理的工程师还应将委派和撤回通知发包人。委派书和撤回通知作为合同附件。</w:t>
      </w:r>
    </w:p>
    <w:p w14:paraId="1AB99732">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改正。</w:t>
      </w:r>
    </w:p>
    <w:p w14:paraId="0789AF7C">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除工程师或工程师代表外，发包人派驻工地的其他人员均无权向承包人发出任何指令。</w:t>
      </w:r>
    </w:p>
    <w:p w14:paraId="621E4A0C">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14:paraId="59EC186F">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14:paraId="191CF98C">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本款规定同样适用于由工程师代表发出的指令、通知。</w:t>
      </w:r>
    </w:p>
    <w:p w14:paraId="3261718B">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14:paraId="060E44F4">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6.4如需更换工程师，发包人应至少提前7天以书面形式通知承包人，后任继续行使合同文件约定的前任的职权，履行前任的义务。</w:t>
      </w:r>
    </w:p>
    <w:p w14:paraId="772B3928">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7、项目经理</w:t>
      </w:r>
    </w:p>
    <w:p w14:paraId="5D4289B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7.1项目经理的姓名、职务在合同专用条款内写明。</w:t>
      </w:r>
    </w:p>
    <w:p w14:paraId="01CB38BC">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7.2承包人依据合同发出的通知，以书面形式由项目经理签字后送交工程师，工程师在回执上签署姓名和收到时间后生效。</w:t>
      </w:r>
    </w:p>
    <w:p w14:paraId="694911A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14:paraId="0E341FDF">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7.4承包人如需更换项目经理，应至少提前7天以书面形式通知发包人，并征得发包人同意。后任继续行使合同文件约定的前任的职权，履行前任的义务。</w:t>
      </w:r>
    </w:p>
    <w:p w14:paraId="5746AB7E">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7.5发包人可以与承包人协商，建议更换其认为不称职的项目经理。</w:t>
      </w:r>
    </w:p>
    <w:p w14:paraId="64F0535A">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8、发包人工作</w:t>
      </w:r>
    </w:p>
    <w:p w14:paraId="0840F5A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8.1发包人按合同专用条款约定的内容和时间完成以下工作：</w:t>
      </w:r>
    </w:p>
    <w:p w14:paraId="50D26E07">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（1）办理土地征用、拆迁补偿、平整施工场地等工作，使施工场地具备施工条件，在开工后继续负责解决以上事项遗留问题；</w:t>
      </w:r>
    </w:p>
    <w:p w14:paraId="60DA34B1">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（2）将施工所需水、电、电讯线路从施工场地外部接至合同专用条款约定地点，保证施工期间的需要；</w:t>
      </w:r>
    </w:p>
    <w:p w14:paraId="5D98C78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（3）开通施工场地与城乡公共道路的通道，以及合同专用条款约定的施工场地内的主要道路，满足施工运输的需要，保证施工期间的畅通；</w:t>
      </w:r>
    </w:p>
    <w:p w14:paraId="07358EAF">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（4）向承包人提供施工场地的工程地质和地下管线资料，对资料的真实准确性负责；</w:t>
      </w:r>
    </w:p>
    <w:p w14:paraId="1D797CA8">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（5）办理施工许可证及其他施工所需证件、批件和临时用地、停水、停电、中断道路交通、爆破作业等的申请批准手续（证明承包人自身资质的证件除外）；</w:t>
      </w:r>
    </w:p>
    <w:p w14:paraId="36B7F44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（6）确定水准点与坐标控制点，以书面形式交给承包人，进行现场交验；</w:t>
      </w:r>
    </w:p>
    <w:p w14:paraId="1740674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（7）组织承包人和设计单位进行图纸会审和设计交底；</w:t>
      </w:r>
    </w:p>
    <w:p w14:paraId="062B8792">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（8）协调处理施工场地周围地下管线和邻近建筑物、构筑物（包括文物保护建筑）、古树名木的保护工作，承担有关费用；</w:t>
      </w:r>
    </w:p>
    <w:p w14:paraId="63A7F9E6">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（9）发包人应做的其他工作，双方在合同专用条款内约定。</w:t>
      </w:r>
    </w:p>
    <w:p w14:paraId="5B6483C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8.2发包人可以将8.1款部分工作委托承包人办理，双方在合同专用条款内约定，其费用由发包人承担。</w:t>
      </w:r>
    </w:p>
    <w:p w14:paraId="2D4D80C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8.3发包人未能履行8.1款各项义务，导致工期延误或给承包人造成损失的，发包人赔偿承包人有关损失，顺延延误的工期。</w:t>
      </w:r>
    </w:p>
    <w:p w14:paraId="3E7CE68A">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9、承包人工作</w:t>
      </w:r>
    </w:p>
    <w:p w14:paraId="1AF3097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9.1承包人按合同专用条款约定的内容和时间完成以下工作：</w:t>
      </w:r>
    </w:p>
    <w:p w14:paraId="40537167">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（1）根据发包人委托，在其设计资质等级和业务允许的范围内，完成施工图设计或工程配套的设计，经工程师确认后使用，发包人承担由此发生的费用；</w:t>
      </w:r>
    </w:p>
    <w:p w14:paraId="0F87FC2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（2）向工程师提供年、季、月度工程进度计划及相应进度统计报表；</w:t>
      </w:r>
    </w:p>
    <w:p w14:paraId="528AD50C">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（3）根据工程需要，提供和维修非夜间施工使用的照明、围栏设施，并负责安全保卫；</w:t>
      </w:r>
    </w:p>
    <w:p w14:paraId="5AB892A4">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（4）按合同专用条款约定的数量和要求，向发包人提供施工场地办公和生活的房屋及设施，发包人承担由此发生的费用；</w:t>
      </w:r>
    </w:p>
    <w:p w14:paraId="7FB2B46F">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（5）遵守政府有关主管部门对施工场地交通、施工噪音以及环境保护和安全生产等的管理规定，按规定办理有关手续，并以书面形式通知发包人，发包人承担由此发生的费用，因承包人责任造成的罚款除外；</w:t>
      </w:r>
    </w:p>
    <w:p w14:paraId="76B641E6">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已竣工工程未交付发包人之前，承包人按合同专用条款约定负责已完工程的保护工作，保护期间发生损坏，承包人自费予以修复；发包人要求承包人采取特殊措施保护的工程部位和相应的追加合同价款，双方在合同专用条款内约定；</w:t>
      </w:r>
    </w:p>
    <w:p w14:paraId="780A1DC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（7）按合同专用条款约定做好施工场地地下管线和邻近建筑物、构筑物（包括文物保护建筑）、古树名木的保护工作；</w:t>
      </w:r>
    </w:p>
    <w:p w14:paraId="6570707B">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（8）保证施工场地清洁符合环境卫生管理的有关规定，交工前清理现场达到合同专用条款约定的要求，承担因自身原因违反有关规定造成的损失和罚款；</w:t>
      </w:r>
    </w:p>
    <w:p w14:paraId="7F2EF497">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（9）承包人应做的其他工作，双方在合同专用条款内约定。</w:t>
      </w:r>
    </w:p>
    <w:p w14:paraId="53AE80E4">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9.2承包人未能履行9.1款各项义务，造成发包人损失的，承包人赔偿发包人有关损失。</w:t>
      </w:r>
    </w:p>
    <w:p w14:paraId="007C6AF1">
      <w:pPr>
        <w:pStyle w:val="10"/>
        <w:jc w:val="left"/>
        <w:rPr>
          <w:rFonts w:hint="eastAsia" w:ascii="宋体" w:hAnsi="宋体"/>
          <w:snapToGrid w:val="0"/>
          <w:color w:val="auto"/>
          <w:kern w:val="0"/>
          <w:highlight w:val="none"/>
        </w:rPr>
      </w:pPr>
      <w:bookmarkStart w:id="270" w:name="_Toc519502264"/>
      <w:bookmarkStart w:id="271" w:name="_Toc514666987"/>
      <w:bookmarkStart w:id="272" w:name="_Toc518481746"/>
      <w:bookmarkStart w:id="273" w:name="_Toc514664874"/>
      <w:bookmarkStart w:id="274" w:name="_Toc520902770"/>
      <w:bookmarkStart w:id="275" w:name="_Toc514663873"/>
      <w:bookmarkStart w:id="276" w:name="_Toc520358068"/>
      <w:bookmarkStart w:id="277" w:name="_Toc520358244"/>
      <w:bookmarkStart w:id="278" w:name="_Toc514681777"/>
      <w:bookmarkStart w:id="279" w:name="_Toc520901474"/>
      <w:bookmarkStart w:id="280" w:name="_Toc519503094"/>
      <w:bookmarkStart w:id="281" w:name="_Toc514665157"/>
      <w:bookmarkStart w:id="282" w:name="_Toc517774574"/>
      <w:bookmarkStart w:id="283" w:name="_Toc520902619"/>
      <w:bookmarkStart w:id="284" w:name="_Toc520902841"/>
      <w:bookmarkStart w:id="285" w:name="_Toc514681196"/>
      <w:bookmarkStart w:id="286" w:name="_Toc516495990"/>
      <w:bookmarkStart w:id="287" w:name="_Toc517954587"/>
      <w:bookmarkStart w:id="288" w:name="_Toc35083109"/>
      <w:bookmarkStart w:id="289" w:name="_Toc514665296"/>
      <w:r>
        <w:rPr>
          <w:rFonts w:hint="eastAsia" w:ascii="宋体" w:hAnsi="宋体"/>
          <w:snapToGrid w:val="0"/>
          <w:color w:val="auto"/>
          <w:kern w:val="0"/>
          <w:highlight w:val="none"/>
        </w:rPr>
        <w:t>三、施工组织设计和工期</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57D7F2FE">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10、进度计划</w:t>
      </w:r>
    </w:p>
    <w:p w14:paraId="647D0697">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10.1承包人应按合同专用条款约定的日期，将施工组织设计和工程进度计划提交工程师，工程师按合同专用条款约定的时间予以确认或提出修改意见，逾期不确认也不提出书面意见的，视为同意。</w:t>
      </w:r>
    </w:p>
    <w:p w14:paraId="5194363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10.2群体工程中单位工程分期进行施工的，承包人应按照发包人提供图纸及有关资料的时间，按单位工程编制进度计划，其具体内容双方在合同专用条款中约定。</w:t>
      </w:r>
    </w:p>
    <w:p w14:paraId="3F138BA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14:paraId="6B9FD3C9">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11、开工及延期开工</w:t>
      </w:r>
    </w:p>
    <w:p w14:paraId="41125E8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11.1承包人应当按照合同协议书约定的开工日期开工。承包人不能按时开工，应当不迟于合同协议书约定的开工日期前7天，以书面形式向工程师提出延期开工的理由和要求，工程师在接到延期开工申请后48小时内以书面形式答复承包人。工程师在接到延期开工申请后48小时内不答复，视为同意承包人要求，工期相应顺延。工程师不同意顺延要求或承包人未在规定时间内提出延期开工要求，工期不予顺延。</w:t>
      </w:r>
    </w:p>
    <w:p w14:paraId="74B2F473">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11.2因发包人原因不能按照合同协议书约定的开工日期开工，工程师应以书面形式通知承包人，推迟开工日期，发包人赔偿承包人因延期开工造成的损失，并相应顺延工期。</w:t>
      </w:r>
    </w:p>
    <w:p w14:paraId="2F91B011">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12、暂停施工</w:t>
      </w:r>
    </w:p>
    <w:p w14:paraId="341D1DC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工程师认为确有必要暂停施工时，应当以书面形式要求承包人暂停施工，并在提出要求后48小时内提出书面处理意见。承包人应当按工程师要求停止施工，并妥善保护自己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14:paraId="2E825E4A">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13、工期延误</w:t>
      </w:r>
    </w:p>
    <w:p w14:paraId="41591753">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13.1因以下原因造成工期延误，经工程师确认，工期相应顺延；</w:t>
      </w:r>
    </w:p>
    <w:p w14:paraId="4DB265F1">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（1）发包人未能按合同专用条款的约定提供图纸及开工条件；</w:t>
      </w:r>
    </w:p>
    <w:p w14:paraId="57F056C7">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（2）发包人未能按约定日期支付工程预付款、进度款，致使施工不能正常进行；</w:t>
      </w:r>
    </w:p>
    <w:p w14:paraId="49D4EC32">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（3）工程师未按合同约定提供所需指令、批准等，致使施工不能正常进行；</w:t>
      </w:r>
    </w:p>
    <w:p w14:paraId="6B70BF01">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（4）设计变更和工程量增加；</w:t>
      </w:r>
    </w:p>
    <w:p w14:paraId="29653374">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（5）一周内非承包人原因停水、停电、停气造成停工累计超过8小时；</w:t>
      </w:r>
    </w:p>
    <w:p w14:paraId="5AD16326">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（6）不可抗力；</w:t>
      </w:r>
    </w:p>
    <w:p w14:paraId="42B8BE42">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（7）合同专用条款中约定或工程师同意工期顺延的其他情况。</w:t>
      </w:r>
    </w:p>
    <w:p w14:paraId="25CF5437">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13.2承包人在13.1款情况发生后14天内，就延误的工期以书面形式向工程师提出报告。工程师在收到报告后14天内予以确认，逾期不予确认也不提出修改意见，视为同意顺延工期。</w:t>
      </w:r>
    </w:p>
    <w:p w14:paraId="3E85DA1A">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14、工程竣工</w:t>
      </w:r>
    </w:p>
    <w:p w14:paraId="456BB94E">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14.1承包人必须按照合同协议书约定的竣工日期或工程师同意顺延的工期竣工。</w:t>
      </w:r>
    </w:p>
    <w:p w14:paraId="37F243C3">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14.2因承包人原因不能按照合同协议书约定的竣工日期或工程师同意顺延的工期竣工的，承包人承担违约责任。</w:t>
      </w:r>
    </w:p>
    <w:p w14:paraId="0997C074">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14:paraId="26F61C13">
      <w:pPr>
        <w:pStyle w:val="10"/>
        <w:jc w:val="left"/>
        <w:rPr>
          <w:rFonts w:hint="eastAsia" w:ascii="宋体" w:hAnsi="宋体"/>
          <w:snapToGrid w:val="0"/>
          <w:color w:val="auto"/>
          <w:kern w:val="0"/>
          <w:highlight w:val="none"/>
        </w:rPr>
      </w:pPr>
      <w:bookmarkStart w:id="290" w:name="_Toc514663874"/>
      <w:bookmarkStart w:id="291" w:name="_Toc520358245"/>
      <w:bookmarkStart w:id="292" w:name="_Toc519502265"/>
      <w:bookmarkStart w:id="293" w:name="_Toc514664875"/>
      <w:bookmarkStart w:id="294" w:name="_Toc514681197"/>
      <w:bookmarkStart w:id="295" w:name="_Toc520902842"/>
      <w:bookmarkStart w:id="296" w:name="_Toc514681778"/>
      <w:bookmarkStart w:id="297" w:name="_Toc35083110"/>
      <w:bookmarkStart w:id="298" w:name="_Toc520902771"/>
      <w:bookmarkStart w:id="299" w:name="_Toc518481747"/>
      <w:bookmarkStart w:id="300" w:name="_Toc514665297"/>
      <w:bookmarkStart w:id="301" w:name="_Toc517954588"/>
      <w:bookmarkStart w:id="302" w:name="_Toc514665158"/>
      <w:bookmarkStart w:id="303" w:name="_Toc517774575"/>
      <w:bookmarkStart w:id="304" w:name="_Toc516495991"/>
      <w:bookmarkStart w:id="305" w:name="_Toc519503095"/>
      <w:bookmarkStart w:id="306" w:name="_Toc520902620"/>
      <w:bookmarkStart w:id="307" w:name="_Toc520901475"/>
      <w:bookmarkStart w:id="308" w:name="_Toc520358069"/>
      <w:bookmarkStart w:id="309" w:name="_Toc514666988"/>
      <w:r>
        <w:rPr>
          <w:rFonts w:hint="eastAsia" w:ascii="宋体" w:hAnsi="宋体"/>
          <w:snapToGrid w:val="0"/>
          <w:color w:val="auto"/>
          <w:kern w:val="0"/>
          <w:highlight w:val="none"/>
        </w:rPr>
        <w:t>四、质量与检验</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34B31CE6">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15、工程质量</w:t>
      </w:r>
    </w:p>
    <w:p w14:paraId="3B0AD99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15.1工程质量应当达到合同协议书约定的质量标准，质量标准的评定以国家或行业的质量检验评定标准为依据。因承包人原因工程质量达不到约定的质量标准，承包人承担违约责任。</w:t>
      </w:r>
    </w:p>
    <w:p w14:paraId="7ABE4534">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15.2双方对工程质量有争议，由双方同意的工程质量检测机构鉴定，所需费用及因此造成的损失，由责任方承担。双方均有责任，由双方根据其责任分别承担。</w:t>
      </w:r>
    </w:p>
    <w:p w14:paraId="26594B9F">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16、检查和返工</w:t>
      </w:r>
    </w:p>
    <w:p w14:paraId="74BBB926">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16.1承包人应认真按照标准、规范和设计图纸要求以及工程师依据合同发出的指令施工，随时接受工程师的检查检验，为检查检验提供便利条件。</w:t>
      </w:r>
    </w:p>
    <w:p w14:paraId="11CF38F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14:paraId="21F1E55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16.3工程师的检查检验不应影响施工正常进行。如影响施工正常进行，检查检验不合格时，影响正常施工的费用由承包人承担。除此之外影响正常施工的追加合同价款由发包人承担，相应顺延工期。</w:t>
      </w:r>
    </w:p>
    <w:p w14:paraId="20F77DE2">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16.4因工程师指令失误或其他非承包人原因发生的追加合同价款，由发包人承担。</w:t>
      </w:r>
    </w:p>
    <w:p w14:paraId="5F64B964">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17、隐蔽工程和中间验收</w:t>
      </w:r>
    </w:p>
    <w:p w14:paraId="665C9F9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17.1工程具备隐蔽条件或达到合同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14:paraId="0B230956">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17.2工程师不能按时进行验收，应在验收前24小时以书面形式向承包人提出延期要求，延期不能超过48小时。工程师未能按以上时间提出延期要求，不进行验收，承包人可自行组织验收，工程师应承认验收记录。</w:t>
      </w:r>
    </w:p>
    <w:p w14:paraId="40832B9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17.3经工程师验收，工程质量符合标准、规范和设计图纸等要求，验收24小时后，工程师不在验收记录上签字，视为工程师已经认可验收记录，承包人可进行隐蔽或继续施工。</w:t>
      </w:r>
    </w:p>
    <w:p w14:paraId="04C6256F">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18、重新检验</w:t>
      </w:r>
    </w:p>
    <w:p w14:paraId="12431102">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无论工程师是否进行验收，当其要求对已经隐蔽的工程重新检验时，承包人应按要求进行剥离或开孔，并要检验后重新覆盖或修复。检验合格，发包人承担由此发生的全部追加合同价款，赔偿承包人损失，并相应顺延工期。检验不合格，承包人承担发生的全部费用，工期不予顺延。</w:t>
      </w:r>
    </w:p>
    <w:p w14:paraId="276980E7">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19、工程试车</w:t>
      </w:r>
    </w:p>
    <w:p w14:paraId="63AD154F">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19.1双方约定需要试车的，试车内容应与承包人承包的安装范围相一致。</w:t>
      </w:r>
    </w:p>
    <w:p w14:paraId="3567ECA2">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14:paraId="2AAE85B2">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19.3工程师不能按时参加试车，须在开始试车前24小时以书面形式向承包人提出延期要求，延期不能超过48小时。工程师未能按以上时间提出延期要求，不参加试车，应承认试车记录。</w:t>
      </w:r>
    </w:p>
    <w:p w14:paraId="1CD65E7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19.4设备安装工程具备无负荷联动试车条件，发包人组织试车，并在试车前48小时以书面形式通知承包人。通知包括试车内容、时间、地点和对承包人的要求，承包人按要求做好准备工作。试车合格，双方在试车记录上签字。</w:t>
      </w:r>
    </w:p>
    <w:p w14:paraId="527AF64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19.5双方责任</w:t>
      </w:r>
    </w:p>
    <w:p w14:paraId="5FF27CF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（1）由于设计原因试车达不到验收要求，发包人应要求设计单位修改设计，承包人按修改后的设计重新安装。发包人承担修改设计、拆除及重新安装的全部费用和追加合同价款，工期相应顺延。</w:t>
      </w:r>
    </w:p>
    <w:p w14:paraId="757D2F2F">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14:paraId="0C65BC8C">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（3）由于承包人施工原因试车达不到验收要求，承包人按工程师要求重新安装和试车，并承担重新安装和试车的费用，工期不予顺延。</w:t>
      </w:r>
    </w:p>
    <w:p w14:paraId="501ACD62">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（4）试车费用除已包括在合同价款之内或合同专用条款另有约定外，均由发包人承担。</w:t>
      </w:r>
    </w:p>
    <w:p w14:paraId="11BD0413">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（5）工程师在试车合格后不在试车记录上签字，试车结束24小时后，视为工程师已经认可试车记录，承包人可继续施工或办理竣工手续。</w:t>
      </w:r>
    </w:p>
    <w:p w14:paraId="47449B72">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19.6投料试车应在工程竣工验收后由发包人负责，如发包人要求在工程竣工验收前进行或需要承包人配合时，应征得承包人同意，另行签订补充协议。</w:t>
      </w:r>
    </w:p>
    <w:p w14:paraId="75F6E21A">
      <w:pPr>
        <w:pStyle w:val="10"/>
        <w:jc w:val="left"/>
        <w:rPr>
          <w:rFonts w:hint="eastAsia" w:ascii="宋体" w:hAnsi="宋体"/>
          <w:snapToGrid w:val="0"/>
          <w:color w:val="auto"/>
          <w:kern w:val="0"/>
          <w:highlight w:val="none"/>
        </w:rPr>
      </w:pPr>
      <w:bookmarkStart w:id="310" w:name="_Toc520358246"/>
      <w:bookmarkStart w:id="311" w:name="_Toc517954589"/>
      <w:bookmarkStart w:id="312" w:name="_Toc519503096"/>
      <w:bookmarkStart w:id="313" w:name="_Toc514665159"/>
      <w:bookmarkStart w:id="314" w:name="_Toc35083111"/>
      <w:bookmarkStart w:id="315" w:name="_Toc520902843"/>
      <w:bookmarkStart w:id="316" w:name="_Toc514681779"/>
      <w:bookmarkStart w:id="317" w:name="_Toc514681198"/>
      <w:bookmarkStart w:id="318" w:name="_Toc516495992"/>
      <w:bookmarkStart w:id="319" w:name="_Toc514666989"/>
      <w:bookmarkStart w:id="320" w:name="_Toc514664876"/>
      <w:bookmarkStart w:id="321" w:name="_Toc519502266"/>
      <w:bookmarkStart w:id="322" w:name="_Toc514663875"/>
      <w:bookmarkStart w:id="323" w:name="_Toc517774576"/>
      <w:bookmarkStart w:id="324" w:name="_Toc518481748"/>
      <w:bookmarkStart w:id="325" w:name="_Toc520358070"/>
      <w:bookmarkStart w:id="326" w:name="_Toc514665298"/>
      <w:bookmarkStart w:id="327" w:name="_Toc520902621"/>
      <w:bookmarkStart w:id="328" w:name="_Toc520902772"/>
      <w:bookmarkStart w:id="329" w:name="_Toc520901476"/>
      <w:r>
        <w:rPr>
          <w:rFonts w:hint="eastAsia" w:ascii="宋体" w:hAnsi="宋体"/>
          <w:snapToGrid w:val="0"/>
          <w:color w:val="auto"/>
          <w:kern w:val="0"/>
          <w:highlight w:val="none"/>
        </w:rPr>
        <w:t>五、安全文明施工</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7499FFF4">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20、施工场地的占用和管理</w:t>
      </w:r>
    </w:p>
    <w:p w14:paraId="71AB4F24">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20.1发包人应当依照合同专用条款约定的时间，按照其与监理单位会签认可的施工平面图给承包人提供施工场地。承包人必须在发包人提供的施工场地范围内布置、安排和组织施工，严禁擅自变更场地范围。因工程施工需要，承包人确需临时征用场地或道路的，必须事先取得监理单位和发包人的批准。</w:t>
      </w:r>
    </w:p>
    <w:p w14:paraId="179CD751">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20.2承包人应当严格遵守国家有关建设项目施工现场管理的有关规定，做好施工场地方方面面的管理工作，并应对管理不善引发的纠纷和损失承担全部责任。</w:t>
      </w:r>
    </w:p>
    <w:p w14:paraId="1B17C09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20.3工程竣工验收且办理了移交与接收手续后，承包人应当按照合同专用条款约定的时间，从施工场地搬走或清除其设备、临时设施以及多余的材料、余泥、垃圾，并保持现场和工程清洁整齐，达到发包人和总监理工程师满意的程度。</w:t>
      </w:r>
    </w:p>
    <w:p w14:paraId="568E4382">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20.4承包人应当随时接受政府主管部门的监督和执法检查，并对管理不善之处及时予以全面整改。</w:t>
      </w:r>
    </w:p>
    <w:p w14:paraId="69C552F1">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21、安全施工与检查</w:t>
      </w:r>
    </w:p>
    <w:p w14:paraId="29F60A78">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21.1承包人应遵守《建设工程安全管理条例》及建设行政主管部门颁发的有关管理规定，严格按《建筑施工安全检查标准》组织施工，并随时接受行业安全检查人员依法实施的监督检查，采取必要的安全防护措施，消除事故隐患。由于承包人安全措施不力造成事故的责任和因此发生的费用，由承包人承担。</w:t>
      </w:r>
    </w:p>
    <w:p w14:paraId="7ADCCE25">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21.2发包人不得要求承包人违反安全管理的规定进行施工。因发包人原因导致的安全事故，由发包人承担相应责任及发生的费用。</w:t>
      </w:r>
    </w:p>
    <w:p w14:paraId="3CBEDF7E">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22、安全防护</w:t>
      </w:r>
    </w:p>
    <w:p w14:paraId="0C0E63A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22.1承包人在动力设备、输电线路、地下管道、密封防震车间、易燃易爆地段以及临街交通要道附近施工时，施工开始前应向工程师提出安全防护措施，经工程师认可后实施，防护措施费用由发包人承担。</w:t>
      </w:r>
    </w:p>
    <w:p w14:paraId="558A3F1B">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22.2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14:paraId="5FC53992">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23、事故处理</w:t>
      </w:r>
    </w:p>
    <w:p w14:paraId="7CCB3C68">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23.1发生重大伤亡及其他安全事故，承包人应按《建设工程安全管理条例》的规定立即上报有关部门并通知工程师，同时按政府有关部门要求处理，由事故责任方承担发生的费用。</w:t>
      </w:r>
    </w:p>
    <w:p w14:paraId="1E6D709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23.2发包人、承包人对事故责任有争议时，应按政府有关部门的认定处理。</w:t>
      </w:r>
    </w:p>
    <w:p w14:paraId="1B8A3DF5">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24、文明施工与环境保护</w:t>
      </w:r>
    </w:p>
    <w:p w14:paraId="28C88959">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24.1承包人应遵守工程建设文明施工有关管理规定，建立健全文明施工制度，切实采取有效措施，创建文明施工现场。</w:t>
      </w:r>
    </w:p>
    <w:p w14:paraId="0A67796B">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24.2在工程施工期间，根据建设项目环境保护的有关管理规定，承包人应采取所有合理的措施来保护施工场地内外的环境，避免由于其操作方法所造成的污染、噪声或其他问题而对周边的人员或公私财产造成干扰、损失或者损害。因承包人环保措施不力造成损害的责任和因此发生的费用，由承包人承担。</w:t>
      </w:r>
    </w:p>
    <w:p w14:paraId="2555807E">
      <w:pPr>
        <w:pStyle w:val="10"/>
        <w:jc w:val="left"/>
        <w:rPr>
          <w:rFonts w:hint="eastAsia" w:ascii="宋体" w:hAnsi="宋体"/>
          <w:snapToGrid w:val="0"/>
          <w:color w:val="auto"/>
          <w:kern w:val="0"/>
          <w:highlight w:val="none"/>
        </w:rPr>
      </w:pPr>
      <w:bookmarkStart w:id="330" w:name="_Toc519502267"/>
      <w:bookmarkStart w:id="331" w:name="_Toc514663876"/>
      <w:bookmarkStart w:id="332" w:name="_Toc520902773"/>
      <w:bookmarkStart w:id="333" w:name="_Toc520358247"/>
      <w:bookmarkStart w:id="334" w:name="_Toc514665299"/>
      <w:bookmarkStart w:id="335" w:name="_Toc517954590"/>
      <w:bookmarkStart w:id="336" w:name="_Toc517774577"/>
      <w:bookmarkStart w:id="337" w:name="_Toc514666990"/>
      <w:bookmarkStart w:id="338" w:name="_Toc514681199"/>
      <w:bookmarkStart w:id="339" w:name="_Toc520902844"/>
      <w:bookmarkStart w:id="340" w:name="_Toc35083112"/>
      <w:bookmarkStart w:id="341" w:name="_Toc516495993"/>
      <w:bookmarkStart w:id="342" w:name="_Toc514665160"/>
      <w:bookmarkStart w:id="343" w:name="_Toc519503097"/>
      <w:bookmarkStart w:id="344" w:name="_Toc514664877"/>
      <w:bookmarkStart w:id="345" w:name="_Toc520358071"/>
      <w:bookmarkStart w:id="346" w:name="_Toc514681780"/>
      <w:bookmarkStart w:id="347" w:name="_Toc520902622"/>
      <w:bookmarkStart w:id="348" w:name="_Toc520901477"/>
      <w:bookmarkStart w:id="349" w:name="_Toc518481749"/>
      <w:r>
        <w:rPr>
          <w:rFonts w:hint="eastAsia" w:ascii="宋体" w:hAnsi="宋体"/>
          <w:snapToGrid w:val="0"/>
          <w:color w:val="auto"/>
          <w:kern w:val="0"/>
          <w:highlight w:val="none"/>
        </w:rPr>
        <w:t>六、合同价款与支付</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1CEB4AB9">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25、合同价款及调整</w:t>
      </w:r>
    </w:p>
    <w:p w14:paraId="2985FCD1">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25.1招标工程的合同价款由发包人、承包人依据中标通知书中的中标价格在合同协议书内约定。非招标工程的合同价款由发包人、承包人依据工程预算书在合同协议书内约定。</w:t>
      </w:r>
    </w:p>
    <w:p w14:paraId="1E33D42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25.2合同价款在合同协议书内约定后，任何一方不得擅自改变。下列三种确定合同价款的方式，双方可在合同专用条款内约定采用其中一种：</w:t>
      </w:r>
    </w:p>
    <w:p w14:paraId="527B77C7">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（1）固定价格合同。双方在合同专用条款内约定合同价款包含的风险范围和风险费用的计算方法，在约定的风险范围内合同价款不再调整。风险范围以外的合同价款调整方法，应当在合同专用条款内约定。</w:t>
      </w:r>
    </w:p>
    <w:p w14:paraId="0CC2CE57">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（2）可调价格合同。合同价款可根据双方的约定而调整，双方在合同专用条款内约定合同价款调整方法。</w:t>
      </w:r>
    </w:p>
    <w:p w14:paraId="0ABC18B3">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（3）成本加酬金合同。合同价款包括成本和酬金两部分，双方在合同专用条款内约定成本构成和酬金的计算方法。</w:t>
      </w:r>
    </w:p>
    <w:p w14:paraId="257A9CC4">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25.3可调价格合同中合同价款的调整因素包括：</w:t>
      </w:r>
    </w:p>
    <w:p w14:paraId="5F6984E2">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（1）法律、行政法规和国家有关政策变化影响合同价款；</w:t>
      </w:r>
    </w:p>
    <w:p w14:paraId="6E840DD3">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（2）工程造价管理部门颁布的价格调整；</w:t>
      </w:r>
    </w:p>
    <w:p w14:paraId="48A2B1CF">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（3）一周内非承包人原因停水、停电、停气造成停工累计超过8小时；</w:t>
      </w:r>
    </w:p>
    <w:p w14:paraId="4D1F7E43">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（4）双方约定的其他因素。</w:t>
      </w:r>
    </w:p>
    <w:p w14:paraId="72F8D4E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25.4承包人应当在25.3款情况发生后14天内，将调整原因、金额以书面形式通知工程师，工程师确认调整金额后作为追加合同价款，与工程款同期支付。工程师收到承包人通知后14天内不予确认也不提出修改意见，视为已经同意该项调整。</w:t>
      </w:r>
    </w:p>
    <w:p w14:paraId="2345D840">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26、工程预付款</w:t>
      </w:r>
    </w:p>
    <w:p w14:paraId="182A950F">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实行工程预付款的，双方应当在合同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14:paraId="30EE0076">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27、工程量的确认</w:t>
      </w:r>
    </w:p>
    <w:p w14:paraId="051673A3">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27.1承包人应按合同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14:paraId="05B066AB">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27.2工程师收到承包人报告后7天内未进行计量，从第8天起，承包人报告中开列的工程量即视为被确认，作为工程价款支付的依据。工程师不按约定时间通知承包人，致使承包人未能参加计量，计量结果无效。</w:t>
      </w:r>
    </w:p>
    <w:p w14:paraId="6EBE76EC">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27.3对承包人超出设计图纸范围和因承包人原因造成返工的工程量，工程师不予计量。</w:t>
      </w:r>
    </w:p>
    <w:p w14:paraId="600418BE">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28、工程款（进度款）支付</w:t>
      </w:r>
    </w:p>
    <w:p w14:paraId="476EAAC6">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28.1在确认计量结果后14天内，发包人应向承包人支付工程款（进度款）。按约定时间发包人应扣回的预付款，与工程款（进度款）同期结算。</w:t>
      </w:r>
    </w:p>
    <w:p w14:paraId="64E7B88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28.2合同通用条款第25条确定调整的合同价款，第33条工程变更调整的合同价款及其他条款中约定的追加合同价款，应与工程款（进度款）同期调整支付。</w:t>
      </w:r>
    </w:p>
    <w:p w14:paraId="2B84FBD9">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28.3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利息。</w:t>
      </w:r>
    </w:p>
    <w:p w14:paraId="45E7F5B2">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28.4发包人不按合同约定支付工程款（进度款），双方又未达成延期付款协议，导致施工无法进行，承包人可停止施工，由发包人承担违约责任。</w:t>
      </w:r>
    </w:p>
    <w:p w14:paraId="1BAB3C39">
      <w:pPr>
        <w:pStyle w:val="10"/>
        <w:jc w:val="both"/>
        <w:rPr>
          <w:rFonts w:hint="eastAsia" w:ascii="宋体" w:hAnsi="宋体"/>
          <w:snapToGrid w:val="0"/>
          <w:color w:val="auto"/>
          <w:kern w:val="0"/>
          <w:highlight w:val="none"/>
        </w:rPr>
      </w:pPr>
      <w:bookmarkStart w:id="350" w:name="_Toc514663877"/>
      <w:bookmarkStart w:id="351" w:name="_Toc520902845"/>
      <w:bookmarkStart w:id="352" w:name="_Toc514665300"/>
      <w:bookmarkStart w:id="353" w:name="_Toc517954591"/>
      <w:bookmarkStart w:id="354" w:name="_Toc520901478"/>
      <w:bookmarkStart w:id="355" w:name="_Toc520902774"/>
      <w:bookmarkStart w:id="356" w:name="_Toc514666991"/>
      <w:bookmarkStart w:id="357" w:name="_Toc514681200"/>
      <w:bookmarkStart w:id="358" w:name="_Toc520358248"/>
      <w:bookmarkStart w:id="359" w:name="_Toc514665161"/>
      <w:bookmarkStart w:id="360" w:name="_Toc514664878"/>
      <w:bookmarkStart w:id="361" w:name="_Toc35083113"/>
      <w:bookmarkStart w:id="362" w:name="_Toc517774578"/>
      <w:bookmarkStart w:id="363" w:name="_Toc518481750"/>
      <w:bookmarkStart w:id="364" w:name="_Toc519502268"/>
      <w:bookmarkStart w:id="365" w:name="_Toc519503098"/>
      <w:bookmarkStart w:id="366" w:name="_Toc520902623"/>
      <w:bookmarkStart w:id="367" w:name="_Toc514681781"/>
      <w:bookmarkStart w:id="368" w:name="_Toc516495994"/>
      <w:bookmarkStart w:id="369" w:name="_Toc520358072"/>
      <w:r>
        <w:rPr>
          <w:rFonts w:hint="eastAsia" w:ascii="宋体" w:hAnsi="宋体"/>
          <w:snapToGrid w:val="0"/>
          <w:color w:val="auto"/>
          <w:kern w:val="0"/>
          <w:highlight w:val="none"/>
        </w:rPr>
        <w:t>七、材料设备供应</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1ADC8905">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29、发包人供应材料设备</w:t>
      </w:r>
    </w:p>
    <w:p w14:paraId="5B9C9EFE">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29.1实行发包人供应材料设备的，双方应当约定发包人供应材料设备的一览表，作为合同附件。一览表包括发包人供应材料设备的品种、规格、型号、数量、单价、质量等级、提供时间和地点。</w:t>
      </w:r>
    </w:p>
    <w:p w14:paraId="668C4B4E">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29.2发包人按一览表约定的内容提供材料设备，并向承包人提供产品合格证明，对其质量负责。发包人在所供材料设备到货前24小时，以书面形式通知承包人，由承包人派人与发包人共同清点。</w:t>
      </w:r>
    </w:p>
    <w:p w14:paraId="0C52D047">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29.3发包人供应的材料设备，承包人派人参加清点后由承包人妥善保管，发包人支付相应保管费用。因承包人原因发生丢失损坏，由承包人负责赔偿。</w:t>
      </w:r>
    </w:p>
    <w:p w14:paraId="4C5F704B">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发包人未通知承包人清点，承包人不负责材料设备的保管，丢失损坏由发包人负责。</w:t>
      </w:r>
    </w:p>
    <w:p w14:paraId="35CB72EC">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29.4发包人供应的材料设备与一览表不符时，发包人承担有关责任。发包人应承担责任的具体内容，双方根据下列情况在合同专用条款内约定：</w:t>
      </w:r>
    </w:p>
    <w:p w14:paraId="686010F2">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（1）材料设备单价与一览表不符，由发包人承担所有价差；</w:t>
      </w:r>
    </w:p>
    <w:p w14:paraId="628498F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（2）材料设备的品种、规格、型号、质量等级与一览表不符，承包人可拒绝接收保管，由发包人运出施工场地并重新采购；</w:t>
      </w:r>
    </w:p>
    <w:p w14:paraId="53579A7F">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（3）发包人供应的材料规格、型号与一览表不符，经发包人同意，承包人可代为调剂串换，由发包人承担相应费用；</w:t>
      </w:r>
    </w:p>
    <w:p w14:paraId="218D8DC4">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（4）到货地点与一览表不符，由发包人负责运至一览表指定地点；</w:t>
      </w:r>
    </w:p>
    <w:p w14:paraId="5F4EF24E">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（5）供应数量少于一览表约定的数量时，由发包人补齐，多于一览表约定数量时，发包人负责将多出部分运出施工场地；</w:t>
      </w:r>
    </w:p>
    <w:p w14:paraId="136E4F23">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（6）到货时间早于一览表约定时间，由发包人承担因此发生的保管费用；到货时间迟于一览表约定的供应时间，发包人赔偿由此造成承包人损失，造成工期延误的，相应顺延工期。</w:t>
      </w:r>
    </w:p>
    <w:p w14:paraId="6302BCD1">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29.5发包人供应的材料设备使用前，由承包人负责检验或试验，不合格的不得使用，检验或试验费用由发包人承担。</w:t>
      </w:r>
    </w:p>
    <w:p w14:paraId="3E0CC42F">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29.6发包人供应材料设备的结算方法，双方在合同专用条款内约定。</w:t>
      </w:r>
    </w:p>
    <w:p w14:paraId="172CF84A">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30、承包人采购材料设备</w:t>
      </w:r>
    </w:p>
    <w:p w14:paraId="4948EF2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30.1承包人负责采购材料设备的，应按照合同专用条款约定及设计和有关标准要求采购，并提供产品合格证明，对材料设备质量负责。承包人在材料设备到货前24小时通知工程师清点。</w:t>
      </w:r>
    </w:p>
    <w:p w14:paraId="25D8F967">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30.2承包人采购的材料设备与设计或标准要求不符时，承包人应按工程师要求的时间运出施工场地，重新采购符合要求的产品，承担由此发生的费用，由此延误的工期不予顺延。</w:t>
      </w:r>
    </w:p>
    <w:p w14:paraId="40089BF8">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30.3承包人采购的材料设备在使用前，承包人应按工程师的要求进行检验或试验，不合格的不得使用，检验或试验费用由承包人承担。</w:t>
      </w:r>
    </w:p>
    <w:p w14:paraId="6467B044">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30.4工程师发现承包人采购并使用不符合设计或标准要求的材料或设备时，应要求由承包人负责修复、拆除或重新采购，并承担发生的费用，由此延误的工期不予顺延。</w:t>
      </w:r>
    </w:p>
    <w:p w14:paraId="746FDBB4">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30.5承包人需要使用代用材料时，应经工程师认可后才能使用，由此增减的合同价款双方以书面形式议定。</w:t>
      </w:r>
    </w:p>
    <w:p w14:paraId="6EAF5491">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30.6由承包人采购的材料设备，发包人不得指定生产厂或供应商。</w:t>
      </w:r>
    </w:p>
    <w:p w14:paraId="4D842B3D">
      <w:pPr>
        <w:pStyle w:val="10"/>
        <w:jc w:val="left"/>
        <w:rPr>
          <w:rFonts w:hint="eastAsia" w:ascii="宋体" w:hAnsi="宋体"/>
          <w:snapToGrid w:val="0"/>
          <w:color w:val="auto"/>
          <w:kern w:val="0"/>
          <w:highlight w:val="none"/>
        </w:rPr>
      </w:pPr>
      <w:bookmarkStart w:id="370" w:name="_Toc35083114"/>
      <w:bookmarkStart w:id="371" w:name="_Toc520358073"/>
      <w:bookmarkStart w:id="372" w:name="_Toc514681782"/>
      <w:bookmarkStart w:id="373" w:name="_Toc514665301"/>
      <w:bookmarkStart w:id="374" w:name="_Toc520358249"/>
      <w:bookmarkStart w:id="375" w:name="_Toc514664879"/>
      <w:bookmarkStart w:id="376" w:name="_Toc517774579"/>
      <w:bookmarkStart w:id="377" w:name="_Toc520901479"/>
      <w:bookmarkStart w:id="378" w:name="_Toc517954592"/>
      <w:bookmarkStart w:id="379" w:name="_Toc519503099"/>
      <w:bookmarkStart w:id="380" w:name="_Toc520902624"/>
      <w:bookmarkStart w:id="381" w:name="_Toc514666992"/>
      <w:bookmarkStart w:id="382" w:name="_Toc516495995"/>
      <w:bookmarkStart w:id="383" w:name="_Toc518481751"/>
      <w:bookmarkStart w:id="384" w:name="_Toc514663878"/>
      <w:bookmarkStart w:id="385" w:name="_Toc519502269"/>
      <w:bookmarkStart w:id="386" w:name="_Toc520902775"/>
      <w:bookmarkStart w:id="387" w:name="_Toc520902846"/>
      <w:bookmarkStart w:id="388" w:name="_Toc514681201"/>
      <w:bookmarkStart w:id="389" w:name="_Toc514665162"/>
      <w:r>
        <w:rPr>
          <w:rFonts w:hint="eastAsia" w:ascii="宋体" w:hAnsi="宋体"/>
          <w:snapToGrid w:val="0"/>
          <w:color w:val="auto"/>
          <w:kern w:val="0"/>
          <w:highlight w:val="none"/>
        </w:rPr>
        <w:t>八、工程变更</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3F4A6554">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31、工程设计变更</w:t>
      </w:r>
    </w:p>
    <w:p w14:paraId="34DC5108">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31.1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14:paraId="672FB528">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（1）更改工程有关部分的标高、基线、位置和尺寸；</w:t>
      </w:r>
    </w:p>
    <w:p w14:paraId="148821E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（2）增减合同中约定的工程量；</w:t>
      </w:r>
    </w:p>
    <w:p w14:paraId="54D05941">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（3）改变有关工程的施工时间和顺序；</w:t>
      </w:r>
    </w:p>
    <w:p w14:paraId="54E59931">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（4）其他有关工程变更需要的附加工作。</w:t>
      </w:r>
    </w:p>
    <w:p w14:paraId="4855A0D1">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因变更导致合同价款的增减及造成的承包人损失，由发包人承担，延误的工期相应顺延。</w:t>
      </w:r>
    </w:p>
    <w:p w14:paraId="5A6D1EB1">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31.2施工中承包人不得对原工程设计进行变更。因承包人擅自变更设计发生的费用和由此导致发包人的直接损失，由承包人承担，延误的工期不予顺延。</w:t>
      </w:r>
    </w:p>
    <w:p w14:paraId="31392F8B">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31.3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14:paraId="771F9CFF">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工程师同意采用承包人合理化建议，所发生的费用和获得的收益，发包人、承包人另行约定分担或分享。</w:t>
      </w:r>
    </w:p>
    <w:p w14:paraId="642F919A">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32、其他变更</w:t>
      </w:r>
    </w:p>
    <w:p w14:paraId="5FCF52CE">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合同履行中发包人要求变更工程质量标准及发生其他实质性变更，由双方协商解决。</w:t>
      </w:r>
    </w:p>
    <w:p w14:paraId="71973271">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33、确定变更价款</w:t>
      </w:r>
    </w:p>
    <w:p w14:paraId="69DEF144">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33.1承包人在工程变更确定后14天内，提出变更工程价款的报告，经工程师确认后调整合同价款。变更合同价款按下列方法进行：</w:t>
      </w:r>
    </w:p>
    <w:p w14:paraId="0F107E35">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（1）合同中已有适用于变更工程的价格，按合同已有的价格变更合同价款；</w:t>
      </w:r>
    </w:p>
    <w:p w14:paraId="6FFF8AB8">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（2）合同中只有类似于变更工程的价格，可以参照类似价格变更合同价款；</w:t>
      </w:r>
    </w:p>
    <w:p w14:paraId="7E4F5472">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（3）合同中没有适用或类似于变更工程的价格，由承包人提出适当的变更价款，经工程师确认后执行。</w:t>
      </w:r>
    </w:p>
    <w:p w14:paraId="71EC0EA2">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33.2承包人在双方确定变更后14天内不向工程师提出变更工程价款报告时，视为该项变更不涉及合同价款的变更。</w:t>
      </w:r>
    </w:p>
    <w:p w14:paraId="35A73EEF">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33.3工程师应在收到变更工程价款报告之日起14天内予以确认，工程师无正当理由不确认时，自变更工程价款报告送达之日起14天后视为变更工程价款报告已被确认。</w:t>
      </w:r>
    </w:p>
    <w:p w14:paraId="4CD1271C">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33.4工程师不同意承包人提出的变更价款，按合同通用条款第40条关于争议的约定处理。</w:t>
      </w:r>
    </w:p>
    <w:p w14:paraId="68A1E433">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33.5工程师确认增加的工程变更价款作为追加合同价款，与工程款同期支付。</w:t>
      </w:r>
    </w:p>
    <w:p w14:paraId="109442D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33.6因承包人自身原因导致的工程变更，承包人无权要求追加合同价款。</w:t>
      </w:r>
    </w:p>
    <w:p w14:paraId="71EEBEE1">
      <w:pPr>
        <w:pStyle w:val="10"/>
        <w:jc w:val="left"/>
        <w:rPr>
          <w:rFonts w:hint="eastAsia" w:ascii="宋体" w:hAnsi="宋体"/>
          <w:snapToGrid w:val="0"/>
          <w:color w:val="auto"/>
          <w:kern w:val="0"/>
          <w:highlight w:val="none"/>
        </w:rPr>
      </w:pPr>
      <w:bookmarkStart w:id="390" w:name="_Toc514681202"/>
      <w:bookmarkStart w:id="391" w:name="_Toc519503100"/>
      <w:bookmarkStart w:id="392" w:name="_Toc520902776"/>
      <w:bookmarkStart w:id="393" w:name="_Toc516495996"/>
      <w:bookmarkStart w:id="394" w:name="_Toc517774580"/>
      <w:bookmarkStart w:id="395" w:name="_Toc520358074"/>
      <w:bookmarkStart w:id="396" w:name="_Toc514665163"/>
      <w:bookmarkStart w:id="397" w:name="_Toc518481752"/>
      <w:bookmarkStart w:id="398" w:name="_Toc519502270"/>
      <w:bookmarkStart w:id="399" w:name="_Toc520358250"/>
      <w:bookmarkStart w:id="400" w:name="_Toc35083115"/>
      <w:bookmarkStart w:id="401" w:name="_Toc520902625"/>
      <w:bookmarkStart w:id="402" w:name="_Toc517954593"/>
      <w:bookmarkStart w:id="403" w:name="_Toc514666993"/>
      <w:bookmarkStart w:id="404" w:name="_Toc520901480"/>
      <w:bookmarkStart w:id="405" w:name="_Toc514665302"/>
      <w:bookmarkStart w:id="406" w:name="_Toc514663879"/>
      <w:bookmarkStart w:id="407" w:name="_Toc520902847"/>
      <w:bookmarkStart w:id="408" w:name="_Toc514681783"/>
      <w:bookmarkStart w:id="409" w:name="_Toc514664880"/>
      <w:r>
        <w:rPr>
          <w:rFonts w:hint="eastAsia" w:ascii="宋体" w:hAnsi="宋体"/>
          <w:snapToGrid w:val="0"/>
          <w:color w:val="auto"/>
          <w:kern w:val="0"/>
          <w:highlight w:val="none"/>
        </w:rPr>
        <w:t>九、竣工验收与结算</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669DA257">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34、竣工验收</w:t>
      </w:r>
    </w:p>
    <w:p w14:paraId="1D645F96">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34.1工程具备竣工验收条件，承包人按国家工程竣工验收有关规定，向发包人提供完整竣工资料及竣工验收报告。双方约定由承包人提供竣工图的，应当在合同专用条款约定提供的日期和份数。</w:t>
      </w:r>
    </w:p>
    <w:p w14:paraId="30AEB252">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34.2发包人收到竣工验收报告后28天内组织有关单位验收，并在验收后14天内给予认可或提出修改意见。承包人按要求修改，并承担由自身原因造成修改的费用。</w:t>
      </w:r>
    </w:p>
    <w:p w14:paraId="44FDC0C3">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34.3发包人收到承包人送交的竣工验收报告后28天内不组织验收，或验收后14天内不提出修改意见，视为竣工验收报告已被认可。</w:t>
      </w:r>
    </w:p>
    <w:p w14:paraId="6DFD358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34.4工程竣工验收通过，承包人送交竣工验收报告的日期为实际竣工日期。工程按发包人要求修改后通过竣工验收的，实际竣工日期为承包人修改后提请发包人验收的日期。</w:t>
      </w:r>
    </w:p>
    <w:p w14:paraId="7254B3B1">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34.5发包人收到承包人竣工验收报告后28天内不组织验收，从第29天起承担工程保管及一切意外责任。</w:t>
      </w:r>
    </w:p>
    <w:p w14:paraId="40260A0B">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34.6中间交工工程的范围和竣工时间，双方在合同专用条款内约定，其验收程序按合同通用条款34.1款至34.4款办理。</w:t>
      </w:r>
    </w:p>
    <w:p w14:paraId="6876C256">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34.7因特殊原因，发包人要求部分单位工程或工程部位甩项竣工的，双方另行签订甩项竣工协议，明确双方责任和工程价款的支付方法。</w:t>
      </w:r>
    </w:p>
    <w:p w14:paraId="4E465B2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34.8工程未经竣工验收或竣工验收未通过的，发包人不得使用。发包人强行使用时，由此发生的质量问题及其他问题，由发包人承担责任。</w:t>
      </w:r>
    </w:p>
    <w:p w14:paraId="09F40A53">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35、工程移交</w:t>
      </w:r>
    </w:p>
    <w:p w14:paraId="0CAEFD1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双方在合同专用条款内约定工程移交办法。</w:t>
      </w:r>
    </w:p>
    <w:p w14:paraId="218F181E">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36、竣工结算</w:t>
      </w:r>
    </w:p>
    <w:p w14:paraId="4BA6A25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36.1工程竣工验收报告经发包人认可后28天内，承包人向发包人递交竣工结算报告及完整的结算资料，双方按照合同协议书约定的合同价款及合同专用条款约定的合同价款调整内容，进行工程竣工结算。</w:t>
      </w:r>
    </w:p>
    <w:p w14:paraId="370C8AD5">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36.2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p>
    <w:p w14:paraId="466A0CB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36.3发包人收到竣工结算报告及结算资料后28天内无正当理由不支付工程竣工结算价款，从第29天起按照全国银行间同业拆借中心公布的贷款市场报价利率计算并支付拖欠工程价款的利息，并承担违约责任。</w:t>
      </w:r>
    </w:p>
    <w:p w14:paraId="349DB12F">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36.4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14:paraId="51DFF76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36.5工程竣工验收报告经发包人认可后28天内，承包人未能向发包人递交竣工结算报告及完整的结算资料，造成工程竣工结算不能正常进行或工程竣工结算价款不能及时进行支付，发包人要求交付工程的，承包人应当交付；发包人不要求交付工程的，承包人承担保管责任。</w:t>
      </w:r>
    </w:p>
    <w:p w14:paraId="0F062E7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36.6发包人、承包人对工程竣工结算价款发生争议时，按合同通用条款40条关于争议的约定处理。</w:t>
      </w:r>
    </w:p>
    <w:p w14:paraId="1AC45E1F">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36.7 本项目作为政府投资项目已纳入年度审计项目计划，审计机关出具的审计结果应当作为该政府项目价款结算的依据。</w:t>
      </w:r>
    </w:p>
    <w:p w14:paraId="22C8740F">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37、质量保修</w:t>
      </w:r>
    </w:p>
    <w:p w14:paraId="4BB5F15C">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37.1承包人应按法律、行政法规或国家关于工程质量保修的有关规定，对交付发包人使用的工程在质量保修期内承担质量保修责任。</w:t>
      </w:r>
    </w:p>
    <w:p w14:paraId="20C55F3C">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37.2质量保修工作的实施。承包人应在工程竣工验收之前，与发包人签订质量保修书，作为合同附件1。</w:t>
      </w:r>
    </w:p>
    <w:p w14:paraId="7F5BE0D9">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37.3质量保修书的主要内容包括：</w:t>
      </w:r>
    </w:p>
    <w:p w14:paraId="4D6AA709">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（1）质量保修项目内容及范围；</w:t>
      </w:r>
    </w:p>
    <w:p w14:paraId="512FE31F">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（2）质量保修期；</w:t>
      </w:r>
    </w:p>
    <w:p w14:paraId="2545F1C3">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（3）质量保修责任；</w:t>
      </w:r>
    </w:p>
    <w:p w14:paraId="6FFB1308">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（4）质量保证金的支付方法。</w:t>
      </w:r>
    </w:p>
    <w:p w14:paraId="7248F4DC">
      <w:pPr>
        <w:pStyle w:val="10"/>
        <w:jc w:val="left"/>
        <w:rPr>
          <w:rFonts w:hint="eastAsia" w:ascii="宋体" w:hAnsi="宋体"/>
          <w:snapToGrid w:val="0"/>
          <w:color w:val="auto"/>
          <w:kern w:val="0"/>
          <w:highlight w:val="none"/>
        </w:rPr>
      </w:pPr>
      <w:bookmarkStart w:id="410" w:name="_Toc519503101"/>
      <w:bookmarkStart w:id="411" w:name="_Toc514681784"/>
      <w:bookmarkStart w:id="412" w:name="_Toc514665164"/>
      <w:bookmarkStart w:id="413" w:name="_Toc519502271"/>
      <w:bookmarkStart w:id="414" w:name="_Toc520902777"/>
      <w:bookmarkStart w:id="415" w:name="_Toc516495997"/>
      <w:bookmarkStart w:id="416" w:name="_Toc514665303"/>
      <w:bookmarkStart w:id="417" w:name="_Toc518481753"/>
      <w:bookmarkStart w:id="418" w:name="_Toc35083116"/>
      <w:bookmarkStart w:id="419" w:name="_Toc514666994"/>
      <w:bookmarkStart w:id="420" w:name="_Toc514681203"/>
      <w:bookmarkStart w:id="421" w:name="_Toc520358251"/>
      <w:bookmarkStart w:id="422" w:name="_Toc520902848"/>
      <w:bookmarkStart w:id="423" w:name="_Toc514663880"/>
      <w:bookmarkStart w:id="424" w:name="_Toc520901481"/>
      <w:bookmarkStart w:id="425" w:name="_Toc517774581"/>
      <w:bookmarkStart w:id="426" w:name="_Toc514664881"/>
      <w:bookmarkStart w:id="427" w:name="_Toc520358075"/>
      <w:bookmarkStart w:id="428" w:name="_Toc520902626"/>
      <w:bookmarkStart w:id="429" w:name="_Toc517954594"/>
      <w:r>
        <w:rPr>
          <w:rFonts w:hint="eastAsia" w:ascii="宋体" w:hAnsi="宋体"/>
          <w:snapToGrid w:val="0"/>
          <w:color w:val="auto"/>
          <w:kern w:val="0"/>
          <w:highlight w:val="none"/>
        </w:rPr>
        <w:t>十、违约、索赔和争议</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1B5A44C3">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38、违约</w:t>
      </w:r>
    </w:p>
    <w:p w14:paraId="40808658">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38.1发包人违约。当发生下列情况时：</w:t>
      </w:r>
    </w:p>
    <w:p w14:paraId="308AA4F5">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（1）合同通用条款第26条提到的发包人不按时支付工程预付款；</w:t>
      </w:r>
    </w:p>
    <w:p w14:paraId="37BAB939">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（2）合同通用条款第28.4款提到的发包人不按合同约定支付工程款，导致施工无法进行；</w:t>
      </w:r>
    </w:p>
    <w:p w14:paraId="658C8C3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（3）合同通用条款第36.3款提到的发包人无正当理由不支付工程竣工结算价款；</w:t>
      </w:r>
    </w:p>
    <w:p w14:paraId="2081056F">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（4）发包人不履行合同义务或不按合同约定履行义务的其他情况。</w:t>
      </w:r>
    </w:p>
    <w:p w14:paraId="1DDBA7E1">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发包人承担违约责任，赔偿因其违约给承包人造成的经济损失，顺延延误的工期。双方在合同专用条款内约定发包人赔偿承包人损失的计算方法或者发包人应当支付违约金的数额或计算方法。</w:t>
      </w:r>
    </w:p>
    <w:p w14:paraId="2C4E2F5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38.2承包人违约。当发生下列情况时：</w:t>
      </w:r>
    </w:p>
    <w:p w14:paraId="37DE7F47">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（1）合同通用条款第14.2款提到的因承包人原因不能按照合同协议书约定的竣工日期或工程师同意顺延的工期竣工；</w:t>
      </w:r>
    </w:p>
    <w:p w14:paraId="16CE62E2">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（2）合同通用条款第15.1款提到的因承包人原因工程质量达不到合同协议书约定的质量标准；</w:t>
      </w:r>
    </w:p>
    <w:p w14:paraId="398D63E6">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（3）承包人不履行合同义务或不按合同约定履行义务的其他情况。</w:t>
      </w:r>
    </w:p>
    <w:p w14:paraId="0B4AF243">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承包人承担违约，赔偿因其违约给发包人造成的损失。双方在合同专用条款内约定承包人赔偿发包人损失的计算方法或者承包人应当支付违约金的数额或计算方法。</w:t>
      </w:r>
    </w:p>
    <w:p w14:paraId="61666477">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38.3一方违约后，另一方要求违约方继续履行合同时，违约方承担上述违约责任后仍应继续履行合同。</w:t>
      </w:r>
    </w:p>
    <w:p w14:paraId="3A0C054A">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39、索赔</w:t>
      </w:r>
    </w:p>
    <w:p w14:paraId="25145C7F">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39.1当一方向另一方提出索赔时，要有正当索赔理由，且有索赔事件发生时的有效证据。</w:t>
      </w:r>
    </w:p>
    <w:p w14:paraId="156F266C">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39.2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14:paraId="3651243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（1）索赔事件发生后28天内，向工程师发出索赔意向通知；</w:t>
      </w:r>
    </w:p>
    <w:p w14:paraId="17AF791F">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（2）发出索赔意向通知后28天内，向工程师提出延长工期和（或）补偿经济损失的索赔报告及有关资料；</w:t>
      </w:r>
    </w:p>
    <w:p w14:paraId="1E2F3A92">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（3）工程师在收到承包人送交的索赔报告和有关资料后，于28天内给予答复，或要求承包人进一步补充索赔理由和证据；</w:t>
      </w:r>
    </w:p>
    <w:p w14:paraId="6FD4DAAF">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（4）工程师在收到承包人送交的索赔报告和有关资料后28天内未予答复或未对承包人作出进一步要求，视为该项索赔已经认可；</w:t>
      </w:r>
    </w:p>
    <w:p w14:paraId="1D12E0B9">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（5）当该索赔事件持续进行时，承包人应当阶段性向工程师发出索赔意向，在索赔事件终了后28天内，向工程师送交索赔的有关资料和最终索赔报告。索赔答复程序与（3）、（4）规定相同。</w:t>
      </w:r>
    </w:p>
    <w:p w14:paraId="6D1A266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39.3承包人未能按合同约定履行自己的各项义务或发生错误，给发包人造成经济损失，发包人可按39.2款确定的时限向承包人提出索赔。</w:t>
      </w:r>
    </w:p>
    <w:p w14:paraId="07BC127C">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40、争议</w:t>
      </w:r>
    </w:p>
    <w:p w14:paraId="2DCC1E6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40.1发包人、承包人在履行合同时发生争议，可以和解或者要求有关主管部门调解。当事人不愿和解、调解或者和解、调解不成的，双方约定以</w:t>
      </w:r>
      <w:r>
        <w:rPr>
          <w:rFonts w:hint="eastAsia" w:ascii="宋体" w:hAnsi="宋体" w:eastAsia="宋体" w:cs="宋体"/>
          <w:snapToGrid w:val="0"/>
          <w:color w:val="auto"/>
          <w:kern w:val="0"/>
          <w:sz w:val="24"/>
          <w:highlight w:val="none"/>
          <w:u w:val="single"/>
        </w:rPr>
        <w:t xml:space="preserve"> 第二种 </w:t>
      </w:r>
      <w:r>
        <w:rPr>
          <w:rFonts w:hint="eastAsia" w:ascii="宋体" w:hAnsi="宋体" w:eastAsia="宋体" w:cs="宋体"/>
          <w:snapToGrid w:val="0"/>
          <w:color w:val="auto"/>
          <w:kern w:val="0"/>
          <w:sz w:val="24"/>
          <w:highlight w:val="none"/>
        </w:rPr>
        <w:t>方式解决争议：</w:t>
      </w:r>
    </w:p>
    <w:p w14:paraId="12E9687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第一种解决方式：双方达成仲裁协议，向约定的仲裁委员会申请仲裁；</w:t>
      </w:r>
    </w:p>
    <w:p w14:paraId="7D801D36">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第二种解决方式：向有管辖权的人民法院起诉。</w:t>
      </w:r>
    </w:p>
    <w:p w14:paraId="613D11E1">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40.2发生争议后，除非出现下列情况的，双方都应继续履行合同，保持施工连续，保护好已完工程：</w:t>
      </w:r>
    </w:p>
    <w:p w14:paraId="2D4133E7">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（1）单方违约导致合同确已无法履行，双方协议停止施工；</w:t>
      </w:r>
    </w:p>
    <w:p w14:paraId="35DBACF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（2）调解要求停止施工，且为双方接受；</w:t>
      </w:r>
    </w:p>
    <w:p w14:paraId="1684F69E">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（3）仲裁机构要求停止施工；</w:t>
      </w:r>
    </w:p>
    <w:p w14:paraId="0B69C348">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（4）法院要求停止施工。</w:t>
      </w:r>
    </w:p>
    <w:p w14:paraId="0A4CC0E8">
      <w:pPr>
        <w:pStyle w:val="10"/>
        <w:jc w:val="left"/>
        <w:rPr>
          <w:rFonts w:hint="eastAsia" w:ascii="宋体" w:hAnsi="宋体"/>
          <w:snapToGrid w:val="0"/>
          <w:color w:val="auto"/>
          <w:kern w:val="0"/>
          <w:highlight w:val="none"/>
        </w:rPr>
      </w:pPr>
      <w:bookmarkStart w:id="430" w:name="_Toc520902849"/>
      <w:bookmarkStart w:id="431" w:name="_Toc514663881"/>
      <w:bookmarkStart w:id="432" w:name="_Toc514665165"/>
      <w:bookmarkStart w:id="433" w:name="_Toc518481754"/>
      <w:bookmarkStart w:id="434" w:name="_Toc514681785"/>
      <w:bookmarkStart w:id="435" w:name="_Toc517774582"/>
      <w:bookmarkStart w:id="436" w:name="_Toc516495998"/>
      <w:bookmarkStart w:id="437" w:name="_Toc520901482"/>
      <w:bookmarkStart w:id="438" w:name="_Toc514681204"/>
      <w:bookmarkStart w:id="439" w:name="_Toc35083117"/>
      <w:bookmarkStart w:id="440" w:name="_Toc520358252"/>
      <w:bookmarkStart w:id="441" w:name="_Toc520358076"/>
      <w:bookmarkStart w:id="442" w:name="_Toc514664882"/>
      <w:bookmarkStart w:id="443" w:name="_Toc520902627"/>
      <w:bookmarkStart w:id="444" w:name="_Toc514665304"/>
      <w:bookmarkStart w:id="445" w:name="_Toc520902778"/>
      <w:bookmarkStart w:id="446" w:name="_Toc514666995"/>
      <w:bookmarkStart w:id="447" w:name="_Toc517954595"/>
      <w:bookmarkStart w:id="448" w:name="_Toc519503102"/>
      <w:bookmarkStart w:id="449" w:name="_Toc519502272"/>
      <w:r>
        <w:rPr>
          <w:rFonts w:hint="eastAsia" w:ascii="宋体" w:hAnsi="宋体"/>
          <w:snapToGrid w:val="0"/>
          <w:color w:val="auto"/>
          <w:kern w:val="0"/>
          <w:highlight w:val="none"/>
        </w:rPr>
        <w:t>十一、其他</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45E4BC5B">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41、工程分包</w:t>
      </w:r>
    </w:p>
    <w:p w14:paraId="677C993C">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41.1承包人按合同专用条款的约定分包所承包的部分工程，并与分包单位签订分包合同。非经发包人同意，承包人不得将承包工程的任何部分分包。</w:t>
      </w:r>
    </w:p>
    <w:p w14:paraId="2210B59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41.2承包人不得将其承包的全部工程转包给他人，也不得将其承包的全部工程肢解以后以分包的名义分别转包给他人。</w:t>
      </w:r>
    </w:p>
    <w:p w14:paraId="59986CE8">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41.3工程分包不能解除承包人任何责任与义务。承包人应在分包场地派驻相应管理人员，保证本合同的履行。分包单位的任何违约行为或疏忽导致工程损害或给发包人造成其他损失，承包人承担连带责任。</w:t>
      </w:r>
    </w:p>
    <w:p w14:paraId="57AEA24E">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41.4分包工程价款由承包人与发包单位结算。发包人未经承包人同意不得以任何形式向分包单位支付各种工程款项。</w:t>
      </w:r>
    </w:p>
    <w:p w14:paraId="24FD2118">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42、不可抗力</w:t>
      </w:r>
    </w:p>
    <w:p w14:paraId="15806D92">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42.1不可抗力包括因战争、动乱、空中飞行物体坠落或其他非发包人、承包人责任造成的爆炸、火灾，以及合同专用条款约定的风、雨、雪、洪、震等自然灾害。</w:t>
      </w:r>
    </w:p>
    <w:p w14:paraId="06CC035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42.2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14:paraId="74FE57C3">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42.3因不可抗力事件导致的费用及延误的工期由双方按以下方法分别承担：</w:t>
      </w:r>
    </w:p>
    <w:p w14:paraId="685DD777">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（1）工程本身的损害、因工程损害导致第三人人员伤亡和财产损失以及运至施工场地用于施工的材料和待安装的设备的损害，由发包人承担；</w:t>
      </w:r>
    </w:p>
    <w:p w14:paraId="64A4527C">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（2）发包人、承包人人员伤亡由其所在单位负责，并承担相应费用；</w:t>
      </w:r>
    </w:p>
    <w:p w14:paraId="2EFD833F">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（3）承包人机械设备损坏及停工损失，由承包人承担；</w:t>
      </w:r>
    </w:p>
    <w:p w14:paraId="2E99CA4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（4）停工期间，承包人应工程师要求留在施工场地的必要的管理人员及保卫人员的费用由发包人承担；</w:t>
      </w:r>
    </w:p>
    <w:p w14:paraId="05B0E639">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（5）工程所需清理、修复费用，由发包人承担；</w:t>
      </w:r>
    </w:p>
    <w:p w14:paraId="3242558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（6）延误的工期相应顺延。</w:t>
      </w:r>
    </w:p>
    <w:p w14:paraId="3AB8A22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42.4因合同一方迟延履行合同后发生不可抗力的，不能免除迟延履行方的相应责任。</w:t>
      </w:r>
    </w:p>
    <w:p w14:paraId="2E45C207">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43、保险</w:t>
      </w:r>
    </w:p>
    <w:p w14:paraId="7295C42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43.1工程开工前，发包人为建设工程和施工场地内的自有人员及第三人人员生命财产办理保险，支付保险费用。</w:t>
      </w:r>
    </w:p>
    <w:p w14:paraId="7AAD75F8">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43.2运至施工场地内用于工程的材料和待安装设备，由发包人办理保险，并支付保险费用。</w:t>
      </w:r>
    </w:p>
    <w:p w14:paraId="7648C2A4">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43.3发包人可以将有关保险事项委托承包人办理，费用由发包人承担。</w:t>
      </w:r>
    </w:p>
    <w:p w14:paraId="344D3CC4">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43.4承包人必须为从事危险作业的职工办理意外伤害保险，并为施工场地内自有人员生命财产和施工机械设备办理保险，支付保险费用。</w:t>
      </w:r>
    </w:p>
    <w:p w14:paraId="661DF34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43.5保险事故发生时，发包人、承包人有责任尽力采取必要的措施，防止或者减少损失。</w:t>
      </w:r>
    </w:p>
    <w:p w14:paraId="24B7ECE1">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43.6具体投保内容和相关责任，发包人、承包人在合同专用条款中约定。</w:t>
      </w:r>
    </w:p>
    <w:p w14:paraId="0019159A">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44、担保</w:t>
      </w:r>
    </w:p>
    <w:p w14:paraId="6A919C95">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44.1发包人、承包人为了全面履行合同，应互相提供以下担保：</w:t>
      </w:r>
    </w:p>
    <w:p w14:paraId="2BA05A1E">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（1）发包人向承包人提供履约担保，按合同约定支付工程价款及履行合同约定的其他义务。</w:t>
      </w:r>
    </w:p>
    <w:p w14:paraId="1E6C65A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（2）承包人向发包人提供履约担保，按合同约定履行自己的各项义务。</w:t>
      </w:r>
    </w:p>
    <w:p w14:paraId="102B856F">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44.2一方违约后，另一方可要求提供担保的第三人承担相应责任。</w:t>
      </w:r>
    </w:p>
    <w:p w14:paraId="5B4D89C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44.3提供担保的内容、方式和相关责任，发包人、承包人除在合同专用条款中约定外，被担保方与担保方还应签订担保合同，作为合同附件。</w:t>
      </w:r>
    </w:p>
    <w:p w14:paraId="074DC81B">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45、专利技术及特殊工艺</w:t>
      </w:r>
    </w:p>
    <w:p w14:paraId="1416A33E">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45.1发包人要求使用专利技术或特殊工艺，应负责办理相应的申报手续，承担申报、试验、使用等费用；承包人提出使用专利技术或特殊工艺，应取得工程师认可，承包人负责办理申报手续并承担有关费用。</w:t>
      </w:r>
    </w:p>
    <w:p w14:paraId="0ADE4DD3">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45.2擅自使用专利技术侵犯他人专利权的，责任者依法承担相应责任。</w:t>
      </w:r>
    </w:p>
    <w:p w14:paraId="71A190E3">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46、文物和地下障碍物</w:t>
      </w:r>
    </w:p>
    <w:p w14:paraId="598EBA81">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46.1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管理部门的要求采取妥善保护措施。发包人承担由此发生的费用，顺延延误的工期。</w:t>
      </w:r>
    </w:p>
    <w:p w14:paraId="11BE15A8">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如发现隐瞒不报，致使文物遭受破坏，责任者依法承担相应责任。</w:t>
      </w:r>
    </w:p>
    <w:p w14:paraId="6B81FC89">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46.2施工中发现影响施工的地下障碍物时，承包人应于8小时内以书面形式通知工程师，同时提出处置方案，工程师收到处置方案后24小时内予以认可或提出修正方案。发包人承担由此发生的费用，顺延延误的工期。</w:t>
      </w:r>
    </w:p>
    <w:p w14:paraId="63514FF4">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所发现的地下障碍物有归属单位时，发包人应报请有关部门协同处置。</w:t>
      </w:r>
    </w:p>
    <w:p w14:paraId="36BA0FD9">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47、合同解除</w:t>
      </w:r>
    </w:p>
    <w:p w14:paraId="71EB8584">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47.1发包人、承包人协商一致，可以解除合同。</w:t>
      </w:r>
    </w:p>
    <w:p w14:paraId="37909B12">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47.2发生合同通用条款第28.4款情况，停止施工超过56天，发包人仍不支付工程款（进度款），承包人有权解除合同。</w:t>
      </w:r>
    </w:p>
    <w:p w14:paraId="5492F635">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47.3发生合同通用条款第41.2款禁止的情况，承包人将其承包的全部工程转包给他人或者肢解以后以分包的名义分别转包给他人，发包人有权解除合同。</w:t>
      </w:r>
    </w:p>
    <w:p w14:paraId="57FE93F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47.4有下列情形之一的，发包人、承包人可以解除合同：</w:t>
      </w:r>
    </w:p>
    <w:p w14:paraId="7F4432F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（1）因不可抗力致使合同无法履行；</w:t>
      </w:r>
    </w:p>
    <w:p w14:paraId="24F8E169">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（2）因一方违约（包括因发包人原因造成工程停建或缓建）致使合同无法履行。</w:t>
      </w:r>
    </w:p>
    <w:p w14:paraId="2305BA29">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47.5一方依据本条第47.2、47.3、47.4款约定要求解除合同的，应以书面形式向对方发出解除合同的通知，并在发出通知前7天告知对方，通知到达对方时合同解除。对解除合同有争议的，按合同通用条款第40条关于争议的约定处理。</w:t>
      </w:r>
    </w:p>
    <w:p w14:paraId="57CFA4FE">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47.6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14:paraId="63C3818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47.7合同解除后，不影响双方在合同约定的结算和清理条款的效力。</w:t>
      </w:r>
    </w:p>
    <w:p w14:paraId="6C727490">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48、合同生效与终止</w:t>
      </w:r>
    </w:p>
    <w:p w14:paraId="6E523E8E">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48.1双方在合同协议书中约定合同生效方式。</w:t>
      </w:r>
    </w:p>
    <w:p w14:paraId="59F1086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48.2除合同通用条款第40条外，发包人、承包人履行合同全部义务，竣工结算价款支付完毕，承包人向发包人交付竣工工程后，本合同即告终止。</w:t>
      </w:r>
    </w:p>
    <w:p w14:paraId="01761AD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48.3合同的权利义务终止后，发包人、承包人应当遵循诚实信用原则，履行通知，协助、保密等义务。</w:t>
      </w:r>
    </w:p>
    <w:p w14:paraId="53975353">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49、合同份数</w:t>
      </w:r>
    </w:p>
    <w:p w14:paraId="6B3E5278">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49.1本合同正本两份，具有同等效力，由发包人、承包人分别保存一份。</w:t>
      </w:r>
    </w:p>
    <w:p w14:paraId="5A29407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49.2本合同副本份数，由双方根据需要在合同专用条款内约定。</w:t>
      </w:r>
    </w:p>
    <w:p w14:paraId="0DB3797D">
      <w:pPr>
        <w:adjustRightInd w:val="0"/>
        <w:snapToGrid w:val="0"/>
        <w:spacing w:line="360" w:lineRule="auto"/>
        <w:ind w:firstLine="472" w:firstLineChars="196"/>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50、补充条款</w:t>
      </w:r>
    </w:p>
    <w:p w14:paraId="4C5E864B">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双方根据有关法律、行政法规规定，结合工程实际，经协商一致后，可对合同通用条款内容具体化、补充或修改，在合同专用条款内约定。</w:t>
      </w:r>
    </w:p>
    <w:p w14:paraId="76EFDA11">
      <w:pPr>
        <w:pStyle w:val="6"/>
        <w:rPr>
          <w:rFonts w:hint="eastAsia" w:ascii="宋体" w:hAnsi="宋体"/>
          <w:snapToGrid w:val="0"/>
          <w:color w:val="auto"/>
          <w:kern w:val="0"/>
          <w:highlight w:val="none"/>
        </w:rPr>
      </w:pPr>
      <w:r>
        <w:rPr>
          <w:rFonts w:hint="eastAsia" w:ascii="宋体" w:hAnsi="宋体" w:cs="宋体"/>
          <w:snapToGrid w:val="0"/>
          <w:color w:val="auto"/>
          <w:kern w:val="0"/>
          <w:sz w:val="24"/>
          <w:highlight w:val="none"/>
        </w:rPr>
        <w:br w:type="page"/>
      </w:r>
      <w:bookmarkStart w:id="450" w:name="_Toc114651585"/>
      <w:r>
        <w:rPr>
          <w:rFonts w:hint="eastAsia" w:ascii="宋体" w:hAnsi="宋体"/>
          <w:snapToGrid w:val="0"/>
          <w:color w:val="auto"/>
          <w:kern w:val="0"/>
          <w:highlight w:val="none"/>
        </w:rPr>
        <w:t>第三篇  合同专用条款</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450"/>
    </w:p>
    <w:p w14:paraId="67B147D8">
      <w:pPr>
        <w:pStyle w:val="47"/>
        <w:adjustRightInd w:val="0"/>
        <w:snapToGrid w:val="0"/>
        <w:spacing w:line="360" w:lineRule="auto"/>
        <w:ind w:left="239" w:leftChars="114" w:firstLine="314" w:firstLineChars="131"/>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本部分条款的序号与合同通用条款的序号相对应，是根据本工程的实际情况对合同通用条款中相对应条款进行修改、补充或否定，其适用顺序优先于合同通用条款。本部分条款未阐明的内容，则按合同通用条款的有关约定执行）</w:t>
      </w:r>
    </w:p>
    <w:p w14:paraId="725764BC">
      <w:pPr>
        <w:pStyle w:val="10"/>
        <w:rPr>
          <w:rFonts w:hint="eastAsia" w:ascii="宋体" w:hAnsi="宋体"/>
          <w:snapToGrid w:val="0"/>
          <w:color w:val="auto"/>
          <w:kern w:val="0"/>
          <w:highlight w:val="none"/>
        </w:rPr>
      </w:pPr>
      <w:bookmarkStart w:id="451" w:name="_Toc514666972"/>
      <w:bookmarkStart w:id="452" w:name="_Toc514665281"/>
      <w:bookmarkStart w:id="453" w:name="_Toc516495975"/>
      <w:bookmarkStart w:id="454" w:name="_Toc520902826"/>
      <w:bookmarkStart w:id="455" w:name="_Toc514663857"/>
      <w:bookmarkStart w:id="456" w:name="_Toc514681762"/>
      <w:bookmarkStart w:id="457" w:name="_Toc35083094"/>
      <w:bookmarkStart w:id="458" w:name="_Toc518481731"/>
      <w:bookmarkStart w:id="459" w:name="_Toc520902604"/>
      <w:bookmarkStart w:id="460" w:name="_Toc519502249"/>
      <w:bookmarkStart w:id="461" w:name="_Toc520358229"/>
      <w:bookmarkStart w:id="462" w:name="_Toc520358053"/>
      <w:bookmarkStart w:id="463" w:name="_Toc517954572"/>
      <w:bookmarkStart w:id="464" w:name="_Toc520902755"/>
      <w:bookmarkStart w:id="465" w:name="_Toc517774559"/>
      <w:bookmarkStart w:id="466" w:name="_Toc520901459"/>
      <w:bookmarkStart w:id="467" w:name="_Toc514665142"/>
      <w:bookmarkStart w:id="468" w:name="_Toc514664859"/>
      <w:bookmarkStart w:id="469" w:name="_Toc519503079"/>
      <w:bookmarkStart w:id="470" w:name="_Toc514681181"/>
      <w:r>
        <w:rPr>
          <w:rFonts w:hint="eastAsia" w:ascii="宋体" w:hAnsi="宋体"/>
          <w:snapToGrid w:val="0"/>
          <w:color w:val="auto"/>
          <w:kern w:val="0"/>
          <w:highlight w:val="none"/>
        </w:rPr>
        <w:t>总  则</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6700480F">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根据建设项目管理规范和本工程管理实际，本合同工程将实行社会化、专业化的管理模式。发包人将授权监理单位依据有关法律法规、规范和合同，充分行使其严格控制工程进度与投资以及进行合同、信息管理和协调处理现场等有关工程问题的权力，确保工程质量与安全。</w:t>
      </w:r>
    </w:p>
    <w:p w14:paraId="0A52A24E">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2、发包人通过监理单位下达指令，监督承包人履约行为，承包人所有请求事项由监理单位协调并一般均通过监理单位接受或提出处理意见（发包人有特别要求和规定的除外）。</w:t>
      </w:r>
    </w:p>
    <w:p w14:paraId="5A6D577C">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3、考虑到本工程的重要性，发包人将采取较为严密的组织管理形式，承包人需投入有别于其他项目的人力、物力，以满足本工程施工需要。</w:t>
      </w:r>
    </w:p>
    <w:p w14:paraId="3D3008D2">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4、发包人根据工程推进实际情况，有权要求承包人的分管生产安全的副总经理在必要阶段常驻施工现场，协调各种事项。</w:t>
      </w:r>
    </w:p>
    <w:p w14:paraId="45126B71">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为保证本工程建设有序、规范和顺利进行，承包人必须主动支持并配合发包人工作，对发包人正确合理符合合同要求的指令和书面通知，若无正当理由又未提前向发包人报告并得到书面认可，而公开或变相拒不执行的，应按合同专用条款第38.4（1）款的约定承担违约责任并赔偿由此造成发包人的一切经济损失。</w:t>
      </w:r>
    </w:p>
    <w:p w14:paraId="0E95221C">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6、承包人承诺遵守发包人所制定的针对本工程管理的各项制度、规定，这些管理制度、规定必须符合下列原则：</w:t>
      </w:r>
    </w:p>
    <w:p w14:paraId="7899BE4E">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（1）符合国家、广东省、广州市的有关法律法规、规范和标准；</w:t>
      </w:r>
    </w:p>
    <w:p w14:paraId="524800D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（2）符合对本工程进行有效管理的基本精神和要求；</w:t>
      </w:r>
    </w:p>
    <w:p w14:paraId="2A393AB8">
      <w:pPr>
        <w:adjustRightInd w:val="0"/>
        <w:snapToGrid w:val="0"/>
        <w:spacing w:line="360" w:lineRule="auto"/>
        <w:ind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（3）为确保工程质量、进度、安全文明施工管理所必须；</w:t>
      </w:r>
    </w:p>
    <w:p w14:paraId="740B33D7">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（4）不是针对某一特定的承包人；</w:t>
      </w:r>
    </w:p>
    <w:p w14:paraId="4BF52C8B">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（5）以按时完成工程目标而设立为基本准则。</w:t>
      </w:r>
    </w:p>
    <w:p w14:paraId="2D2441D4">
      <w:pPr>
        <w:pStyle w:val="10"/>
        <w:jc w:val="left"/>
        <w:rPr>
          <w:rFonts w:hint="eastAsia" w:ascii="宋体" w:hAnsi="宋体"/>
          <w:color w:val="auto"/>
          <w:highlight w:val="none"/>
        </w:rPr>
      </w:pPr>
      <w:bookmarkStart w:id="471" w:name="_Toc517774560"/>
      <w:bookmarkStart w:id="472" w:name="_Toc520358230"/>
      <w:bookmarkStart w:id="473" w:name="_Toc514681182"/>
      <w:bookmarkStart w:id="474" w:name="_Toc514681763"/>
      <w:bookmarkStart w:id="475" w:name="_Toc520902605"/>
      <w:bookmarkStart w:id="476" w:name="_Toc520902756"/>
      <w:bookmarkStart w:id="477" w:name="_Toc519502250"/>
      <w:bookmarkStart w:id="478" w:name="_Toc520902827"/>
      <w:bookmarkStart w:id="479" w:name="_Toc35083095"/>
      <w:bookmarkStart w:id="480" w:name="_Toc514664860"/>
      <w:bookmarkStart w:id="481" w:name="_Toc514665282"/>
      <w:bookmarkStart w:id="482" w:name="_Toc520901460"/>
      <w:bookmarkStart w:id="483" w:name="_Toc514663858"/>
      <w:bookmarkStart w:id="484" w:name="_Toc518481732"/>
      <w:bookmarkStart w:id="485" w:name="_Toc516495976"/>
      <w:bookmarkStart w:id="486" w:name="_Toc514666973"/>
      <w:bookmarkStart w:id="487" w:name="_Toc519503080"/>
      <w:bookmarkStart w:id="488" w:name="_Toc520358054"/>
      <w:bookmarkStart w:id="489" w:name="_Toc517954573"/>
      <w:bookmarkStart w:id="490" w:name="_Toc514665143"/>
      <w:r>
        <w:rPr>
          <w:rFonts w:hint="eastAsia" w:ascii="宋体" w:hAnsi="宋体"/>
          <w:color w:val="auto"/>
          <w:highlight w:val="none"/>
        </w:rPr>
        <w:t>一、词语定义及合同文件</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37540D7F">
      <w:pPr>
        <w:adjustRightInd w:val="0"/>
        <w:snapToGrid w:val="0"/>
        <w:spacing w:line="360" w:lineRule="auto"/>
        <w:ind w:right="11"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1、词语定义</w:t>
      </w:r>
    </w:p>
    <w:p w14:paraId="61742A93">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1.3发包人</w:t>
      </w:r>
    </w:p>
    <w:p w14:paraId="095DE2E1">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bCs/>
          <w:snapToGrid w:val="0"/>
          <w:color w:val="auto"/>
          <w:kern w:val="0"/>
          <w:sz w:val="24"/>
          <w:highlight w:val="none"/>
        </w:rPr>
        <w:t>（1）发包人</w:t>
      </w:r>
      <w:r>
        <w:rPr>
          <w:rFonts w:hint="eastAsia" w:ascii="宋体" w:hAnsi="宋体" w:eastAsia="宋体" w:cs="宋体"/>
          <w:snapToGrid w:val="0"/>
          <w:color w:val="auto"/>
          <w:kern w:val="0"/>
          <w:sz w:val="24"/>
          <w:highlight w:val="none"/>
        </w:rPr>
        <w:t>：在本合同中特指</w:t>
      </w:r>
      <w:r>
        <w:rPr>
          <w:rFonts w:hint="eastAsia" w:ascii="宋体" w:hAnsi="宋体" w:eastAsia="宋体" w:cs="宋体"/>
          <w:b/>
          <w:bCs/>
          <w:snapToGrid w:val="0"/>
          <w:color w:val="auto"/>
          <w:kern w:val="0"/>
          <w:sz w:val="24"/>
          <w:highlight w:val="none"/>
          <w:u w:val="single"/>
          <w:lang w:eastAsia="zh-CN"/>
        </w:rPr>
        <w:t>广州机场新能源有限公司</w:t>
      </w:r>
      <w:r>
        <w:rPr>
          <w:rFonts w:hint="eastAsia" w:ascii="宋体" w:hAnsi="宋体" w:eastAsia="宋体" w:cs="宋体"/>
          <w:snapToGrid w:val="0"/>
          <w:color w:val="auto"/>
          <w:kern w:val="0"/>
          <w:sz w:val="24"/>
          <w:highlight w:val="none"/>
        </w:rPr>
        <w:t>。</w:t>
      </w:r>
    </w:p>
    <w:p w14:paraId="5EF040DB">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bCs/>
          <w:snapToGrid w:val="0"/>
          <w:color w:val="auto"/>
          <w:kern w:val="0"/>
          <w:sz w:val="24"/>
          <w:highlight w:val="none"/>
        </w:rPr>
        <w:t>（2）</w:t>
      </w:r>
      <w:r>
        <w:rPr>
          <w:rFonts w:hint="eastAsia" w:ascii="宋体" w:hAnsi="宋体" w:eastAsia="宋体" w:cs="宋体"/>
          <w:snapToGrid w:val="0"/>
          <w:color w:val="auto"/>
          <w:kern w:val="0"/>
          <w:sz w:val="24"/>
          <w:highlight w:val="none"/>
        </w:rPr>
        <w:t>合法继承人：指工程竣工验收合格后，发包人依据相关合同（协议）约定，将工程移交给其承接使用的产权管理单位。在继承生效后，合法继承人享有发包人在本合同中的一切权利及承担相应的义务。</w:t>
      </w:r>
    </w:p>
    <w:p w14:paraId="1CEC276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1.6设计单位</w:t>
      </w:r>
    </w:p>
    <w:p w14:paraId="5635E6C2">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本工程的设计单位是：</w:t>
      </w:r>
      <w:r>
        <w:rPr>
          <w:rFonts w:hint="eastAsia" w:ascii="宋体" w:hAnsi="宋体" w:eastAsia="宋体" w:cs="宋体"/>
          <w:snapToGrid w:val="0"/>
          <w:color w:val="auto"/>
          <w:kern w:val="0"/>
          <w:sz w:val="24"/>
          <w:highlight w:val="none"/>
          <w:u w:val="single"/>
        </w:rPr>
        <w:t>【</w:t>
      </w:r>
      <w:r>
        <w:rPr>
          <w:rFonts w:hint="eastAsia" w:ascii="宋体" w:hAnsi="宋体" w:eastAsia="宋体" w:cs="宋体"/>
          <w:snapToGrid w:val="0"/>
          <w:color w:val="auto"/>
          <w:kern w:val="0"/>
          <w:sz w:val="24"/>
          <w:highlight w:val="none"/>
          <w:u w:val="single"/>
          <w:lang w:val="en-US" w:eastAsia="zh-CN"/>
        </w:rPr>
        <w:t xml:space="preserve">    </w:t>
      </w:r>
      <w:r>
        <w:rPr>
          <w:rFonts w:hint="eastAsia" w:ascii="宋体" w:hAnsi="宋体" w:eastAsia="宋体" w:cs="宋体"/>
          <w:snapToGrid w:val="0"/>
          <w:color w:val="auto"/>
          <w:kern w:val="0"/>
          <w:sz w:val="24"/>
          <w:highlight w:val="none"/>
          <w:u w:val="single"/>
        </w:rPr>
        <w:t>】</w:t>
      </w:r>
    </w:p>
    <w:p w14:paraId="18E026C9">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w:t>
      </w:r>
      <w:r>
        <w:rPr>
          <w:rFonts w:hint="eastAsia" w:ascii="宋体" w:hAnsi="宋体" w:eastAsia="宋体" w:cs="宋体"/>
          <w:snapToGrid w:val="0"/>
          <w:color w:val="auto"/>
          <w:kern w:val="0"/>
          <w:sz w:val="24"/>
          <w:highlight w:val="none"/>
          <w:lang w:val="en-US" w:eastAsia="zh-CN"/>
        </w:rPr>
        <w:t>7</w:t>
      </w:r>
      <w:r>
        <w:rPr>
          <w:rFonts w:hint="eastAsia" w:ascii="宋体" w:hAnsi="宋体" w:eastAsia="宋体" w:cs="宋体"/>
          <w:snapToGrid w:val="0"/>
          <w:color w:val="auto"/>
          <w:kern w:val="0"/>
          <w:sz w:val="24"/>
          <w:highlight w:val="none"/>
        </w:rPr>
        <w:t>监理单位</w:t>
      </w:r>
    </w:p>
    <w:p w14:paraId="4259CFA0">
      <w:pPr>
        <w:adjustRightInd w:val="0"/>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本工程的监理单位是：</w:t>
      </w:r>
      <w:r>
        <w:rPr>
          <w:rFonts w:hint="eastAsia" w:ascii="宋体" w:hAnsi="宋体" w:eastAsia="宋体" w:cs="宋体"/>
          <w:snapToGrid w:val="0"/>
          <w:color w:val="auto"/>
          <w:kern w:val="0"/>
          <w:sz w:val="24"/>
          <w:highlight w:val="none"/>
          <w:u w:val="single"/>
        </w:rPr>
        <w:t>【</w:t>
      </w:r>
      <w:r>
        <w:rPr>
          <w:rFonts w:hint="eastAsia" w:ascii="宋体" w:hAnsi="宋体" w:eastAsia="宋体" w:cs="宋体"/>
          <w:snapToGrid w:val="0"/>
          <w:color w:val="auto"/>
          <w:kern w:val="0"/>
          <w:sz w:val="24"/>
          <w:highlight w:val="none"/>
          <w:u w:val="single"/>
          <w:lang w:val="en-US" w:eastAsia="zh-CN"/>
        </w:rPr>
        <w:t xml:space="preserve">    </w:t>
      </w:r>
      <w:r>
        <w:rPr>
          <w:rFonts w:hint="eastAsia" w:ascii="宋体" w:hAnsi="宋体" w:eastAsia="宋体" w:cs="宋体"/>
          <w:snapToGrid w:val="0"/>
          <w:color w:val="auto"/>
          <w:kern w:val="0"/>
          <w:sz w:val="24"/>
          <w:highlight w:val="none"/>
          <w:u w:val="single"/>
        </w:rPr>
        <w:t>】</w:t>
      </w:r>
    </w:p>
    <w:p w14:paraId="66D0225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1.8工程师</w:t>
      </w:r>
    </w:p>
    <w:p w14:paraId="13266699">
      <w:pPr>
        <w:tabs>
          <w:tab w:val="left" w:pos="1980"/>
          <w:tab w:val="left" w:pos="2160"/>
        </w:tabs>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snapToGrid w:val="0"/>
          <w:color w:val="auto"/>
          <w:kern w:val="0"/>
          <w:sz w:val="24"/>
          <w:highlight w:val="none"/>
        </w:rPr>
        <w:t>合同通用条款中的工程师，如无特别注明，均是指监理等单位派驻本工程施</w:t>
      </w:r>
      <w:r>
        <w:rPr>
          <w:rFonts w:hint="eastAsia" w:ascii="宋体" w:hAnsi="宋体" w:eastAsia="宋体" w:cs="宋体"/>
          <w:bCs/>
          <w:snapToGrid w:val="0"/>
          <w:color w:val="auto"/>
          <w:kern w:val="0"/>
          <w:sz w:val="24"/>
          <w:highlight w:val="none"/>
        </w:rPr>
        <w:t>工场地的现场工作机构的负责人。</w:t>
      </w:r>
    </w:p>
    <w:p w14:paraId="184CD463">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1.9工程造价管理部门</w:t>
      </w:r>
    </w:p>
    <w:p w14:paraId="02EE153B">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发包人委托的全过程造价咨询单位，负责工程建设工程中出现的相关造价审核工作。</w:t>
      </w:r>
    </w:p>
    <w:p w14:paraId="40FDA872">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1.14工期</w:t>
      </w:r>
    </w:p>
    <w:p w14:paraId="1EE98AED">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节点工期：指在经发包人和总监理工程师批准的施工组织设计或者工程工期网络计划中载明的承包人按总日历天数（包括法定节假日）计算完成某一阶段或某一工序的承包天数。</w:t>
      </w:r>
    </w:p>
    <w:p w14:paraId="5DE83414">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1.20承包人违约责任：指合同承包人不履行或不完全履行合同约定的义务或者履行义务不符合合同约定所应承担的责任。</w:t>
      </w:r>
    </w:p>
    <w:p w14:paraId="25E5CBBF">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（1）一般违约责任：指虽然违反本合同的约定，但其违约行为不对本合同的履行造成严重影响而应承担的责任。违约处理方式：承担10000元（含税）/次的违约处罚，书面警告限期改正。</w:t>
      </w:r>
    </w:p>
    <w:p w14:paraId="28694509">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（2）较大违约责任。指违反本合同的约定且其违约行为足以对本合同的履行造成较大或较实质性的影响而应承担的责任。违约处理方式：承担30000元（含税）/次的违约处罚，书面警告限期改正。</w:t>
      </w:r>
    </w:p>
    <w:p w14:paraId="663593A9">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（3）严重违约责任：指违反本合同的约定且其违约行为足以对本合同的履行造成严重或实质性的影响而应承担的责任。违约处理方式：承担50000元（含税）/次的违约处罚，书面警告限期改正。</w:t>
      </w:r>
    </w:p>
    <w:p w14:paraId="2D0EF037">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（4）根本违约责任。指违反本合同的约定且其违约行为造成本合同无法履行而应承担的责任。违约处理方式包括：</w:t>
      </w:r>
    </w:p>
    <w:p w14:paraId="60EE845F">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部分解除合同。当承包人违反本合同的约定达到部分解除合同的条件或发生法律规定的其他可解除情形时，发包人有权向承包人发出部分解除合同的书面通知，该通知在送达承包人时立即生效。承包人应在该通知生效之日起</w:t>
      </w:r>
      <w:r>
        <w:rPr>
          <w:rFonts w:hint="eastAsia" w:ascii="宋体" w:hAnsi="宋体" w:eastAsia="宋体" w:cs="宋体"/>
          <w:bCs/>
          <w:snapToGrid w:val="0"/>
          <w:color w:val="auto"/>
          <w:kern w:val="0"/>
          <w:sz w:val="24"/>
          <w:highlight w:val="none"/>
          <w:lang w:val="en-US" w:eastAsia="zh-CN"/>
        </w:rPr>
        <w:t>三十</w:t>
      </w:r>
      <w:r>
        <w:rPr>
          <w:rFonts w:hint="eastAsia" w:ascii="宋体" w:hAnsi="宋体" w:eastAsia="宋体" w:cs="宋体"/>
          <w:bCs/>
          <w:snapToGrid w:val="0"/>
          <w:color w:val="auto"/>
          <w:kern w:val="0"/>
          <w:sz w:val="24"/>
          <w:highlight w:val="none"/>
        </w:rPr>
        <w:t>天内向发包人支付解除部分的合同价款的20%作为违约金，因违约而造成发包人损失的，承包人还应对全部损失予以赔偿。同时，承包人必须在通知生效之日起三天内停止被解除部分的工作，通知生效之日起五天内配合发包人完成现场工作和有关资料的交接，所交接资料必须完整且满足发包人要求。承包人无特殊原因未在规定期限内完成移交和撤出，或交接资料不完整的，发包人有权自行处理其留在现场的材料、设备和其他物件，处理费用由承包人承担，并且，发包人有权视情况全部解除合同；发包人在发出部分解除合同的书面通知后，发包人即可委托新的乙方承接该部分工程。因承包人拒交或延误交接现场工作和有关资料导致甲方工期延误及其它方面损失的，发包人有权要求承包人赔偿相关损失。</w:t>
      </w:r>
    </w:p>
    <w:p w14:paraId="7EA20368">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解除合同。当承包人违反本合同相关约定符合解除合同的条件时，发包人有权向承包人发出书面解除合同的通知，该通知在送达承包人时即生效。给发包人造成损失的，承包人应赔偿发包人的全部损失。同时，承包人必须在通知生效之日起三天内停止全部工作，通知生效之日起五天内配合发包人完成现场工作和有关资料的交接，并于完成交接工作当天内离场。承包人应在该通知生效之日起</w:t>
      </w:r>
      <w:r>
        <w:rPr>
          <w:rFonts w:hint="eastAsia" w:ascii="宋体" w:hAnsi="宋体" w:eastAsia="宋体" w:cs="宋体"/>
          <w:bCs/>
          <w:snapToGrid w:val="0"/>
          <w:color w:val="auto"/>
          <w:kern w:val="0"/>
          <w:sz w:val="24"/>
          <w:highlight w:val="none"/>
          <w:lang w:val="en-US" w:eastAsia="zh-CN"/>
        </w:rPr>
        <w:t>三十</w:t>
      </w:r>
      <w:r>
        <w:rPr>
          <w:rFonts w:hint="eastAsia" w:ascii="宋体" w:hAnsi="宋体" w:eastAsia="宋体" w:cs="宋体"/>
          <w:bCs/>
          <w:snapToGrid w:val="0"/>
          <w:color w:val="auto"/>
          <w:kern w:val="0"/>
          <w:sz w:val="24"/>
          <w:highlight w:val="none"/>
        </w:rPr>
        <w:t>天内，向发包人支付本合同价款的20%作为违约金。承包人应保证所移交的资料齐全完整且满足发包人要求，承包方无特殊原因未在规定期限内完成移交和离场或所移交的资料不完整的，发包人有权自行处理其留在现场的材料、设备和其他物件，处理费用由承包人承担，如果导致发包人工期延误和其他方面的损失，发包人将要求承包人赔偿相关损失。发包人在发出解除合同的通知后，发包人即可委托新的乙方承接该工程。同时，承包人不得影响或阻碍新的乙方办理进场手续和相关工作。</w:t>
      </w:r>
    </w:p>
    <w:p w14:paraId="21A6D32A">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（5）其他说明</w:t>
      </w:r>
    </w:p>
    <w:p w14:paraId="0D19F61B">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1）承包人按本合同约定应缴纳的违约金和赔偿金应分别计算。违约金累计总额不超过本合同结算价款的25%；</w:t>
      </w:r>
    </w:p>
    <w:p w14:paraId="5688F7BB">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2）赔偿损失：因承包人原因造成发包人经济损失的，承包人应赔偿发包人的经济损失，除承担上述违约责任外，承包人还应根据合同约定赔偿损失；</w:t>
      </w:r>
    </w:p>
    <w:p w14:paraId="5CDD212A">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3）在本合同有效期内：</w:t>
      </w:r>
    </w:p>
    <w:p w14:paraId="5EF2C0C1">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①承包人因同一事项承担一般违约责任处罚累计达3次的，另行追加较大违约责任处罚1次；</w:t>
      </w:r>
    </w:p>
    <w:p w14:paraId="799FF7BD">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②承包人因同一事项承担较大违约责任处罚累计达3次的，另行追加严重违约责任处罚1次；</w:t>
      </w:r>
    </w:p>
    <w:p w14:paraId="3ABAB8DF">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③承包人因同一事项承担严重违约责任处罚累计达3次的，发包人有权单方面部分解除合同或解除合同而不承担违约责任。</w:t>
      </w:r>
    </w:p>
    <w:p w14:paraId="22CFA27A">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4）承包人按本合同约定应交纳的违约金和赔偿金属于专用条款第38.7款“工程质量方面的违约责任”、第38.8款“安全生产方面的违约责任”的，承包人应当按违约处罚决定确定的时间向发包人交纳，否则，发包人有权从应支付给承包人的工程款中直接扣除。</w:t>
      </w:r>
    </w:p>
    <w:p w14:paraId="2E2BCE6C">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承包人按本合同约定应交纳的违约金和赔偿金属于专用条款第38.7款、第38.8款约定以外的其他违约责任的，发包人可决定暂不收取违约金和赔偿金，作为对承包人享有的应收款项债权，发包人将根据承包人履行合同的实际情况随时通知承包人交纳或在工程结算时予以扣除。相关违约责任对合同的履行未造成实质性影响的，或承包人在合同后续履行过程中已采取足够措施来弥补违约责任造成的损失的，由承包人提出申请，经监理单位、发包人批准后，可予以免除。为免疑义，发包人暂不收取违约金和赔偿金不视为对上述债权的放弃。</w:t>
      </w:r>
    </w:p>
    <w:p w14:paraId="229D0742">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1.24通知：指合同中所提及的各方之间传达意思表示的方式，包括但不限于申请、报告、同意、答复、批准、指令、证书、决定等。除合同专用条款有特别约定外，只有采用书面形式的通知才有效。</w:t>
      </w:r>
    </w:p>
    <w:p w14:paraId="7F87D793">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1.25安全事故等级[《住房城乡建设部关于印发〈房屋市政工程生产安全事故报告和查处工作规程〉的通知》（建质[2013]4号）]：</w:t>
      </w:r>
    </w:p>
    <w:p w14:paraId="36EA61BA">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（1）特别重大事故，是指造成30人以</w:t>
      </w:r>
      <w:bookmarkStart w:id="491" w:name="修改1"/>
      <w:bookmarkEnd w:id="491"/>
      <w:r>
        <w:rPr>
          <w:rFonts w:hint="eastAsia" w:ascii="宋体" w:hAnsi="宋体" w:eastAsia="宋体" w:cs="宋体"/>
          <w:bCs/>
          <w:snapToGrid w:val="0"/>
          <w:color w:val="auto"/>
          <w:kern w:val="0"/>
          <w:sz w:val="24"/>
          <w:highlight w:val="none"/>
        </w:rPr>
        <w:t>上死亡，或者100人以上重伤，或者1亿元以上直接经济损失的事故；</w:t>
      </w:r>
    </w:p>
    <w:p w14:paraId="3D0FB441">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（2）重大事故，是指造成10人以上30人以下死亡，或者50人以上100人以下重伤，或者5000万元以上1亿元以下直接经济损失的事故；</w:t>
      </w:r>
    </w:p>
    <w:p w14:paraId="795F1164">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（3）较大事故，是指造成3人以上10人以下死亡，或者10人以上50人以下重伤，或者1000万元以上5000万元以下直接经济损失的事故；</w:t>
      </w:r>
    </w:p>
    <w:p w14:paraId="551A3147">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（4）一般事故，是指造成3人以下死亡，或者10人以下重伤，或者100万元以上1000万元以下直接经济损失的事故。</w:t>
      </w:r>
    </w:p>
    <w:p w14:paraId="4FF072C5">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上述所称的“以上”包括本数，所称的“以下”不包括本数。</w:t>
      </w:r>
    </w:p>
    <w:p w14:paraId="6A80EECF">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1.26质量事故等级[《关于做好房屋建筑和市政基础设施工程质量事故报告和调查处理工作的通知》（建质[2010]111号）]：</w:t>
      </w:r>
    </w:p>
    <w:p w14:paraId="2B6140FC">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根据工程质量事故造成的人员伤亡或者直接经济损失，工程质量事故分为4个等级：</w:t>
      </w:r>
    </w:p>
    <w:p w14:paraId="19C0DD5A">
      <w:pPr>
        <w:adjustRightInd w:val="0"/>
        <w:snapToGrid w:val="0"/>
        <w:spacing w:line="360" w:lineRule="auto"/>
        <w:ind w:firstLine="360" w:firstLineChars="15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 xml:space="preserve">（1）特别重大事故，是指造成30人以上死亡，或者100人以上重伤，或者1亿元以上直接经济损失的事故； </w:t>
      </w:r>
    </w:p>
    <w:p w14:paraId="0FA37994">
      <w:pPr>
        <w:adjustRightInd w:val="0"/>
        <w:snapToGrid w:val="0"/>
        <w:spacing w:line="360" w:lineRule="auto"/>
        <w:ind w:firstLine="360" w:firstLineChars="15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（2）重大事故，是指造成10人以上30人以下死亡，或者50人以上100人以下重伤，或者5000万元以上1亿元以下直接经济损失的事故；</w:t>
      </w:r>
    </w:p>
    <w:p w14:paraId="2B1356AC">
      <w:pPr>
        <w:adjustRightInd w:val="0"/>
        <w:snapToGrid w:val="0"/>
        <w:spacing w:line="360" w:lineRule="auto"/>
        <w:ind w:firstLine="360" w:firstLineChars="15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（3）较大事故，是指造成3人以上10人以下死亡，或者10人以上50人以下重伤，或者1000万元以上5000万元以下直接经济损失的事故；</w:t>
      </w:r>
    </w:p>
    <w:p w14:paraId="29DC4B7D">
      <w:pPr>
        <w:adjustRightInd w:val="0"/>
        <w:snapToGrid w:val="0"/>
        <w:spacing w:line="360" w:lineRule="auto"/>
        <w:ind w:firstLine="360" w:firstLineChars="15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（4）一般事故，是指造成3人以下死亡，或者10人以下重伤，或者100万元以上1000万元以下直接经济损失的事故。</w:t>
      </w:r>
    </w:p>
    <w:p w14:paraId="1FB19B53">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本等级划分所称的“以上”包括本数，所称的“以下”不包括本数。</w:t>
      </w:r>
    </w:p>
    <w:p w14:paraId="365FF7F4">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bCs/>
          <w:snapToGrid w:val="0"/>
          <w:color w:val="auto"/>
          <w:kern w:val="0"/>
          <w:sz w:val="24"/>
          <w:highlight w:val="none"/>
        </w:rPr>
        <w:t>1.27</w:t>
      </w:r>
      <w:r>
        <w:rPr>
          <w:rFonts w:hint="eastAsia" w:ascii="宋体" w:hAnsi="宋体" w:eastAsia="宋体" w:cs="宋体"/>
          <w:bCs/>
          <w:snapToGrid w:val="0"/>
          <w:color w:val="auto"/>
          <w:kern w:val="0"/>
          <w:sz w:val="24"/>
          <w:highlight w:val="none"/>
          <w:lang w:val="en-US" w:eastAsia="zh-CN"/>
        </w:rPr>
        <w:t>本合同所涉费用类别，主要包括</w:t>
      </w:r>
      <w:r>
        <w:rPr>
          <w:rFonts w:hint="eastAsia" w:ascii="宋体" w:hAnsi="宋体" w:eastAsia="宋体" w:cs="宋体"/>
          <w:bCs/>
          <w:snapToGrid w:val="0"/>
          <w:color w:val="auto"/>
          <w:kern w:val="0"/>
          <w:sz w:val="24"/>
          <w:highlight w:val="none"/>
        </w:rPr>
        <w:t>“综合单价（合价）包干项目”“分部分项工程量清单计价”“措施项目综合合价包干项目”“其他项目清单计价”“绿色施工安全防护措施费”“暂列金额”等费用项目。</w:t>
      </w:r>
    </w:p>
    <w:p w14:paraId="4C937DC5">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1.28元：指人民币元。</w:t>
      </w:r>
    </w:p>
    <w:p w14:paraId="745FC1A1">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1.29变更工程和新增工程：包括合同专用条款及通用条款第31条所定义的工程设计变更和第32条所定义的其他变更，由于设计需要或项目建设实际需要，这些变更会引致工程量清单内数量发生变化、或工程量清单内项目的局部内容发生变化、或新增了工程量清单内没有的项目。</w:t>
      </w:r>
    </w:p>
    <w:p w14:paraId="6FA82A76">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1.30单项工程：指具备独立施工条件并能形成独立使用功能的建筑物及构筑物。</w:t>
      </w:r>
    </w:p>
    <w:p w14:paraId="263B887E">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1.31单位工程：指一个独立建筑物或构筑物中的每个专业工程，如：建筑工程、土建工程、安装工程等。</w:t>
      </w:r>
    </w:p>
    <w:p w14:paraId="518C28A8">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1.32专业承包单位：指与发包人直接签订专业工程施工承包合同具有相应施工承包资格和资质的承包单位。</w:t>
      </w:r>
    </w:p>
    <w:p w14:paraId="17764AB4">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w:t>
      </w:r>
      <w:r>
        <w:rPr>
          <w:rFonts w:ascii="宋体" w:hAnsi="宋体" w:eastAsia="宋体" w:cs="宋体"/>
          <w:bCs/>
          <w:snapToGrid w:val="0"/>
          <w:color w:val="auto"/>
          <w:kern w:val="0"/>
          <w:sz w:val="24"/>
          <w:highlight w:val="none"/>
        </w:rPr>
        <w:t>33</w:t>
      </w:r>
      <w:r>
        <w:rPr>
          <w:rFonts w:hint="eastAsia" w:ascii="宋体" w:hAnsi="宋体" w:eastAsia="宋体" w:cs="宋体"/>
          <w:bCs/>
          <w:snapToGrid w:val="0"/>
          <w:color w:val="auto"/>
          <w:kern w:val="0"/>
          <w:sz w:val="24"/>
          <w:highlight w:val="none"/>
        </w:rPr>
        <w:t>暂列金额：是指发包人在招标文件中给定的，用于在招标时尚未确定或不可预见变更的设计、施工及其所需材料、工程设备、服务等的金额，使用范围按相关文件规定执行。</w:t>
      </w:r>
    </w:p>
    <w:p w14:paraId="084B5800">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建筑安装工程费可调整事项费用经审批后使用预备费支付的，以预备费总额为限。</w:t>
      </w:r>
    </w:p>
    <w:p w14:paraId="0C4365CF">
      <w:pPr>
        <w:adjustRightInd w:val="0"/>
        <w:snapToGrid w:val="0"/>
        <w:spacing w:line="360" w:lineRule="auto"/>
        <w:ind w:firstLine="480" w:firstLineChars="200"/>
        <w:rPr>
          <w:rFonts w:hint="eastAsia" w:ascii="宋体" w:hAnsi="宋体" w:eastAsia="宋体" w:cs="宋体"/>
          <w:bCs/>
          <w:snapToGrid w:val="0"/>
          <w:color w:val="auto"/>
          <w:kern w:val="0"/>
          <w:sz w:val="24"/>
          <w:szCs w:val="20"/>
          <w:highlight w:val="none"/>
        </w:rPr>
      </w:pPr>
      <w:r>
        <w:rPr>
          <w:rFonts w:hint="eastAsia" w:ascii="宋体" w:hAnsi="宋体" w:eastAsia="宋体" w:cs="宋体"/>
          <w:bCs/>
          <w:snapToGrid w:val="0"/>
          <w:color w:val="auto"/>
          <w:kern w:val="0"/>
          <w:sz w:val="24"/>
          <w:highlight w:val="none"/>
          <w:lang w:val="en-US" w:eastAsia="zh-CN"/>
        </w:rPr>
        <w:t xml:space="preserve">1.34 </w:t>
      </w:r>
      <w:r>
        <w:rPr>
          <w:rFonts w:hint="eastAsia" w:ascii="宋体" w:hAnsi="宋体" w:eastAsia="宋体" w:cs="宋体"/>
          <w:bCs/>
          <w:snapToGrid w:val="0"/>
          <w:color w:val="auto"/>
          <w:kern w:val="0"/>
          <w:sz w:val="24"/>
          <w:szCs w:val="20"/>
          <w:highlight w:val="none"/>
        </w:rPr>
        <w:t>“初步验收证书（PAC）”系指由甲方根据本合同第</w:t>
      </w:r>
      <w:r>
        <w:rPr>
          <w:rFonts w:hint="eastAsia" w:ascii="宋体" w:hAnsi="宋体" w:eastAsia="宋体" w:cs="宋体"/>
          <w:bCs/>
          <w:snapToGrid w:val="0"/>
          <w:color w:val="auto"/>
          <w:kern w:val="0"/>
          <w:sz w:val="24"/>
          <w:szCs w:val="20"/>
          <w:highlight w:val="none"/>
          <w:lang w:val="en-US" w:eastAsia="zh-CN"/>
        </w:rPr>
        <w:t>十七条中关于</w:t>
      </w:r>
      <w:r>
        <w:rPr>
          <w:rFonts w:hint="eastAsia" w:ascii="宋体" w:hAnsi="宋体" w:eastAsia="宋体" w:cs="宋体"/>
          <w:bCs/>
          <w:snapToGrid w:val="0"/>
          <w:color w:val="auto"/>
          <w:kern w:val="0"/>
          <w:sz w:val="24"/>
          <w:szCs w:val="20"/>
          <w:highlight w:val="none"/>
        </w:rPr>
        <w:t>光伏发电系统通过性能试验后为本项目签发的证书。</w:t>
      </w:r>
    </w:p>
    <w:p w14:paraId="0B0D91FA">
      <w:pPr>
        <w:widowControl/>
        <w:numPr>
          <w:ilvl w:val="-1"/>
          <w:numId w:val="0"/>
        </w:numPr>
        <w:wordWrap/>
        <w:adjustRightInd w:val="0"/>
        <w:snapToGrid w:val="0"/>
        <w:spacing w:line="360" w:lineRule="auto"/>
        <w:ind w:left="0" w:leftChars="0" w:firstLine="480" w:firstLineChars="200"/>
        <w:rPr>
          <w:rFonts w:hint="eastAsia" w:ascii="宋体" w:hAnsi="宋体" w:eastAsia="宋体" w:cs="宋体"/>
          <w:bCs/>
          <w:snapToGrid w:val="0"/>
          <w:color w:val="auto"/>
          <w:kern w:val="0"/>
          <w:sz w:val="24"/>
          <w:szCs w:val="20"/>
          <w:highlight w:val="none"/>
        </w:rPr>
      </w:pPr>
      <w:r>
        <w:rPr>
          <w:rFonts w:hint="eastAsia" w:ascii="宋体" w:hAnsi="宋体" w:eastAsia="宋体" w:cs="宋体"/>
          <w:bCs/>
          <w:snapToGrid w:val="0"/>
          <w:color w:val="auto"/>
          <w:kern w:val="0"/>
          <w:sz w:val="24"/>
          <w:szCs w:val="20"/>
          <w:highlight w:val="none"/>
          <w:lang w:val="en-US" w:eastAsia="zh-CN"/>
        </w:rPr>
        <w:t xml:space="preserve">1.35 </w:t>
      </w:r>
      <w:r>
        <w:rPr>
          <w:rFonts w:hint="eastAsia" w:ascii="宋体" w:hAnsi="宋体" w:eastAsia="宋体" w:cs="宋体"/>
          <w:bCs/>
          <w:snapToGrid w:val="0"/>
          <w:color w:val="auto"/>
          <w:kern w:val="0"/>
          <w:sz w:val="24"/>
          <w:szCs w:val="20"/>
          <w:highlight w:val="none"/>
        </w:rPr>
        <w:t>“最终验收证书（FAC）”系指甲方根据本合同</w:t>
      </w:r>
      <w:r>
        <w:rPr>
          <w:rFonts w:hint="eastAsia" w:ascii="宋体" w:hAnsi="宋体" w:eastAsia="宋体" w:cs="宋体"/>
          <w:bCs/>
          <w:snapToGrid w:val="0"/>
          <w:color w:val="auto"/>
          <w:kern w:val="0"/>
          <w:sz w:val="24"/>
          <w:szCs w:val="20"/>
          <w:highlight w:val="none"/>
          <w:lang w:val="en-US" w:eastAsia="zh-CN"/>
        </w:rPr>
        <w:t>约定</w:t>
      </w:r>
      <w:r>
        <w:rPr>
          <w:rFonts w:hint="eastAsia" w:ascii="宋体" w:hAnsi="宋体" w:eastAsia="宋体" w:cs="宋体"/>
          <w:bCs/>
          <w:snapToGrid w:val="0"/>
          <w:color w:val="auto"/>
          <w:kern w:val="0"/>
          <w:sz w:val="24"/>
          <w:szCs w:val="20"/>
          <w:highlight w:val="none"/>
        </w:rPr>
        <w:t>为本项目签发的证书。</w:t>
      </w:r>
    </w:p>
    <w:p w14:paraId="3DA0F6A9">
      <w:pPr>
        <w:pStyle w:val="2"/>
        <w:rPr>
          <w:rFonts w:hint="default" w:eastAsia="宋体"/>
          <w:color w:val="auto"/>
          <w:highlight w:val="none"/>
          <w:lang w:val="en-US" w:eastAsia="zh-CN"/>
        </w:rPr>
      </w:pPr>
    </w:p>
    <w:p w14:paraId="2B52457B">
      <w:pPr>
        <w:adjustRightInd w:val="0"/>
        <w:snapToGrid w:val="0"/>
        <w:spacing w:line="360" w:lineRule="auto"/>
        <w:ind w:right="11"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2、合同文件及解释顺序</w:t>
      </w:r>
    </w:p>
    <w:p w14:paraId="42C81814">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按合同协议书第七条执行。</w:t>
      </w:r>
    </w:p>
    <w:p w14:paraId="65EFADFF">
      <w:pPr>
        <w:adjustRightInd w:val="0"/>
        <w:snapToGrid w:val="0"/>
        <w:spacing w:line="360" w:lineRule="auto"/>
        <w:ind w:right="11"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3、语言文字和适用法律、标准及规范</w:t>
      </w:r>
    </w:p>
    <w:p w14:paraId="12DD3DAE">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3.2适用法律和法规</w:t>
      </w:r>
    </w:p>
    <w:p w14:paraId="364DEA66">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本合同适用的法律为国家的现行法律、行政法规、部门规章和项目所在地的地方性法规、自治条例、单行条例、地方政府规章以及国家和地方的规范性文件，包括但不限于《中华人民共和国民法典》《中华人民共和国建筑法》《建设工程质量管理条例》等中华人民共和国现行法律法规。基于本合同目的，本合同适用的法律不包括香港特别行政区、澳门特别行政区和台湾地区的法律。</w:t>
      </w:r>
    </w:p>
    <w:p w14:paraId="4E286CCA">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3.3适用标准、规范</w:t>
      </w:r>
    </w:p>
    <w:p w14:paraId="0840ADCD">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约定适用的标准、规范的名称：国家及广东省、广州市现行有效的有关建设项目管理、设计、施工及验收规范和验收标准及其更新版本，以及发包人根据本工程具体情况聘请专家委员会依照国家有关标准制订的施工技术规定及验收办法。</w:t>
      </w:r>
    </w:p>
    <w:p w14:paraId="498E6A50">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若现行标准、规范不能完全满足本工程施工需要的，由发包人根据本工程的具体情况并参照近期同类项目，组织或聘请专家进行编制、论证并制定配套标准、规范，且经发包人按照有关程序审批后执行。如果承包人需要对实施标准、规范进行研发试验的，或需对施工人员进行特殊培训的，费用已包含在合同价中，发包人不另行支付。</w:t>
      </w:r>
    </w:p>
    <w:p w14:paraId="2A9EE849">
      <w:pPr>
        <w:adjustRightInd w:val="0"/>
        <w:snapToGrid w:val="0"/>
        <w:spacing w:line="360" w:lineRule="auto"/>
        <w:ind w:right="11"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4、图纸</w:t>
      </w:r>
    </w:p>
    <w:p w14:paraId="162DAB20">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4.1发包人向承包人提供图纸的日期和套数：发包人在开工前向承包人提供</w:t>
      </w:r>
      <w:r>
        <w:rPr>
          <w:rFonts w:hint="eastAsia" w:ascii="宋体" w:hAnsi="宋体" w:eastAsia="宋体" w:cs="宋体"/>
          <w:bCs/>
          <w:snapToGrid w:val="0"/>
          <w:color w:val="auto"/>
          <w:kern w:val="0"/>
          <w:sz w:val="24"/>
          <w:highlight w:val="none"/>
          <w:lang w:val="en-US" w:eastAsia="zh-CN"/>
        </w:rPr>
        <w:t>4</w:t>
      </w:r>
      <w:r>
        <w:rPr>
          <w:rFonts w:hint="eastAsia" w:ascii="宋体" w:hAnsi="宋体" w:eastAsia="宋体" w:cs="宋体"/>
          <w:bCs/>
          <w:snapToGrid w:val="0"/>
          <w:color w:val="auto"/>
          <w:kern w:val="0"/>
          <w:sz w:val="24"/>
          <w:highlight w:val="none"/>
        </w:rPr>
        <w:t>套图纸，同时提供电子文档。承包人确需增加图纸套数的，应当取得发包人的同意，所需费用由承包人自行承担。</w:t>
      </w:r>
    </w:p>
    <w:p w14:paraId="75505040">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4.2对图纸的保密要求：由发包人提供的图纸、文件等，未经发包人许可，承包人不得用于本工程以外的项目或者转借、出让、泄露给第三方。保密措施费用由承包人自行承担。本合同项下保密条款长期有效，不因本合同的终止而失效。</w:t>
      </w:r>
    </w:p>
    <w:p w14:paraId="22582ACA">
      <w:pPr>
        <w:pStyle w:val="10"/>
        <w:jc w:val="left"/>
        <w:rPr>
          <w:rFonts w:hint="eastAsia" w:ascii="宋体" w:hAnsi="宋体"/>
          <w:snapToGrid w:val="0"/>
          <w:color w:val="auto"/>
          <w:kern w:val="0"/>
          <w:highlight w:val="none"/>
        </w:rPr>
      </w:pPr>
      <w:bookmarkStart w:id="492" w:name="_Toc514663859"/>
      <w:bookmarkStart w:id="493" w:name="_Toc520902757"/>
      <w:bookmarkStart w:id="494" w:name="_Toc520358055"/>
      <w:bookmarkStart w:id="495" w:name="_Toc514666974"/>
      <w:bookmarkStart w:id="496" w:name="_Toc520901461"/>
      <w:bookmarkStart w:id="497" w:name="_Toc35083096"/>
      <w:bookmarkStart w:id="498" w:name="_Toc514681183"/>
      <w:bookmarkStart w:id="499" w:name="_Toc514665144"/>
      <w:bookmarkStart w:id="500" w:name="_Toc517774561"/>
      <w:bookmarkStart w:id="501" w:name="_Toc520902828"/>
      <w:bookmarkStart w:id="502" w:name="_Toc517954574"/>
      <w:bookmarkStart w:id="503" w:name="_Toc520358231"/>
      <w:bookmarkStart w:id="504" w:name="_Toc519502251"/>
      <w:bookmarkStart w:id="505" w:name="_Toc514681764"/>
      <w:bookmarkStart w:id="506" w:name="_Toc519503081"/>
      <w:bookmarkStart w:id="507" w:name="_Toc518481733"/>
      <w:bookmarkStart w:id="508" w:name="_Toc514665283"/>
      <w:bookmarkStart w:id="509" w:name="_Toc514664861"/>
      <w:bookmarkStart w:id="510" w:name="_Toc516495977"/>
      <w:bookmarkStart w:id="511" w:name="_Toc520902606"/>
      <w:r>
        <w:rPr>
          <w:rFonts w:hint="eastAsia" w:ascii="宋体" w:hAnsi="宋体"/>
          <w:snapToGrid w:val="0"/>
          <w:color w:val="auto"/>
          <w:kern w:val="0"/>
          <w:highlight w:val="none"/>
        </w:rPr>
        <w:t>二、双方一般权利和义务</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611BED46">
      <w:pPr>
        <w:adjustRightInd w:val="0"/>
        <w:snapToGrid w:val="0"/>
        <w:spacing w:line="360" w:lineRule="auto"/>
        <w:ind w:right="11"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5、工程师</w:t>
      </w:r>
    </w:p>
    <w:p w14:paraId="7B591A92">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5.1监理单位</w:t>
      </w:r>
    </w:p>
    <w:p w14:paraId="570227FE">
      <w:pPr>
        <w:adjustRightInd w:val="0"/>
        <w:snapToGrid w:val="0"/>
        <w:spacing w:line="360" w:lineRule="auto"/>
        <w:ind w:firstLine="480" w:firstLineChars="200"/>
        <w:rPr>
          <w:rFonts w:hint="eastAsia" w:ascii="宋体" w:hAnsi="宋体" w:eastAsia="宋体" w:cs="宋体"/>
          <w:bCs/>
          <w:snapToGrid w:val="0"/>
          <w:color w:val="auto"/>
          <w:kern w:val="0"/>
          <w:sz w:val="24"/>
          <w:highlight w:val="none"/>
          <w:u w:val="single"/>
        </w:rPr>
      </w:pPr>
      <w:r>
        <w:rPr>
          <w:rFonts w:hint="eastAsia" w:ascii="宋体" w:hAnsi="宋体" w:eastAsia="宋体" w:cs="宋体"/>
          <w:bCs/>
          <w:snapToGrid w:val="0"/>
          <w:color w:val="auto"/>
          <w:kern w:val="0"/>
          <w:sz w:val="24"/>
          <w:highlight w:val="none"/>
        </w:rPr>
        <w:t>发包人委托</w:t>
      </w:r>
      <w:r>
        <w:rPr>
          <w:rFonts w:hint="eastAsia" w:ascii="宋体" w:hAnsi="宋体" w:eastAsia="宋体" w:cs="宋体"/>
          <w:bCs/>
          <w:snapToGrid w:val="0"/>
          <w:color w:val="auto"/>
          <w:kern w:val="0"/>
          <w:sz w:val="24"/>
          <w:highlight w:val="none"/>
          <w:u w:val="single"/>
        </w:rPr>
        <w:t>【】</w:t>
      </w:r>
      <w:r>
        <w:rPr>
          <w:rFonts w:hint="eastAsia" w:ascii="宋体" w:hAnsi="宋体" w:eastAsia="宋体" w:cs="宋体"/>
          <w:snapToGrid w:val="0"/>
          <w:color w:val="auto"/>
          <w:kern w:val="0"/>
          <w:sz w:val="24"/>
          <w:highlight w:val="none"/>
        </w:rPr>
        <w:t>为</w:t>
      </w:r>
      <w:r>
        <w:rPr>
          <w:rFonts w:hint="eastAsia" w:ascii="宋体" w:hAnsi="宋体" w:eastAsia="宋体" w:cs="宋体"/>
          <w:bCs/>
          <w:snapToGrid w:val="0"/>
          <w:color w:val="auto"/>
          <w:kern w:val="0"/>
          <w:sz w:val="24"/>
          <w:highlight w:val="none"/>
        </w:rPr>
        <w:t>本工程的监理单位，总监理工程师为</w:t>
      </w:r>
      <w:r>
        <w:rPr>
          <w:rFonts w:hint="eastAsia" w:ascii="宋体" w:hAnsi="宋体" w:eastAsia="宋体" w:cs="宋体"/>
          <w:b/>
          <w:bCs/>
          <w:snapToGrid w:val="0"/>
          <w:color w:val="auto"/>
          <w:kern w:val="0"/>
          <w:sz w:val="24"/>
          <w:highlight w:val="none"/>
          <w:u w:val="single"/>
        </w:rPr>
        <w:t>【】</w:t>
      </w:r>
      <w:r>
        <w:rPr>
          <w:rFonts w:hint="eastAsia" w:ascii="宋体" w:hAnsi="宋体" w:eastAsia="宋体" w:cs="宋体"/>
          <w:bCs/>
          <w:snapToGrid w:val="0"/>
          <w:color w:val="auto"/>
          <w:kern w:val="0"/>
          <w:sz w:val="24"/>
          <w:highlight w:val="none"/>
        </w:rPr>
        <w:t>。</w:t>
      </w:r>
    </w:p>
    <w:p w14:paraId="2DA3356D">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bCs/>
          <w:snapToGrid w:val="0"/>
          <w:color w:val="auto"/>
          <w:kern w:val="0"/>
          <w:sz w:val="24"/>
          <w:highlight w:val="none"/>
        </w:rPr>
        <w:t>5.</w:t>
      </w:r>
      <w:r>
        <w:rPr>
          <w:rFonts w:hint="eastAsia" w:ascii="宋体" w:hAnsi="宋体" w:eastAsia="宋体" w:cs="宋体"/>
          <w:bCs/>
          <w:snapToGrid w:val="0"/>
          <w:color w:val="auto"/>
          <w:kern w:val="0"/>
          <w:sz w:val="24"/>
          <w:highlight w:val="none"/>
          <w:lang w:val="en-US" w:eastAsia="zh-CN"/>
        </w:rPr>
        <w:t>2</w:t>
      </w:r>
      <w:r>
        <w:rPr>
          <w:rFonts w:hint="eastAsia" w:ascii="宋体" w:hAnsi="宋体" w:eastAsia="宋体" w:cs="宋体"/>
          <w:snapToGrid w:val="0"/>
          <w:color w:val="auto"/>
          <w:kern w:val="0"/>
          <w:sz w:val="24"/>
          <w:highlight w:val="none"/>
        </w:rPr>
        <w:t>发包人代表</w:t>
      </w:r>
    </w:p>
    <w:p w14:paraId="1B6A2211">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发包人派驻施工场地履行合同的代表在本合同中称为发包人代表。其姓名、职务如下：</w:t>
      </w:r>
    </w:p>
    <w:p w14:paraId="5D0C3A9D">
      <w:pPr>
        <w:adjustRightInd w:val="0"/>
        <w:snapToGrid w:val="0"/>
        <w:spacing w:line="360" w:lineRule="auto"/>
        <w:ind w:right="11" w:firstLine="460" w:firstLineChars="192"/>
        <w:rPr>
          <w:rFonts w:hint="eastAsia" w:ascii="宋体" w:hAnsi="宋体" w:eastAsia="宋体" w:cs="宋体"/>
          <w:bCs/>
          <w:strike/>
          <w:snapToGrid w:val="0"/>
          <w:color w:val="auto"/>
          <w:kern w:val="0"/>
          <w:sz w:val="24"/>
          <w:highlight w:val="none"/>
          <w:u w:val="single"/>
        </w:rPr>
      </w:pPr>
      <w:r>
        <w:rPr>
          <w:rFonts w:hint="eastAsia" w:ascii="宋体" w:hAnsi="宋体" w:eastAsia="宋体" w:cs="宋体"/>
          <w:bCs/>
          <w:snapToGrid w:val="0"/>
          <w:color w:val="auto"/>
          <w:kern w:val="0"/>
          <w:sz w:val="24"/>
          <w:highlight w:val="none"/>
        </w:rPr>
        <w:t>姓名：</w:t>
      </w:r>
      <w:r>
        <w:rPr>
          <w:rFonts w:hint="eastAsia" w:ascii="宋体" w:hAnsi="宋体" w:eastAsia="宋体" w:cs="宋体"/>
          <w:b/>
          <w:snapToGrid w:val="0"/>
          <w:color w:val="auto"/>
          <w:kern w:val="0"/>
          <w:sz w:val="24"/>
          <w:highlight w:val="none"/>
          <w:u w:val="single"/>
        </w:rPr>
        <w:t>【】</w:t>
      </w:r>
      <w:r>
        <w:rPr>
          <w:rFonts w:hint="eastAsia" w:ascii="宋体" w:hAnsi="宋体" w:eastAsia="宋体" w:cs="宋体"/>
          <w:bCs/>
          <w:snapToGrid w:val="0"/>
          <w:color w:val="auto"/>
          <w:kern w:val="0"/>
          <w:sz w:val="24"/>
          <w:highlight w:val="none"/>
        </w:rPr>
        <w:t>，职务：</w:t>
      </w:r>
      <w:r>
        <w:rPr>
          <w:rFonts w:hint="eastAsia" w:ascii="宋体" w:hAnsi="宋体" w:eastAsia="宋体" w:cs="宋体"/>
          <w:snapToGrid w:val="0"/>
          <w:color w:val="auto"/>
          <w:kern w:val="0"/>
          <w:sz w:val="24"/>
          <w:highlight w:val="none"/>
          <w:u w:val="single"/>
        </w:rPr>
        <w:t>【】</w:t>
      </w:r>
      <w:r>
        <w:rPr>
          <w:rFonts w:hint="eastAsia" w:ascii="宋体" w:hAnsi="宋体" w:eastAsia="宋体" w:cs="宋体"/>
          <w:bCs/>
          <w:snapToGrid w:val="0"/>
          <w:color w:val="auto"/>
          <w:kern w:val="0"/>
          <w:sz w:val="24"/>
          <w:highlight w:val="none"/>
        </w:rPr>
        <w:t>。</w:t>
      </w:r>
    </w:p>
    <w:p w14:paraId="6ADA367F">
      <w:pPr>
        <w:adjustRightInd w:val="0"/>
        <w:snapToGrid w:val="0"/>
        <w:spacing w:line="360" w:lineRule="auto"/>
        <w:ind w:right="11"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6、工程师的委派和指令</w:t>
      </w:r>
    </w:p>
    <w:p w14:paraId="7FCAE927">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6.2在紧急情况下，总监理工程师可以当场发出口头指令，承包人应遵照执行。承包人在收到上述口头指令后24小时内，应向总监理工程师发出书面确认函。若总监理工程师在收到书面确认函后24小时内未予答复，该口头指令应被视为总监理工程师的正式指令。由于总监理工程师指令错误而延误工期的</w:t>
      </w:r>
      <w:bookmarkStart w:id="512" w:name="OLE_LINK27"/>
      <w:bookmarkStart w:id="513" w:name="OLE_LINK28"/>
      <w:r>
        <w:rPr>
          <w:rFonts w:hint="eastAsia" w:ascii="宋体" w:hAnsi="宋体" w:eastAsia="宋体" w:cs="宋体"/>
          <w:bCs/>
          <w:snapToGrid w:val="0"/>
          <w:color w:val="auto"/>
          <w:kern w:val="0"/>
          <w:sz w:val="24"/>
          <w:highlight w:val="none"/>
        </w:rPr>
        <w:t>，由此产生的费用由承包人自行承担</w:t>
      </w:r>
      <w:bookmarkEnd w:id="512"/>
      <w:bookmarkEnd w:id="513"/>
      <w:r>
        <w:rPr>
          <w:rFonts w:hint="eastAsia" w:ascii="宋体" w:hAnsi="宋体" w:eastAsia="宋体" w:cs="宋体"/>
          <w:bCs/>
          <w:snapToGrid w:val="0"/>
          <w:color w:val="auto"/>
          <w:kern w:val="0"/>
          <w:sz w:val="24"/>
          <w:highlight w:val="none"/>
        </w:rPr>
        <w:t>。</w:t>
      </w:r>
    </w:p>
    <w:p w14:paraId="159A0209">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6.3由于总监理工程师未能按合同约定履行义务造成工期延误的，由此产生的费用由承包人自行承担。</w:t>
      </w:r>
    </w:p>
    <w:p w14:paraId="59852274">
      <w:pPr>
        <w:adjustRightInd w:val="0"/>
        <w:snapToGrid w:val="0"/>
        <w:spacing w:line="360" w:lineRule="auto"/>
        <w:ind w:right="11" w:firstLine="463" w:firstLineChars="192"/>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承包人与发包人一致同意增加6.5、6.6：</w:t>
      </w:r>
    </w:p>
    <w:p w14:paraId="63298ADB">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6.5除特别指明外，总监理工程师对承包人的任何工作、工程或其采用的材料和设备未提出否定意见的，不应视为已获批准，也不影响总监理工程师在以后拒绝该项工作、工程、材料设备的权利。</w:t>
      </w:r>
    </w:p>
    <w:p w14:paraId="7CBBCC6E">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6.6总监理工程师的指令应该有总监理工程师的签字，并加盖监理单位驻施工场地机构印章。</w:t>
      </w:r>
    </w:p>
    <w:p w14:paraId="34AB59BB">
      <w:pPr>
        <w:adjustRightInd w:val="0"/>
        <w:snapToGrid w:val="0"/>
        <w:spacing w:line="360" w:lineRule="auto"/>
        <w:ind w:firstLine="48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7、项目经理</w:t>
      </w:r>
    </w:p>
    <w:p w14:paraId="028C2155">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7.1本工程项目经理</w:t>
      </w:r>
    </w:p>
    <w:p w14:paraId="2C9022B4">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姓名：</w:t>
      </w:r>
      <w:r>
        <w:rPr>
          <w:rFonts w:hint="eastAsia" w:ascii="宋体" w:hAnsi="宋体" w:eastAsia="宋体" w:cs="宋体"/>
          <w:b/>
          <w:bCs/>
          <w:snapToGrid w:val="0"/>
          <w:color w:val="auto"/>
          <w:kern w:val="0"/>
          <w:sz w:val="24"/>
          <w:highlight w:val="none"/>
          <w:u w:val="single"/>
        </w:rPr>
        <w:t>【】</w:t>
      </w:r>
      <w:r>
        <w:rPr>
          <w:rFonts w:hint="eastAsia" w:ascii="宋体" w:hAnsi="宋体" w:eastAsia="宋体" w:cs="宋体"/>
          <w:snapToGrid w:val="0"/>
          <w:color w:val="auto"/>
          <w:kern w:val="0"/>
          <w:sz w:val="24"/>
          <w:highlight w:val="none"/>
        </w:rPr>
        <w:t>，职务：</w:t>
      </w:r>
      <w:r>
        <w:rPr>
          <w:rFonts w:hint="eastAsia" w:ascii="宋体" w:hAnsi="宋体" w:eastAsia="宋体" w:cs="宋体"/>
          <w:snapToGrid w:val="0"/>
          <w:color w:val="auto"/>
          <w:kern w:val="0"/>
          <w:sz w:val="24"/>
          <w:highlight w:val="none"/>
          <w:u w:val="single"/>
        </w:rPr>
        <w:t>【】</w:t>
      </w:r>
      <w:r>
        <w:rPr>
          <w:rFonts w:hint="eastAsia" w:ascii="宋体" w:hAnsi="宋体" w:eastAsia="宋体" w:cs="宋体"/>
          <w:snapToGrid w:val="0"/>
          <w:color w:val="auto"/>
          <w:kern w:val="0"/>
          <w:sz w:val="24"/>
          <w:highlight w:val="none"/>
        </w:rPr>
        <w:t>。</w:t>
      </w:r>
    </w:p>
    <w:p w14:paraId="43D55932">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承包人与发包人一致同意增加7.6至7.9：</w:t>
      </w:r>
    </w:p>
    <w:p w14:paraId="73BA498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7.6现场管理机构及人员投入</w:t>
      </w:r>
    </w:p>
    <w:p w14:paraId="03EE6043">
      <w:pPr>
        <w:numPr>
          <w:ilvl w:val="0"/>
          <w:numId w:val="1"/>
        </w:num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承包人必须按照投标文件的承诺建立现场管理机构，严格执行《建设工程项目管理规范》（GB/T50326-2017），并积极主动接受建设行政主管部门的监督和检查。</w:t>
      </w:r>
    </w:p>
    <w:p w14:paraId="70B6AB44">
      <w:pPr>
        <w:numPr>
          <w:ilvl w:val="0"/>
          <w:numId w:val="1"/>
        </w:num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bCs/>
          <w:snapToGrid w:val="0"/>
          <w:color w:val="auto"/>
          <w:kern w:val="0"/>
          <w:sz w:val="24"/>
          <w:highlight w:val="none"/>
        </w:rPr>
        <w:t>本工程</w:t>
      </w:r>
      <w:r>
        <w:rPr>
          <w:rFonts w:hint="eastAsia" w:ascii="宋体" w:hAnsi="宋体" w:eastAsia="宋体" w:cs="宋体"/>
          <w:color w:val="auto"/>
          <w:sz w:val="24"/>
          <w:szCs w:val="24"/>
          <w:highlight w:val="none"/>
        </w:rPr>
        <w:t>项目经理、项目技术负责人和五大员</w:t>
      </w:r>
      <w:r>
        <w:rPr>
          <w:rFonts w:hint="eastAsia" w:ascii="宋体" w:hAnsi="宋体" w:eastAsia="宋体" w:cs="宋体"/>
          <w:snapToGrid w:val="0"/>
          <w:color w:val="auto"/>
          <w:kern w:val="0"/>
          <w:sz w:val="24"/>
          <w:highlight w:val="none"/>
        </w:rPr>
        <w:t>（施工员、质检员、安全员、材料员、预算员）必须持证上岗及驻现场办公；技术负责人、安全负责人、质量负责人和五大员上岗应有企业授权书，且应具备法定程序认可的上岗证件及相应等级职称证明；其余主要管理人员要有类似工程的管理经验。（注：人员要求具体以招标文件、承包人的投标文件为准。）</w:t>
      </w:r>
    </w:p>
    <w:p w14:paraId="655C4BF8">
      <w:pPr>
        <w:numPr>
          <w:ilvl w:val="0"/>
          <w:numId w:val="1"/>
        </w:num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现场管理机构各</w:t>
      </w:r>
      <w:r>
        <w:rPr>
          <w:rFonts w:hint="eastAsia" w:ascii="宋体" w:hAnsi="宋体" w:eastAsia="宋体" w:cs="宋体"/>
          <w:bCs/>
          <w:snapToGrid w:val="0"/>
          <w:color w:val="auto"/>
          <w:kern w:val="0"/>
          <w:sz w:val="24"/>
          <w:highlight w:val="none"/>
        </w:rPr>
        <w:t>部</w:t>
      </w:r>
      <w:r>
        <w:rPr>
          <w:rFonts w:hint="eastAsia" w:ascii="宋体" w:hAnsi="宋体" w:eastAsia="宋体" w:cs="宋体"/>
          <w:snapToGrid w:val="0"/>
          <w:color w:val="auto"/>
          <w:kern w:val="0"/>
          <w:sz w:val="24"/>
          <w:highlight w:val="none"/>
        </w:rPr>
        <w:t>主要组织管理人员在开工前必须全部到位，并接受总监理工程师和发包人代表的查验。</w:t>
      </w:r>
    </w:p>
    <w:p w14:paraId="1049E11F">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承包人委派的现场管理机构各部主要组织管理人员不得有兼职情况存在，并需接受监理单位的监督。</w:t>
      </w:r>
    </w:p>
    <w:p w14:paraId="492EDFD5">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7.7现场管理机构各部主要组织管理人员应与投标文件保持一致。因特殊情况需要更换的，承包人应以书面形式向监理单位提出意向（附前任和后任人员的详细履历资料），经总监理工程师签署意见后向发包人提出申请，征得发包人书面同意后方可更换。承包人必须保证后任人员的资质、职称、实际工作能力不低于前任人员的素质。</w:t>
      </w:r>
    </w:p>
    <w:p w14:paraId="27639A55">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更换人员必须履行建设行政主管部门规定的人员变更手续，后任人员继续行使前任的职权，履行前任的义务。</w:t>
      </w:r>
    </w:p>
    <w:p w14:paraId="218A242E">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上述任何理由或程序更换的现场主要管理人员必须待更换人员到岗后，前任人员完成所有工作交接方能离岗，若未经交接或批准擅自离岗，按照专用条款第38.4条约定承担违约责任。</w:t>
      </w:r>
    </w:p>
    <w:p w14:paraId="69A89882">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7.8现场管理机构各部主要组织管理人员的</w:t>
      </w:r>
      <w:r>
        <w:rPr>
          <w:rFonts w:hint="eastAsia" w:ascii="宋体" w:hAnsi="宋体" w:eastAsia="宋体" w:cs="宋体"/>
          <w:iCs/>
          <w:snapToGrid w:val="0"/>
          <w:color w:val="auto"/>
          <w:kern w:val="0"/>
          <w:sz w:val="24"/>
          <w:highlight w:val="none"/>
        </w:rPr>
        <w:t>实际工作能力和工作效果达不到招标文件的明确要求</w:t>
      </w:r>
      <w:r>
        <w:rPr>
          <w:rFonts w:hint="eastAsia" w:ascii="宋体" w:hAnsi="宋体" w:eastAsia="宋体" w:cs="宋体"/>
          <w:snapToGrid w:val="0"/>
          <w:color w:val="auto"/>
          <w:kern w:val="0"/>
          <w:sz w:val="24"/>
          <w:highlight w:val="none"/>
        </w:rPr>
        <w:t>或投标文件的承诺或工作态度存在严重不足，不适应现场工作需要的，发包人有权向承包人提出撤换。承包人可以在发包人作出撤换的通知之日起3天内提出整改方案，如发包人不予接受，则承包人必须在发包人作出不予接受的通知之日起7天内无条件撤换，并按合同专用条款第38.4（3）款的约定承担违约责任。所调换来人员的资质、职称、实际工作能力不低于投标文件中所承诺人员的素质，否则，按合同专用条款第38.4（3）款的约定承担违反投标承诺的违约责任。</w:t>
      </w:r>
    </w:p>
    <w:p w14:paraId="518D7E6D">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发包人要求承包人撤换不合格人员，如承包人既不立即撤换，也不在3天内提出整改意见，则视同拒绝执行发包人的指令，承包人需按合同专用条款第38.4（3）款的约定承担违约责任。</w:t>
      </w:r>
    </w:p>
    <w:p w14:paraId="214C3CE8">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发包人要求承包人以实际工作能力较高的人员调换实际工作能力较低的现场人员、或者承包人主动要求以实际工作能力较高的人员调换实际工作能力较低的现场人员并经总监理工程师及发包人批准且经实践检验证实、或者承包人有合法的理由提出申请并经总监理工程师及发包人批准更换相关人员的，承包人可不承担违约责任。</w:t>
      </w:r>
    </w:p>
    <w:p w14:paraId="320031AC">
      <w:pPr>
        <w:adjustRightInd w:val="0"/>
        <w:snapToGrid w:val="0"/>
        <w:spacing w:line="360" w:lineRule="auto"/>
        <w:ind w:right="11" w:firstLine="480" w:firstLineChars="200"/>
        <w:rPr>
          <w:rFonts w:hint="eastAsia" w:ascii="宋体" w:hAnsi="宋体" w:eastAsia="宋体" w:cs="宋体"/>
          <w:iCs/>
          <w:snapToGrid w:val="0"/>
          <w:color w:val="auto"/>
          <w:kern w:val="0"/>
          <w:sz w:val="24"/>
          <w:highlight w:val="none"/>
        </w:rPr>
      </w:pPr>
      <w:r>
        <w:rPr>
          <w:rFonts w:hint="eastAsia" w:ascii="宋体" w:hAnsi="宋体" w:eastAsia="宋体" w:cs="宋体"/>
          <w:iCs/>
          <w:snapToGrid w:val="0"/>
          <w:color w:val="auto"/>
          <w:kern w:val="0"/>
          <w:sz w:val="24"/>
          <w:highlight w:val="none"/>
        </w:rPr>
        <w:t>7.9</w:t>
      </w:r>
      <w:r>
        <w:rPr>
          <w:rFonts w:hint="eastAsia" w:ascii="宋体" w:hAnsi="宋体" w:eastAsia="宋体" w:cs="宋体"/>
          <w:bCs/>
          <w:snapToGrid w:val="0"/>
          <w:color w:val="auto"/>
          <w:kern w:val="0"/>
          <w:sz w:val="24"/>
          <w:highlight w:val="none"/>
        </w:rPr>
        <w:t>承包人现场管理关键人员离开施工现场的批准要求：现场管理机构各部主要组织管理人员必须全职在现场办公，不得兼职或者擅自离岗。因特殊情况需短暂离岗的，应当事先报总监理工程师批准，且须妥善安排工作交接。项目负责人应当确保每月在现场带班生产的实际时间不少于本月施工时间的80%，如需请假按发包人相关规定办理。</w:t>
      </w:r>
    </w:p>
    <w:p w14:paraId="10300D3C">
      <w:pPr>
        <w:adjustRightInd w:val="0"/>
        <w:snapToGrid w:val="0"/>
        <w:spacing w:line="360" w:lineRule="auto"/>
        <w:ind w:right="11"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8、发包人工作</w:t>
      </w:r>
    </w:p>
    <w:p w14:paraId="3F4220C4">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8.1发包人应按约定的时间和要求完成以下工作：</w:t>
      </w:r>
    </w:p>
    <w:p w14:paraId="5AC1A9BC">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图纸会审和设计交底时间：承包人接到施工图纸之日起7天内进行。</w:t>
      </w:r>
    </w:p>
    <w:p w14:paraId="2627F06F">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8.</w:t>
      </w:r>
      <w:r>
        <w:rPr>
          <w:rFonts w:hint="eastAsia" w:ascii="宋体" w:hAnsi="宋体" w:eastAsia="宋体" w:cs="宋体"/>
          <w:bCs/>
          <w:snapToGrid w:val="0"/>
          <w:color w:val="auto"/>
          <w:kern w:val="0"/>
          <w:sz w:val="24"/>
          <w:highlight w:val="none"/>
          <w:lang w:val="en-US" w:eastAsia="zh-CN"/>
        </w:rPr>
        <w:t>2</w:t>
      </w:r>
      <w:r>
        <w:rPr>
          <w:rFonts w:hint="eastAsia" w:ascii="宋体" w:hAnsi="宋体" w:eastAsia="宋体" w:cs="宋体"/>
          <w:bCs/>
          <w:snapToGrid w:val="0"/>
          <w:color w:val="auto"/>
          <w:kern w:val="0"/>
          <w:sz w:val="24"/>
          <w:highlight w:val="none"/>
        </w:rPr>
        <w:t>经发包人与承包人双方协商一致，发包人保留下列权利：</w:t>
      </w:r>
    </w:p>
    <w:p w14:paraId="1F6FF9C6">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（1）对用于本合同工程的材料设备的品质、质量提交质量监督检验机构（包括本合同约定的质量监督检验机构和法律法规规定的质量监督检验机构）审查确认的权利。</w:t>
      </w:r>
    </w:p>
    <w:p w14:paraId="510EAEEA">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（2）保留对主要材料设备的分类及采购方式进行合理调整的权利，承包人不得拒绝或要求增加任何费用，本合同另有约定的除外。</w:t>
      </w:r>
    </w:p>
    <w:p w14:paraId="7E1A1BD0">
      <w:pPr>
        <w:adjustRightInd w:val="0"/>
        <w:snapToGrid w:val="0"/>
        <w:spacing w:line="360" w:lineRule="auto"/>
        <w:ind w:right="11"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9、承包人工作</w:t>
      </w:r>
    </w:p>
    <w:p w14:paraId="6B071FF0">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9.1承包人按合同约定的内容和时间完成以下工作：</w:t>
      </w:r>
    </w:p>
    <w:p w14:paraId="657B3720">
      <w:pPr>
        <w:numPr>
          <w:ilvl w:val="0"/>
          <w:numId w:val="2"/>
        </w:numPr>
        <w:adjustRightInd w:val="0"/>
        <w:snapToGrid w:val="0"/>
        <w:spacing w:line="360" w:lineRule="auto"/>
        <w:ind w:right="11" w:firstLine="460" w:firstLineChars="192"/>
        <w:rPr>
          <w:rFonts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本工程开工前期承包人建立并向发包人、监理报送管理制度、安全文明保证措施。凡工程中涉及到规划、消防、环保、卫生防疫、质量安全、节能、交通等有关部门验收及检查的项目，承包人应及时做好验收准备工作、参与验收、落实整改工作。</w:t>
      </w:r>
    </w:p>
    <w:p w14:paraId="36AC449C">
      <w:pPr>
        <w:numPr>
          <w:ilvl w:val="0"/>
          <w:numId w:val="2"/>
        </w:num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承包人应依法依规地协调处理施工现场周围地下管线和邻近建筑物、构筑物、古树名木、文物、化石及坟墓等的保护工作，并承担相关费用；承包人负责项目用地范围内的绿化迁移，因提供施工条件引起的周边道路的改造及交通疏解、零星构筑物拆迁，解决因施工造成的周边村民用水、用电工作；承包人负责委托出具因施工受到影响的周边房屋及构筑物使用安全鉴定范围报告，相关费用已含在投标报价中。</w:t>
      </w:r>
    </w:p>
    <w:p w14:paraId="06B907AD">
      <w:pPr>
        <w:numPr>
          <w:ilvl w:val="0"/>
          <w:numId w:val="2"/>
        </w:num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根据工程需要，承包人提供和维修白天或夜间施工使用的照明、围栏设施，并负责安全保卫。若承包人未履行上述义务造成工程、财产、人身损害等，由承包人承担责任及因此所发生的一切费用。</w:t>
      </w:r>
    </w:p>
    <w:p w14:paraId="211DE6CC">
      <w:pPr>
        <w:numPr>
          <w:ilvl w:val="0"/>
          <w:numId w:val="2"/>
        </w:num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snapToGrid w:val="0"/>
          <w:color w:val="auto"/>
          <w:kern w:val="0"/>
          <w:sz w:val="24"/>
          <w:highlight w:val="none"/>
        </w:rPr>
        <w:t>承包人应遵守政府有关主管部门对施工场地交通、余泥排放、污水排放、节假日施工、夜间施工噪音以及环境保护和安全生产等的管理规定，按工程所在地政府主管部门的规定办理并承担由此发生的费用，并在开工之日起1个月内以书面形式知会发包人。</w:t>
      </w:r>
    </w:p>
    <w:p w14:paraId="040CD336">
      <w:pPr>
        <w:numPr>
          <w:ilvl w:val="0"/>
          <w:numId w:val="2"/>
        </w:num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未移交后续施工单位或发包人使用前，对已完工工程的保护工作及费用均由承包人负责，发生损坏由承包人自费修复。</w:t>
      </w:r>
    </w:p>
    <w:p w14:paraId="61E8BF9F">
      <w:pPr>
        <w:numPr>
          <w:ilvl w:val="0"/>
          <w:numId w:val="2"/>
        </w:num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承包人应对施工场地及周围的地下管线、建筑物、构筑物（含文物保护建筑）、城际地铁、燃油管道、高压线网、古树名木之状况进行勘察，根据勘察结果确定具体的保护措施并承担有关费用。承包人应承担因管线迁改需临时借地等相关费用。</w:t>
      </w:r>
    </w:p>
    <w:p w14:paraId="5C8EBA00">
      <w:pPr>
        <w:numPr>
          <w:ilvl w:val="0"/>
          <w:numId w:val="2"/>
        </w:numPr>
        <w:adjustRightInd w:val="0"/>
        <w:snapToGrid w:val="0"/>
        <w:spacing w:line="360" w:lineRule="auto"/>
        <w:ind w:right="11" w:firstLine="460" w:firstLineChars="192"/>
        <w:rPr>
          <w:rFonts w:hint="eastAsia" w:ascii="宋体" w:hAnsi="宋体" w:eastAsia="宋体"/>
          <w:color w:val="auto"/>
          <w:highlight w:val="none"/>
        </w:rPr>
      </w:pPr>
      <w:r>
        <w:rPr>
          <w:rFonts w:hint="eastAsia" w:ascii="宋体" w:hAnsi="宋体" w:eastAsia="宋体" w:cs="宋体"/>
          <w:bCs/>
          <w:snapToGrid w:val="0"/>
          <w:color w:val="auto"/>
          <w:kern w:val="0"/>
          <w:sz w:val="24"/>
          <w:highlight w:val="none"/>
        </w:rPr>
        <w:t>承包人应对所采取的保护措施进行监测，并应根据监测结果及时反馈信息指导施工，以确保上述受保护物件及作业人员、居民的安全。因承包人原因，受保护物件发生损坏的，由承包人承担责任并负责赔偿。</w:t>
      </w:r>
    </w:p>
    <w:p w14:paraId="7CC9B6FB">
      <w:pPr>
        <w:numPr>
          <w:ilvl w:val="0"/>
          <w:numId w:val="2"/>
        </w:num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承包人须按发包人批准的施工组织设计进行施工现场布置、放置材料机械及其他设施，开工前积极配合施工许可证查勘要求布置施工现场，因承包人原因造成施工许可证办理延误,发包人有权要求承包人承担1次一般违约责任处罚，若造成工期延误，承包人还应当按照专用条款第38.5款的有关约定承担违约责任。</w:t>
      </w:r>
    </w:p>
    <w:p w14:paraId="2586773C">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施工过程中，承包人应按合同约定及时清理施工垃圾，做到工完料清，将施工垃圾、余泥运出场外，保证施工场地清洁符合环境卫生管理的有关规定，达到合同协议书约定的安全生产及文明施工目标，并在工程竣工验收之日起10天内完成对施工场地进行全面清理。</w:t>
      </w:r>
    </w:p>
    <w:p w14:paraId="3C3108AA">
      <w:pPr>
        <w:numPr>
          <w:ilvl w:val="0"/>
          <w:numId w:val="2"/>
        </w:num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承包人应做的其他工作：</w:t>
      </w:r>
    </w:p>
    <w:p w14:paraId="1EEB40F6">
      <w:pPr>
        <w:adjustRightInd w:val="0"/>
        <w:snapToGrid w:val="0"/>
        <w:spacing w:line="360" w:lineRule="auto"/>
        <w:ind w:firstLine="48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1）进场后每日按审定格式向工程师申报人材机投入量及实物工程量完成量，以工程师审定量作为工程款（进度款）支付的依据。</w:t>
      </w:r>
    </w:p>
    <w:p w14:paraId="6ABEC282">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bCs/>
          <w:snapToGrid w:val="0"/>
          <w:color w:val="auto"/>
          <w:kern w:val="0"/>
          <w:sz w:val="24"/>
          <w:highlight w:val="none"/>
        </w:rPr>
        <w:t>2）</w:t>
      </w:r>
      <w:r>
        <w:rPr>
          <w:rFonts w:hint="eastAsia" w:ascii="宋体" w:hAnsi="宋体" w:eastAsia="宋体" w:cs="宋体"/>
          <w:snapToGrid w:val="0"/>
          <w:color w:val="auto"/>
          <w:kern w:val="0"/>
          <w:sz w:val="24"/>
          <w:highlight w:val="none"/>
        </w:rPr>
        <w:t>保证执行投标文件所承诺的施工组织设计中的资源投入计划，将工程施工所需的机械设备、人员、材料等资源，根据工程进度计划按时、按标准、足额投入；否则，应按专用条款第38.4（3）款的约定承担违反投标承诺的违约责任。</w:t>
      </w:r>
    </w:p>
    <w:p w14:paraId="028540DC">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施工过程中，承包人因特殊原因需变更资源投入计划或者对已投入的资源进行调整的，应当提前7天提出书面申请，报总监理工程师和发包人批准。允许机械、设备调整的原则为：所调整机械、设备的规格、标准只能比原计划提高，不能降低；数量原则上不允许减少，如确因更换先进设备提高了工效，发包人可考虑在总工作能力不降低的前提下同意调整。</w:t>
      </w:r>
      <w:r>
        <w:rPr>
          <w:rFonts w:hint="eastAsia" w:ascii="宋体" w:hAnsi="宋体" w:eastAsia="宋体" w:cs="宋体"/>
          <w:snapToGrid w:val="0"/>
          <w:color w:val="auto"/>
          <w:kern w:val="0"/>
          <w:sz w:val="24"/>
          <w:highlight w:val="none"/>
        </w:rPr>
        <w:t>施工机械费用包含在包干措施费中及包干综合单价中，后续不因机械投入的调整，而调整任何费用。</w:t>
      </w:r>
      <w:r>
        <w:rPr>
          <w:rFonts w:hint="eastAsia" w:ascii="宋体" w:hAnsi="宋体" w:eastAsia="宋体" w:cs="宋体"/>
          <w:bCs/>
          <w:snapToGrid w:val="0"/>
          <w:color w:val="auto"/>
          <w:kern w:val="0"/>
          <w:sz w:val="24"/>
          <w:highlight w:val="none"/>
        </w:rPr>
        <w:t>未经发包人许可，承包人开工后已进场的机械设备在任何情况下都不得在计划使用期间撤出现场。若施工机械、设备在施工过程中发生损坏，承包人必须在3天内完成修复或更换。</w:t>
      </w:r>
    </w:p>
    <w:p w14:paraId="7B84EB52">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因设计变更、施工现场情况变化造成工程内容、工程量变化，须调整机械、设备的规格、数量的，承包人须在变更或变化确定之日起3天内，提出完整的更新施工方案和资源投入计划，报总监理工程师和发包人批准后实施。</w:t>
      </w:r>
    </w:p>
    <w:p w14:paraId="71678881">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3）对前期成果文件、技术资料认真地复核和检查，有预见性地发现和指正设计缺陷和错误，应提出能实质性地节约资金和缩短工期的建议和措施。</w:t>
      </w:r>
    </w:p>
    <w:p w14:paraId="54EBB9ED">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4）承包人应当清楚地预计到施工期间对外界可能产生的不可避免的干扰，并保证主动努力减少这些干扰对外界的影响，积极主动与外界进行协调。</w:t>
      </w:r>
    </w:p>
    <w:p w14:paraId="1EB27323">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5）承包人应努力创建节能减排和节约型工地。</w:t>
      </w:r>
    </w:p>
    <w:p w14:paraId="49CD8CB5">
      <w:pPr>
        <w:adjustRightInd w:val="0"/>
        <w:snapToGrid w:val="0"/>
        <w:spacing w:line="360" w:lineRule="auto"/>
        <w:ind w:firstLine="480" w:firstLineChars="200"/>
        <w:rPr>
          <w:rFonts w:hint="eastAsia" w:ascii="宋体" w:hAnsi="宋体" w:eastAsia="宋体" w:cs="宋体"/>
          <w:iCs/>
          <w:snapToGrid w:val="0"/>
          <w:color w:val="auto"/>
          <w:kern w:val="0"/>
          <w:sz w:val="24"/>
          <w:highlight w:val="none"/>
        </w:rPr>
      </w:pPr>
      <w:r>
        <w:rPr>
          <w:rFonts w:hint="eastAsia" w:ascii="宋体" w:hAnsi="宋体" w:eastAsia="宋体" w:cs="宋体"/>
          <w:iCs/>
          <w:snapToGrid w:val="0"/>
          <w:color w:val="auto"/>
          <w:kern w:val="0"/>
          <w:sz w:val="24"/>
          <w:highlight w:val="none"/>
          <w:lang w:val="en-US" w:eastAsia="zh-CN"/>
        </w:rPr>
        <w:t>6</w:t>
      </w:r>
      <w:r>
        <w:rPr>
          <w:rFonts w:hint="eastAsia" w:ascii="宋体" w:hAnsi="宋体" w:eastAsia="宋体" w:cs="宋体"/>
          <w:iCs/>
          <w:snapToGrid w:val="0"/>
          <w:color w:val="auto"/>
          <w:kern w:val="0"/>
          <w:sz w:val="24"/>
          <w:highlight w:val="none"/>
        </w:rPr>
        <w:t>）从开工之日起，承包人应全面负责照管合同工程及运至现场将用于和安装在合同工程中的材料和工程设备，直到合同双方当事人确认工程移交之日止。此后，工程的照管即转由发包人负责。</w:t>
      </w:r>
    </w:p>
    <w:p w14:paraId="7DB97CF6">
      <w:pPr>
        <w:adjustRightInd w:val="0"/>
        <w:snapToGrid w:val="0"/>
        <w:spacing w:line="360" w:lineRule="auto"/>
        <w:ind w:firstLine="480" w:firstLineChars="200"/>
        <w:rPr>
          <w:rFonts w:hint="eastAsia" w:ascii="宋体" w:hAnsi="宋体" w:eastAsia="宋体" w:cs="宋体"/>
          <w:iCs/>
          <w:snapToGrid w:val="0"/>
          <w:color w:val="auto"/>
          <w:kern w:val="0"/>
          <w:sz w:val="24"/>
          <w:highlight w:val="none"/>
        </w:rPr>
      </w:pPr>
      <w:r>
        <w:rPr>
          <w:rFonts w:hint="eastAsia" w:ascii="宋体" w:hAnsi="宋体" w:eastAsia="宋体" w:cs="宋体"/>
          <w:iCs/>
          <w:snapToGrid w:val="0"/>
          <w:color w:val="auto"/>
          <w:kern w:val="0"/>
          <w:sz w:val="24"/>
          <w:highlight w:val="none"/>
          <w:lang w:val="en-US" w:eastAsia="zh-CN"/>
        </w:rPr>
        <w:t>7</w:t>
      </w:r>
      <w:r>
        <w:rPr>
          <w:rFonts w:hint="eastAsia" w:ascii="宋体" w:hAnsi="宋体" w:eastAsia="宋体" w:cs="宋体"/>
          <w:iCs/>
          <w:snapToGrid w:val="0"/>
          <w:color w:val="auto"/>
          <w:kern w:val="0"/>
          <w:sz w:val="24"/>
          <w:highlight w:val="none"/>
        </w:rPr>
        <w:t>）承包人应根据《广州市住房和城乡建设局关于加强建筑工程质量风险分级管控的通知》（穗建质〔2020〕21号）、《广州市住房和城乡建设局关于加强建筑工程施工安全风险分级管控的通知》（穗建质〔2020〕22号）实施质量、安全风险分级管控。</w:t>
      </w:r>
    </w:p>
    <w:p w14:paraId="12C9E800">
      <w:pPr>
        <w:pStyle w:val="2"/>
        <w:ind w:left="0" w:leftChars="0" w:firstLine="480"/>
        <w:rPr>
          <w:rFonts w:hint="eastAsia" w:cs="宋体"/>
          <w:color w:val="auto"/>
          <w:sz w:val="24"/>
          <w:szCs w:val="24"/>
          <w:highlight w:val="none"/>
          <w:u w:val="none"/>
          <w:lang w:eastAsia="zh-CN"/>
        </w:rPr>
      </w:pPr>
      <w:r>
        <w:rPr>
          <w:rFonts w:hint="eastAsia" w:cs="宋体"/>
          <w:iCs/>
          <w:snapToGrid w:val="0"/>
          <w:color w:val="auto"/>
          <w:kern w:val="0"/>
          <w:sz w:val="24"/>
          <w:highlight w:val="none"/>
          <w:u w:val="none"/>
          <w:lang w:val="en-US" w:eastAsia="zh-CN"/>
        </w:rPr>
        <w:t>8</w:t>
      </w:r>
      <w:r>
        <w:rPr>
          <w:rFonts w:hint="eastAsia" w:ascii="宋体" w:hAnsi="宋体" w:eastAsia="宋体" w:cs="宋体"/>
          <w:iCs/>
          <w:snapToGrid w:val="0"/>
          <w:color w:val="auto"/>
          <w:kern w:val="0"/>
          <w:sz w:val="24"/>
          <w:highlight w:val="none"/>
          <w:u w:val="none"/>
        </w:rPr>
        <w:t>）</w:t>
      </w:r>
      <w:r>
        <w:rPr>
          <w:rFonts w:hint="eastAsia" w:ascii="宋体" w:hAnsi="宋体" w:cs="宋体"/>
          <w:color w:val="auto"/>
          <w:sz w:val="24"/>
          <w:szCs w:val="24"/>
          <w:highlight w:val="none"/>
          <w:u w:val="none"/>
        </w:rPr>
        <w:t>为工程的项目管理、协调和总体管理承担全面的责任</w:t>
      </w:r>
      <w:r>
        <w:rPr>
          <w:rFonts w:hint="eastAsia" w:cs="宋体"/>
          <w:color w:val="auto"/>
          <w:sz w:val="24"/>
          <w:szCs w:val="24"/>
          <w:highlight w:val="none"/>
          <w:u w:val="none"/>
          <w:lang w:eastAsia="zh-CN"/>
        </w:rPr>
        <w:t>；</w:t>
      </w:r>
    </w:p>
    <w:p w14:paraId="5FBED911">
      <w:pPr>
        <w:pStyle w:val="2"/>
        <w:ind w:left="0" w:leftChars="0" w:firstLine="480" w:firstLineChars="200"/>
        <w:rPr>
          <w:rFonts w:hint="eastAsia" w:cs="宋体"/>
          <w:iCs/>
          <w:snapToGrid w:val="0"/>
          <w:color w:val="auto"/>
          <w:kern w:val="0"/>
          <w:sz w:val="24"/>
          <w:szCs w:val="24"/>
          <w:highlight w:val="none"/>
          <w:u w:val="none"/>
          <w:lang w:eastAsia="zh-CN"/>
        </w:rPr>
      </w:pPr>
      <w:r>
        <w:rPr>
          <w:rFonts w:hint="eastAsia" w:cs="宋体"/>
          <w:iCs/>
          <w:snapToGrid w:val="0"/>
          <w:color w:val="auto"/>
          <w:kern w:val="0"/>
          <w:sz w:val="24"/>
          <w:highlight w:val="none"/>
          <w:u w:val="none"/>
          <w:lang w:val="en-US" w:eastAsia="zh-CN"/>
        </w:rPr>
        <w:t>9</w:t>
      </w:r>
      <w:r>
        <w:rPr>
          <w:rFonts w:hint="eastAsia" w:ascii="宋体" w:hAnsi="宋体" w:eastAsia="宋体" w:cs="宋体"/>
          <w:iCs/>
          <w:snapToGrid w:val="0"/>
          <w:color w:val="auto"/>
          <w:kern w:val="0"/>
          <w:sz w:val="24"/>
          <w:highlight w:val="none"/>
          <w:u w:val="none"/>
        </w:rPr>
        <w:t>）</w:t>
      </w:r>
      <w:r>
        <w:rPr>
          <w:rFonts w:hint="eastAsia" w:ascii="宋体" w:hAnsi="宋体" w:cs="宋体"/>
          <w:iCs/>
          <w:snapToGrid w:val="0"/>
          <w:color w:val="auto"/>
          <w:kern w:val="0"/>
          <w:sz w:val="24"/>
          <w:szCs w:val="24"/>
          <w:highlight w:val="none"/>
          <w:u w:val="none"/>
        </w:rPr>
        <w:t>编制电网接入系统设计方案，协助甲方取得相关批复，按照政府有关要求办理开工许可相关手续</w:t>
      </w:r>
      <w:r>
        <w:rPr>
          <w:rFonts w:hint="eastAsia" w:ascii="宋体" w:hAnsi="宋体" w:cs="宋体"/>
          <w:iCs/>
          <w:snapToGrid w:val="0"/>
          <w:color w:val="auto"/>
          <w:kern w:val="0"/>
          <w:sz w:val="24"/>
          <w:szCs w:val="24"/>
          <w:highlight w:val="none"/>
          <w:u w:val="none"/>
          <w:lang w:eastAsia="zh-CN"/>
        </w:rPr>
        <w:t>（</w:t>
      </w:r>
      <w:r>
        <w:rPr>
          <w:rFonts w:hint="eastAsia" w:ascii="宋体" w:hAnsi="宋体" w:cs="宋体"/>
          <w:iCs/>
          <w:snapToGrid w:val="0"/>
          <w:color w:val="auto"/>
          <w:kern w:val="0"/>
          <w:sz w:val="24"/>
          <w:szCs w:val="24"/>
          <w:highlight w:val="none"/>
          <w:u w:val="none"/>
          <w:lang w:val="en-US" w:eastAsia="zh-CN"/>
        </w:rPr>
        <w:t>如需</w:t>
      </w:r>
      <w:r>
        <w:rPr>
          <w:rFonts w:hint="eastAsia" w:ascii="宋体" w:hAnsi="宋体" w:cs="宋体"/>
          <w:iCs/>
          <w:snapToGrid w:val="0"/>
          <w:color w:val="auto"/>
          <w:kern w:val="0"/>
          <w:sz w:val="24"/>
          <w:szCs w:val="24"/>
          <w:highlight w:val="none"/>
          <w:u w:val="none"/>
          <w:lang w:eastAsia="zh-CN"/>
        </w:rPr>
        <w:t>）</w:t>
      </w:r>
      <w:r>
        <w:rPr>
          <w:rFonts w:hint="eastAsia" w:cs="宋体"/>
          <w:iCs/>
          <w:snapToGrid w:val="0"/>
          <w:color w:val="auto"/>
          <w:kern w:val="0"/>
          <w:sz w:val="24"/>
          <w:szCs w:val="24"/>
          <w:highlight w:val="none"/>
          <w:u w:val="none"/>
          <w:lang w:eastAsia="zh-CN"/>
        </w:rPr>
        <w:t>；</w:t>
      </w:r>
    </w:p>
    <w:p w14:paraId="7E1F6446">
      <w:pPr>
        <w:pStyle w:val="2"/>
        <w:ind w:left="0" w:leftChars="0" w:firstLine="480" w:firstLineChars="200"/>
        <w:rPr>
          <w:rFonts w:hint="eastAsia" w:eastAsia="宋体"/>
          <w:color w:val="auto"/>
          <w:sz w:val="24"/>
          <w:highlight w:val="none"/>
          <w:u w:val="none"/>
          <w:lang w:val="en-US" w:eastAsia="zh-CN"/>
        </w:rPr>
      </w:pPr>
      <w:r>
        <w:rPr>
          <w:rFonts w:hint="eastAsia"/>
          <w:color w:val="auto"/>
          <w:sz w:val="24"/>
          <w:highlight w:val="none"/>
          <w:u w:val="none"/>
          <w:lang w:val="en-US" w:eastAsia="zh-CN"/>
        </w:rPr>
        <w:t>10）</w:t>
      </w:r>
      <w:r>
        <w:rPr>
          <w:rFonts w:hint="eastAsia" w:ascii="宋体" w:hAnsi="宋体" w:cs="宋体"/>
          <w:color w:val="auto"/>
          <w:sz w:val="24"/>
          <w:szCs w:val="24"/>
          <w:highlight w:val="none"/>
          <w:u w:val="none"/>
        </w:rPr>
        <w:t>完成本项目的启动、调试、机电设备完工试验、试运行和移交，取得并网接入及验收运行意见书(相关协调、咨询及验收并网等费用已包含在本合同价款中)</w:t>
      </w:r>
      <w:r>
        <w:rPr>
          <w:rFonts w:hint="eastAsia" w:cs="宋体"/>
          <w:color w:val="auto"/>
          <w:sz w:val="24"/>
          <w:szCs w:val="24"/>
          <w:highlight w:val="none"/>
          <w:u w:val="none"/>
          <w:lang w:eastAsia="zh-CN"/>
        </w:rPr>
        <w:t>；</w:t>
      </w:r>
    </w:p>
    <w:p w14:paraId="3E116F65">
      <w:pPr>
        <w:pStyle w:val="2"/>
        <w:ind w:left="0" w:leftChars="0" w:firstLine="480" w:firstLineChars="200"/>
        <w:rPr>
          <w:rFonts w:hint="eastAsia"/>
          <w:color w:val="auto"/>
          <w:sz w:val="24"/>
          <w:highlight w:val="none"/>
          <w:lang w:val="en-US" w:eastAsia="zh-CN"/>
        </w:rPr>
      </w:pPr>
      <w:r>
        <w:rPr>
          <w:rFonts w:hint="eastAsia"/>
          <w:color w:val="auto"/>
          <w:sz w:val="24"/>
          <w:highlight w:val="none"/>
          <w:u w:val="none"/>
          <w:lang w:val="en-US" w:eastAsia="zh-CN"/>
        </w:rPr>
        <w:t>11）</w:t>
      </w:r>
      <w:r>
        <w:rPr>
          <w:rFonts w:hint="eastAsia" w:ascii="宋体" w:hAnsi="宋体" w:cs="宋体"/>
          <w:color w:val="auto"/>
          <w:sz w:val="24"/>
          <w:szCs w:val="24"/>
          <w:highlight w:val="none"/>
          <w:u w:val="none"/>
        </w:rPr>
        <w:t>提供本项目运行、维护的规程，并对甲方工程技术、操作人员、维护人员进行培训</w:t>
      </w:r>
      <w:r>
        <w:rPr>
          <w:rFonts w:hint="eastAsia" w:cs="宋体"/>
          <w:color w:val="auto"/>
          <w:sz w:val="24"/>
          <w:szCs w:val="24"/>
          <w:highlight w:val="none"/>
          <w:u w:val="none"/>
          <w:lang w:eastAsia="zh-CN"/>
        </w:rPr>
        <w:t>。</w:t>
      </w:r>
    </w:p>
    <w:p w14:paraId="64E63402">
      <w:pPr>
        <w:adjustRightInd w:val="0"/>
        <w:snapToGrid w:val="0"/>
        <w:spacing w:line="360" w:lineRule="auto"/>
        <w:ind w:right="11" w:firstLine="482" w:firstLineChars="200"/>
        <w:rPr>
          <w:rFonts w:ascii="宋体" w:hAnsi="宋体" w:eastAsia="宋体" w:cs="宋体"/>
          <w:b/>
          <w:iCs/>
          <w:snapToGrid w:val="0"/>
          <w:color w:val="auto"/>
          <w:kern w:val="0"/>
          <w:sz w:val="24"/>
          <w:highlight w:val="none"/>
        </w:rPr>
      </w:pPr>
      <w:r>
        <w:rPr>
          <w:rFonts w:hint="eastAsia" w:ascii="宋体" w:hAnsi="宋体" w:eastAsia="宋体" w:cs="宋体"/>
          <w:b/>
          <w:iCs/>
          <w:snapToGrid w:val="0"/>
          <w:color w:val="auto"/>
          <w:kern w:val="0"/>
          <w:sz w:val="24"/>
          <w:highlight w:val="none"/>
        </w:rPr>
        <w:t>承包人与发包人一致同意增加9.3至9.1</w:t>
      </w:r>
      <w:r>
        <w:rPr>
          <w:rFonts w:hint="eastAsia" w:ascii="宋体" w:hAnsi="宋体" w:eastAsia="宋体" w:cs="宋体"/>
          <w:b/>
          <w:iCs/>
          <w:snapToGrid w:val="0"/>
          <w:color w:val="auto"/>
          <w:kern w:val="0"/>
          <w:sz w:val="24"/>
          <w:highlight w:val="none"/>
          <w:lang w:val="en-US" w:eastAsia="zh-CN"/>
        </w:rPr>
        <w:t>2</w:t>
      </w:r>
      <w:r>
        <w:rPr>
          <w:rFonts w:hint="eastAsia" w:ascii="宋体" w:hAnsi="宋体" w:eastAsia="宋体" w:cs="宋体"/>
          <w:b/>
          <w:iCs/>
          <w:snapToGrid w:val="0"/>
          <w:color w:val="auto"/>
          <w:kern w:val="0"/>
          <w:sz w:val="24"/>
          <w:highlight w:val="none"/>
        </w:rPr>
        <w:t>：</w:t>
      </w:r>
    </w:p>
    <w:p w14:paraId="62F63AFB">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9.</w:t>
      </w:r>
      <w:r>
        <w:rPr>
          <w:rFonts w:hint="eastAsia" w:ascii="宋体" w:hAnsi="宋体" w:eastAsia="宋体" w:cs="宋体"/>
          <w:bCs/>
          <w:snapToGrid w:val="0"/>
          <w:color w:val="auto"/>
          <w:kern w:val="0"/>
          <w:sz w:val="24"/>
          <w:highlight w:val="none"/>
          <w:lang w:val="en-US" w:eastAsia="zh-CN"/>
        </w:rPr>
        <w:t>3</w:t>
      </w:r>
      <w:r>
        <w:rPr>
          <w:rFonts w:hint="eastAsia" w:ascii="宋体" w:hAnsi="宋体" w:eastAsia="宋体" w:cs="宋体"/>
          <w:bCs/>
          <w:snapToGrid w:val="0"/>
          <w:color w:val="auto"/>
          <w:kern w:val="0"/>
          <w:sz w:val="24"/>
          <w:highlight w:val="none"/>
        </w:rPr>
        <w:t>承包人应在签订本合同的同时按招标文件提供的格式与发包人签订《工程质量保修书》、《工程建设廉洁协议书》、《安全生产合同》等文件。</w:t>
      </w:r>
    </w:p>
    <w:p w14:paraId="50730EDA">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9.</w:t>
      </w:r>
      <w:r>
        <w:rPr>
          <w:rFonts w:hint="eastAsia" w:ascii="宋体" w:hAnsi="宋体" w:eastAsia="宋体" w:cs="宋体"/>
          <w:bCs/>
          <w:snapToGrid w:val="0"/>
          <w:color w:val="auto"/>
          <w:kern w:val="0"/>
          <w:sz w:val="24"/>
          <w:highlight w:val="none"/>
          <w:lang w:val="en-US" w:eastAsia="zh-CN"/>
        </w:rPr>
        <w:t>4</w:t>
      </w:r>
      <w:r>
        <w:rPr>
          <w:rFonts w:hint="eastAsia" w:ascii="宋体" w:hAnsi="宋体" w:eastAsia="宋体" w:cs="宋体"/>
          <w:bCs/>
          <w:snapToGrid w:val="0"/>
          <w:color w:val="auto"/>
          <w:kern w:val="0"/>
          <w:sz w:val="24"/>
          <w:highlight w:val="none"/>
        </w:rPr>
        <w:t>承包人应当按照国家及广东省、广州市的有关规定和本合同的有关约定加强其参与本工程建设人员（包括施工人员）的管理。</w:t>
      </w:r>
    </w:p>
    <w:p w14:paraId="4F822D3B">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（1）按时足额支付施工人员工资：</w:t>
      </w:r>
    </w:p>
    <w:p w14:paraId="5327B110">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bCs/>
          <w:snapToGrid w:val="0"/>
          <w:color w:val="auto"/>
          <w:kern w:val="0"/>
          <w:sz w:val="24"/>
          <w:highlight w:val="none"/>
        </w:rPr>
        <w:t>1）承包人应当根据《国务院办公厅关于全面治理拖欠农民工工资问题的意</w:t>
      </w:r>
      <w:r>
        <w:rPr>
          <w:rFonts w:hint="eastAsia" w:ascii="宋体" w:hAnsi="宋体" w:eastAsia="宋体" w:cs="宋体"/>
          <w:snapToGrid w:val="0"/>
          <w:color w:val="auto"/>
          <w:kern w:val="0"/>
          <w:sz w:val="24"/>
          <w:highlight w:val="none"/>
        </w:rPr>
        <w:t>见》（国办发〔2016〕1号）、《广东省人民政府办公厅关于全面治理拖欠异地务工人员工资问题的实施意见》（粤府办〔2016〕111号）、劳动合同约定的农民工工资标准等内容，按照依法签订的集体合同或劳动合同约定的日期按月支付工资，并不得低于当地最低工资标准。</w:t>
      </w:r>
    </w:p>
    <w:p w14:paraId="29FC734E">
      <w:pPr>
        <w:adjustRightInd w:val="0"/>
        <w:snapToGrid w:val="0"/>
        <w:spacing w:line="360" w:lineRule="auto"/>
        <w:ind w:right="11" w:firstLine="480" w:firstLineChars="200"/>
        <w:rPr>
          <w:rFonts w:hint="eastAsia" w:ascii="宋体" w:hAnsi="宋体" w:eastAsia="宋体" w:cs="宋体"/>
          <w:bCs/>
          <w:iCs/>
          <w:snapToGrid w:val="0"/>
          <w:color w:val="auto"/>
          <w:kern w:val="0"/>
          <w:sz w:val="24"/>
          <w:highlight w:val="none"/>
        </w:rPr>
      </w:pPr>
      <w:r>
        <w:rPr>
          <w:rFonts w:hint="eastAsia" w:ascii="宋体" w:hAnsi="宋体" w:eastAsia="宋体" w:cs="宋体"/>
          <w:bCs/>
          <w:iCs/>
          <w:snapToGrid w:val="0"/>
          <w:color w:val="auto"/>
          <w:kern w:val="0"/>
          <w:sz w:val="24"/>
          <w:highlight w:val="none"/>
        </w:rPr>
        <w:t>2）承包人应每月编制农民工工资支付表，如实记录支付时间、支付对象、支付金额等工资支付情况，并于每月底提交监理工程师备案，并在其现场管理机构办公场所显眼位置公示，接受监督。</w:t>
      </w:r>
    </w:p>
    <w:p w14:paraId="616859E4">
      <w:pPr>
        <w:adjustRightInd w:val="0"/>
        <w:snapToGrid w:val="0"/>
        <w:spacing w:line="360" w:lineRule="auto"/>
        <w:ind w:right="11"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3）承包人应按上述1）、2）点要求对其专业分包或劳务分包单位工资支付进行监督，每月收集分包单位编制农民工工资支付表，并于每月底提交监理工程师备案，督促其依法支付农民工工资。</w:t>
      </w:r>
    </w:p>
    <w:p w14:paraId="18ECA72A">
      <w:pPr>
        <w:adjustRightInd w:val="0"/>
        <w:snapToGrid w:val="0"/>
        <w:spacing w:line="360" w:lineRule="auto"/>
        <w:ind w:right="11"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承包人不按合同及有关规定按时、足额支付分包单位合同价款及施工人员工资而被投诉或上访属实的，发包人将严格按照合同约定追究其违约责任；如因此致使施工人员集体上访、集聚围阻而造成社会不良影响的，发包人将立即终止与承包人的合同，并上报省、市主管部门建议取消其参加广州地区省、市重大项目的投标资格，并予以公告。如属恶意煽动并造成社会不良影响的，发包人将提请司法部门追究其法律责任。</w:t>
      </w:r>
    </w:p>
    <w:p w14:paraId="3BEAF96B">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由于承包人或其管理的分包单位、劳务合作单位拖欠施工人员工资，致使发包人被投诉或起诉并被判令先行垫付施工人员工资的，发包人除追究承包人和其他相关责任单位的违约责任外，还将在工程结算时按合同专用条款第38.14（2）款的约定扣回相关款项作为补偿。</w:t>
      </w:r>
    </w:p>
    <w:p w14:paraId="57346A24">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ascii="宋体" w:hAnsi="宋体" w:eastAsia="宋体" w:cs="宋体"/>
          <w:snapToGrid w:val="0"/>
          <w:color w:val="auto"/>
          <w:kern w:val="0"/>
          <w:sz w:val="24"/>
          <w:highlight w:val="none"/>
        </w:rPr>
        <w:t>6</w:t>
      </w:r>
      <w:r>
        <w:rPr>
          <w:rFonts w:hint="eastAsia" w:ascii="宋体" w:hAnsi="宋体" w:eastAsia="宋体" w:cs="宋体"/>
          <w:snapToGrid w:val="0"/>
          <w:color w:val="auto"/>
          <w:kern w:val="0"/>
          <w:sz w:val="24"/>
          <w:highlight w:val="none"/>
        </w:rPr>
        <w:t>）承包人必须以高度负责的态度，对存在的可能引发劳资纠纷的各种因素</w:t>
      </w:r>
      <w:r>
        <w:rPr>
          <w:rFonts w:hint="eastAsia" w:ascii="宋体" w:hAnsi="宋体" w:eastAsia="宋体" w:cs="宋体"/>
          <w:bCs/>
          <w:iCs/>
          <w:snapToGrid w:val="0"/>
          <w:color w:val="auto"/>
          <w:kern w:val="0"/>
          <w:sz w:val="24"/>
          <w:highlight w:val="none"/>
        </w:rPr>
        <w:t>进行排查，及时化解、处理可能发生劳资纠纷的不稳定因素；尤其是对恶意煽动民工集体上访、集聚围阻的行为，要善于及时发现并敢于揭露、制止。</w:t>
      </w:r>
    </w:p>
    <w:p w14:paraId="31DAFC3D">
      <w:pPr>
        <w:adjustRightInd w:val="0"/>
        <w:snapToGrid w:val="0"/>
        <w:spacing w:line="360" w:lineRule="auto"/>
        <w:ind w:right="11" w:firstLine="480" w:firstLineChars="200"/>
        <w:rPr>
          <w:rFonts w:hint="eastAsia" w:ascii="宋体" w:hAnsi="宋体" w:eastAsia="宋体" w:cs="宋体"/>
          <w:bCs/>
          <w:iCs/>
          <w:snapToGrid w:val="0"/>
          <w:color w:val="auto"/>
          <w:kern w:val="0"/>
          <w:sz w:val="24"/>
          <w:highlight w:val="none"/>
        </w:rPr>
      </w:pPr>
      <w:r>
        <w:rPr>
          <w:rFonts w:ascii="宋体" w:hAnsi="宋体" w:eastAsia="宋体" w:cs="宋体"/>
          <w:snapToGrid w:val="0"/>
          <w:color w:val="auto"/>
          <w:kern w:val="0"/>
          <w:sz w:val="24"/>
          <w:highlight w:val="none"/>
        </w:rPr>
        <w:t>7</w:t>
      </w:r>
      <w:r>
        <w:rPr>
          <w:rFonts w:hint="eastAsia" w:ascii="宋体" w:hAnsi="宋体" w:eastAsia="宋体" w:cs="宋体"/>
          <w:snapToGrid w:val="0"/>
          <w:color w:val="auto"/>
          <w:kern w:val="0"/>
          <w:sz w:val="24"/>
          <w:highlight w:val="none"/>
        </w:rPr>
        <w:t>）承包人必须按《保障农民工工资支付条例》（国令第724号）、《广东省住房和城乡建设厅关于印发房屋建筑和市政基础设施工程用工实名管理暂行办法的通知》（粤建规范〔2018〕1号）、《广州市住房和城乡建设局 广州市人力资源和社会保障局 广州市交通运输局 广州市水务局 广州市林业和园林局 中国人民银行广州分行营业管理部关于印发广州市建设领域工人工资支付分账管理实施细则的通知》（穗建规字【2020】18号）、《广州市住房和城乡建设局关于印发广州市建筑施工实名制管理办法的通知》（穗建规字【2020】37号）、《广州市根治拖欠农民工工资工作领导小组办公室关于广州市建设领域工程项目全面实施农民工工资总包代发制度的通知》《广州市住房和城乡建设局关于落实广州市建设领域工程项目全面实施农民工工资总包代发制度的通知》（穗建筑〔2020〕431号）等文件要求，进行分包工程工人工资支付。</w:t>
      </w:r>
    </w:p>
    <w:p w14:paraId="0732BA32">
      <w:pPr>
        <w:adjustRightInd w:val="0"/>
        <w:snapToGrid w:val="0"/>
        <w:spacing w:line="360" w:lineRule="auto"/>
        <w:ind w:right="11" w:firstLine="480" w:firstLineChars="200"/>
        <w:rPr>
          <w:rFonts w:hint="eastAsia" w:ascii="宋体" w:hAnsi="宋体" w:eastAsia="宋体" w:cs="宋体"/>
          <w:bCs/>
          <w:iCs/>
          <w:snapToGrid w:val="0"/>
          <w:color w:val="auto"/>
          <w:kern w:val="0"/>
          <w:sz w:val="24"/>
          <w:highlight w:val="none"/>
        </w:rPr>
      </w:pPr>
      <w:r>
        <w:rPr>
          <w:rFonts w:hint="eastAsia" w:ascii="宋体" w:hAnsi="宋体" w:eastAsia="宋体" w:cs="宋体"/>
          <w:bCs/>
          <w:iCs/>
          <w:snapToGrid w:val="0"/>
          <w:color w:val="auto"/>
          <w:kern w:val="0"/>
          <w:sz w:val="24"/>
          <w:highlight w:val="none"/>
        </w:rPr>
        <w:t>（2）成立处理劳资纠纷的协调机构</w:t>
      </w:r>
    </w:p>
    <w:p w14:paraId="4DD7BF88">
      <w:pPr>
        <w:adjustRightInd w:val="0"/>
        <w:snapToGrid w:val="0"/>
        <w:spacing w:line="360" w:lineRule="auto"/>
        <w:ind w:firstLine="480" w:firstLineChars="200"/>
        <w:rPr>
          <w:rFonts w:hint="eastAsia" w:ascii="宋体" w:hAnsi="宋体" w:eastAsia="宋体" w:cs="宋体"/>
          <w:bCs/>
          <w:iCs/>
          <w:snapToGrid w:val="0"/>
          <w:color w:val="auto"/>
          <w:kern w:val="0"/>
          <w:sz w:val="24"/>
          <w:highlight w:val="none"/>
        </w:rPr>
      </w:pPr>
      <w:r>
        <w:rPr>
          <w:rFonts w:hint="eastAsia" w:ascii="宋体" w:hAnsi="宋体" w:eastAsia="宋体" w:cs="宋体"/>
          <w:bCs/>
          <w:iCs/>
          <w:snapToGrid w:val="0"/>
          <w:color w:val="auto"/>
          <w:kern w:val="0"/>
          <w:sz w:val="24"/>
          <w:highlight w:val="none"/>
        </w:rPr>
        <w:t>承包人</w:t>
      </w:r>
      <w:r>
        <w:rPr>
          <w:rFonts w:hint="eastAsia" w:ascii="宋体" w:hAnsi="宋体" w:eastAsia="宋体" w:cs="宋体"/>
          <w:snapToGrid w:val="0"/>
          <w:color w:val="auto"/>
          <w:kern w:val="0"/>
          <w:sz w:val="24"/>
          <w:highlight w:val="none"/>
        </w:rPr>
        <w:t>必须成立处理劳资纠纷的协调机构，</w:t>
      </w:r>
      <w:r>
        <w:rPr>
          <w:rFonts w:hint="eastAsia" w:ascii="宋体" w:hAnsi="宋体" w:eastAsia="宋体" w:cs="宋体"/>
          <w:bCs/>
          <w:iCs/>
          <w:snapToGrid w:val="0"/>
          <w:color w:val="auto"/>
          <w:kern w:val="0"/>
          <w:sz w:val="24"/>
          <w:highlight w:val="none"/>
        </w:rPr>
        <w:t>承包人主管领导和项目经理要亲自负责，配备专职人员，及时化解劳资矛盾及纠纷，并及时揭露、制止恶意煽动施工人员集体上访、集聚围阻的行为，保证在整个工程建设期间不发生施工人员集体上访、集聚围阻等事件。</w:t>
      </w:r>
      <w:r>
        <w:rPr>
          <w:rFonts w:hint="eastAsia" w:ascii="宋体" w:hAnsi="宋体" w:eastAsia="宋体" w:cs="宋体"/>
          <w:snapToGrid w:val="0"/>
          <w:color w:val="auto"/>
          <w:kern w:val="0"/>
          <w:sz w:val="24"/>
          <w:highlight w:val="none"/>
        </w:rPr>
        <w:t>承包人承诺承担因劳资纠纷所产生的一切责任，造成发包人损失的（包括但不限于发包人因此而支付的赔偿款、律师费、诉讼费、保全费、公证费、鉴定费等），承包人须承担全部责任。</w:t>
      </w:r>
    </w:p>
    <w:p w14:paraId="6D16E82E">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bCs/>
          <w:iCs/>
          <w:snapToGrid w:val="0"/>
          <w:color w:val="auto"/>
          <w:kern w:val="0"/>
          <w:sz w:val="24"/>
          <w:highlight w:val="none"/>
        </w:rPr>
        <w:t>9.</w:t>
      </w:r>
      <w:r>
        <w:rPr>
          <w:rFonts w:hint="eastAsia" w:ascii="宋体" w:hAnsi="宋体" w:eastAsia="宋体" w:cs="宋体"/>
          <w:bCs/>
          <w:iCs/>
          <w:snapToGrid w:val="0"/>
          <w:color w:val="auto"/>
          <w:kern w:val="0"/>
          <w:sz w:val="24"/>
          <w:highlight w:val="none"/>
          <w:lang w:val="en-US" w:eastAsia="zh-CN"/>
        </w:rPr>
        <w:t>5</w:t>
      </w:r>
      <w:r>
        <w:rPr>
          <w:rFonts w:hint="eastAsia" w:ascii="宋体" w:hAnsi="宋体" w:eastAsia="宋体" w:cs="宋体"/>
          <w:bCs/>
          <w:iCs/>
          <w:snapToGrid w:val="0"/>
          <w:color w:val="auto"/>
          <w:kern w:val="0"/>
          <w:sz w:val="24"/>
          <w:highlight w:val="none"/>
        </w:rPr>
        <w:t>承包人须按照本合同约定履行施工管理和配合服务，包括但不限于下列工作内容：</w:t>
      </w:r>
    </w:p>
    <w:p w14:paraId="2C7BFE91">
      <w:pPr>
        <w:adjustRightInd w:val="0"/>
        <w:snapToGrid w:val="0"/>
        <w:spacing w:line="360" w:lineRule="auto"/>
        <w:ind w:right="11" w:firstLine="480" w:firstLineChars="200"/>
        <w:rPr>
          <w:rFonts w:hint="eastAsia" w:ascii="宋体" w:hAnsi="宋体" w:eastAsia="宋体" w:cs="宋体"/>
          <w:bCs/>
          <w:iCs/>
          <w:snapToGrid w:val="0"/>
          <w:color w:val="auto"/>
          <w:kern w:val="0"/>
          <w:sz w:val="24"/>
          <w:highlight w:val="none"/>
        </w:rPr>
      </w:pPr>
      <w:r>
        <w:rPr>
          <w:rFonts w:hint="eastAsia" w:ascii="宋体" w:hAnsi="宋体" w:eastAsia="宋体" w:cs="宋体"/>
          <w:bCs/>
          <w:iCs/>
          <w:snapToGrid w:val="0"/>
          <w:color w:val="auto"/>
          <w:kern w:val="0"/>
          <w:sz w:val="24"/>
          <w:highlight w:val="none"/>
        </w:rPr>
        <w:t>（1）项目进度管理；</w:t>
      </w:r>
    </w:p>
    <w:p w14:paraId="723E8D52">
      <w:pPr>
        <w:adjustRightInd w:val="0"/>
        <w:snapToGrid w:val="0"/>
        <w:spacing w:line="360" w:lineRule="auto"/>
        <w:ind w:right="11" w:firstLine="480" w:firstLineChars="200"/>
        <w:rPr>
          <w:rFonts w:hint="eastAsia" w:ascii="宋体" w:hAnsi="宋体" w:eastAsia="宋体" w:cs="宋体"/>
          <w:bCs/>
          <w:iCs/>
          <w:snapToGrid w:val="0"/>
          <w:color w:val="auto"/>
          <w:kern w:val="0"/>
          <w:sz w:val="24"/>
          <w:highlight w:val="none"/>
        </w:rPr>
      </w:pPr>
      <w:r>
        <w:rPr>
          <w:rFonts w:hint="eastAsia" w:ascii="宋体" w:hAnsi="宋体" w:eastAsia="宋体" w:cs="宋体"/>
          <w:bCs/>
          <w:iCs/>
          <w:snapToGrid w:val="0"/>
          <w:color w:val="auto"/>
          <w:kern w:val="0"/>
          <w:sz w:val="24"/>
          <w:highlight w:val="none"/>
        </w:rPr>
        <w:t>（2）施工现场临时设施搭建和管理；</w:t>
      </w:r>
    </w:p>
    <w:p w14:paraId="2F6177E1">
      <w:pPr>
        <w:adjustRightInd w:val="0"/>
        <w:snapToGrid w:val="0"/>
        <w:spacing w:line="360" w:lineRule="auto"/>
        <w:ind w:right="11" w:firstLine="480" w:firstLineChars="200"/>
        <w:rPr>
          <w:rFonts w:hint="eastAsia" w:ascii="宋体" w:hAnsi="宋体" w:eastAsia="宋体" w:cs="宋体"/>
          <w:bCs/>
          <w:iCs/>
          <w:snapToGrid w:val="0"/>
          <w:color w:val="auto"/>
          <w:kern w:val="0"/>
          <w:sz w:val="24"/>
          <w:highlight w:val="none"/>
        </w:rPr>
      </w:pPr>
      <w:r>
        <w:rPr>
          <w:rFonts w:hint="eastAsia" w:ascii="宋体" w:hAnsi="宋体" w:eastAsia="宋体" w:cs="宋体"/>
          <w:bCs/>
          <w:iCs/>
          <w:snapToGrid w:val="0"/>
          <w:color w:val="auto"/>
          <w:kern w:val="0"/>
          <w:sz w:val="24"/>
          <w:highlight w:val="none"/>
        </w:rPr>
        <w:t>（3）文明施工和安全生产管理；</w:t>
      </w:r>
    </w:p>
    <w:p w14:paraId="5C00CA38">
      <w:pPr>
        <w:adjustRightInd w:val="0"/>
        <w:snapToGrid w:val="0"/>
        <w:spacing w:line="360" w:lineRule="auto"/>
        <w:ind w:right="11" w:firstLine="480" w:firstLineChars="200"/>
        <w:rPr>
          <w:rFonts w:hint="eastAsia" w:ascii="宋体" w:hAnsi="宋体" w:eastAsia="宋体" w:cs="宋体"/>
          <w:bCs/>
          <w:iCs/>
          <w:snapToGrid w:val="0"/>
          <w:color w:val="auto"/>
          <w:kern w:val="0"/>
          <w:sz w:val="24"/>
          <w:highlight w:val="none"/>
        </w:rPr>
      </w:pPr>
      <w:r>
        <w:rPr>
          <w:rFonts w:hint="eastAsia" w:ascii="宋体" w:hAnsi="宋体" w:eastAsia="宋体" w:cs="宋体"/>
          <w:bCs/>
          <w:iCs/>
          <w:snapToGrid w:val="0"/>
          <w:color w:val="auto"/>
          <w:kern w:val="0"/>
          <w:sz w:val="24"/>
          <w:highlight w:val="none"/>
        </w:rPr>
        <w:t>（4）综合管理；</w:t>
      </w:r>
    </w:p>
    <w:p w14:paraId="7C563B78">
      <w:pPr>
        <w:adjustRightInd w:val="0"/>
        <w:snapToGrid w:val="0"/>
        <w:spacing w:line="360" w:lineRule="auto"/>
        <w:ind w:right="11" w:firstLine="480" w:firstLineChars="200"/>
        <w:rPr>
          <w:rFonts w:hint="eastAsia" w:ascii="宋体" w:hAnsi="宋体" w:eastAsia="宋体" w:cs="宋体"/>
          <w:bCs/>
          <w:iCs/>
          <w:snapToGrid w:val="0"/>
          <w:color w:val="auto"/>
          <w:kern w:val="0"/>
          <w:sz w:val="24"/>
          <w:highlight w:val="none"/>
        </w:rPr>
      </w:pPr>
      <w:r>
        <w:rPr>
          <w:rFonts w:hint="eastAsia" w:ascii="宋体" w:hAnsi="宋体" w:eastAsia="宋体" w:cs="宋体"/>
          <w:bCs/>
          <w:iCs/>
          <w:snapToGrid w:val="0"/>
          <w:color w:val="auto"/>
          <w:kern w:val="0"/>
          <w:sz w:val="24"/>
          <w:highlight w:val="none"/>
        </w:rPr>
        <w:t>（5）成品保护；</w:t>
      </w:r>
    </w:p>
    <w:p w14:paraId="714070A3">
      <w:pPr>
        <w:adjustRightInd w:val="0"/>
        <w:snapToGrid w:val="0"/>
        <w:spacing w:line="360" w:lineRule="auto"/>
        <w:ind w:right="11" w:firstLine="480" w:firstLineChars="200"/>
        <w:rPr>
          <w:rFonts w:hint="eastAsia" w:ascii="宋体" w:hAnsi="宋体" w:eastAsia="宋体" w:cs="宋体"/>
          <w:bCs/>
          <w:iCs/>
          <w:snapToGrid w:val="0"/>
          <w:color w:val="auto"/>
          <w:kern w:val="0"/>
          <w:sz w:val="24"/>
          <w:highlight w:val="none"/>
        </w:rPr>
      </w:pPr>
      <w:r>
        <w:rPr>
          <w:rFonts w:hint="eastAsia" w:ascii="宋体" w:hAnsi="宋体" w:eastAsia="宋体" w:cs="宋体"/>
          <w:bCs/>
          <w:iCs/>
          <w:snapToGrid w:val="0"/>
          <w:color w:val="auto"/>
          <w:kern w:val="0"/>
          <w:sz w:val="24"/>
          <w:highlight w:val="none"/>
        </w:rPr>
        <w:t>（</w:t>
      </w:r>
      <w:r>
        <w:rPr>
          <w:rFonts w:hint="eastAsia" w:ascii="宋体" w:hAnsi="宋体" w:eastAsia="宋体" w:cs="宋体"/>
          <w:bCs/>
          <w:iCs/>
          <w:snapToGrid w:val="0"/>
          <w:color w:val="auto"/>
          <w:kern w:val="0"/>
          <w:sz w:val="24"/>
          <w:highlight w:val="none"/>
          <w:lang w:val="en-US" w:eastAsia="zh-CN"/>
        </w:rPr>
        <w:t>6</w:t>
      </w:r>
      <w:r>
        <w:rPr>
          <w:rFonts w:hint="eastAsia" w:ascii="宋体" w:hAnsi="宋体" w:eastAsia="宋体" w:cs="宋体"/>
          <w:bCs/>
          <w:iCs/>
          <w:snapToGrid w:val="0"/>
          <w:color w:val="auto"/>
          <w:kern w:val="0"/>
          <w:sz w:val="24"/>
          <w:highlight w:val="none"/>
        </w:rPr>
        <w:t>）竣工验收、竣工资料（含竣工图）管理；</w:t>
      </w:r>
    </w:p>
    <w:p w14:paraId="2A9AE716">
      <w:pPr>
        <w:adjustRightInd w:val="0"/>
        <w:snapToGrid w:val="0"/>
        <w:spacing w:line="360" w:lineRule="auto"/>
        <w:ind w:right="11" w:firstLine="480" w:firstLineChars="200"/>
        <w:rPr>
          <w:rFonts w:hint="eastAsia" w:ascii="宋体" w:hAnsi="宋体" w:eastAsia="宋体" w:cs="宋体"/>
          <w:bCs/>
          <w:iCs/>
          <w:snapToGrid w:val="0"/>
          <w:color w:val="auto"/>
          <w:kern w:val="0"/>
          <w:sz w:val="24"/>
          <w:highlight w:val="none"/>
        </w:rPr>
      </w:pPr>
      <w:r>
        <w:rPr>
          <w:rFonts w:hint="eastAsia" w:ascii="宋体" w:hAnsi="宋体" w:eastAsia="宋体" w:cs="宋体"/>
          <w:bCs/>
          <w:iCs/>
          <w:snapToGrid w:val="0"/>
          <w:color w:val="auto"/>
          <w:kern w:val="0"/>
          <w:sz w:val="24"/>
          <w:highlight w:val="none"/>
        </w:rPr>
        <w:t>（</w:t>
      </w:r>
      <w:r>
        <w:rPr>
          <w:rFonts w:hint="eastAsia" w:ascii="宋体" w:hAnsi="宋体" w:eastAsia="宋体" w:cs="宋体"/>
          <w:bCs/>
          <w:iCs/>
          <w:snapToGrid w:val="0"/>
          <w:color w:val="auto"/>
          <w:kern w:val="0"/>
          <w:sz w:val="24"/>
          <w:highlight w:val="none"/>
          <w:lang w:val="en-US" w:eastAsia="zh-CN"/>
        </w:rPr>
        <w:t>7</w:t>
      </w:r>
      <w:r>
        <w:rPr>
          <w:rFonts w:hint="eastAsia" w:ascii="宋体" w:hAnsi="宋体" w:eastAsia="宋体" w:cs="宋体"/>
          <w:bCs/>
          <w:iCs/>
          <w:snapToGrid w:val="0"/>
          <w:color w:val="auto"/>
          <w:kern w:val="0"/>
          <w:sz w:val="24"/>
          <w:highlight w:val="none"/>
        </w:rPr>
        <w:t>）专业分包的配合和管理；</w:t>
      </w:r>
    </w:p>
    <w:p w14:paraId="1D9C41C4">
      <w:pPr>
        <w:adjustRightInd w:val="0"/>
        <w:snapToGrid w:val="0"/>
        <w:spacing w:line="360" w:lineRule="auto"/>
        <w:ind w:right="11" w:firstLine="480" w:firstLineChars="200"/>
        <w:rPr>
          <w:rFonts w:ascii="宋体" w:hAnsi="宋体" w:eastAsia="宋体" w:cs="宋体"/>
          <w:bCs/>
          <w:iCs/>
          <w:snapToGrid w:val="0"/>
          <w:color w:val="auto"/>
          <w:kern w:val="0"/>
          <w:sz w:val="24"/>
          <w:highlight w:val="none"/>
        </w:rPr>
      </w:pPr>
      <w:r>
        <w:rPr>
          <w:rFonts w:hint="eastAsia" w:ascii="宋体" w:hAnsi="宋体" w:eastAsia="宋体" w:cs="宋体"/>
          <w:bCs/>
          <w:iCs/>
          <w:snapToGrid w:val="0"/>
          <w:color w:val="auto"/>
          <w:kern w:val="0"/>
          <w:sz w:val="24"/>
          <w:highlight w:val="none"/>
        </w:rPr>
        <w:t>（</w:t>
      </w:r>
      <w:r>
        <w:rPr>
          <w:rFonts w:hint="eastAsia" w:ascii="宋体" w:hAnsi="宋体" w:eastAsia="宋体" w:cs="宋体"/>
          <w:bCs/>
          <w:iCs/>
          <w:snapToGrid w:val="0"/>
          <w:color w:val="auto"/>
          <w:kern w:val="0"/>
          <w:sz w:val="24"/>
          <w:highlight w:val="none"/>
          <w:lang w:val="en-US" w:eastAsia="zh-CN"/>
        </w:rPr>
        <w:t>8</w:t>
      </w:r>
      <w:r>
        <w:rPr>
          <w:rFonts w:hint="eastAsia" w:ascii="宋体" w:hAnsi="宋体" w:eastAsia="宋体" w:cs="宋体"/>
          <w:bCs/>
          <w:iCs/>
          <w:snapToGrid w:val="0"/>
          <w:color w:val="auto"/>
          <w:kern w:val="0"/>
          <w:sz w:val="24"/>
          <w:highlight w:val="none"/>
        </w:rPr>
        <w:t>）发包人交办的其他任务；</w:t>
      </w:r>
    </w:p>
    <w:p w14:paraId="62E1E3CB">
      <w:pPr>
        <w:adjustRightInd w:val="0"/>
        <w:snapToGrid w:val="0"/>
        <w:spacing w:line="360" w:lineRule="auto"/>
        <w:ind w:right="11" w:firstLine="480" w:firstLineChars="200"/>
        <w:rPr>
          <w:rFonts w:hint="eastAsia" w:ascii="宋体" w:hAnsi="宋体" w:eastAsia="宋体"/>
          <w:color w:val="auto"/>
          <w:highlight w:val="none"/>
        </w:rPr>
      </w:pPr>
      <w:r>
        <w:rPr>
          <w:rFonts w:hint="eastAsia" w:ascii="宋体" w:hAnsi="宋体" w:eastAsia="宋体" w:cs="宋体"/>
          <w:iCs/>
          <w:snapToGrid w:val="0"/>
          <w:color w:val="auto"/>
          <w:kern w:val="0"/>
          <w:sz w:val="24"/>
          <w:highlight w:val="none"/>
        </w:rPr>
        <w:t>（</w:t>
      </w:r>
      <w:r>
        <w:rPr>
          <w:rFonts w:hint="eastAsia" w:ascii="宋体" w:hAnsi="宋体" w:eastAsia="宋体" w:cs="宋体"/>
          <w:iCs/>
          <w:snapToGrid w:val="0"/>
          <w:color w:val="auto"/>
          <w:kern w:val="0"/>
          <w:sz w:val="24"/>
          <w:highlight w:val="none"/>
          <w:lang w:val="en-US" w:eastAsia="zh-CN"/>
        </w:rPr>
        <w:t>9</w:t>
      </w:r>
      <w:r>
        <w:rPr>
          <w:rFonts w:hint="eastAsia" w:ascii="宋体" w:hAnsi="宋体" w:eastAsia="宋体" w:cs="宋体"/>
          <w:iCs/>
          <w:snapToGrid w:val="0"/>
          <w:color w:val="auto"/>
          <w:kern w:val="0"/>
          <w:sz w:val="24"/>
          <w:highlight w:val="none"/>
        </w:rPr>
        <w:t>）签订合同之日起三个月内，承包人需向发包人提交本工程的工程量清单对照表，并在两个月内配合监理、第三方咨询单位完成工程量清单核对。发包人根据工程量清单核对结果有权决定是否签订相关补充协议。</w:t>
      </w:r>
    </w:p>
    <w:p w14:paraId="5EC8DE08">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9.</w:t>
      </w:r>
      <w:r>
        <w:rPr>
          <w:rFonts w:hint="eastAsia" w:ascii="宋体" w:hAnsi="宋体" w:eastAsia="宋体" w:cs="宋体"/>
          <w:bCs/>
          <w:snapToGrid w:val="0"/>
          <w:color w:val="auto"/>
          <w:kern w:val="0"/>
          <w:sz w:val="24"/>
          <w:highlight w:val="none"/>
          <w:lang w:val="en-US" w:eastAsia="zh-CN"/>
        </w:rPr>
        <w:t>6</w:t>
      </w:r>
      <w:r>
        <w:rPr>
          <w:rFonts w:hint="eastAsia" w:ascii="宋体" w:hAnsi="宋体" w:eastAsia="宋体" w:cs="宋体"/>
          <w:bCs/>
          <w:snapToGrid w:val="0"/>
          <w:color w:val="auto"/>
          <w:kern w:val="0"/>
          <w:sz w:val="24"/>
          <w:highlight w:val="none"/>
        </w:rPr>
        <w:t>承包人须于每月最后一日前向总监理工程师提供综合报表（内容包括但不限于如下计划、报表或报告），经总监理工程师审核，并报发包人批准后实施：</w:t>
      </w:r>
    </w:p>
    <w:p w14:paraId="693F212E">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上月工程进度款《资金使用反馈表》（统计时段从上上月25日至上月24日），并提交已支付分包及材料设备供货单位价款凭证复印件，由总监理工程师核实确认资金落实情况并报发包人，以保证承包人将工程进度款专用于本工程。</w:t>
      </w:r>
    </w:p>
    <w:p w14:paraId="760CB10B">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当月应完成的工程进度和实际完成进度统计报表，当月完成的工程量申报（要求分细项申报，并含有完成金额），当月工程进度分析（滞后或超前），进度滞后的补救措施，当月工程质量、安全生产、文明施工情况报告，当月工程事故报告（如果发生时，须同时报政府相关部门），当月其管理范围内各专业间的组织管理、协调、配合等方面情况及所出现问题的专项报告（统计时段从上月25日至当月24日）。</w:t>
      </w:r>
    </w:p>
    <w:p w14:paraId="21832D4C">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（3）下月资金使用计划（包含安全措施费），下月施工进度计划，下月施工拟投入设备、劳动力计划（统计时段从本月25日至下月24日）。</w:t>
      </w:r>
    </w:p>
    <w:p w14:paraId="183D1E14">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所有计划、报表及报告的具体格式，应按照发包人信息采集办法要求，填报发包人工程管理系统可识别的电子文件。</w:t>
      </w:r>
    </w:p>
    <w:p w14:paraId="49EB646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bCs/>
          <w:snapToGrid w:val="0"/>
          <w:color w:val="auto"/>
          <w:kern w:val="0"/>
          <w:sz w:val="24"/>
          <w:highlight w:val="none"/>
        </w:rPr>
        <w:t>9.</w:t>
      </w:r>
      <w:r>
        <w:rPr>
          <w:rFonts w:hint="eastAsia" w:ascii="宋体" w:hAnsi="宋体" w:eastAsia="宋体" w:cs="宋体"/>
          <w:bCs/>
          <w:snapToGrid w:val="0"/>
          <w:color w:val="auto"/>
          <w:kern w:val="0"/>
          <w:sz w:val="24"/>
          <w:highlight w:val="none"/>
          <w:lang w:val="en-US" w:eastAsia="zh-CN"/>
        </w:rPr>
        <w:t>7</w:t>
      </w:r>
      <w:r>
        <w:rPr>
          <w:rFonts w:hint="eastAsia" w:ascii="宋体" w:hAnsi="宋体" w:eastAsia="宋体" w:cs="宋体"/>
          <w:bCs/>
          <w:snapToGrid w:val="0"/>
          <w:color w:val="auto"/>
          <w:kern w:val="0"/>
          <w:sz w:val="24"/>
          <w:highlight w:val="none"/>
        </w:rPr>
        <w:t>分部验收工作计划的提交要求</w:t>
      </w:r>
    </w:p>
    <w:p w14:paraId="4F99E63C">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承包人须于进场之日起15日内向发包人提交本工程的分部验收工作计划，经发包人审定后执行。如在施工过程中发生设计变更、新增工程等情况导致工程内容发生变化的，承包人应在发包人规定的时间内提交新的分部验收工作计划，经发包人审定后执行。分部验收原则上按分部工程为界面划分，特殊情况下，也可按子分部工程</w:t>
      </w:r>
      <w:bookmarkStart w:id="514" w:name="_Hlk114665049"/>
      <w:r>
        <w:rPr>
          <w:rFonts w:hint="eastAsia" w:ascii="宋体" w:hAnsi="宋体" w:eastAsia="宋体" w:cs="宋体"/>
          <w:bCs/>
          <w:snapToGrid w:val="0"/>
          <w:color w:val="auto"/>
          <w:kern w:val="0"/>
          <w:sz w:val="24"/>
          <w:highlight w:val="none"/>
        </w:rPr>
        <w:t>或分项工程为界面来划分</w:t>
      </w:r>
      <w:bookmarkEnd w:id="514"/>
      <w:r>
        <w:rPr>
          <w:rFonts w:hint="eastAsia" w:ascii="宋体" w:hAnsi="宋体" w:eastAsia="宋体" w:cs="宋体"/>
          <w:bCs/>
          <w:snapToGrid w:val="0"/>
          <w:color w:val="auto"/>
          <w:kern w:val="0"/>
          <w:sz w:val="24"/>
          <w:highlight w:val="none"/>
        </w:rPr>
        <w:t>。分部验收计划必须满足总控计划节点需求，且符合政府主管部门要求的技术间歇时间。</w:t>
      </w:r>
    </w:p>
    <w:p w14:paraId="184B70AB">
      <w:pPr>
        <w:pStyle w:val="12"/>
        <w:spacing w:line="360" w:lineRule="auto"/>
        <w:ind w:firstLine="556" w:firstLineChars="232"/>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9.</w:t>
      </w:r>
      <w:r>
        <w:rPr>
          <w:rFonts w:hint="eastAsia" w:ascii="宋体" w:hAnsi="宋体" w:cs="宋体"/>
          <w:bCs/>
          <w:snapToGrid w:val="0"/>
          <w:color w:val="auto"/>
          <w:kern w:val="0"/>
          <w:sz w:val="24"/>
          <w:highlight w:val="none"/>
          <w:lang w:val="en-US" w:eastAsia="zh-CN"/>
        </w:rPr>
        <w:t>8</w:t>
      </w:r>
      <w:r>
        <w:rPr>
          <w:rFonts w:hint="eastAsia" w:ascii="宋体" w:hAnsi="宋体" w:cs="宋体"/>
          <w:bCs/>
          <w:snapToGrid w:val="0"/>
          <w:color w:val="auto"/>
          <w:kern w:val="0"/>
          <w:sz w:val="24"/>
          <w:highlight w:val="none"/>
        </w:rPr>
        <w:t>承包人应协助办理施工阶段各项行政部门开工前置手续，包括但不限于建设工程质量安全监督登记、建设工程合同备案、建筑工程施工许可、夜间施工许可、施工噪音排污许可、建筑废弃物处置核准、防雷报建、排水设施接驳许可等所有手续，除按规定由发包人缴纳的费用外，其他相关费用已包含在合同价款中。</w:t>
      </w:r>
    </w:p>
    <w:p w14:paraId="79414DAE">
      <w:pPr>
        <w:adjustRightInd w:val="0"/>
        <w:snapToGrid w:val="0"/>
        <w:spacing w:line="360" w:lineRule="auto"/>
        <w:ind w:right="11" w:firstLine="480" w:firstLineChars="200"/>
        <w:rPr>
          <w:rFonts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9.</w:t>
      </w:r>
      <w:r>
        <w:rPr>
          <w:rFonts w:hint="eastAsia" w:ascii="宋体" w:hAnsi="宋体" w:eastAsia="宋体" w:cs="宋体"/>
          <w:bCs/>
          <w:snapToGrid w:val="0"/>
          <w:color w:val="auto"/>
          <w:kern w:val="0"/>
          <w:sz w:val="24"/>
          <w:highlight w:val="none"/>
          <w:lang w:val="en-US" w:eastAsia="zh-CN"/>
        </w:rPr>
        <w:t>9</w:t>
      </w:r>
      <w:r>
        <w:rPr>
          <w:rFonts w:hint="eastAsia" w:ascii="宋体" w:hAnsi="宋体" w:eastAsia="宋体" w:cs="宋体"/>
          <w:bCs/>
          <w:snapToGrid w:val="0"/>
          <w:color w:val="auto"/>
          <w:kern w:val="0"/>
          <w:sz w:val="24"/>
          <w:highlight w:val="none"/>
        </w:rPr>
        <w:t>承包人须深入参与各专业工程的图纸会审，对于专业工程与土建工程有冲突的地方，有义务提出修改和解决方案，否则，因此产生的费用建设单位和监理单位有权不予签证和（或）不予按工程设计变更处理。</w:t>
      </w:r>
    </w:p>
    <w:p w14:paraId="5AB76DE8">
      <w:pPr>
        <w:pStyle w:val="12"/>
        <w:spacing w:line="360" w:lineRule="auto"/>
        <w:ind w:firstLine="556" w:firstLineChars="232"/>
        <w:rPr>
          <w:rFonts w:hint="eastAsia" w:ascii="宋体" w:hAnsi="宋体" w:cs="宋体"/>
          <w:bCs/>
          <w:snapToGrid w:val="0"/>
          <w:color w:val="auto"/>
          <w:kern w:val="0"/>
          <w:sz w:val="24"/>
          <w:highlight w:val="none"/>
        </w:rPr>
      </w:pPr>
      <w:bookmarkStart w:id="515" w:name="_Hlk126767841"/>
      <w:r>
        <w:rPr>
          <w:rFonts w:ascii="宋体" w:hAnsi="宋体" w:cs="宋体"/>
          <w:bCs/>
          <w:snapToGrid w:val="0"/>
          <w:color w:val="auto"/>
          <w:kern w:val="0"/>
          <w:sz w:val="24"/>
          <w:highlight w:val="none"/>
        </w:rPr>
        <w:t>9.1</w:t>
      </w:r>
      <w:r>
        <w:rPr>
          <w:rFonts w:hint="eastAsia" w:ascii="宋体" w:hAnsi="宋体" w:cs="宋体"/>
          <w:bCs/>
          <w:snapToGrid w:val="0"/>
          <w:color w:val="auto"/>
          <w:kern w:val="0"/>
          <w:sz w:val="24"/>
          <w:highlight w:val="none"/>
          <w:lang w:val="en-US" w:eastAsia="zh-CN"/>
        </w:rPr>
        <w:t>0</w:t>
      </w:r>
      <w:r>
        <w:rPr>
          <w:rFonts w:hint="eastAsia" w:ascii="宋体" w:hAnsi="宋体" w:cs="宋体"/>
          <w:bCs/>
          <w:snapToGrid w:val="0"/>
          <w:color w:val="auto"/>
          <w:kern w:val="0"/>
          <w:sz w:val="24"/>
          <w:highlight w:val="none"/>
        </w:rPr>
        <w:t>本合同工程款实行资金专户管理。承包人须在发包人指定的监管银行开设工程专用账户，未经核准的账户，发包人不予以拨付资金。承包人须严格执行发包人的资金管理规定，并与发包人及指定监管银行另行签订《工程项目建设资金管理协议》。</w:t>
      </w:r>
      <w:bookmarkEnd w:id="515"/>
    </w:p>
    <w:p w14:paraId="0B6A5B03">
      <w:pPr>
        <w:pStyle w:val="12"/>
        <w:spacing w:line="360" w:lineRule="auto"/>
        <w:ind w:firstLine="556" w:firstLineChars="232"/>
        <w:rPr>
          <w:rFonts w:hint="eastAsia" w:ascii="宋体" w:hAnsi="宋体" w:cs="宋体"/>
          <w:bCs/>
          <w:snapToGrid w:val="0"/>
          <w:color w:val="auto"/>
          <w:kern w:val="0"/>
          <w:sz w:val="24"/>
          <w:szCs w:val="20"/>
          <w:highlight w:val="none"/>
          <w:lang w:eastAsia="zh-CN"/>
        </w:rPr>
      </w:pPr>
      <w:r>
        <w:rPr>
          <w:rFonts w:hint="eastAsia" w:ascii="宋体" w:hAnsi="宋体" w:cs="宋体"/>
          <w:bCs/>
          <w:snapToGrid w:val="0"/>
          <w:color w:val="auto"/>
          <w:kern w:val="0"/>
          <w:sz w:val="24"/>
          <w:highlight w:val="none"/>
          <w:lang w:val="en-US" w:eastAsia="zh-CN"/>
        </w:rPr>
        <w:t>9.11</w:t>
      </w:r>
      <w:r>
        <w:rPr>
          <w:rFonts w:hint="eastAsia" w:ascii="宋体" w:hAnsi="宋体" w:cs="宋体"/>
          <w:bCs/>
          <w:snapToGrid w:val="0"/>
          <w:color w:val="auto"/>
          <w:kern w:val="0"/>
          <w:sz w:val="24"/>
          <w:szCs w:val="20"/>
          <w:highlight w:val="none"/>
        </w:rPr>
        <w:t>应妥善保管甲方提供的设备材料，在签发PAC前保证该设备材料不会遭受损坏和损失</w:t>
      </w:r>
      <w:r>
        <w:rPr>
          <w:rFonts w:hint="eastAsia" w:ascii="宋体" w:hAnsi="宋体" w:cs="宋体"/>
          <w:bCs/>
          <w:snapToGrid w:val="0"/>
          <w:color w:val="auto"/>
          <w:kern w:val="0"/>
          <w:sz w:val="24"/>
          <w:szCs w:val="20"/>
          <w:highlight w:val="none"/>
          <w:lang w:eastAsia="zh-CN"/>
        </w:rPr>
        <w:t>。</w:t>
      </w:r>
    </w:p>
    <w:p w14:paraId="4ED88E3D">
      <w:pPr>
        <w:widowControl/>
        <w:wordWrap w:val="0"/>
        <w:adjustRightInd w:val="0"/>
        <w:snapToGrid w:val="0"/>
        <w:spacing w:line="360" w:lineRule="auto"/>
        <w:ind w:left="17" w:leftChars="8" w:right="11" w:firstLine="480" w:firstLineChars="200"/>
        <w:rPr>
          <w:rFonts w:hint="eastAsia" w:ascii="宋体" w:hAnsi="宋体" w:eastAsia="宋体" w:cs="宋体"/>
          <w:bCs/>
          <w:snapToGrid w:val="0"/>
          <w:color w:val="auto"/>
          <w:kern w:val="0"/>
          <w:sz w:val="24"/>
          <w:szCs w:val="20"/>
          <w:highlight w:val="none"/>
        </w:rPr>
      </w:pPr>
      <w:r>
        <w:rPr>
          <w:rFonts w:hint="eastAsia" w:ascii="宋体" w:hAnsi="宋体" w:eastAsia="宋体" w:cs="宋体"/>
          <w:bCs/>
          <w:snapToGrid w:val="0"/>
          <w:color w:val="auto"/>
          <w:kern w:val="0"/>
          <w:sz w:val="24"/>
          <w:szCs w:val="20"/>
          <w:highlight w:val="none"/>
          <w:lang w:val="en-US" w:eastAsia="zh-CN"/>
        </w:rPr>
        <w:t xml:space="preserve">9.12 </w:t>
      </w:r>
      <w:r>
        <w:rPr>
          <w:rFonts w:hint="eastAsia" w:ascii="宋体" w:hAnsi="宋体" w:eastAsia="宋体" w:cs="宋体"/>
          <w:bCs/>
          <w:snapToGrid w:val="0"/>
          <w:color w:val="auto"/>
          <w:kern w:val="0"/>
          <w:sz w:val="24"/>
          <w:szCs w:val="20"/>
          <w:highlight w:val="none"/>
        </w:rPr>
        <w:t>FAC签发前，乙方</w:t>
      </w:r>
      <w:r>
        <w:rPr>
          <w:rFonts w:hint="eastAsia" w:ascii="宋体" w:hAnsi="宋体" w:eastAsia="宋体" w:cs="宋体"/>
          <w:bCs/>
          <w:snapToGrid w:val="0"/>
          <w:color w:val="auto"/>
          <w:kern w:val="0"/>
          <w:sz w:val="24"/>
          <w:szCs w:val="20"/>
          <w:highlight w:val="none"/>
          <w:lang w:val="en-US" w:eastAsia="zh-CN"/>
        </w:rPr>
        <w:t>应自行</w:t>
      </w:r>
      <w:r>
        <w:rPr>
          <w:rFonts w:hint="eastAsia" w:ascii="宋体" w:hAnsi="宋体" w:eastAsia="宋体" w:cs="宋体"/>
          <w:bCs/>
          <w:snapToGrid w:val="0"/>
          <w:color w:val="auto"/>
          <w:kern w:val="0"/>
          <w:sz w:val="24"/>
          <w:szCs w:val="20"/>
          <w:highlight w:val="none"/>
        </w:rPr>
        <w:t>负责保管和维护一切由乙方原因造成的尚待完成的工作或必须进行的补救工作</w:t>
      </w:r>
      <w:r>
        <w:rPr>
          <w:rFonts w:hint="eastAsia" w:ascii="宋体" w:hAnsi="宋体" w:eastAsia="宋体" w:cs="宋体"/>
          <w:bCs/>
          <w:snapToGrid w:val="0"/>
          <w:color w:val="auto"/>
          <w:kern w:val="0"/>
          <w:sz w:val="24"/>
          <w:szCs w:val="20"/>
          <w:highlight w:val="none"/>
          <w:lang w:eastAsia="zh-CN"/>
        </w:rPr>
        <w:t>。</w:t>
      </w:r>
      <w:r>
        <w:rPr>
          <w:rFonts w:hint="eastAsia" w:ascii="宋体" w:hAnsi="宋体" w:eastAsia="宋体" w:cs="宋体"/>
          <w:bCs/>
          <w:snapToGrid w:val="0"/>
          <w:color w:val="auto"/>
          <w:kern w:val="0"/>
          <w:sz w:val="24"/>
          <w:szCs w:val="20"/>
          <w:highlight w:val="none"/>
        </w:rPr>
        <w:t>在质保期满之前完成对电站进行全面排查整改，</w:t>
      </w:r>
      <w:r>
        <w:rPr>
          <w:rFonts w:hint="eastAsia" w:ascii="宋体" w:hAnsi="宋体" w:eastAsia="宋体" w:cs="宋体"/>
          <w:bCs/>
          <w:snapToGrid w:val="0"/>
          <w:color w:val="auto"/>
          <w:kern w:val="0"/>
          <w:sz w:val="24"/>
          <w:szCs w:val="20"/>
          <w:highlight w:val="none"/>
          <w:lang w:val="en-US" w:eastAsia="zh-CN"/>
        </w:rPr>
        <w:t>该</w:t>
      </w:r>
      <w:r>
        <w:rPr>
          <w:rFonts w:hint="eastAsia" w:ascii="宋体" w:hAnsi="宋体" w:eastAsia="宋体" w:cs="宋体"/>
          <w:bCs/>
          <w:snapToGrid w:val="0"/>
          <w:color w:val="auto"/>
          <w:kern w:val="0"/>
          <w:sz w:val="24"/>
          <w:szCs w:val="20"/>
          <w:highlight w:val="none"/>
        </w:rPr>
        <w:t>全面排查整改</w:t>
      </w:r>
      <w:r>
        <w:rPr>
          <w:rFonts w:hint="eastAsia" w:ascii="宋体" w:hAnsi="宋体" w:eastAsia="宋体" w:cs="宋体"/>
          <w:bCs/>
          <w:snapToGrid w:val="0"/>
          <w:color w:val="auto"/>
          <w:kern w:val="0"/>
          <w:sz w:val="24"/>
          <w:szCs w:val="20"/>
          <w:highlight w:val="none"/>
          <w:lang w:val="en-US" w:eastAsia="zh-CN"/>
        </w:rPr>
        <w:t>的</w:t>
      </w:r>
      <w:r>
        <w:rPr>
          <w:rFonts w:hint="eastAsia" w:ascii="宋体" w:hAnsi="宋体" w:eastAsia="宋体" w:cs="宋体"/>
          <w:bCs/>
          <w:snapToGrid w:val="0"/>
          <w:color w:val="auto"/>
          <w:kern w:val="0"/>
          <w:sz w:val="24"/>
          <w:szCs w:val="20"/>
          <w:highlight w:val="none"/>
        </w:rPr>
        <w:t>通过是签发最终验收证书（FAC）的前提</w:t>
      </w:r>
      <w:r>
        <w:rPr>
          <w:rFonts w:hint="eastAsia" w:ascii="宋体" w:hAnsi="宋体" w:eastAsia="宋体" w:cs="宋体"/>
          <w:bCs/>
          <w:snapToGrid w:val="0"/>
          <w:color w:val="auto"/>
          <w:kern w:val="0"/>
          <w:sz w:val="24"/>
          <w:szCs w:val="20"/>
          <w:highlight w:val="none"/>
          <w:lang w:val="en-US" w:eastAsia="zh-CN"/>
        </w:rPr>
        <w:t>条件</w:t>
      </w:r>
      <w:r>
        <w:rPr>
          <w:rFonts w:hint="eastAsia" w:ascii="宋体" w:hAnsi="宋体" w:eastAsia="宋体" w:cs="宋体"/>
          <w:bCs/>
          <w:snapToGrid w:val="0"/>
          <w:color w:val="auto"/>
          <w:kern w:val="0"/>
          <w:sz w:val="24"/>
          <w:szCs w:val="20"/>
          <w:highlight w:val="none"/>
        </w:rPr>
        <w:t>。</w:t>
      </w:r>
    </w:p>
    <w:p w14:paraId="22520929">
      <w:pPr>
        <w:pStyle w:val="12"/>
        <w:spacing w:line="360" w:lineRule="auto"/>
        <w:ind w:firstLine="556" w:firstLineChars="232"/>
        <w:rPr>
          <w:rFonts w:hint="eastAsia" w:ascii="宋体" w:hAnsi="宋体" w:eastAsia="宋体" w:cs="宋体"/>
          <w:bCs/>
          <w:snapToGrid w:val="0"/>
          <w:color w:val="auto"/>
          <w:kern w:val="0"/>
          <w:sz w:val="24"/>
          <w:highlight w:val="none"/>
          <w:lang w:val="en-US" w:eastAsia="zh-CN"/>
        </w:rPr>
      </w:pPr>
    </w:p>
    <w:p w14:paraId="7B8B7B26">
      <w:pPr>
        <w:pStyle w:val="10"/>
        <w:jc w:val="left"/>
        <w:rPr>
          <w:rFonts w:hint="eastAsia" w:ascii="宋体" w:hAnsi="宋体"/>
          <w:snapToGrid w:val="0"/>
          <w:color w:val="auto"/>
          <w:kern w:val="0"/>
          <w:highlight w:val="none"/>
        </w:rPr>
      </w:pPr>
      <w:bookmarkStart w:id="516" w:name="_Toc519502252"/>
      <w:bookmarkStart w:id="517" w:name="_Toc520902829"/>
      <w:bookmarkStart w:id="518" w:name="_Toc518481734"/>
      <w:bookmarkStart w:id="519" w:name="_Toc35083097"/>
      <w:bookmarkStart w:id="520" w:name="_Toc520901462"/>
      <w:bookmarkStart w:id="521" w:name="_Toc520358056"/>
      <w:bookmarkStart w:id="522" w:name="_Toc514681765"/>
      <w:bookmarkStart w:id="523" w:name="_Toc514666975"/>
      <w:bookmarkStart w:id="524" w:name="_Toc514663860"/>
      <w:bookmarkStart w:id="525" w:name="_Toc520902758"/>
      <w:bookmarkStart w:id="526" w:name="_Toc517774562"/>
      <w:bookmarkStart w:id="527" w:name="_Toc514664862"/>
      <w:bookmarkStart w:id="528" w:name="_Toc520358232"/>
      <w:bookmarkStart w:id="529" w:name="_Toc517954575"/>
      <w:bookmarkStart w:id="530" w:name="_Toc514665145"/>
      <w:bookmarkStart w:id="531" w:name="_Toc519503082"/>
      <w:bookmarkStart w:id="532" w:name="_Toc520902607"/>
      <w:bookmarkStart w:id="533" w:name="_Toc516495978"/>
      <w:bookmarkStart w:id="534" w:name="_Toc514665284"/>
      <w:bookmarkStart w:id="535" w:name="_Toc514681184"/>
      <w:r>
        <w:rPr>
          <w:rFonts w:hint="eastAsia" w:ascii="宋体" w:hAnsi="宋体"/>
          <w:snapToGrid w:val="0"/>
          <w:color w:val="auto"/>
          <w:kern w:val="0"/>
          <w:highlight w:val="none"/>
        </w:rPr>
        <w:t>三、施工组织设计和工期</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76788864">
      <w:pPr>
        <w:adjustRightInd w:val="0"/>
        <w:snapToGrid w:val="0"/>
        <w:spacing w:line="360" w:lineRule="auto"/>
        <w:ind w:right="11"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10、进度计划</w:t>
      </w:r>
    </w:p>
    <w:p w14:paraId="5B9100A7">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10.1计划的提交和确认</w:t>
      </w:r>
    </w:p>
    <w:p w14:paraId="0195067B">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（1）承包人应于收到总监理工程师的进场通知之日起7天内向总监理工程师提交项目及单位工程的施工组织设计与进度计划。</w:t>
      </w:r>
    </w:p>
    <w:p w14:paraId="0516A582">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承包人提交的施工组织设计应当载明如下内容</w:t>
      </w:r>
      <w:r>
        <w:rPr>
          <w:rFonts w:hint="eastAsia" w:ascii="宋体" w:hAnsi="宋体" w:eastAsia="宋体" w:cs="宋体"/>
          <w:bCs/>
          <w:snapToGrid w:val="0"/>
          <w:color w:val="auto"/>
          <w:kern w:val="0"/>
          <w:sz w:val="24"/>
          <w:highlight w:val="none"/>
        </w:rPr>
        <w:t>（包括但不限于）</w:t>
      </w:r>
      <w:r>
        <w:rPr>
          <w:rFonts w:hint="eastAsia" w:ascii="宋体" w:hAnsi="宋体" w:eastAsia="宋体" w:cs="宋体"/>
          <w:snapToGrid w:val="0"/>
          <w:color w:val="auto"/>
          <w:kern w:val="0"/>
          <w:sz w:val="24"/>
          <w:highlight w:val="none"/>
        </w:rPr>
        <w:t>：</w:t>
      </w:r>
    </w:p>
    <w:p w14:paraId="4D239E5F">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1）各分部分项工程完整的施工方案；</w:t>
      </w:r>
    </w:p>
    <w:p w14:paraId="2084DEA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2）施工资源投入计划，包括：机械设备详细清单、进场计划、工程材料和物料进场及仓储计划、项目架构及人员进场计划等；</w:t>
      </w:r>
    </w:p>
    <w:p w14:paraId="5C4FE052">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3）施工现场平面布置图（包括施工道路平面图、各种临时设施、施工用水、监控设施、施工机具、材料构配件存放位置）；</w:t>
      </w:r>
    </w:p>
    <w:p w14:paraId="42BFB15F">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4）季节性施工措施；</w:t>
      </w:r>
    </w:p>
    <w:p w14:paraId="4182DD0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5）地下管线及其他地下设施的处理措施；</w:t>
      </w:r>
    </w:p>
    <w:p w14:paraId="26A012C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6）保证工期、质量的措施；</w:t>
      </w:r>
    </w:p>
    <w:p w14:paraId="1E18E553">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7）保证安全生产、文明施工、减少扰民，且满足环境保护要求的措施；</w:t>
      </w:r>
    </w:p>
    <w:p w14:paraId="54F94A95">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8）妥善处理与相邻施工作业现场关系的措施；</w:t>
      </w:r>
    </w:p>
    <w:p w14:paraId="630169F8">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9）质量管理体系及安全管理体系；</w:t>
      </w:r>
    </w:p>
    <w:p w14:paraId="04815861">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10）应急保障措施；</w:t>
      </w:r>
    </w:p>
    <w:p w14:paraId="39838E6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11）必要时的赶工措施方案；</w:t>
      </w:r>
    </w:p>
    <w:p w14:paraId="4EA145D5">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12）其他与工程施工有关的管理方案、措施。</w:t>
      </w:r>
    </w:p>
    <w:p w14:paraId="3EFE93FA">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bCs/>
          <w:snapToGrid w:val="0"/>
          <w:color w:val="auto"/>
          <w:kern w:val="0"/>
          <w:sz w:val="24"/>
          <w:highlight w:val="none"/>
        </w:rPr>
        <w:t>承包人编制的</w:t>
      </w:r>
      <w:r>
        <w:rPr>
          <w:rFonts w:hint="eastAsia" w:ascii="宋体" w:hAnsi="宋体" w:eastAsia="宋体" w:cs="宋体"/>
          <w:snapToGrid w:val="0"/>
          <w:color w:val="auto"/>
          <w:kern w:val="0"/>
          <w:sz w:val="24"/>
          <w:highlight w:val="none"/>
        </w:rPr>
        <w:t>工程进度计划内容应全面详实，且应针对本工程施工承包范围内的施工作业和特点提出，并在各节点位置标注相应的工程量、资金使用计划、人力机械组织及材料消耗量。</w:t>
      </w:r>
    </w:p>
    <w:p w14:paraId="10A6C130">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总监理工程师和发包人在接到承包人提交的施工组织设计和工程进度计划后7天内予以确认或提出修改意见（总监理工程师在4天内审核并签署意见，发包人在3天内审核并签署意见）。逾期既不确认，也不提出书面意见的视为同意，但如遇到重大或技术复杂、难度大的施工方案，则应按政府有关规定召开专家评审会评审。</w:t>
      </w:r>
    </w:p>
    <w:p w14:paraId="5E292012">
      <w:pPr>
        <w:adjustRightInd w:val="0"/>
        <w:snapToGrid w:val="0"/>
        <w:spacing w:line="360" w:lineRule="auto"/>
        <w:ind w:right="11" w:firstLine="463" w:firstLineChars="192"/>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承包人和发包人一致同意增加10.4：</w:t>
      </w:r>
    </w:p>
    <w:p w14:paraId="332E5D0E">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10.4计划的执行</w:t>
      </w:r>
    </w:p>
    <w:p w14:paraId="43CDE82C">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（1）承包人应当加强计划管理，严格按照总监理工程师确认的工程进度计划组织施工，并接受总监理工程师对工程进度的检查、监督。</w:t>
      </w:r>
    </w:p>
    <w:p w14:paraId="1820DC9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（2）为便于总监理工程师掌握和控制工期，承包人应于每月底向总监理工程师填报当月工程进度计划完成情况（</w:t>
      </w:r>
      <w:bookmarkStart w:id="536" w:name="_Hlk114665201"/>
      <w:r>
        <w:rPr>
          <w:rFonts w:hint="eastAsia" w:ascii="宋体" w:hAnsi="宋体" w:eastAsia="宋体" w:cs="宋体"/>
          <w:snapToGrid w:val="0"/>
          <w:color w:val="auto"/>
          <w:kern w:val="0"/>
          <w:sz w:val="24"/>
          <w:highlight w:val="none"/>
        </w:rPr>
        <w:t>没完成计划的必须书面说明原因</w:t>
      </w:r>
      <w:bookmarkEnd w:id="536"/>
      <w:r>
        <w:rPr>
          <w:rFonts w:hint="eastAsia" w:ascii="宋体" w:hAnsi="宋体" w:eastAsia="宋体" w:cs="宋体"/>
          <w:snapToGrid w:val="0"/>
          <w:color w:val="auto"/>
          <w:kern w:val="0"/>
          <w:sz w:val="24"/>
          <w:highlight w:val="none"/>
        </w:rPr>
        <w:t>），</w:t>
      </w:r>
      <w:r>
        <w:rPr>
          <w:rFonts w:hint="eastAsia" w:ascii="宋体" w:hAnsi="宋体" w:eastAsia="宋体" w:cs="宋体"/>
          <w:bCs/>
          <w:snapToGrid w:val="0"/>
          <w:color w:val="auto"/>
          <w:kern w:val="0"/>
          <w:sz w:val="24"/>
          <w:highlight w:val="none"/>
        </w:rPr>
        <w:t>并在此基础上更新工程进度计划、</w:t>
      </w:r>
      <w:r>
        <w:rPr>
          <w:rFonts w:hint="eastAsia" w:ascii="宋体" w:hAnsi="宋体" w:eastAsia="宋体" w:cs="宋体"/>
          <w:snapToGrid w:val="0"/>
          <w:color w:val="auto"/>
          <w:kern w:val="0"/>
          <w:sz w:val="24"/>
          <w:highlight w:val="none"/>
        </w:rPr>
        <w:t>资金计划和其他工作计划。总监理工程师在接到报告后应当予以确认或提出书面意见，承包人必须按照总监理工程师的确认或者书面意见执行。</w:t>
      </w:r>
    </w:p>
    <w:p w14:paraId="21C19E41">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snapToGrid w:val="0"/>
          <w:color w:val="auto"/>
          <w:kern w:val="0"/>
          <w:sz w:val="24"/>
          <w:highlight w:val="none"/>
        </w:rPr>
        <w:t>（3）总监理工程师认为本工程或其中任何部分工程进度滞后而不能按预定工期完工，应将此情况通知承包人。承包人应据此修改工程进度计划，采取总监理工程师同意的必要措施加快工程进度，承包人无权要求发包人支付任何附加费用。如承包人未能在总监理工程师发布指令</w:t>
      </w:r>
      <w:r>
        <w:rPr>
          <w:rFonts w:hint="eastAsia" w:ascii="宋体" w:hAnsi="宋体" w:eastAsia="宋体" w:cs="宋体"/>
          <w:iCs/>
          <w:snapToGrid w:val="0"/>
          <w:color w:val="auto"/>
          <w:kern w:val="0"/>
          <w:sz w:val="24"/>
          <w:highlight w:val="none"/>
        </w:rPr>
        <w:t>之日起10天内采取有效措施，或工程进度仍然无明显改</w:t>
      </w:r>
      <w:r>
        <w:rPr>
          <w:rFonts w:hint="eastAsia" w:ascii="宋体" w:hAnsi="宋体" w:eastAsia="宋体" w:cs="宋体"/>
          <w:snapToGrid w:val="0"/>
          <w:color w:val="auto"/>
          <w:kern w:val="0"/>
          <w:sz w:val="24"/>
          <w:highlight w:val="none"/>
        </w:rPr>
        <w:t>进，发包人有权部分或全部解除合同，将未完工程另行发包给其他有能力的施工单位，且不承担任何违约责任；承包人必须无条件服从，由此所造成的损失全部由承包人承担</w:t>
      </w:r>
      <w:r>
        <w:rPr>
          <w:rFonts w:hint="eastAsia" w:ascii="宋体" w:hAnsi="宋体" w:eastAsia="宋体" w:cs="宋体"/>
          <w:bCs/>
          <w:snapToGrid w:val="0"/>
          <w:color w:val="auto"/>
          <w:kern w:val="0"/>
          <w:sz w:val="24"/>
          <w:highlight w:val="none"/>
        </w:rPr>
        <w:t>且发包人有权将该费用在对承包人的应付工程款中扣除。</w:t>
      </w:r>
    </w:p>
    <w:p w14:paraId="54457A08">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承包人和发包人一致同意不适用合同通用条款第11条的约定，代之以：</w:t>
      </w:r>
    </w:p>
    <w:p w14:paraId="28286153">
      <w:pPr>
        <w:adjustRightInd w:val="0"/>
        <w:snapToGrid w:val="0"/>
        <w:spacing w:line="360" w:lineRule="auto"/>
        <w:ind w:right="11"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11、开工及</w:t>
      </w:r>
      <w:bookmarkStart w:id="537" w:name="_Hlk114665378"/>
      <w:r>
        <w:rPr>
          <w:rFonts w:hint="eastAsia" w:ascii="宋体" w:hAnsi="宋体" w:eastAsia="宋体" w:cs="宋体"/>
          <w:b/>
          <w:snapToGrid w:val="0"/>
          <w:color w:val="auto"/>
          <w:kern w:val="0"/>
          <w:sz w:val="24"/>
          <w:highlight w:val="none"/>
        </w:rPr>
        <w:t>延期开工</w:t>
      </w:r>
      <w:bookmarkEnd w:id="537"/>
    </w:p>
    <w:p w14:paraId="3C87F696">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承包人必须在收到发包人进场通知的次日进入施工场地，做好施工准备工作，尽快开工。在工程已具备开工条件，但因</w:t>
      </w:r>
      <w:r>
        <w:rPr>
          <w:rFonts w:hint="eastAsia" w:ascii="宋体" w:hAnsi="宋体" w:eastAsia="宋体" w:cs="宋体"/>
          <w:bCs/>
          <w:snapToGrid w:val="0"/>
          <w:color w:val="auto"/>
          <w:kern w:val="0"/>
          <w:sz w:val="24"/>
          <w:highlight w:val="none"/>
        </w:rPr>
        <w:t>承包人自身的原因（包括但不限于项目经理及现场管理机构其他人员尚未到位）而无法实际开工</w:t>
      </w:r>
      <w:r>
        <w:rPr>
          <w:rFonts w:hint="eastAsia" w:ascii="宋体" w:hAnsi="宋体" w:eastAsia="宋体" w:cs="宋体"/>
          <w:snapToGrid w:val="0"/>
          <w:color w:val="auto"/>
          <w:kern w:val="0"/>
          <w:sz w:val="24"/>
          <w:highlight w:val="none"/>
        </w:rPr>
        <w:t>的，经发包人书面同意，总监理工程师可以签发开工令，工期开始正式计算，但现场不允许开工；再由总监理工程师发出停工令，待承包人准备妥当后才批准复工。由此产生的工期延误等损失由承包人承担，并按照合同专用条款第38.5款的有关约定处理。</w:t>
      </w:r>
    </w:p>
    <w:p w14:paraId="13A5DB23">
      <w:pPr>
        <w:adjustRightInd w:val="0"/>
        <w:snapToGrid w:val="0"/>
        <w:spacing w:line="360" w:lineRule="auto"/>
        <w:ind w:right="11"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承包人和发包人一致同意不适用合同通用条款第12条的约定，代之以：</w:t>
      </w:r>
    </w:p>
    <w:p w14:paraId="15C0E178">
      <w:pPr>
        <w:adjustRightInd w:val="0"/>
        <w:snapToGrid w:val="0"/>
        <w:spacing w:line="360" w:lineRule="auto"/>
        <w:ind w:right="11"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12、暂停施工</w:t>
      </w:r>
    </w:p>
    <w:p w14:paraId="111822F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bCs/>
          <w:snapToGrid w:val="0"/>
          <w:color w:val="auto"/>
          <w:kern w:val="0"/>
          <w:sz w:val="24"/>
          <w:highlight w:val="none"/>
        </w:rPr>
        <w:t>12.1</w:t>
      </w:r>
      <w:r>
        <w:rPr>
          <w:rFonts w:hint="eastAsia" w:ascii="宋体" w:hAnsi="宋体" w:eastAsia="宋体" w:cs="宋体"/>
          <w:snapToGrid w:val="0"/>
          <w:color w:val="auto"/>
          <w:kern w:val="0"/>
          <w:sz w:val="24"/>
          <w:highlight w:val="none"/>
        </w:rPr>
        <w:t>因下列原因，总监理工程师报经发包人同意，可通知承包人暂停施工：</w:t>
      </w:r>
    </w:p>
    <w:p w14:paraId="58484E5F">
      <w:pPr>
        <w:adjustRightInd w:val="0"/>
        <w:snapToGrid w:val="0"/>
        <w:spacing w:line="360" w:lineRule="auto"/>
        <w:ind w:left="42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（1）工程设计发生重大变更；</w:t>
      </w:r>
    </w:p>
    <w:p w14:paraId="7CF5A4E0">
      <w:pPr>
        <w:adjustRightInd w:val="0"/>
        <w:snapToGrid w:val="0"/>
        <w:spacing w:line="360" w:lineRule="auto"/>
        <w:ind w:left="42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（2）不可抗力；</w:t>
      </w:r>
    </w:p>
    <w:p w14:paraId="0B1B7F40">
      <w:pPr>
        <w:adjustRightInd w:val="0"/>
        <w:snapToGrid w:val="0"/>
        <w:spacing w:line="360" w:lineRule="auto"/>
        <w:ind w:left="42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（3）质量事故；</w:t>
      </w:r>
    </w:p>
    <w:p w14:paraId="2E2B632D">
      <w:pPr>
        <w:adjustRightInd w:val="0"/>
        <w:snapToGrid w:val="0"/>
        <w:spacing w:line="360" w:lineRule="auto"/>
        <w:ind w:left="42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（4）安全生产事故；</w:t>
      </w:r>
    </w:p>
    <w:p w14:paraId="2FA8BF58">
      <w:pPr>
        <w:adjustRightInd w:val="0"/>
        <w:snapToGrid w:val="0"/>
        <w:spacing w:line="360" w:lineRule="auto"/>
        <w:ind w:left="42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（5）违反法律法规、规范强条或发生政府主管部门明令禁止行为，可能造成严重后果的（包括但不限于政府责令停工或质量、安全事故）；</w:t>
      </w:r>
    </w:p>
    <w:p w14:paraId="53FD5A84">
      <w:pPr>
        <w:adjustRightInd w:val="0"/>
        <w:snapToGrid w:val="0"/>
        <w:spacing w:line="360" w:lineRule="auto"/>
        <w:ind w:left="420"/>
        <w:rPr>
          <w:rFonts w:hint="eastAsia" w:ascii="宋体" w:hAnsi="宋体" w:eastAsia="宋体" w:cs="宋体"/>
          <w:snapToGrid w:val="0"/>
          <w:color w:val="auto"/>
          <w:kern w:val="0"/>
          <w:sz w:val="24"/>
          <w:highlight w:val="none"/>
        </w:rPr>
      </w:pPr>
      <w:bookmarkStart w:id="538" w:name="OLE_LINK14"/>
      <w:bookmarkStart w:id="539" w:name="OLE_LINK13"/>
      <w:r>
        <w:rPr>
          <w:rFonts w:hint="eastAsia" w:ascii="宋体" w:hAnsi="宋体" w:eastAsia="宋体" w:cs="宋体"/>
          <w:snapToGrid w:val="0"/>
          <w:color w:val="auto"/>
          <w:kern w:val="0"/>
          <w:sz w:val="24"/>
          <w:highlight w:val="none"/>
        </w:rPr>
        <w:t>（6）承包人违规施工，经监理工程师通知改正但仍不执行；</w:t>
      </w:r>
    </w:p>
    <w:p w14:paraId="7CB97C72">
      <w:pPr>
        <w:adjustRightInd w:val="0"/>
        <w:snapToGrid w:val="0"/>
        <w:spacing w:line="360" w:lineRule="auto"/>
        <w:ind w:left="42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（7）相关政府部门要求暂停施工</w:t>
      </w:r>
      <w:bookmarkEnd w:id="538"/>
      <w:bookmarkEnd w:id="539"/>
      <w:r>
        <w:rPr>
          <w:rFonts w:hint="eastAsia" w:ascii="宋体" w:hAnsi="宋体" w:eastAsia="宋体" w:cs="宋体"/>
          <w:snapToGrid w:val="0"/>
          <w:color w:val="auto"/>
          <w:kern w:val="0"/>
          <w:sz w:val="24"/>
          <w:highlight w:val="none"/>
        </w:rPr>
        <w:t>。</w:t>
      </w:r>
    </w:p>
    <w:p w14:paraId="6C4D3322">
      <w:pPr>
        <w:adjustRightInd w:val="0"/>
        <w:snapToGrid w:val="0"/>
        <w:spacing w:line="360" w:lineRule="auto"/>
        <w:ind w:firstLine="480" w:firstLineChars="200"/>
        <w:rPr>
          <w:rFonts w:hint="eastAsia" w:ascii="宋体" w:hAnsi="宋体" w:eastAsia="宋体" w:cs="宋体"/>
          <w:snapToGrid w:val="0"/>
          <w:color w:val="auto"/>
          <w:kern w:val="0"/>
          <w:sz w:val="24"/>
          <w:highlight w:val="none"/>
          <w:shd w:val="clear" w:color="auto" w:fill="999999"/>
        </w:rPr>
      </w:pPr>
      <w:r>
        <w:rPr>
          <w:rFonts w:hint="eastAsia" w:ascii="宋体" w:hAnsi="宋体" w:eastAsia="宋体" w:cs="宋体"/>
          <w:snapToGrid w:val="0"/>
          <w:color w:val="auto"/>
          <w:kern w:val="0"/>
          <w:sz w:val="24"/>
          <w:highlight w:val="none"/>
        </w:rPr>
        <w:t>因发生上述（1）、（2）、（7）项原因而暂停施工的，工期调整适用合同专用条款第13条的有关约定；因发生上述第（3）、（4）、（5）、（6）项原因而暂停施工的，工期不予顺延，承包人必须承担由此发生的费用和责任，并按合同专用条款第38.7款、第38.8款的约定向发包人承担违约责任。</w:t>
      </w:r>
    </w:p>
    <w:p w14:paraId="11785358">
      <w:pPr>
        <w:adjustRightInd w:val="0"/>
        <w:snapToGrid w:val="0"/>
        <w:spacing w:line="360" w:lineRule="auto"/>
        <w:ind w:firstLine="480" w:firstLineChars="200"/>
        <w:rPr>
          <w:rFonts w:hint="eastAsia" w:ascii="宋体" w:hAnsi="宋体" w:eastAsia="宋体" w:cs="宋体"/>
          <w:snapToGrid w:val="0"/>
          <w:color w:val="auto"/>
          <w:kern w:val="0"/>
          <w:sz w:val="24"/>
          <w:highlight w:val="none"/>
          <w:shd w:val="clear" w:color="auto" w:fill="999999"/>
        </w:rPr>
      </w:pPr>
      <w:r>
        <w:rPr>
          <w:rFonts w:hint="eastAsia" w:ascii="宋体" w:hAnsi="宋体" w:eastAsia="宋体" w:cs="宋体"/>
          <w:snapToGrid w:val="0"/>
          <w:color w:val="auto"/>
          <w:kern w:val="0"/>
          <w:sz w:val="24"/>
          <w:highlight w:val="none"/>
        </w:rPr>
        <w:t>承包人不得以与发包人有争议或争议未解决为由而单方面停工，否则，按照合同专用条款第38.5款的约定承担违约责任。</w:t>
      </w:r>
    </w:p>
    <w:p w14:paraId="7A77CEBF">
      <w:pPr>
        <w:adjustRightInd w:val="0"/>
        <w:snapToGrid w:val="0"/>
        <w:spacing w:line="360" w:lineRule="auto"/>
        <w:ind w:firstLine="480" w:firstLineChars="200"/>
        <w:rPr>
          <w:rFonts w:hint="eastAsia" w:ascii="宋体" w:hAnsi="宋体" w:eastAsia="宋体" w:cs="宋体"/>
          <w:snapToGrid w:val="0"/>
          <w:color w:val="auto"/>
          <w:kern w:val="0"/>
          <w:sz w:val="24"/>
          <w:highlight w:val="none"/>
          <w:shd w:val="clear" w:color="auto" w:fill="999999"/>
        </w:rPr>
      </w:pPr>
      <w:r>
        <w:rPr>
          <w:rFonts w:hint="eastAsia" w:ascii="宋体" w:hAnsi="宋体" w:eastAsia="宋体" w:cs="宋体"/>
          <w:snapToGrid w:val="0"/>
          <w:color w:val="auto"/>
          <w:kern w:val="0"/>
          <w:sz w:val="24"/>
          <w:highlight w:val="none"/>
        </w:rPr>
        <w:t>12.2为了保证工程质量安全，凡出现下列情况之一（不限于此）的，总监理工程师有权下达停工令，责令承包人停工整改，由此造成的损失由承包人自行承担，造成工期延误的由承包人按合同专用条款第38.5款的有关约定承担违约责任：</w:t>
      </w:r>
    </w:p>
    <w:p w14:paraId="1B4F808E">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（1）拒绝监理等单位管理；</w:t>
      </w:r>
    </w:p>
    <w:p w14:paraId="6859D8D4">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（2）施工组织设计（方案）与进度计划未获总监理工程师批准而进行施工；</w:t>
      </w:r>
    </w:p>
    <w:p w14:paraId="72EC2F39">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（3）未经监理单位检验而进行下一道工序作业；</w:t>
      </w:r>
    </w:p>
    <w:p w14:paraId="405C427F">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（4）擅自采用未经监理单位及发包人认可或批准的材料，或者使用的原材料、构配件不合格或未经检查确认，或者擅自采用未经认可的代用材料；</w:t>
      </w:r>
    </w:p>
    <w:p w14:paraId="30BD6EA4">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（5）擅自变更设计图纸的要求；</w:t>
      </w:r>
    </w:p>
    <w:p w14:paraId="3BB84BBF">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（6）转包工程；</w:t>
      </w:r>
    </w:p>
    <w:p w14:paraId="7413A2D1">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（7）擅自让未经发包人书面批准的分包单位进场作业；</w:t>
      </w:r>
    </w:p>
    <w:p w14:paraId="7EA9441F">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（8）存在安全隐患，未按监理单位要求及时进行整改；</w:t>
      </w:r>
    </w:p>
    <w:p w14:paraId="48B96558">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（9）未按双方约定的要求上报所需的资料。</w:t>
      </w:r>
    </w:p>
    <w:p w14:paraId="334E6B9D">
      <w:pPr>
        <w:adjustRightInd w:val="0"/>
        <w:snapToGrid w:val="0"/>
        <w:spacing w:line="360" w:lineRule="auto"/>
        <w:ind w:right="11"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承包人和发包人一致同意不适用合同通用条款第13条的约定，代之以：</w:t>
      </w:r>
    </w:p>
    <w:p w14:paraId="3D208A8F">
      <w:pPr>
        <w:adjustRightInd w:val="0"/>
        <w:snapToGrid w:val="0"/>
        <w:spacing w:line="360" w:lineRule="auto"/>
        <w:ind w:right="11"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13、工期延误</w:t>
      </w:r>
    </w:p>
    <w:p w14:paraId="06378B8A">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13.1工期控制与调整</w:t>
      </w:r>
    </w:p>
    <w:p w14:paraId="1C7D047F">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工期调整的原则：对于承包人原因造成的工期延误，工期一概不得顺延；对于非承包人原因造成的工期延误，执行本合同专用条款第13.3条。</w:t>
      </w:r>
    </w:p>
    <w:p w14:paraId="6EBDEA68">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13.2工期延误的原因及其处理</w:t>
      </w:r>
    </w:p>
    <w:p w14:paraId="2AD1B6F3">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bCs/>
          <w:snapToGrid w:val="0"/>
          <w:color w:val="auto"/>
          <w:kern w:val="0"/>
          <w:sz w:val="24"/>
          <w:highlight w:val="none"/>
        </w:rPr>
        <w:t>（1）</w:t>
      </w:r>
      <w:r>
        <w:rPr>
          <w:rFonts w:hint="eastAsia" w:ascii="宋体" w:hAnsi="宋体" w:eastAsia="宋体" w:cs="宋体"/>
          <w:snapToGrid w:val="0"/>
          <w:color w:val="auto"/>
          <w:kern w:val="0"/>
          <w:sz w:val="24"/>
          <w:highlight w:val="none"/>
        </w:rPr>
        <w:t>非承包人原因造成的工期延误，是指有确凿证据证实因下列原因而直接造成承包人的原定工期计划延误：</w:t>
      </w:r>
    </w:p>
    <w:p w14:paraId="2C87BB3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1）不可抗力；</w:t>
      </w:r>
    </w:p>
    <w:p w14:paraId="2C1465F1">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2）工程设计有重大变更或重大失误，并经总监理工程师确认会造成工期延误的；</w:t>
      </w:r>
    </w:p>
    <w:p w14:paraId="0E15A9C8">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3）发包人延期交付施工场地；</w:t>
      </w:r>
    </w:p>
    <w:p w14:paraId="7246DC9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4）施工图纸供应时间影响工期进度，并经总监理工程师确认的；</w:t>
      </w:r>
    </w:p>
    <w:p w14:paraId="3D5BDF7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5）发包人</w:t>
      </w:r>
      <w:r>
        <w:rPr>
          <w:rFonts w:hint="eastAsia" w:ascii="宋体" w:hAnsi="宋体" w:eastAsia="宋体" w:cs="宋体"/>
          <w:iCs/>
          <w:snapToGrid w:val="0"/>
          <w:color w:val="auto"/>
          <w:kern w:val="0"/>
          <w:sz w:val="24"/>
          <w:highlight w:val="none"/>
        </w:rPr>
        <w:t>不按合同约定</w:t>
      </w:r>
      <w:r>
        <w:rPr>
          <w:rFonts w:hint="eastAsia" w:ascii="宋体" w:hAnsi="宋体" w:eastAsia="宋体" w:cs="宋体"/>
          <w:snapToGrid w:val="0"/>
          <w:color w:val="auto"/>
          <w:kern w:val="0"/>
          <w:sz w:val="24"/>
          <w:highlight w:val="none"/>
        </w:rPr>
        <w:t>支付工程款而影响工期进度，并经总监理工程师确认的；</w:t>
      </w:r>
    </w:p>
    <w:p w14:paraId="0582184E">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6）发包人（或政府职能部门）指令（非承包人原因）引起的停工；</w:t>
      </w:r>
    </w:p>
    <w:p w14:paraId="0A09CC8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7）发包人其他违约行为造成工期延误并经总监理工程师确认的。</w:t>
      </w:r>
    </w:p>
    <w:p w14:paraId="3FB48969">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除上述原因之外，其他所有工期延误均为承包人原因造成的延误。</w:t>
      </w:r>
    </w:p>
    <w:p w14:paraId="753A879F">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bCs/>
          <w:snapToGrid w:val="0"/>
          <w:color w:val="auto"/>
          <w:kern w:val="0"/>
          <w:sz w:val="24"/>
          <w:highlight w:val="none"/>
        </w:rPr>
        <w:t>（2）</w:t>
      </w:r>
      <w:r>
        <w:rPr>
          <w:rFonts w:hint="eastAsia" w:ascii="宋体" w:hAnsi="宋体" w:eastAsia="宋体" w:cs="宋体"/>
          <w:snapToGrid w:val="0"/>
          <w:color w:val="auto"/>
          <w:kern w:val="0"/>
          <w:sz w:val="24"/>
          <w:highlight w:val="none"/>
        </w:rPr>
        <w:t>因承包人原因造成的工期延误，工期一概不得顺延。承包人还应当按照合同专用条款第38.5款的有关约定承担违约责任。</w:t>
      </w:r>
    </w:p>
    <w:p w14:paraId="1495E5C8">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（3）因承包人对</w:t>
      </w:r>
      <w:r>
        <w:rPr>
          <w:rFonts w:hint="eastAsia" w:ascii="宋体" w:hAnsi="宋体" w:eastAsia="宋体" w:cs="宋体"/>
          <w:bCs/>
          <w:snapToGrid w:val="0"/>
          <w:color w:val="auto"/>
          <w:kern w:val="0"/>
          <w:sz w:val="24"/>
          <w:highlight w:val="none"/>
        </w:rPr>
        <w:t>现场组织管理不力或未能提供协调、配合服务，以致专业工程的进度影响工期，承包人不得以此为由提出延长工期的要求。</w:t>
      </w:r>
    </w:p>
    <w:p w14:paraId="05E028A6">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13.3对于非因承包人原因发生的工期延误，承包人应当在工期延误发生之日起及时（原则上为10天内）就延误的内容和因此发生的经济支出向</w:t>
      </w:r>
      <w:r>
        <w:rPr>
          <w:rFonts w:hint="eastAsia" w:ascii="宋体" w:hAnsi="宋体" w:eastAsia="宋体" w:cs="宋体"/>
          <w:snapToGrid w:val="0"/>
          <w:color w:val="auto"/>
          <w:kern w:val="0"/>
          <w:sz w:val="24"/>
          <w:highlight w:val="none"/>
        </w:rPr>
        <w:t>总监理工程师及</w:t>
      </w:r>
      <w:r>
        <w:rPr>
          <w:rFonts w:hint="eastAsia" w:ascii="宋体" w:hAnsi="宋体" w:eastAsia="宋体" w:cs="宋体"/>
          <w:bCs/>
          <w:snapToGrid w:val="0"/>
          <w:color w:val="auto"/>
          <w:kern w:val="0"/>
          <w:sz w:val="24"/>
          <w:highlight w:val="none"/>
        </w:rPr>
        <w:t>发包人提出书面报告及申请，</w:t>
      </w:r>
      <w:r>
        <w:rPr>
          <w:rFonts w:hint="eastAsia" w:ascii="宋体" w:hAnsi="宋体" w:eastAsia="宋体" w:cs="宋体"/>
          <w:snapToGrid w:val="0"/>
          <w:color w:val="auto"/>
          <w:kern w:val="0"/>
          <w:sz w:val="24"/>
          <w:highlight w:val="none"/>
        </w:rPr>
        <w:t>总监理工程师及</w:t>
      </w:r>
      <w:r>
        <w:rPr>
          <w:rFonts w:hint="eastAsia" w:ascii="宋体" w:hAnsi="宋体" w:eastAsia="宋体" w:cs="宋体"/>
          <w:bCs/>
          <w:snapToGrid w:val="0"/>
          <w:color w:val="auto"/>
          <w:kern w:val="0"/>
          <w:sz w:val="24"/>
          <w:highlight w:val="none"/>
        </w:rPr>
        <w:t>发包人按程序审批。</w:t>
      </w:r>
    </w:p>
    <w:p w14:paraId="4D73E13D">
      <w:pPr>
        <w:adjustRightInd w:val="0"/>
        <w:snapToGrid w:val="0"/>
        <w:spacing w:line="360" w:lineRule="auto"/>
        <w:ind w:right="11"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14、工程竣工</w:t>
      </w:r>
    </w:p>
    <w:p w14:paraId="29FF908E">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14.1承包人必须采取一切有效措施保证按照合同协议书约定或者</w:t>
      </w:r>
      <w:r>
        <w:rPr>
          <w:rFonts w:hint="eastAsia" w:ascii="宋体" w:hAnsi="宋体" w:eastAsia="宋体" w:cs="宋体"/>
          <w:bCs/>
          <w:snapToGrid w:val="0"/>
          <w:color w:val="auto"/>
          <w:kern w:val="0"/>
          <w:sz w:val="24"/>
          <w:highlight w:val="none"/>
        </w:rPr>
        <w:t>发包人根据工程实施情况调整</w:t>
      </w:r>
      <w:r>
        <w:rPr>
          <w:rFonts w:hint="eastAsia" w:ascii="宋体" w:hAnsi="宋体" w:eastAsia="宋体" w:cs="宋体"/>
          <w:snapToGrid w:val="0"/>
          <w:color w:val="auto"/>
          <w:kern w:val="0"/>
          <w:sz w:val="24"/>
          <w:highlight w:val="none"/>
        </w:rPr>
        <w:t>的竣工日期竣工，不得延误，除非发生了以下情形：</w:t>
      </w:r>
    </w:p>
    <w:p w14:paraId="4F735DAF">
      <w:pPr>
        <w:adjustRightInd w:val="0"/>
        <w:snapToGrid w:val="0"/>
        <w:spacing w:line="360" w:lineRule="auto"/>
        <w:ind w:left="461" w:right="11"/>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（1）政府对本工程建设项目作出停建、缓建的决定；</w:t>
      </w:r>
    </w:p>
    <w:p w14:paraId="67E7CCF5">
      <w:pPr>
        <w:adjustRightInd w:val="0"/>
        <w:snapToGrid w:val="0"/>
        <w:spacing w:line="360" w:lineRule="auto"/>
        <w:ind w:left="461" w:right="11"/>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（2）重大设计变更导致本工程在规划、使用、功能方面有重大调整；</w:t>
      </w:r>
    </w:p>
    <w:p w14:paraId="703D1E87">
      <w:pPr>
        <w:adjustRightInd w:val="0"/>
        <w:snapToGrid w:val="0"/>
        <w:spacing w:line="360" w:lineRule="auto"/>
        <w:ind w:left="461" w:right="11"/>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（3）非因承包人原因造成工期延误达到30天以上；</w:t>
      </w:r>
    </w:p>
    <w:p w14:paraId="3CAEB2BC">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（4）其他非因承包人原因造成的竣工日期延误。</w:t>
      </w:r>
    </w:p>
    <w:p w14:paraId="7B5559CD">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因承包人的原因导致实际竣工日期迟于计划竣工日期的，承包人应按照专用条款第38.5款约定赔偿发包人由此造成的损失，并向发包人支付误期赔偿费。</w:t>
      </w:r>
    </w:p>
    <w:p w14:paraId="48335699">
      <w:pPr>
        <w:pStyle w:val="10"/>
        <w:jc w:val="left"/>
        <w:rPr>
          <w:rFonts w:hint="eastAsia" w:ascii="宋体" w:hAnsi="宋体"/>
          <w:snapToGrid w:val="0"/>
          <w:color w:val="auto"/>
          <w:kern w:val="0"/>
          <w:highlight w:val="none"/>
        </w:rPr>
      </w:pPr>
      <w:bookmarkStart w:id="540" w:name="_Toc514663861"/>
      <w:bookmarkStart w:id="541" w:name="_Toc520902608"/>
      <w:bookmarkStart w:id="542" w:name="_Toc520358233"/>
      <w:bookmarkStart w:id="543" w:name="_Toc520902759"/>
      <w:bookmarkStart w:id="544" w:name="_Toc516495979"/>
      <w:bookmarkStart w:id="545" w:name="_Toc520358057"/>
      <w:bookmarkStart w:id="546" w:name="_Toc519503083"/>
      <w:bookmarkStart w:id="547" w:name="_Toc514681766"/>
      <w:bookmarkStart w:id="548" w:name="_Toc520902830"/>
      <w:bookmarkStart w:id="549" w:name="_Toc514665285"/>
      <w:bookmarkStart w:id="550" w:name="_Toc517954576"/>
      <w:bookmarkStart w:id="551" w:name="_Toc35083098"/>
      <w:bookmarkStart w:id="552" w:name="_Toc520901463"/>
      <w:bookmarkStart w:id="553" w:name="_Toc514666976"/>
      <w:bookmarkStart w:id="554" w:name="_Toc514665146"/>
      <w:bookmarkStart w:id="555" w:name="_Toc519502253"/>
      <w:bookmarkStart w:id="556" w:name="_Toc514681185"/>
      <w:bookmarkStart w:id="557" w:name="_Toc517774563"/>
      <w:bookmarkStart w:id="558" w:name="_Toc518481735"/>
      <w:bookmarkStart w:id="559" w:name="_Toc514664863"/>
      <w:r>
        <w:rPr>
          <w:rFonts w:hint="eastAsia" w:ascii="宋体" w:hAnsi="宋体"/>
          <w:snapToGrid w:val="0"/>
          <w:color w:val="auto"/>
          <w:kern w:val="0"/>
          <w:highlight w:val="none"/>
        </w:rPr>
        <w:t>四、质量与检验</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314B6902">
      <w:pPr>
        <w:adjustRightInd w:val="0"/>
        <w:snapToGrid w:val="0"/>
        <w:spacing w:line="360" w:lineRule="auto"/>
        <w:ind w:right="11"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15、工程质量</w:t>
      </w:r>
    </w:p>
    <w:p w14:paraId="3873A440">
      <w:pPr>
        <w:adjustRightInd w:val="0"/>
        <w:snapToGrid w:val="0"/>
        <w:spacing w:line="360" w:lineRule="auto"/>
        <w:ind w:firstLine="420" w:firstLineChars="175"/>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15.1工程质量标准</w:t>
      </w:r>
    </w:p>
    <w:p w14:paraId="1DC985AD">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（1）本合同工程质量标准按合同协议书第四条的约定执行。</w:t>
      </w:r>
    </w:p>
    <w:p w14:paraId="13CC9ACA">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承包人必须确保工程一次验收合格。因承包人原因致使工程未一次验收合格的，由承包人按照合同专用条款第38.7（2）款的约定承担违约责任；因此导致工程不能按计划工期办理竣工验收的，由承包人按照合同专用条款第38.5款的约定承担违约责任。</w:t>
      </w:r>
    </w:p>
    <w:p w14:paraId="701395CE">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15.2工程质量争议与鉴定</w:t>
      </w:r>
    </w:p>
    <w:p w14:paraId="042D73B8">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双方一致同意，对于本合同履行过程中的工程质量争议，由工程所在地负责工程质量监督的政府主管机构或部门（包括其指定的第三方专业机构）依据各专业验收规范及设计文件等进行鉴定并按鉴定结论及有关规定承担责任。</w:t>
      </w:r>
    </w:p>
    <w:p w14:paraId="5F79BEEA">
      <w:pPr>
        <w:adjustRightInd w:val="0"/>
        <w:snapToGrid w:val="0"/>
        <w:spacing w:line="360" w:lineRule="auto"/>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承包人和发包人一致同意增加15.3：</w:t>
      </w:r>
    </w:p>
    <w:p w14:paraId="25FC385F">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15.3工程质量保证体系</w:t>
      </w:r>
    </w:p>
    <w:p w14:paraId="7724AE4F">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承包人应当完善质量管理制度，建立质量控制流程，进行全面质量管理（TQC），以《质量管理体系标准要求》（GB/T19000-2016）为标准，建立并保持一个有效的工程质量管理体系。为此，承包人必须做到（包括但不限于）：</w:t>
      </w:r>
    </w:p>
    <w:p w14:paraId="4D89F9CC">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（1）建立完整的质量保证体系，委派专人负责工程质量管理，现场管理机构、工区（段）设有专职质检人员，班组设质检员，必须附有项目架构人员名单，各类人员必须持有上岗资格证，于本合同签订</w:t>
      </w:r>
      <w:r>
        <w:rPr>
          <w:rFonts w:hint="eastAsia" w:ascii="宋体" w:hAnsi="宋体" w:eastAsia="宋体" w:cs="宋体"/>
          <w:bCs/>
          <w:snapToGrid w:val="0"/>
          <w:color w:val="auto"/>
          <w:kern w:val="0"/>
          <w:sz w:val="24"/>
          <w:highlight w:val="none"/>
        </w:rPr>
        <w:t>之日起</w:t>
      </w:r>
      <w:r>
        <w:rPr>
          <w:rFonts w:hint="eastAsia" w:ascii="宋体" w:hAnsi="宋体" w:eastAsia="宋体" w:cs="宋体"/>
          <w:snapToGrid w:val="0"/>
          <w:color w:val="auto"/>
          <w:kern w:val="0"/>
          <w:sz w:val="24"/>
          <w:highlight w:val="none"/>
        </w:rPr>
        <w:t>5天内将上述人员报总监理工程师备查。承包人还应建立并完善各项目质量管理检查制度及企业质量管理文件等。</w:t>
      </w:r>
      <w:r>
        <w:rPr>
          <w:rFonts w:hint="eastAsia" w:ascii="宋体" w:hAnsi="宋体" w:eastAsia="宋体" w:cs="宋体"/>
          <w:bCs/>
          <w:snapToGrid w:val="0"/>
          <w:color w:val="auto"/>
          <w:kern w:val="0"/>
          <w:sz w:val="24"/>
          <w:highlight w:val="none"/>
        </w:rPr>
        <w:t>同时，承包人应积极配合工程质量第三方检测工作，并积极采用新材料、新工艺、新技术。</w:t>
      </w:r>
    </w:p>
    <w:p w14:paraId="0C366337">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（2）承包人提交总监理工程师批准的施工组织设计或者施工方案必须附有完备的工程质量保证措施，包括：工程质量预控措施，</w:t>
      </w:r>
      <w:r>
        <w:rPr>
          <w:rFonts w:hint="eastAsia" w:ascii="宋体" w:hAnsi="宋体" w:eastAsia="宋体" w:cs="宋体"/>
          <w:iCs/>
          <w:snapToGrid w:val="0"/>
          <w:color w:val="auto"/>
          <w:kern w:val="0"/>
          <w:sz w:val="24"/>
          <w:highlight w:val="none"/>
        </w:rPr>
        <w:t>工序质量控制点，</w:t>
      </w:r>
      <w:r>
        <w:rPr>
          <w:rFonts w:hint="eastAsia" w:ascii="宋体" w:hAnsi="宋体" w:eastAsia="宋体" w:cs="宋体"/>
          <w:snapToGrid w:val="0"/>
          <w:color w:val="auto"/>
          <w:kern w:val="0"/>
          <w:sz w:val="24"/>
          <w:highlight w:val="none"/>
        </w:rPr>
        <w:t>工程的标准工艺流程图和技术、组织措施，工程各分部、分项的关键工序、特殊工序控制、样板间制度等，以及重点分部（项）工程的施工方法，材料、制品试件取样及送检试验的方法或检测方案，成品保护的措施和方法，质量报表和质量事故的报告制度，等等。</w:t>
      </w:r>
    </w:p>
    <w:p w14:paraId="07375D37">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（3）单项工程开工前，承包人必须按要求对职工分级进行技术交底，组织学习有关规程、标准、规范和工艺要求（规程包括但不限于施工企业标准和作业指导书），在施工中必须按规程及工艺进行操作。</w:t>
      </w:r>
    </w:p>
    <w:p w14:paraId="35D60C4F">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单项工程和重要部位必须遵循先试验后铺开施工的程序，即关键分项工程必须先施工实体样板，实体样板经各方验收合格方能用于现场交底和大面积施工。开工前承包人应熟悉施工图纸会审和设计变更内容并完成施工组织设计和必要的施工准备，送总监理工程师审查批准后方可进行试验性施工，完工后由总监理工程师检验，符合要求后才能铺开施工或者批量生产。</w:t>
      </w:r>
    </w:p>
    <w:p w14:paraId="17AA8E12">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按照《广州市住房和城乡建设委员会关于加强房屋建筑和市政基础设施工程混凝土试件标准养护管理的通知》（穗建规字〔2020〕29号），在建房屋建筑和市政基础设施工程，现场有混凝土结构施工部位的，必须在施工现场建立混凝土试件标准养护室或放置标准养护箱，而且监督见证检验次数不少于同类材料进场检验频次的10%且不少于一次。</w:t>
      </w:r>
    </w:p>
    <w:p w14:paraId="13815B42">
      <w:pPr>
        <w:adjustRightInd w:val="0"/>
        <w:snapToGrid w:val="0"/>
        <w:spacing w:line="360" w:lineRule="auto"/>
        <w:ind w:right="11"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16、检查和返工</w:t>
      </w:r>
    </w:p>
    <w:p w14:paraId="5CB08EC7">
      <w:pPr>
        <w:adjustRightInd w:val="0"/>
        <w:snapToGrid w:val="0"/>
        <w:spacing w:line="360" w:lineRule="auto"/>
        <w:ind w:firstLine="480" w:firstLineChars="200"/>
        <w:rPr>
          <w:rFonts w:hint="default" w:ascii="宋体" w:hAnsi="宋体" w:eastAsia="宋体" w:cs="宋体"/>
          <w:bCs/>
          <w:snapToGrid w:val="0"/>
          <w:color w:val="auto"/>
          <w:kern w:val="0"/>
          <w:sz w:val="24"/>
          <w:highlight w:val="none"/>
          <w:lang w:val="en-US" w:eastAsia="zh-CN"/>
        </w:rPr>
      </w:pPr>
      <w:r>
        <w:rPr>
          <w:rFonts w:hint="eastAsia" w:ascii="宋体" w:hAnsi="宋体" w:eastAsia="宋体" w:cs="宋体"/>
          <w:bCs/>
          <w:snapToGrid w:val="0"/>
          <w:color w:val="auto"/>
          <w:kern w:val="0"/>
          <w:sz w:val="24"/>
          <w:highlight w:val="none"/>
        </w:rPr>
        <w:t>16.</w:t>
      </w:r>
      <w:r>
        <w:rPr>
          <w:rFonts w:hint="eastAsia" w:ascii="宋体" w:hAnsi="宋体" w:eastAsia="宋体" w:cs="宋体"/>
          <w:bCs/>
          <w:snapToGrid w:val="0"/>
          <w:color w:val="auto"/>
          <w:kern w:val="0"/>
          <w:sz w:val="24"/>
          <w:highlight w:val="none"/>
          <w:lang w:val="en-US" w:eastAsia="zh-CN"/>
        </w:rPr>
        <w:t>4 因工程师指令失误或其他非发包人原因导致的工期延误及成本或费用增加的，发包人不予工期顺延和追加合同费用；由此产生的费用由承包人综合考虑并自行承担。</w:t>
      </w:r>
    </w:p>
    <w:p w14:paraId="5F76078A">
      <w:pPr>
        <w:adjustRightInd w:val="0"/>
        <w:snapToGrid w:val="0"/>
        <w:spacing w:line="360" w:lineRule="auto"/>
        <w:ind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承包人和发包人一致同意增加16.5至16.10：</w:t>
      </w:r>
    </w:p>
    <w:p w14:paraId="6D13BC63">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16.5监理人对承包人采购的工程材料、设备及采用的工艺的查验，具体工作包括但不限于以下：</w:t>
      </w:r>
    </w:p>
    <w:p w14:paraId="59AEF343">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实施工程的一切材料、设备及工艺，都必须符合工程设计及技术标准、规范的要求，并应当在用于工程之前经过检验或试验，不合格的不得使用。承包人要建立检验、试验制度，随时按总监理工程师的要求，在材料、设备的制造、加工或制配地点，或施工场地进行检验或试验，并应提供一切正常需要的手段，在材料、设备及工艺用于工程之前提供样品、样件，按照总监理工程师的选择和要求进行检验或试验。</w:t>
      </w:r>
    </w:p>
    <w:p w14:paraId="6CC4F892">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总监理工程师有权在施工场地、库房以及为工程生产、加工、制配材料、设备的地点（无论这些地点是否属于承包人管辖）检查和检验按合同提供的材料、设备。承包人应为总监理工程师的检查和检验提供一切便利，包括提供人员和设备、材料等。总监理工程师的检查结果证明该材料、设备不符合合同要求的，必须拒绝这些材料、设备的使用，立即通知承包人并说明拒绝的理由。承包人在接到总监理工程师的通知后必须立即更换被拒绝的材料、设备。承包人拒不执行上述指令的，则发包人有权雇佣他人代为实施，由此产生的相关费用由承包人承担。</w:t>
      </w:r>
    </w:p>
    <w:p w14:paraId="66452ED4">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发包人和总监理工程师认为有必要的，有权对已检查、检验过的材料、设备进行重复检查、检验，承包人应遵照执行。重复检查、检验的程序和内容适用前述约定。</w:t>
      </w:r>
    </w:p>
    <w:p w14:paraId="6F89E6C0">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（3）在施工过程中，总监理工程师有权随时对工程材料、设备的使用进行抽查。抽查范围、比例、数量、批次及检查深度可比国家现行施工质量验收规范和相关规定有所提高。</w:t>
      </w:r>
    </w:p>
    <w:p w14:paraId="4F8DC8B9">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工程材料、设备的质量依据下列顺序之标准认定（排序在前者优先）：</w:t>
      </w:r>
    </w:p>
    <w:p w14:paraId="7FE01089">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1）本工程设计图纸规定的设计标准和发包人制定的材料标准及技术要求[不符合下列第4）项标准要求的除外]；</w:t>
      </w:r>
    </w:p>
    <w:p w14:paraId="09EE9C5D">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2）招投标时确定的规格、技术指标、质量标准、品牌等[不符合下列第4）项标准要求的除外]；</w:t>
      </w:r>
    </w:p>
    <w:p w14:paraId="50B8F1E7">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3）经监理单位、承包人、发包人共同认定的产品封样、样板[不符合下列第4）项标准要求的除外]；</w:t>
      </w:r>
    </w:p>
    <w:p w14:paraId="351E3B0E">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4）国家或行业强制执行的技术标准、技术规范。</w:t>
      </w:r>
    </w:p>
    <w:p w14:paraId="634B8C21">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工程材料、设备的抽查、检验结果与前款约定不符的，总监理工程师必须扩大对该批材料的抽查范围、增加数量抽检，同时，涉及工程结构安全和使用功能的检测必须委托有资质的第三方检测试验单位进行检测试验并执行《建筑节能工程施工质量验收标准》（GB50411-2019）、《广东省建筑节能与绿色建筑工程施工质量验收规范》（DBJ15-65-2021）。承包人必须在发包人或监理单位书面通知的限期内将不符合要求的材料、设备全部无条件拆除、更换，并运出施工现场，由此所造成的工期延误、费用增加等一切损失均由承包人承担；同时，承包人还应当按照专用条款第38.6（1）款的约定承担违约责任。</w:t>
      </w:r>
    </w:p>
    <w:p w14:paraId="6B8A3BD0">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snapToGrid w:val="0"/>
          <w:color w:val="auto"/>
          <w:kern w:val="0"/>
          <w:sz w:val="24"/>
          <w:highlight w:val="none"/>
        </w:rPr>
        <w:t>（4）总监理工程师或发包人或相关职能部门对材料、设备或工程进行检查、检验的费用由发包人负担。如果检测不合格，总监理工程师或发包人或相关职能部门要求进行重复检查、检验的，费用由承包人承担。</w:t>
      </w:r>
    </w:p>
    <w:p w14:paraId="4854265B">
      <w:pPr>
        <w:adjustRightInd w:val="0"/>
        <w:snapToGrid w:val="0"/>
        <w:spacing w:line="360" w:lineRule="auto"/>
        <w:ind w:firstLine="42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16.6承包人应当</w:t>
      </w:r>
      <w:r>
        <w:rPr>
          <w:rFonts w:hint="eastAsia" w:ascii="宋体" w:hAnsi="宋体" w:eastAsia="宋体" w:cs="宋体"/>
          <w:snapToGrid w:val="0"/>
          <w:color w:val="auto"/>
          <w:kern w:val="0"/>
          <w:sz w:val="24"/>
          <w:highlight w:val="none"/>
        </w:rPr>
        <w:t>按照发包人、总监理工程师及有关规范要求，对施工各工序报验检查的质量控制点，先自检后报请总监理工程师复检。总监理工程师在接到承包人的自检结果后，应当及时复检。经复检发现存在质量问题的，则该工序质量为不合格，承包人必须全部返工，</w:t>
      </w:r>
      <w:r>
        <w:rPr>
          <w:rFonts w:hint="eastAsia" w:ascii="宋体" w:hAnsi="宋体" w:eastAsia="宋体" w:cs="宋体"/>
          <w:bCs/>
          <w:snapToGrid w:val="0"/>
          <w:color w:val="auto"/>
          <w:kern w:val="0"/>
          <w:sz w:val="24"/>
          <w:highlight w:val="none"/>
        </w:rPr>
        <w:t>由此所产生的工期延误和费用增加等全部损失由承包人承担，并由承包人按照</w:t>
      </w:r>
      <w:r>
        <w:rPr>
          <w:rFonts w:hint="eastAsia" w:ascii="宋体" w:hAnsi="宋体" w:eastAsia="宋体" w:cs="宋体"/>
          <w:snapToGrid w:val="0"/>
          <w:color w:val="auto"/>
          <w:kern w:val="0"/>
          <w:sz w:val="24"/>
          <w:highlight w:val="none"/>
        </w:rPr>
        <w:t>合同专用条款第38</w:t>
      </w:r>
      <w:r>
        <w:rPr>
          <w:rFonts w:hint="eastAsia" w:ascii="宋体" w:hAnsi="宋体" w:eastAsia="宋体" w:cs="宋体"/>
          <w:bCs/>
          <w:snapToGrid w:val="0"/>
          <w:color w:val="auto"/>
          <w:kern w:val="0"/>
          <w:sz w:val="24"/>
          <w:highlight w:val="none"/>
        </w:rPr>
        <w:t>.7（1）款的约定承担违约责任。</w:t>
      </w:r>
    </w:p>
    <w:p w14:paraId="330B87E9">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16.7总监理工程师发现工程存在重大质量问题时，必须立即下达停工整改令。承包人必须在总监理工程师下达整改令之日起5天内提出书面整改措施，经总监理工程师和发包人批准后实施整改，由此所产生的工期延误和费用增加等全部损失，由承包人承担。承包人拒绝整改或经两次整改后仍不符合质量要求，发包人有权暂停拨付工程款、解除合同、要求承包人承担损失，并将未完工程另行发包给第三方完成，</w:t>
      </w:r>
      <w:r>
        <w:rPr>
          <w:rFonts w:hint="eastAsia" w:ascii="宋体" w:hAnsi="宋体" w:eastAsia="宋体" w:cs="宋体"/>
          <w:snapToGrid w:val="0"/>
          <w:color w:val="auto"/>
          <w:kern w:val="0"/>
          <w:sz w:val="24"/>
          <w:highlight w:val="none"/>
        </w:rPr>
        <w:t>承包人必须无条件服从，</w:t>
      </w:r>
      <w:r>
        <w:rPr>
          <w:rFonts w:hint="eastAsia" w:ascii="宋体" w:hAnsi="宋体" w:eastAsia="宋体" w:cs="宋体"/>
          <w:bCs/>
          <w:snapToGrid w:val="0"/>
          <w:color w:val="auto"/>
          <w:kern w:val="0"/>
          <w:sz w:val="24"/>
          <w:highlight w:val="none"/>
        </w:rPr>
        <w:t>相关费用由承包人承担且发包人有权将该费用在对承包人的应付工程款中扣除。</w:t>
      </w:r>
    </w:p>
    <w:p w14:paraId="1716ACA8">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16.8承包人承诺：无论总监理工程师对工程是否进行并通过了各项检验，均不解除承包人对其承包的工程的质量所负的任何责任，除非质量问题是由于非承包人责任原因引起，而此类质量问题承包人须及时通知总监理工程师。在采用承包人设计的施工图施工和由承包人自行采购的材料、设备时，设计和制造所引起的质量责任由承包人承担。</w:t>
      </w:r>
    </w:p>
    <w:p w14:paraId="0B27D193">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16.9承包人承诺：无论工程材料是采用甲供、甲招乙供、甲管乙供，还是乙供，均由承包人承担工程全面质量的责任。承包人应对各种材料按规范进行检查验收，拒绝不符合要求的材料用于工程。无论何种原因，出现不合格材料用于工程的情况，均由承包人承担应有的责任。</w:t>
      </w:r>
    </w:p>
    <w:p w14:paraId="3B254FE3">
      <w:pPr>
        <w:adjustRightInd w:val="0"/>
        <w:snapToGrid w:val="0"/>
        <w:spacing w:line="360" w:lineRule="auto"/>
        <w:ind w:right="11"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17、隐蔽工程和中间验收</w:t>
      </w:r>
    </w:p>
    <w:p w14:paraId="6D1AF46F">
      <w:pPr>
        <w:adjustRightInd w:val="0"/>
        <w:snapToGrid w:val="0"/>
        <w:spacing w:line="360" w:lineRule="auto"/>
        <w:ind w:right="11" w:firstLine="460" w:firstLineChars="192"/>
        <w:rPr>
          <w:rFonts w:hint="eastAsia" w:ascii="宋体" w:hAnsi="宋体" w:eastAsia="宋体" w:cs="宋体"/>
          <w:bCs/>
          <w:iCs/>
          <w:snapToGrid w:val="0"/>
          <w:color w:val="auto"/>
          <w:kern w:val="0"/>
          <w:sz w:val="24"/>
          <w:highlight w:val="none"/>
        </w:rPr>
      </w:pPr>
      <w:r>
        <w:rPr>
          <w:rFonts w:hint="eastAsia" w:ascii="宋体" w:hAnsi="宋体" w:eastAsia="宋体" w:cs="宋体"/>
          <w:bCs/>
          <w:snapToGrid w:val="0"/>
          <w:color w:val="auto"/>
          <w:kern w:val="0"/>
          <w:sz w:val="24"/>
          <w:highlight w:val="none"/>
        </w:rPr>
        <w:t>17.1双方约定，中间验收部位按</w:t>
      </w:r>
      <w:r>
        <w:rPr>
          <w:rFonts w:hint="eastAsia" w:ascii="宋体" w:hAnsi="宋体" w:eastAsia="宋体" w:cs="宋体"/>
          <w:bCs/>
          <w:snapToGrid w:val="0"/>
          <w:color w:val="auto"/>
          <w:kern w:val="0"/>
          <w:sz w:val="24"/>
          <w:highlight w:val="none"/>
          <w:lang w:eastAsia="zh-CN"/>
        </w:rPr>
        <w:t>“</w:t>
      </w:r>
      <w:r>
        <w:rPr>
          <w:rFonts w:hint="eastAsia" w:ascii="宋体" w:hAnsi="宋体" w:eastAsia="宋体" w:cs="宋体"/>
          <w:bCs/>
          <w:snapToGrid w:val="0"/>
          <w:color w:val="auto"/>
          <w:kern w:val="0"/>
          <w:sz w:val="24"/>
          <w:highlight w:val="none"/>
        </w:rPr>
        <w:t>穗建质监字[2009]64号文</w:t>
      </w:r>
      <w:r>
        <w:rPr>
          <w:rFonts w:hint="eastAsia" w:ascii="宋体" w:hAnsi="宋体" w:eastAsia="宋体" w:cs="宋体"/>
          <w:bCs/>
          <w:snapToGrid w:val="0"/>
          <w:color w:val="auto"/>
          <w:kern w:val="0"/>
          <w:sz w:val="24"/>
          <w:highlight w:val="none"/>
          <w:lang w:eastAsia="zh-CN"/>
        </w:rPr>
        <w:t>”</w:t>
      </w:r>
      <w:r>
        <w:rPr>
          <w:rFonts w:hint="eastAsia" w:ascii="宋体" w:hAnsi="宋体" w:eastAsia="宋体" w:cs="宋体"/>
          <w:bCs/>
          <w:snapToGrid w:val="0"/>
          <w:color w:val="auto"/>
          <w:kern w:val="0"/>
          <w:sz w:val="24"/>
          <w:highlight w:val="none"/>
        </w:rPr>
        <w:t>执行，验收程序按合同通用条款第17条执行。验收人员组成：发包人、监理单位、承包</w:t>
      </w:r>
      <w:r>
        <w:rPr>
          <w:rFonts w:hint="eastAsia" w:ascii="宋体" w:hAnsi="宋体" w:eastAsia="宋体" w:cs="宋体"/>
          <w:bCs/>
          <w:iCs/>
          <w:snapToGrid w:val="0"/>
          <w:color w:val="auto"/>
          <w:kern w:val="0"/>
          <w:sz w:val="24"/>
          <w:highlight w:val="none"/>
        </w:rPr>
        <w:t>人及其他有关单位。</w:t>
      </w:r>
    </w:p>
    <w:p w14:paraId="784E7105">
      <w:pPr>
        <w:adjustRightInd w:val="0"/>
        <w:snapToGrid w:val="0"/>
        <w:spacing w:line="360" w:lineRule="auto"/>
        <w:ind w:right="11" w:firstLine="463" w:firstLineChars="192"/>
        <w:rPr>
          <w:rFonts w:hint="eastAsia" w:ascii="宋体" w:hAnsi="宋体" w:eastAsia="宋体" w:cs="宋体"/>
          <w:bCs/>
          <w:snapToGrid w:val="0"/>
          <w:color w:val="auto"/>
          <w:kern w:val="0"/>
          <w:sz w:val="24"/>
          <w:highlight w:val="none"/>
        </w:rPr>
      </w:pPr>
      <w:r>
        <w:rPr>
          <w:rFonts w:hint="eastAsia" w:ascii="宋体" w:hAnsi="宋体" w:eastAsia="宋体" w:cs="宋体"/>
          <w:b/>
          <w:snapToGrid w:val="0"/>
          <w:color w:val="auto"/>
          <w:kern w:val="0"/>
          <w:sz w:val="24"/>
          <w:highlight w:val="none"/>
        </w:rPr>
        <w:t>承包人和发包人一致同意增加17.4、17.</w:t>
      </w:r>
      <w:r>
        <w:rPr>
          <w:rFonts w:hint="eastAsia" w:ascii="宋体" w:hAnsi="宋体" w:eastAsia="宋体" w:cs="宋体"/>
          <w:b/>
          <w:snapToGrid w:val="0"/>
          <w:color w:val="auto"/>
          <w:kern w:val="0"/>
          <w:sz w:val="24"/>
          <w:highlight w:val="none"/>
          <w:lang w:val="en-US" w:eastAsia="zh-CN"/>
        </w:rPr>
        <w:t>6</w:t>
      </w:r>
      <w:r>
        <w:rPr>
          <w:rFonts w:hint="eastAsia" w:ascii="宋体" w:hAnsi="宋体" w:eastAsia="宋体" w:cs="宋体"/>
          <w:b/>
          <w:snapToGrid w:val="0"/>
          <w:color w:val="auto"/>
          <w:kern w:val="0"/>
          <w:sz w:val="24"/>
          <w:highlight w:val="none"/>
        </w:rPr>
        <w:t>：</w:t>
      </w:r>
    </w:p>
    <w:p w14:paraId="58B7BD35">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bCs/>
          <w:snapToGrid w:val="0"/>
          <w:color w:val="auto"/>
          <w:kern w:val="0"/>
          <w:sz w:val="24"/>
          <w:highlight w:val="none"/>
        </w:rPr>
        <w:t>17.4</w:t>
      </w:r>
      <w:r>
        <w:rPr>
          <w:rFonts w:hint="eastAsia" w:ascii="宋体" w:hAnsi="宋体" w:eastAsia="宋体" w:cs="宋体"/>
          <w:snapToGrid w:val="0"/>
          <w:color w:val="auto"/>
          <w:kern w:val="0"/>
          <w:sz w:val="24"/>
          <w:highlight w:val="none"/>
        </w:rPr>
        <w:t>隐蔽工程或中间验收部位未经专业监理工程师验收合格，不得隐蔽或继续施工，否则该部分工程被视为不合格，由此所产生的返工费用由承包人承担。</w:t>
      </w:r>
    </w:p>
    <w:p w14:paraId="24AC71C9">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17.5承包人不得委托专业分包或劳务分包管理人员代为验收，监理工程师发现可不承认其完成自检，并可拒绝验收。</w:t>
      </w:r>
    </w:p>
    <w:p w14:paraId="5B2C2F80">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17.6 检验、试验、调试和验收</w:t>
      </w:r>
    </w:p>
    <w:p w14:paraId="73AC691E">
      <w:pPr>
        <w:widowControl/>
        <w:numPr>
          <w:ilvl w:val="-1"/>
          <w:numId w:val="0"/>
        </w:numPr>
        <w:wordWrap/>
        <w:adjustRightInd w:val="0"/>
        <w:snapToGrid w:val="0"/>
        <w:spacing w:line="360" w:lineRule="auto"/>
        <w:ind w:left="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val="en-US" w:eastAsia="zh-CN"/>
        </w:rPr>
        <w:t>17.6</w:t>
      </w:r>
      <w:r>
        <w:rPr>
          <w:rFonts w:hint="eastAsia" w:ascii="宋体" w:hAnsi="宋体" w:eastAsia="宋体" w:cs="宋体"/>
          <w:snapToGrid w:val="0"/>
          <w:color w:val="auto"/>
          <w:kern w:val="0"/>
          <w:sz w:val="24"/>
          <w:szCs w:val="20"/>
          <w:highlight w:val="none"/>
        </w:rPr>
        <w:t>.1 检验</w:t>
      </w:r>
    </w:p>
    <w:p w14:paraId="2EA4F838">
      <w:pPr>
        <w:widowControl/>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甲方或其指定代表有权在</w:t>
      </w:r>
      <w:r>
        <w:rPr>
          <w:rFonts w:hint="eastAsia" w:ascii="宋体" w:hAnsi="宋体" w:eastAsia="宋体" w:cs="宋体"/>
          <w:snapToGrid w:val="0"/>
          <w:color w:val="auto"/>
          <w:kern w:val="0"/>
          <w:sz w:val="24"/>
          <w:szCs w:val="20"/>
          <w:highlight w:val="none"/>
          <w:lang w:val="en-US" w:eastAsia="zh-CN"/>
        </w:rPr>
        <w:t>项目实施</w:t>
      </w:r>
      <w:r>
        <w:rPr>
          <w:rFonts w:hint="eastAsia" w:ascii="宋体" w:hAnsi="宋体" w:eastAsia="宋体" w:cs="宋体"/>
          <w:snapToGrid w:val="0"/>
          <w:color w:val="auto"/>
          <w:kern w:val="0"/>
          <w:sz w:val="24"/>
          <w:szCs w:val="20"/>
          <w:highlight w:val="none"/>
        </w:rPr>
        <w:t>过程中任何时间内到乙方（或设备供应商）的场所对设备的材料和工艺进行检查、检验和测试。乙方</w:t>
      </w:r>
      <w:r>
        <w:rPr>
          <w:rFonts w:hint="eastAsia" w:ascii="宋体" w:hAnsi="宋体" w:eastAsia="宋体" w:cs="宋体"/>
          <w:snapToGrid w:val="0"/>
          <w:color w:val="auto"/>
          <w:kern w:val="0"/>
          <w:sz w:val="24"/>
          <w:szCs w:val="20"/>
          <w:highlight w:val="none"/>
          <w:lang w:val="en-US" w:eastAsia="zh-CN"/>
        </w:rPr>
        <w:t>应</w:t>
      </w:r>
      <w:r>
        <w:rPr>
          <w:rFonts w:hint="eastAsia" w:ascii="宋体" w:hAnsi="宋体" w:eastAsia="宋体" w:cs="宋体"/>
          <w:snapToGrid w:val="0"/>
          <w:color w:val="auto"/>
          <w:kern w:val="0"/>
          <w:sz w:val="24"/>
          <w:szCs w:val="20"/>
          <w:highlight w:val="none"/>
        </w:rPr>
        <w:t>为此类质量检查活动提供便利。经质</w:t>
      </w:r>
      <w:r>
        <w:rPr>
          <w:rFonts w:hint="eastAsia" w:ascii="宋体" w:hAnsi="宋体" w:eastAsia="宋体" w:cs="宋体"/>
          <w:snapToGrid w:val="0"/>
          <w:color w:val="auto"/>
          <w:kern w:val="0"/>
          <w:sz w:val="24"/>
          <w:szCs w:val="20"/>
          <w:highlight w:val="none"/>
          <w:lang w:val="en-US" w:eastAsia="zh-CN"/>
        </w:rPr>
        <w:t>量</w:t>
      </w:r>
      <w:r>
        <w:rPr>
          <w:rFonts w:hint="eastAsia" w:ascii="宋体" w:hAnsi="宋体" w:eastAsia="宋体" w:cs="宋体"/>
          <w:snapToGrid w:val="0"/>
          <w:color w:val="auto"/>
          <w:kern w:val="0"/>
          <w:sz w:val="24"/>
          <w:szCs w:val="20"/>
          <w:highlight w:val="none"/>
        </w:rPr>
        <w:t>检</w:t>
      </w:r>
      <w:r>
        <w:rPr>
          <w:rFonts w:hint="eastAsia" w:ascii="宋体" w:hAnsi="宋体" w:eastAsia="宋体" w:cs="宋体"/>
          <w:snapToGrid w:val="0"/>
          <w:color w:val="auto"/>
          <w:kern w:val="0"/>
          <w:sz w:val="24"/>
          <w:szCs w:val="20"/>
          <w:highlight w:val="none"/>
          <w:lang w:val="en-US" w:eastAsia="zh-CN"/>
        </w:rPr>
        <w:t>查</w:t>
      </w:r>
      <w:r>
        <w:rPr>
          <w:rFonts w:hint="eastAsia" w:ascii="宋体" w:hAnsi="宋体" w:eastAsia="宋体" w:cs="宋体"/>
          <w:snapToGrid w:val="0"/>
          <w:color w:val="auto"/>
          <w:kern w:val="0"/>
          <w:sz w:val="24"/>
          <w:szCs w:val="20"/>
          <w:highlight w:val="none"/>
        </w:rPr>
        <w:t>发现因乙方原因引起的质量缺陷</w:t>
      </w:r>
      <w:r>
        <w:rPr>
          <w:rFonts w:hint="eastAsia" w:ascii="宋体" w:hAnsi="宋体" w:eastAsia="宋体" w:cs="宋体"/>
          <w:snapToGrid w:val="0"/>
          <w:color w:val="auto"/>
          <w:kern w:val="0"/>
          <w:sz w:val="24"/>
          <w:szCs w:val="20"/>
          <w:highlight w:val="none"/>
          <w:lang w:val="en-US" w:eastAsia="zh-CN"/>
        </w:rPr>
        <w:t>的</w:t>
      </w:r>
      <w:r>
        <w:rPr>
          <w:rFonts w:hint="eastAsia" w:ascii="宋体" w:hAnsi="宋体" w:eastAsia="宋体" w:cs="宋体"/>
          <w:snapToGrid w:val="0"/>
          <w:color w:val="auto"/>
          <w:kern w:val="0"/>
          <w:sz w:val="24"/>
          <w:szCs w:val="20"/>
          <w:highlight w:val="none"/>
        </w:rPr>
        <w:t>，甲方或其指定代表有权下达修复、暂停、拆除、返工、重新施工、更换等指令。由此增加的费用由乙方承担，使竣工日期延误</w:t>
      </w:r>
      <w:r>
        <w:rPr>
          <w:rFonts w:hint="eastAsia" w:ascii="宋体" w:hAnsi="宋体" w:eastAsia="宋体" w:cs="宋体"/>
          <w:snapToGrid w:val="0"/>
          <w:color w:val="auto"/>
          <w:kern w:val="0"/>
          <w:sz w:val="24"/>
          <w:szCs w:val="20"/>
          <w:highlight w:val="none"/>
          <w:lang w:val="en-US" w:eastAsia="zh-CN"/>
        </w:rPr>
        <w:t>的</w:t>
      </w:r>
      <w:r>
        <w:rPr>
          <w:rFonts w:hint="eastAsia" w:ascii="宋体" w:hAnsi="宋体" w:eastAsia="宋体" w:cs="宋体"/>
          <w:snapToGrid w:val="0"/>
          <w:color w:val="auto"/>
          <w:kern w:val="0"/>
          <w:sz w:val="24"/>
          <w:szCs w:val="20"/>
          <w:highlight w:val="none"/>
        </w:rPr>
        <w:t>，竣工日期不予延长。</w:t>
      </w:r>
      <w:r>
        <w:rPr>
          <w:rFonts w:hint="eastAsia" w:ascii="宋体" w:hAnsi="宋体" w:eastAsia="宋体" w:cs="宋体"/>
          <w:snapToGrid w:val="0"/>
          <w:color w:val="auto"/>
          <w:kern w:val="0"/>
          <w:sz w:val="24"/>
          <w:szCs w:val="20"/>
          <w:highlight w:val="none"/>
          <w:lang w:val="en-US" w:eastAsia="zh-CN"/>
        </w:rPr>
        <w:t>上述</w:t>
      </w:r>
      <w:r>
        <w:rPr>
          <w:rFonts w:hint="eastAsia" w:ascii="宋体" w:hAnsi="宋体" w:eastAsia="宋体" w:cs="宋体"/>
          <w:snapToGrid w:val="0"/>
          <w:color w:val="auto"/>
          <w:kern w:val="0"/>
          <w:sz w:val="24"/>
          <w:szCs w:val="20"/>
          <w:highlight w:val="none"/>
        </w:rPr>
        <w:t>检查、检验或测试并不免除乙方在</w:t>
      </w:r>
      <w:r>
        <w:rPr>
          <w:rFonts w:hint="eastAsia" w:ascii="宋体" w:hAnsi="宋体" w:eastAsia="宋体" w:cs="宋体"/>
          <w:snapToGrid w:val="0"/>
          <w:color w:val="auto"/>
          <w:kern w:val="0"/>
          <w:sz w:val="24"/>
          <w:szCs w:val="20"/>
          <w:highlight w:val="none"/>
          <w:lang w:val="en-US" w:eastAsia="zh-CN"/>
        </w:rPr>
        <w:t>本</w:t>
      </w:r>
      <w:r>
        <w:rPr>
          <w:rFonts w:hint="eastAsia" w:ascii="宋体" w:hAnsi="宋体" w:eastAsia="宋体" w:cs="宋体"/>
          <w:snapToGrid w:val="0"/>
          <w:color w:val="auto"/>
          <w:kern w:val="0"/>
          <w:sz w:val="24"/>
          <w:szCs w:val="20"/>
          <w:highlight w:val="none"/>
        </w:rPr>
        <w:t>合同</w:t>
      </w:r>
      <w:r>
        <w:rPr>
          <w:rFonts w:hint="eastAsia" w:ascii="宋体" w:hAnsi="宋体" w:eastAsia="宋体" w:cs="宋体"/>
          <w:snapToGrid w:val="0"/>
          <w:color w:val="auto"/>
          <w:kern w:val="0"/>
          <w:sz w:val="24"/>
          <w:szCs w:val="20"/>
          <w:highlight w:val="none"/>
          <w:lang w:val="en-US" w:eastAsia="zh-CN"/>
        </w:rPr>
        <w:t>内</w:t>
      </w:r>
      <w:r>
        <w:rPr>
          <w:rFonts w:hint="eastAsia" w:ascii="宋体" w:hAnsi="宋体" w:eastAsia="宋体" w:cs="宋体"/>
          <w:snapToGrid w:val="0"/>
          <w:color w:val="auto"/>
          <w:kern w:val="0"/>
          <w:sz w:val="24"/>
          <w:szCs w:val="20"/>
          <w:highlight w:val="none"/>
        </w:rPr>
        <w:t>的任何责任。</w:t>
      </w:r>
    </w:p>
    <w:p w14:paraId="278D4DDD">
      <w:pPr>
        <w:widowControl/>
        <w:numPr>
          <w:ilvl w:val="-1"/>
          <w:numId w:val="0"/>
        </w:numPr>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val="en-US" w:eastAsia="zh-CN"/>
        </w:rPr>
        <w:t xml:space="preserve">17.6.1.1 </w:t>
      </w:r>
      <w:r>
        <w:rPr>
          <w:rFonts w:hint="eastAsia" w:ascii="宋体" w:hAnsi="宋体" w:eastAsia="宋体" w:cs="宋体"/>
          <w:snapToGrid w:val="0"/>
          <w:color w:val="auto"/>
          <w:kern w:val="0"/>
          <w:sz w:val="24"/>
          <w:szCs w:val="20"/>
          <w:highlight w:val="none"/>
        </w:rPr>
        <w:t>重新进行质量检查</w:t>
      </w:r>
    </w:p>
    <w:p w14:paraId="4CF84638">
      <w:pPr>
        <w:widowControl/>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经质量检查合格的工程部位，甲方有权在不影响工程正常施工的条件下，重新进行质量检查。其检查、检验、检测、试验的结果不合格时，因此发生的费用由乙方承担，造成工程关键路径延误的，竣工日期不予延长。</w:t>
      </w:r>
    </w:p>
    <w:p w14:paraId="1697E2F9">
      <w:pPr>
        <w:widowControl/>
        <w:numPr>
          <w:ilvl w:val="-1"/>
          <w:numId w:val="0"/>
        </w:numPr>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val="en-US" w:eastAsia="zh-CN"/>
        </w:rPr>
        <w:t>17.6.1.2</w:t>
      </w:r>
      <w:r>
        <w:rPr>
          <w:rFonts w:hint="eastAsia" w:ascii="宋体" w:hAnsi="宋体" w:eastAsia="宋体" w:cs="宋体"/>
          <w:snapToGrid w:val="0"/>
          <w:color w:val="auto"/>
          <w:kern w:val="0"/>
          <w:sz w:val="24"/>
          <w:szCs w:val="20"/>
          <w:highlight w:val="none"/>
        </w:rPr>
        <w:t>乙方必须在主要设备计划进行有关测试</w:t>
      </w:r>
      <w:r>
        <w:rPr>
          <w:rFonts w:hint="eastAsia" w:ascii="宋体" w:hAnsi="宋体" w:eastAsia="宋体" w:cs="宋体"/>
          <w:snapToGrid w:val="0"/>
          <w:color w:val="auto"/>
          <w:kern w:val="0"/>
          <w:sz w:val="24"/>
          <w:szCs w:val="20"/>
          <w:highlight w:val="none"/>
          <w:lang w:val="en-US" w:eastAsia="zh-CN"/>
        </w:rPr>
        <w:t>的10天</w:t>
      </w:r>
      <w:r>
        <w:rPr>
          <w:rFonts w:hint="eastAsia" w:ascii="宋体" w:hAnsi="宋体" w:eastAsia="宋体" w:cs="宋体"/>
          <w:snapToGrid w:val="0"/>
          <w:color w:val="auto"/>
          <w:kern w:val="0"/>
          <w:sz w:val="24"/>
          <w:szCs w:val="20"/>
          <w:highlight w:val="none"/>
        </w:rPr>
        <w:t>前将测试计划提交甲方，以便各方有足够时间作必要安排。</w:t>
      </w:r>
    </w:p>
    <w:p w14:paraId="6E937740">
      <w:pPr>
        <w:widowControl/>
        <w:numPr>
          <w:ilvl w:val="-1"/>
          <w:numId w:val="0"/>
        </w:numPr>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val="en-US" w:eastAsia="zh-CN"/>
        </w:rPr>
        <w:t xml:space="preserve">17.6.1.3 </w:t>
      </w:r>
      <w:r>
        <w:rPr>
          <w:rFonts w:hint="eastAsia" w:ascii="宋体" w:hAnsi="宋体" w:eastAsia="宋体" w:cs="宋体"/>
          <w:snapToGrid w:val="0"/>
          <w:color w:val="auto"/>
          <w:kern w:val="0"/>
          <w:sz w:val="24"/>
          <w:szCs w:val="20"/>
          <w:highlight w:val="none"/>
        </w:rPr>
        <w:t>在设备的任何部分进行了检查、检验或测试后，甲方将</w:t>
      </w:r>
      <w:r>
        <w:rPr>
          <w:rFonts w:hint="eastAsia" w:ascii="宋体" w:hAnsi="宋体" w:eastAsia="宋体" w:cs="宋体"/>
          <w:snapToGrid w:val="0"/>
          <w:color w:val="auto"/>
          <w:kern w:val="0"/>
          <w:sz w:val="24"/>
          <w:szCs w:val="20"/>
          <w:highlight w:val="none"/>
          <w:lang w:val="en-US" w:eastAsia="zh-CN"/>
        </w:rPr>
        <w:t>判</w:t>
      </w:r>
      <w:r>
        <w:rPr>
          <w:rFonts w:hint="eastAsia" w:ascii="宋体" w:hAnsi="宋体" w:eastAsia="宋体" w:cs="宋体"/>
          <w:snapToGrid w:val="0"/>
          <w:color w:val="auto"/>
          <w:kern w:val="0"/>
          <w:sz w:val="24"/>
          <w:szCs w:val="20"/>
          <w:highlight w:val="none"/>
        </w:rPr>
        <w:t>定该设备是否有缺陷，或是否符合合同</w:t>
      </w:r>
      <w:r>
        <w:rPr>
          <w:rFonts w:hint="eastAsia" w:ascii="宋体" w:hAnsi="宋体" w:eastAsia="宋体" w:cs="宋体"/>
          <w:snapToGrid w:val="0"/>
          <w:color w:val="auto"/>
          <w:kern w:val="0"/>
          <w:sz w:val="24"/>
          <w:szCs w:val="20"/>
          <w:highlight w:val="none"/>
          <w:lang w:val="en-US" w:eastAsia="zh-CN"/>
        </w:rPr>
        <w:t>要求</w:t>
      </w:r>
      <w:r>
        <w:rPr>
          <w:rFonts w:hint="eastAsia" w:ascii="宋体" w:hAnsi="宋体" w:eastAsia="宋体" w:cs="宋体"/>
          <w:snapToGrid w:val="0"/>
          <w:color w:val="auto"/>
          <w:kern w:val="0"/>
          <w:sz w:val="24"/>
          <w:szCs w:val="20"/>
          <w:highlight w:val="none"/>
        </w:rPr>
        <w:t>，如</w:t>
      </w:r>
      <w:r>
        <w:rPr>
          <w:rFonts w:hint="eastAsia" w:ascii="宋体" w:hAnsi="宋体" w:eastAsia="宋体" w:cs="宋体"/>
          <w:snapToGrid w:val="0"/>
          <w:color w:val="auto"/>
          <w:kern w:val="0"/>
          <w:sz w:val="24"/>
          <w:szCs w:val="20"/>
          <w:highlight w:val="none"/>
          <w:lang w:val="en-US" w:eastAsia="zh-CN"/>
        </w:rPr>
        <w:t>被判定</w:t>
      </w:r>
      <w:r>
        <w:rPr>
          <w:rFonts w:hint="eastAsia" w:ascii="宋体" w:hAnsi="宋体" w:eastAsia="宋体" w:cs="宋体"/>
          <w:snapToGrid w:val="0"/>
          <w:color w:val="auto"/>
          <w:kern w:val="0"/>
          <w:sz w:val="24"/>
          <w:szCs w:val="20"/>
          <w:highlight w:val="none"/>
        </w:rPr>
        <w:t>为有缺陷或不符合合同</w:t>
      </w:r>
      <w:r>
        <w:rPr>
          <w:rFonts w:hint="eastAsia" w:ascii="宋体" w:hAnsi="宋体" w:eastAsia="宋体" w:cs="宋体"/>
          <w:snapToGrid w:val="0"/>
          <w:color w:val="auto"/>
          <w:kern w:val="0"/>
          <w:sz w:val="24"/>
          <w:szCs w:val="20"/>
          <w:highlight w:val="none"/>
          <w:lang w:val="en-US" w:eastAsia="zh-CN"/>
        </w:rPr>
        <w:t>要求的</w:t>
      </w:r>
      <w:r>
        <w:rPr>
          <w:rFonts w:hint="eastAsia" w:ascii="宋体" w:hAnsi="宋体" w:eastAsia="宋体" w:cs="宋体"/>
          <w:snapToGrid w:val="0"/>
          <w:color w:val="auto"/>
          <w:kern w:val="0"/>
          <w:sz w:val="24"/>
          <w:szCs w:val="20"/>
          <w:highlight w:val="none"/>
        </w:rPr>
        <w:t>，甲方应在合理的时间内向乙方发出书面通知。</w:t>
      </w:r>
    </w:p>
    <w:p w14:paraId="1C7DADAD">
      <w:pPr>
        <w:widowControl/>
        <w:numPr>
          <w:ilvl w:val="-1"/>
          <w:numId w:val="0"/>
        </w:numPr>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val="en-US" w:eastAsia="zh-CN"/>
        </w:rPr>
        <w:t xml:space="preserve">17.6.1.4 </w:t>
      </w:r>
      <w:r>
        <w:rPr>
          <w:rFonts w:hint="eastAsia" w:ascii="宋体" w:hAnsi="宋体" w:eastAsia="宋体" w:cs="宋体"/>
          <w:snapToGrid w:val="0"/>
          <w:color w:val="auto"/>
          <w:kern w:val="0"/>
          <w:sz w:val="24"/>
          <w:szCs w:val="20"/>
          <w:highlight w:val="none"/>
        </w:rPr>
        <w:t>如设备的任何部分未能通过本条款所述的检查、检验或测试、或者根据上述第1</w:t>
      </w:r>
      <w:r>
        <w:rPr>
          <w:rFonts w:hint="eastAsia" w:ascii="宋体" w:hAnsi="宋体" w:eastAsia="宋体" w:cs="宋体"/>
          <w:snapToGrid w:val="0"/>
          <w:color w:val="auto"/>
          <w:kern w:val="0"/>
          <w:sz w:val="24"/>
          <w:szCs w:val="20"/>
          <w:highlight w:val="none"/>
          <w:lang w:val="en-US" w:eastAsia="zh-CN"/>
        </w:rPr>
        <w:t>7.6</w:t>
      </w:r>
      <w:r>
        <w:rPr>
          <w:rFonts w:hint="eastAsia" w:ascii="宋体" w:hAnsi="宋体" w:eastAsia="宋体" w:cs="宋体"/>
          <w:snapToGrid w:val="0"/>
          <w:color w:val="auto"/>
          <w:kern w:val="0"/>
          <w:sz w:val="24"/>
          <w:szCs w:val="20"/>
          <w:highlight w:val="none"/>
        </w:rPr>
        <w:t>.1.3</w:t>
      </w:r>
      <w:r>
        <w:rPr>
          <w:rFonts w:hint="eastAsia" w:ascii="宋体" w:hAnsi="宋体" w:eastAsia="宋体" w:cs="宋体"/>
          <w:snapToGrid w:val="0"/>
          <w:color w:val="auto"/>
          <w:kern w:val="0"/>
          <w:sz w:val="24"/>
          <w:szCs w:val="20"/>
          <w:highlight w:val="none"/>
          <w:lang w:val="en-US" w:eastAsia="zh-CN"/>
        </w:rPr>
        <w:t>款经</w:t>
      </w:r>
      <w:r>
        <w:rPr>
          <w:rFonts w:hint="eastAsia" w:ascii="宋体" w:hAnsi="宋体" w:eastAsia="宋体" w:cs="宋体"/>
          <w:snapToGrid w:val="0"/>
          <w:color w:val="auto"/>
          <w:kern w:val="0"/>
          <w:sz w:val="24"/>
          <w:szCs w:val="20"/>
          <w:highlight w:val="none"/>
        </w:rPr>
        <w:t>甲方</w:t>
      </w:r>
      <w:r>
        <w:rPr>
          <w:rFonts w:hint="eastAsia" w:ascii="宋体" w:hAnsi="宋体" w:eastAsia="宋体" w:cs="宋体"/>
          <w:snapToGrid w:val="0"/>
          <w:color w:val="auto"/>
          <w:kern w:val="0"/>
          <w:sz w:val="24"/>
          <w:szCs w:val="20"/>
          <w:highlight w:val="none"/>
          <w:lang w:val="en-US" w:eastAsia="zh-CN"/>
        </w:rPr>
        <w:t>判定</w:t>
      </w:r>
      <w:r>
        <w:rPr>
          <w:rFonts w:hint="eastAsia" w:ascii="宋体" w:hAnsi="宋体" w:eastAsia="宋体" w:cs="宋体"/>
          <w:snapToGrid w:val="0"/>
          <w:color w:val="auto"/>
          <w:kern w:val="0"/>
          <w:sz w:val="24"/>
          <w:szCs w:val="20"/>
          <w:highlight w:val="none"/>
        </w:rPr>
        <w:t>其有缺陷或不符合合同</w:t>
      </w:r>
      <w:r>
        <w:rPr>
          <w:rFonts w:hint="eastAsia" w:ascii="宋体" w:hAnsi="宋体" w:eastAsia="宋体" w:cs="宋体"/>
          <w:snapToGrid w:val="0"/>
          <w:color w:val="auto"/>
          <w:kern w:val="0"/>
          <w:sz w:val="24"/>
          <w:szCs w:val="20"/>
          <w:highlight w:val="none"/>
          <w:lang w:val="en-US" w:eastAsia="zh-CN"/>
        </w:rPr>
        <w:t>要求的</w:t>
      </w:r>
      <w:r>
        <w:rPr>
          <w:rFonts w:hint="eastAsia" w:ascii="宋体" w:hAnsi="宋体" w:eastAsia="宋体" w:cs="宋体"/>
          <w:snapToGrid w:val="0"/>
          <w:color w:val="auto"/>
          <w:kern w:val="0"/>
          <w:sz w:val="24"/>
          <w:szCs w:val="20"/>
          <w:highlight w:val="none"/>
        </w:rPr>
        <w:t>，乙方应立即</w:t>
      </w:r>
      <w:r>
        <w:rPr>
          <w:rFonts w:hint="eastAsia" w:ascii="宋体" w:hAnsi="宋体" w:eastAsia="宋体" w:cs="宋体"/>
          <w:snapToGrid w:val="0"/>
          <w:color w:val="auto"/>
          <w:kern w:val="0"/>
          <w:sz w:val="24"/>
          <w:szCs w:val="20"/>
          <w:highlight w:val="none"/>
          <w:lang w:val="en-US" w:eastAsia="zh-CN"/>
        </w:rPr>
        <w:t>负责</w:t>
      </w:r>
      <w:r>
        <w:rPr>
          <w:rFonts w:hint="eastAsia" w:ascii="宋体" w:hAnsi="宋体" w:eastAsia="宋体" w:cs="宋体"/>
          <w:snapToGrid w:val="0"/>
          <w:color w:val="auto"/>
          <w:kern w:val="0"/>
          <w:sz w:val="24"/>
          <w:szCs w:val="20"/>
          <w:highlight w:val="none"/>
        </w:rPr>
        <w:t>修复该缺陷，并在合理的时间内根据同样的条款</w:t>
      </w:r>
      <w:r>
        <w:rPr>
          <w:rFonts w:hint="eastAsia" w:ascii="宋体" w:hAnsi="宋体" w:eastAsia="宋体" w:cs="宋体"/>
          <w:snapToGrid w:val="0"/>
          <w:color w:val="auto"/>
          <w:kern w:val="0"/>
          <w:sz w:val="24"/>
          <w:szCs w:val="20"/>
          <w:highlight w:val="none"/>
          <w:lang w:val="en-US" w:eastAsia="zh-CN"/>
        </w:rPr>
        <w:t>要求</w:t>
      </w:r>
      <w:r>
        <w:rPr>
          <w:rFonts w:hint="eastAsia" w:ascii="宋体" w:hAnsi="宋体" w:eastAsia="宋体" w:cs="宋体"/>
          <w:snapToGrid w:val="0"/>
          <w:color w:val="auto"/>
          <w:kern w:val="0"/>
          <w:sz w:val="24"/>
          <w:szCs w:val="20"/>
          <w:highlight w:val="none"/>
        </w:rPr>
        <w:t>和条件重新组织检查、检验及测试，费用由乙方</w:t>
      </w:r>
      <w:r>
        <w:rPr>
          <w:rFonts w:hint="eastAsia" w:ascii="宋体" w:hAnsi="宋体" w:eastAsia="宋体" w:cs="宋体"/>
          <w:snapToGrid w:val="0"/>
          <w:color w:val="auto"/>
          <w:kern w:val="0"/>
          <w:sz w:val="24"/>
          <w:szCs w:val="20"/>
          <w:highlight w:val="none"/>
          <w:lang w:val="en-US" w:eastAsia="zh-CN"/>
        </w:rPr>
        <w:t>自行</w:t>
      </w:r>
      <w:r>
        <w:rPr>
          <w:rFonts w:hint="eastAsia" w:ascii="宋体" w:hAnsi="宋体" w:eastAsia="宋体" w:cs="宋体"/>
          <w:snapToGrid w:val="0"/>
          <w:color w:val="auto"/>
          <w:kern w:val="0"/>
          <w:sz w:val="24"/>
          <w:szCs w:val="20"/>
          <w:highlight w:val="none"/>
        </w:rPr>
        <w:t>承担，且不得影响工期。</w:t>
      </w:r>
    </w:p>
    <w:p w14:paraId="6CFF1412">
      <w:pPr>
        <w:widowControl/>
        <w:numPr>
          <w:ilvl w:val="-1"/>
          <w:numId w:val="0"/>
        </w:numPr>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val="en-US" w:eastAsia="zh-CN"/>
        </w:rPr>
        <w:t xml:space="preserve">17.6.1.5 </w:t>
      </w:r>
      <w:r>
        <w:rPr>
          <w:rFonts w:hint="eastAsia" w:ascii="宋体" w:hAnsi="宋体" w:eastAsia="宋体" w:cs="宋体"/>
          <w:snapToGrid w:val="0"/>
          <w:color w:val="auto"/>
          <w:kern w:val="0"/>
          <w:sz w:val="24"/>
          <w:szCs w:val="20"/>
          <w:highlight w:val="none"/>
        </w:rPr>
        <w:t>乙方负责将光伏组件送</w:t>
      </w:r>
      <w:r>
        <w:rPr>
          <w:rFonts w:hint="eastAsia" w:ascii="宋体" w:hAnsi="宋体" w:eastAsia="宋体" w:cs="宋体"/>
          <w:snapToGrid w:val="0"/>
          <w:color w:val="auto"/>
          <w:kern w:val="0"/>
          <w:sz w:val="24"/>
          <w:szCs w:val="20"/>
          <w:highlight w:val="none"/>
          <w:lang w:val="en-US" w:eastAsia="zh-CN"/>
        </w:rPr>
        <w:t>交</w:t>
      </w:r>
      <w:r>
        <w:rPr>
          <w:rFonts w:hint="eastAsia" w:ascii="宋体" w:hAnsi="宋体" w:eastAsia="宋体" w:cs="宋体"/>
          <w:snapToGrid w:val="0"/>
          <w:color w:val="auto"/>
          <w:kern w:val="0"/>
          <w:sz w:val="24"/>
          <w:szCs w:val="20"/>
          <w:highlight w:val="none"/>
        </w:rPr>
        <w:t>甲方指定的第三方试验机构进行性能检测，检测范围和内容由甲方确定，检测采用抽检方式，具体详见</w:t>
      </w:r>
      <w:r>
        <w:rPr>
          <w:rFonts w:hint="eastAsia" w:ascii="宋体" w:hAnsi="宋体" w:eastAsia="宋体" w:cs="宋体"/>
          <w:snapToGrid w:val="0"/>
          <w:color w:val="auto"/>
          <w:kern w:val="0"/>
          <w:sz w:val="24"/>
          <w:szCs w:val="20"/>
          <w:highlight w:val="none"/>
          <w:lang w:val="en-US" w:eastAsia="zh-CN"/>
        </w:rPr>
        <w:t>发包人要求及合同约定</w:t>
      </w:r>
      <w:r>
        <w:rPr>
          <w:rFonts w:hint="eastAsia" w:ascii="宋体" w:hAnsi="宋体" w:eastAsia="宋体" w:cs="宋体"/>
          <w:snapToGrid w:val="0"/>
          <w:color w:val="auto"/>
          <w:kern w:val="0"/>
          <w:sz w:val="24"/>
          <w:szCs w:val="20"/>
          <w:highlight w:val="none"/>
        </w:rPr>
        <w:t>，甲乙双方应对检测方法和检测结果予以</w:t>
      </w:r>
      <w:r>
        <w:rPr>
          <w:rFonts w:hint="eastAsia" w:ascii="宋体" w:hAnsi="宋体" w:eastAsia="宋体" w:cs="宋体"/>
          <w:snapToGrid w:val="0"/>
          <w:color w:val="auto"/>
          <w:kern w:val="0"/>
          <w:sz w:val="24"/>
          <w:szCs w:val="20"/>
          <w:highlight w:val="none"/>
          <w:lang w:val="en-US" w:eastAsia="zh-CN"/>
        </w:rPr>
        <w:t>确</w:t>
      </w:r>
      <w:r>
        <w:rPr>
          <w:rFonts w:hint="eastAsia" w:ascii="宋体" w:hAnsi="宋体" w:eastAsia="宋体" w:cs="宋体"/>
          <w:snapToGrid w:val="0"/>
          <w:color w:val="auto"/>
          <w:kern w:val="0"/>
          <w:sz w:val="24"/>
          <w:szCs w:val="20"/>
          <w:highlight w:val="none"/>
        </w:rPr>
        <w:t>认，</w:t>
      </w:r>
      <w:r>
        <w:rPr>
          <w:rFonts w:hint="eastAsia" w:ascii="宋体" w:hAnsi="宋体" w:eastAsia="宋体" w:cs="宋体"/>
          <w:snapToGrid w:val="0"/>
          <w:color w:val="auto"/>
          <w:kern w:val="0"/>
          <w:sz w:val="24"/>
          <w:szCs w:val="20"/>
          <w:highlight w:val="none"/>
          <w:lang w:val="en-US" w:eastAsia="zh-CN"/>
        </w:rPr>
        <w:t>相关费用已</w:t>
      </w:r>
      <w:r>
        <w:rPr>
          <w:rFonts w:hint="eastAsia" w:ascii="宋体" w:hAnsi="宋体" w:eastAsia="宋体" w:cs="宋体"/>
          <w:snapToGrid w:val="0"/>
          <w:color w:val="auto"/>
          <w:kern w:val="0"/>
          <w:sz w:val="24"/>
          <w:szCs w:val="20"/>
          <w:highlight w:val="none"/>
        </w:rPr>
        <w:t>包含在合同价中</w:t>
      </w:r>
      <w:r>
        <w:rPr>
          <w:rFonts w:hint="eastAsia" w:ascii="宋体" w:hAnsi="宋体" w:eastAsia="宋体" w:cs="宋体"/>
          <w:snapToGrid w:val="0"/>
          <w:color w:val="auto"/>
          <w:kern w:val="0"/>
          <w:sz w:val="24"/>
          <w:szCs w:val="20"/>
          <w:highlight w:val="none"/>
          <w:lang w:eastAsia="zh-CN"/>
        </w:rPr>
        <w:t>，</w:t>
      </w:r>
      <w:r>
        <w:rPr>
          <w:rFonts w:hint="eastAsia" w:ascii="宋体" w:hAnsi="宋体" w:eastAsia="宋体" w:cs="宋体"/>
          <w:snapToGrid w:val="0"/>
          <w:color w:val="auto"/>
          <w:kern w:val="0"/>
          <w:sz w:val="24"/>
          <w:szCs w:val="20"/>
          <w:highlight w:val="none"/>
          <w:lang w:val="en-US" w:eastAsia="zh-CN"/>
        </w:rPr>
        <w:t>不另外</w:t>
      </w:r>
      <w:r>
        <w:rPr>
          <w:rFonts w:hint="eastAsia" w:ascii="宋体" w:hAnsi="宋体" w:eastAsia="宋体" w:cs="宋体"/>
          <w:snapToGrid w:val="0"/>
          <w:color w:val="auto"/>
          <w:kern w:val="0"/>
          <w:sz w:val="24"/>
          <w:szCs w:val="20"/>
          <w:highlight w:val="none"/>
        </w:rPr>
        <w:t>支付。</w:t>
      </w:r>
    </w:p>
    <w:p w14:paraId="5D556B4E">
      <w:pPr>
        <w:widowControl/>
        <w:numPr>
          <w:ilvl w:val="-1"/>
          <w:numId w:val="0"/>
        </w:numPr>
        <w:wordWrap/>
        <w:adjustRightInd w:val="0"/>
        <w:snapToGrid w:val="0"/>
        <w:spacing w:line="360" w:lineRule="auto"/>
        <w:ind w:left="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val="en-US" w:eastAsia="zh-CN"/>
        </w:rPr>
        <w:t xml:space="preserve">17.6.2 </w:t>
      </w:r>
      <w:r>
        <w:rPr>
          <w:rFonts w:hint="eastAsia" w:ascii="宋体" w:hAnsi="宋体" w:eastAsia="宋体" w:cs="宋体"/>
          <w:snapToGrid w:val="0"/>
          <w:color w:val="auto"/>
          <w:kern w:val="0"/>
          <w:sz w:val="24"/>
          <w:szCs w:val="20"/>
          <w:highlight w:val="none"/>
        </w:rPr>
        <w:t>机电设备完工，整体启动及调试</w:t>
      </w:r>
    </w:p>
    <w:p w14:paraId="27703D31">
      <w:pPr>
        <w:widowControl/>
        <w:numPr>
          <w:ilvl w:val="-1"/>
          <w:numId w:val="0"/>
        </w:numPr>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val="en-US" w:eastAsia="zh-CN"/>
        </w:rPr>
        <w:t xml:space="preserve">17.6.2.1 </w:t>
      </w:r>
      <w:r>
        <w:rPr>
          <w:rFonts w:hint="eastAsia" w:ascii="宋体" w:hAnsi="宋体" w:eastAsia="宋体" w:cs="宋体"/>
          <w:snapToGrid w:val="0"/>
          <w:color w:val="auto"/>
          <w:kern w:val="0"/>
          <w:sz w:val="24"/>
          <w:szCs w:val="20"/>
          <w:highlight w:val="none"/>
        </w:rPr>
        <w:t>满足以下所有条件</w:t>
      </w:r>
      <w:r>
        <w:rPr>
          <w:rFonts w:hint="eastAsia" w:ascii="宋体" w:hAnsi="宋体" w:eastAsia="宋体" w:cs="宋体"/>
          <w:snapToGrid w:val="0"/>
          <w:color w:val="auto"/>
          <w:kern w:val="0"/>
          <w:sz w:val="24"/>
          <w:szCs w:val="20"/>
          <w:highlight w:val="none"/>
          <w:lang w:val="en-US" w:eastAsia="zh-CN"/>
        </w:rPr>
        <w:t>后可认定为</w:t>
      </w:r>
      <w:r>
        <w:rPr>
          <w:rFonts w:hint="eastAsia" w:ascii="宋体" w:hAnsi="宋体" w:eastAsia="宋体" w:cs="宋体"/>
          <w:snapToGrid w:val="0"/>
          <w:color w:val="auto"/>
          <w:kern w:val="0"/>
          <w:sz w:val="24"/>
          <w:szCs w:val="20"/>
          <w:highlight w:val="none"/>
        </w:rPr>
        <w:t>机电设备完工：</w:t>
      </w:r>
    </w:p>
    <w:p w14:paraId="1D92533E">
      <w:pPr>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（A）合同项下</w:t>
      </w:r>
      <w:r>
        <w:rPr>
          <w:rFonts w:hint="eastAsia" w:ascii="宋体" w:hAnsi="宋体" w:eastAsia="宋体" w:cs="宋体"/>
          <w:snapToGrid w:val="0"/>
          <w:color w:val="auto"/>
          <w:kern w:val="0"/>
          <w:sz w:val="24"/>
          <w:szCs w:val="20"/>
          <w:highlight w:val="none"/>
          <w:lang w:val="en-US" w:eastAsia="zh-CN"/>
        </w:rPr>
        <w:t>所有</w:t>
      </w:r>
      <w:r>
        <w:rPr>
          <w:rFonts w:hint="eastAsia" w:ascii="宋体" w:hAnsi="宋体" w:eastAsia="宋体" w:cs="宋体"/>
          <w:snapToGrid w:val="0"/>
          <w:color w:val="auto"/>
          <w:kern w:val="0"/>
          <w:sz w:val="24"/>
          <w:szCs w:val="20"/>
          <w:highlight w:val="none"/>
        </w:rPr>
        <w:t>永久性元件和系统</w:t>
      </w:r>
      <w:r>
        <w:rPr>
          <w:rFonts w:hint="eastAsia" w:ascii="宋体" w:hAnsi="宋体" w:eastAsia="宋体" w:cs="宋体"/>
          <w:snapToGrid w:val="0"/>
          <w:color w:val="auto"/>
          <w:kern w:val="0"/>
          <w:sz w:val="24"/>
          <w:szCs w:val="20"/>
          <w:highlight w:val="none"/>
          <w:lang w:val="en-US" w:eastAsia="zh-CN"/>
        </w:rPr>
        <w:t>达成以下条件：</w:t>
      </w:r>
      <w:r>
        <w:rPr>
          <w:rFonts w:hint="eastAsia" w:ascii="宋体" w:hAnsi="宋体" w:eastAsia="宋体" w:cs="宋体"/>
          <w:snapToGrid w:val="0"/>
          <w:color w:val="auto"/>
          <w:kern w:val="0"/>
          <w:sz w:val="24"/>
          <w:szCs w:val="20"/>
          <w:highlight w:val="none"/>
        </w:rPr>
        <w:t>a）按合同有关要求建成或</w:t>
      </w:r>
      <w:r>
        <w:rPr>
          <w:rFonts w:hint="eastAsia" w:ascii="宋体" w:hAnsi="宋体" w:eastAsia="宋体" w:cs="宋体"/>
          <w:snapToGrid w:val="0"/>
          <w:color w:val="auto"/>
          <w:kern w:val="0"/>
          <w:sz w:val="24"/>
          <w:szCs w:val="20"/>
          <w:highlight w:val="none"/>
          <w:lang w:val="en-US" w:eastAsia="zh-CN"/>
        </w:rPr>
        <w:t>完成</w:t>
      </w:r>
      <w:r>
        <w:rPr>
          <w:rFonts w:hint="eastAsia" w:ascii="宋体" w:hAnsi="宋体" w:eastAsia="宋体" w:cs="宋体"/>
          <w:snapToGrid w:val="0"/>
          <w:color w:val="auto"/>
          <w:kern w:val="0"/>
          <w:sz w:val="24"/>
          <w:szCs w:val="20"/>
          <w:highlight w:val="none"/>
        </w:rPr>
        <w:t>安装；b）被校正、清理、清洗和测试；c）按</w:t>
      </w:r>
      <w:r>
        <w:rPr>
          <w:rFonts w:hint="eastAsia" w:ascii="宋体" w:hAnsi="宋体" w:eastAsia="宋体" w:cs="宋体"/>
          <w:snapToGrid w:val="0"/>
          <w:color w:val="auto"/>
          <w:kern w:val="0"/>
          <w:sz w:val="24"/>
          <w:szCs w:val="20"/>
          <w:highlight w:val="none"/>
          <w:lang w:val="en-US" w:eastAsia="zh-CN"/>
        </w:rPr>
        <w:t>发包人要求及合同</w:t>
      </w:r>
      <w:r>
        <w:rPr>
          <w:rFonts w:hint="eastAsia" w:ascii="宋体" w:hAnsi="宋体" w:eastAsia="宋体" w:cs="宋体"/>
          <w:snapToGrid w:val="0"/>
          <w:color w:val="auto"/>
          <w:kern w:val="0"/>
          <w:sz w:val="24"/>
          <w:szCs w:val="20"/>
          <w:highlight w:val="none"/>
        </w:rPr>
        <w:t>规定的标准对本系统进行</w:t>
      </w:r>
      <w:r>
        <w:rPr>
          <w:rFonts w:hint="eastAsia" w:ascii="宋体" w:hAnsi="宋体" w:eastAsia="宋体" w:cs="宋体"/>
          <w:snapToGrid w:val="0"/>
          <w:color w:val="auto"/>
          <w:kern w:val="0"/>
          <w:sz w:val="24"/>
          <w:szCs w:val="20"/>
          <w:highlight w:val="none"/>
          <w:lang w:val="en-US" w:eastAsia="zh-CN"/>
        </w:rPr>
        <w:t>并完成</w:t>
      </w:r>
      <w:r>
        <w:rPr>
          <w:rFonts w:hint="eastAsia" w:ascii="宋体" w:hAnsi="宋体" w:eastAsia="宋体" w:cs="宋体"/>
          <w:snapToGrid w:val="0"/>
          <w:color w:val="auto"/>
          <w:kern w:val="0"/>
          <w:sz w:val="24"/>
          <w:szCs w:val="20"/>
          <w:highlight w:val="none"/>
        </w:rPr>
        <w:t>试运行；d）</w:t>
      </w:r>
      <w:r>
        <w:rPr>
          <w:rFonts w:hint="eastAsia" w:ascii="宋体" w:hAnsi="宋体" w:eastAsia="宋体" w:cs="宋体"/>
          <w:snapToGrid w:val="0"/>
          <w:color w:val="auto"/>
          <w:kern w:val="0"/>
          <w:sz w:val="24"/>
          <w:szCs w:val="20"/>
          <w:highlight w:val="none"/>
          <w:lang w:val="en-US" w:eastAsia="zh-CN"/>
        </w:rPr>
        <w:t>成</w:t>
      </w:r>
      <w:r>
        <w:rPr>
          <w:rFonts w:hint="eastAsia" w:ascii="宋体" w:hAnsi="宋体" w:eastAsia="宋体" w:cs="宋体"/>
          <w:snapToGrid w:val="0"/>
          <w:color w:val="auto"/>
          <w:kern w:val="0"/>
          <w:sz w:val="24"/>
          <w:szCs w:val="20"/>
          <w:highlight w:val="none"/>
        </w:rPr>
        <w:t>为本系统启动正常要求的一部分；</w:t>
      </w:r>
    </w:p>
    <w:p w14:paraId="5944EF58">
      <w:pPr>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（B）乙方已经按</w:t>
      </w:r>
      <w:r>
        <w:rPr>
          <w:rFonts w:hint="eastAsia" w:ascii="宋体" w:hAnsi="宋体" w:eastAsia="宋体" w:cs="宋体"/>
          <w:snapToGrid w:val="0"/>
          <w:color w:val="auto"/>
          <w:kern w:val="0"/>
          <w:sz w:val="24"/>
          <w:szCs w:val="20"/>
          <w:highlight w:val="none"/>
          <w:lang w:val="en-US" w:eastAsia="zh-CN"/>
        </w:rPr>
        <w:t>发包人要求及合同约定确保本</w:t>
      </w:r>
      <w:r>
        <w:rPr>
          <w:rFonts w:hint="eastAsia" w:ascii="宋体" w:hAnsi="宋体" w:eastAsia="宋体" w:cs="宋体"/>
          <w:snapToGrid w:val="0"/>
          <w:color w:val="auto"/>
          <w:kern w:val="0"/>
          <w:sz w:val="24"/>
          <w:szCs w:val="20"/>
          <w:highlight w:val="none"/>
        </w:rPr>
        <w:t>合同项下所有设备和材料有能力按照适用法律、合同附件、良好的行业规范和运行手册的规定安全运行。</w:t>
      </w:r>
    </w:p>
    <w:p w14:paraId="53112847">
      <w:pPr>
        <w:widowControl/>
        <w:numPr>
          <w:ilvl w:val="-1"/>
          <w:numId w:val="0"/>
        </w:numPr>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val="en-US" w:eastAsia="zh-CN"/>
        </w:rPr>
        <w:t xml:space="preserve">17.6.2.2 </w:t>
      </w:r>
      <w:r>
        <w:rPr>
          <w:rFonts w:hint="eastAsia" w:ascii="宋体" w:hAnsi="宋体" w:eastAsia="宋体" w:cs="宋体"/>
          <w:snapToGrid w:val="0"/>
          <w:color w:val="auto"/>
          <w:kern w:val="0"/>
          <w:sz w:val="24"/>
          <w:szCs w:val="20"/>
          <w:highlight w:val="none"/>
        </w:rPr>
        <w:t>机电设备完工后7天</w:t>
      </w:r>
      <w:r>
        <w:rPr>
          <w:rFonts w:hint="eastAsia" w:ascii="宋体" w:hAnsi="宋体" w:eastAsia="宋体" w:cs="宋体"/>
          <w:snapToGrid w:val="0"/>
          <w:color w:val="auto"/>
          <w:kern w:val="0"/>
          <w:sz w:val="24"/>
          <w:szCs w:val="20"/>
          <w:highlight w:val="none"/>
          <w:lang w:val="en-US" w:eastAsia="zh-CN"/>
        </w:rPr>
        <w:t>内</w:t>
      </w:r>
      <w:r>
        <w:rPr>
          <w:rFonts w:hint="eastAsia" w:ascii="宋体" w:hAnsi="宋体" w:eastAsia="宋体" w:cs="宋体"/>
          <w:snapToGrid w:val="0"/>
          <w:color w:val="auto"/>
          <w:kern w:val="0"/>
          <w:sz w:val="24"/>
          <w:szCs w:val="20"/>
          <w:highlight w:val="none"/>
        </w:rPr>
        <w:t>，</w:t>
      </w:r>
      <w:r>
        <w:rPr>
          <w:rFonts w:hint="eastAsia" w:ascii="宋体" w:hAnsi="宋体" w:eastAsia="宋体" w:cs="宋体"/>
          <w:snapToGrid w:val="0"/>
          <w:color w:val="auto"/>
          <w:kern w:val="0"/>
          <w:sz w:val="24"/>
          <w:szCs w:val="20"/>
          <w:highlight w:val="none"/>
          <w:lang w:val="en-US" w:eastAsia="zh-CN"/>
        </w:rPr>
        <w:t>由</w:t>
      </w:r>
      <w:r>
        <w:rPr>
          <w:rFonts w:hint="eastAsia" w:ascii="宋体" w:hAnsi="宋体" w:eastAsia="宋体" w:cs="宋体"/>
          <w:snapToGrid w:val="0"/>
          <w:color w:val="auto"/>
          <w:kern w:val="0"/>
          <w:sz w:val="24"/>
          <w:szCs w:val="20"/>
          <w:highlight w:val="none"/>
        </w:rPr>
        <w:t>甲方进行机电设备完工签证。</w:t>
      </w:r>
    </w:p>
    <w:p w14:paraId="696FB250">
      <w:pPr>
        <w:widowControl/>
        <w:numPr>
          <w:ilvl w:val="-1"/>
          <w:numId w:val="0"/>
        </w:numPr>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val="en-US" w:eastAsia="zh-CN"/>
        </w:rPr>
        <w:t xml:space="preserve">17.6.2.3 </w:t>
      </w:r>
      <w:r>
        <w:rPr>
          <w:rFonts w:hint="eastAsia" w:ascii="宋体" w:hAnsi="宋体" w:eastAsia="宋体" w:cs="宋体"/>
          <w:snapToGrid w:val="0"/>
          <w:color w:val="auto"/>
          <w:kern w:val="0"/>
          <w:sz w:val="24"/>
          <w:szCs w:val="20"/>
          <w:highlight w:val="none"/>
        </w:rPr>
        <w:t>在本系统启动后及性能试验前，</w:t>
      </w:r>
      <w:r>
        <w:rPr>
          <w:rFonts w:hint="eastAsia" w:ascii="宋体" w:hAnsi="宋体" w:eastAsia="宋体" w:cs="宋体"/>
          <w:snapToGrid w:val="0"/>
          <w:color w:val="auto"/>
          <w:kern w:val="0"/>
          <w:sz w:val="24"/>
          <w:szCs w:val="20"/>
          <w:highlight w:val="none"/>
          <w:lang w:val="en-US" w:eastAsia="zh-CN"/>
        </w:rPr>
        <w:t>乙方</w:t>
      </w:r>
      <w:r>
        <w:rPr>
          <w:rFonts w:hint="eastAsia" w:ascii="宋体" w:hAnsi="宋体" w:eastAsia="宋体" w:cs="宋体"/>
          <w:snapToGrid w:val="0"/>
          <w:color w:val="auto"/>
          <w:kern w:val="0"/>
          <w:sz w:val="24"/>
          <w:szCs w:val="20"/>
          <w:highlight w:val="none"/>
        </w:rPr>
        <w:t>须</w:t>
      </w:r>
      <w:r>
        <w:rPr>
          <w:rFonts w:hint="eastAsia" w:ascii="宋体" w:hAnsi="宋体" w:eastAsia="宋体" w:cs="宋体"/>
          <w:snapToGrid w:val="0"/>
          <w:color w:val="auto"/>
          <w:kern w:val="0"/>
          <w:sz w:val="24"/>
          <w:szCs w:val="20"/>
          <w:highlight w:val="none"/>
          <w:lang w:val="en-US" w:eastAsia="zh-CN"/>
        </w:rPr>
        <w:t>负责</w:t>
      </w:r>
      <w:r>
        <w:rPr>
          <w:rFonts w:hint="eastAsia" w:ascii="宋体" w:hAnsi="宋体" w:eastAsia="宋体" w:cs="宋体"/>
          <w:snapToGrid w:val="0"/>
          <w:color w:val="auto"/>
          <w:kern w:val="0"/>
          <w:sz w:val="24"/>
          <w:szCs w:val="20"/>
          <w:highlight w:val="none"/>
        </w:rPr>
        <w:t>按照技术规范的要求进行一系列的调试。</w:t>
      </w:r>
    </w:p>
    <w:p w14:paraId="22CB3E5B">
      <w:pPr>
        <w:widowControl/>
        <w:numPr>
          <w:ilvl w:val="-1"/>
          <w:numId w:val="0"/>
        </w:numPr>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val="en-US" w:eastAsia="zh-CN"/>
        </w:rPr>
        <w:t xml:space="preserve">17.6.2.4 </w:t>
      </w:r>
      <w:r>
        <w:rPr>
          <w:rFonts w:hint="eastAsia" w:ascii="宋体" w:hAnsi="宋体" w:eastAsia="宋体" w:cs="宋体"/>
          <w:snapToGrid w:val="0"/>
          <w:color w:val="auto"/>
          <w:kern w:val="0"/>
          <w:sz w:val="24"/>
          <w:szCs w:val="20"/>
          <w:highlight w:val="none"/>
        </w:rPr>
        <w:t>乙方应在本系统试验和启动调试开始</w:t>
      </w:r>
      <w:r>
        <w:rPr>
          <w:rFonts w:hint="eastAsia" w:ascii="宋体" w:hAnsi="宋体" w:eastAsia="宋体" w:cs="宋体"/>
          <w:snapToGrid w:val="0"/>
          <w:color w:val="auto"/>
          <w:kern w:val="0"/>
          <w:sz w:val="24"/>
          <w:szCs w:val="20"/>
          <w:highlight w:val="none"/>
          <w:lang w:val="en-US" w:eastAsia="zh-CN"/>
        </w:rPr>
        <w:t>的</w:t>
      </w:r>
      <w:r>
        <w:rPr>
          <w:rFonts w:hint="eastAsia" w:ascii="宋体" w:hAnsi="宋体" w:eastAsia="宋体" w:cs="宋体"/>
          <w:snapToGrid w:val="0"/>
          <w:color w:val="auto"/>
          <w:kern w:val="0"/>
          <w:sz w:val="24"/>
          <w:szCs w:val="20"/>
          <w:highlight w:val="none"/>
        </w:rPr>
        <w:t>5天</w:t>
      </w:r>
      <w:r>
        <w:rPr>
          <w:rFonts w:hint="eastAsia" w:ascii="宋体" w:hAnsi="宋体" w:eastAsia="宋体" w:cs="宋体"/>
          <w:snapToGrid w:val="0"/>
          <w:color w:val="auto"/>
          <w:kern w:val="0"/>
          <w:sz w:val="24"/>
          <w:szCs w:val="20"/>
          <w:highlight w:val="none"/>
          <w:lang w:val="en-US" w:eastAsia="zh-CN"/>
        </w:rPr>
        <w:t>前，</w:t>
      </w:r>
      <w:r>
        <w:rPr>
          <w:rFonts w:hint="eastAsia" w:ascii="宋体" w:hAnsi="宋体" w:eastAsia="宋体" w:cs="宋体"/>
          <w:snapToGrid w:val="0"/>
          <w:color w:val="auto"/>
          <w:kern w:val="0"/>
          <w:sz w:val="24"/>
          <w:szCs w:val="20"/>
          <w:highlight w:val="none"/>
        </w:rPr>
        <w:t>按照</w:t>
      </w:r>
      <w:r>
        <w:rPr>
          <w:rFonts w:hint="eastAsia" w:ascii="宋体" w:hAnsi="宋体" w:eastAsia="宋体" w:cs="宋体"/>
          <w:snapToGrid w:val="0"/>
          <w:color w:val="auto"/>
          <w:kern w:val="0"/>
          <w:sz w:val="24"/>
          <w:szCs w:val="20"/>
          <w:highlight w:val="none"/>
          <w:lang w:val="en-US" w:eastAsia="zh-CN"/>
        </w:rPr>
        <w:t>甲方同意</w:t>
      </w:r>
      <w:r>
        <w:rPr>
          <w:rFonts w:hint="eastAsia" w:ascii="宋体" w:hAnsi="宋体" w:eastAsia="宋体" w:cs="宋体"/>
          <w:snapToGrid w:val="0"/>
          <w:color w:val="auto"/>
          <w:kern w:val="0"/>
          <w:sz w:val="24"/>
          <w:szCs w:val="20"/>
          <w:highlight w:val="none"/>
        </w:rPr>
        <w:t>的格式</w:t>
      </w:r>
      <w:r>
        <w:rPr>
          <w:rFonts w:hint="eastAsia" w:ascii="宋体" w:hAnsi="宋体" w:eastAsia="宋体" w:cs="宋体"/>
          <w:snapToGrid w:val="0"/>
          <w:color w:val="auto"/>
          <w:kern w:val="0"/>
          <w:sz w:val="24"/>
          <w:szCs w:val="20"/>
          <w:highlight w:val="none"/>
          <w:lang w:val="en-US" w:eastAsia="zh-CN"/>
        </w:rPr>
        <w:t>和</w:t>
      </w:r>
      <w:r>
        <w:rPr>
          <w:rFonts w:hint="eastAsia" w:ascii="宋体" w:hAnsi="宋体" w:eastAsia="宋体" w:cs="宋体"/>
          <w:snapToGrid w:val="0"/>
          <w:color w:val="auto"/>
          <w:kern w:val="0"/>
          <w:sz w:val="24"/>
          <w:szCs w:val="20"/>
          <w:highlight w:val="none"/>
        </w:rPr>
        <w:t>份数</w:t>
      </w:r>
      <w:r>
        <w:rPr>
          <w:rFonts w:hint="eastAsia" w:ascii="宋体" w:hAnsi="宋体" w:eastAsia="宋体" w:cs="宋体"/>
          <w:snapToGrid w:val="0"/>
          <w:color w:val="auto"/>
          <w:kern w:val="0"/>
          <w:sz w:val="24"/>
          <w:szCs w:val="20"/>
          <w:highlight w:val="none"/>
          <w:lang w:val="en-US" w:eastAsia="zh-CN"/>
        </w:rPr>
        <w:t>向甲方提交</w:t>
      </w:r>
      <w:r>
        <w:rPr>
          <w:rFonts w:hint="eastAsia" w:ascii="宋体" w:hAnsi="宋体" w:eastAsia="宋体" w:cs="宋体"/>
          <w:snapToGrid w:val="0"/>
          <w:color w:val="auto"/>
          <w:kern w:val="0"/>
          <w:sz w:val="24"/>
          <w:szCs w:val="20"/>
          <w:highlight w:val="none"/>
        </w:rPr>
        <w:t>试验计划</w:t>
      </w:r>
      <w:r>
        <w:rPr>
          <w:rFonts w:hint="eastAsia" w:ascii="宋体" w:hAnsi="宋体" w:eastAsia="宋体" w:cs="宋体"/>
          <w:snapToGrid w:val="0"/>
          <w:color w:val="auto"/>
          <w:kern w:val="0"/>
          <w:sz w:val="24"/>
          <w:szCs w:val="20"/>
          <w:highlight w:val="none"/>
          <w:lang w:eastAsia="zh-CN"/>
        </w:rPr>
        <w:t>，</w:t>
      </w:r>
      <w:r>
        <w:rPr>
          <w:rFonts w:hint="eastAsia" w:ascii="宋体" w:hAnsi="宋体" w:eastAsia="宋体" w:cs="宋体"/>
          <w:snapToGrid w:val="0"/>
          <w:color w:val="auto"/>
          <w:kern w:val="0"/>
          <w:sz w:val="24"/>
          <w:szCs w:val="20"/>
          <w:highlight w:val="none"/>
          <w:lang w:val="en-US" w:eastAsia="zh-CN"/>
        </w:rPr>
        <w:t>以供</w:t>
      </w:r>
      <w:r>
        <w:rPr>
          <w:rFonts w:hint="eastAsia" w:ascii="宋体" w:hAnsi="宋体" w:eastAsia="宋体" w:cs="宋体"/>
          <w:snapToGrid w:val="0"/>
          <w:color w:val="auto"/>
          <w:kern w:val="0"/>
          <w:sz w:val="24"/>
          <w:szCs w:val="20"/>
          <w:highlight w:val="none"/>
        </w:rPr>
        <w:t>甲方审查。乙方应在试验</w:t>
      </w:r>
      <w:r>
        <w:rPr>
          <w:rFonts w:hint="eastAsia" w:ascii="宋体" w:hAnsi="宋体" w:eastAsia="宋体" w:cs="宋体"/>
          <w:snapToGrid w:val="0"/>
          <w:color w:val="auto"/>
          <w:kern w:val="0"/>
          <w:sz w:val="24"/>
          <w:szCs w:val="20"/>
          <w:highlight w:val="none"/>
          <w:lang w:val="en-US" w:eastAsia="zh-CN"/>
        </w:rPr>
        <w:t>的</w:t>
      </w:r>
      <w:r>
        <w:rPr>
          <w:rFonts w:hint="eastAsia" w:ascii="宋体" w:hAnsi="宋体" w:eastAsia="宋体" w:cs="宋体"/>
          <w:snapToGrid w:val="0"/>
          <w:color w:val="auto"/>
          <w:kern w:val="0"/>
          <w:sz w:val="24"/>
          <w:szCs w:val="20"/>
          <w:highlight w:val="none"/>
        </w:rPr>
        <w:t>2天</w:t>
      </w:r>
      <w:r>
        <w:rPr>
          <w:rFonts w:hint="eastAsia" w:ascii="宋体" w:hAnsi="宋体" w:eastAsia="宋体" w:cs="宋体"/>
          <w:snapToGrid w:val="0"/>
          <w:color w:val="auto"/>
          <w:kern w:val="0"/>
          <w:sz w:val="24"/>
          <w:szCs w:val="20"/>
          <w:highlight w:val="none"/>
          <w:lang w:val="en-US" w:eastAsia="zh-CN"/>
        </w:rPr>
        <w:t>前</w:t>
      </w:r>
      <w:r>
        <w:rPr>
          <w:rFonts w:hint="eastAsia" w:ascii="宋体" w:hAnsi="宋体" w:eastAsia="宋体" w:cs="宋体"/>
          <w:snapToGrid w:val="0"/>
          <w:color w:val="auto"/>
          <w:kern w:val="0"/>
          <w:sz w:val="24"/>
          <w:szCs w:val="20"/>
          <w:highlight w:val="none"/>
        </w:rPr>
        <w:t>以书面形式通知甲方</w:t>
      </w:r>
      <w:r>
        <w:rPr>
          <w:rFonts w:hint="eastAsia" w:ascii="宋体" w:hAnsi="宋体" w:eastAsia="宋体" w:cs="宋体"/>
          <w:snapToGrid w:val="0"/>
          <w:color w:val="auto"/>
          <w:kern w:val="0"/>
          <w:sz w:val="24"/>
          <w:szCs w:val="20"/>
          <w:highlight w:val="none"/>
          <w:lang w:eastAsia="zh-CN"/>
        </w:rPr>
        <w:t>，</w:t>
      </w:r>
      <w:r>
        <w:rPr>
          <w:rFonts w:hint="eastAsia" w:ascii="宋体" w:hAnsi="宋体" w:eastAsia="宋体" w:cs="宋体"/>
          <w:snapToGrid w:val="0"/>
          <w:color w:val="auto"/>
          <w:kern w:val="0"/>
          <w:sz w:val="24"/>
          <w:szCs w:val="20"/>
          <w:highlight w:val="none"/>
          <w:lang w:val="en-US" w:eastAsia="zh-CN"/>
        </w:rPr>
        <w:t>并向甲方</w:t>
      </w:r>
      <w:r>
        <w:rPr>
          <w:rFonts w:hint="eastAsia" w:ascii="宋体" w:hAnsi="宋体" w:eastAsia="宋体" w:cs="宋体"/>
          <w:snapToGrid w:val="0"/>
          <w:color w:val="auto"/>
          <w:kern w:val="0"/>
          <w:sz w:val="24"/>
          <w:szCs w:val="20"/>
          <w:highlight w:val="none"/>
        </w:rPr>
        <w:t>提供规定份数的</w:t>
      </w:r>
      <w:r>
        <w:rPr>
          <w:rFonts w:hint="eastAsia" w:ascii="宋体" w:hAnsi="宋体" w:eastAsia="宋体" w:cs="宋体"/>
          <w:snapToGrid w:val="0"/>
          <w:color w:val="auto"/>
          <w:kern w:val="0"/>
          <w:sz w:val="24"/>
          <w:szCs w:val="20"/>
          <w:highlight w:val="none"/>
          <w:lang w:val="en-US" w:eastAsia="zh-CN"/>
        </w:rPr>
        <w:t>经</w:t>
      </w:r>
      <w:r>
        <w:rPr>
          <w:rFonts w:hint="eastAsia" w:ascii="宋体" w:hAnsi="宋体" w:eastAsia="宋体" w:cs="宋体"/>
          <w:snapToGrid w:val="0"/>
          <w:color w:val="auto"/>
          <w:kern w:val="0"/>
          <w:sz w:val="24"/>
          <w:szCs w:val="20"/>
          <w:highlight w:val="none"/>
        </w:rPr>
        <w:t>审查后的试验计划。</w:t>
      </w:r>
    </w:p>
    <w:p w14:paraId="17CB2258">
      <w:pPr>
        <w:widowControl/>
        <w:numPr>
          <w:ilvl w:val="-1"/>
          <w:numId w:val="0"/>
        </w:numPr>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val="en-US" w:eastAsia="zh-CN"/>
        </w:rPr>
        <w:t xml:space="preserve">17.6.2.5 </w:t>
      </w:r>
      <w:r>
        <w:rPr>
          <w:rFonts w:hint="eastAsia" w:ascii="宋体" w:hAnsi="宋体" w:eastAsia="宋体" w:cs="宋体"/>
          <w:snapToGrid w:val="0"/>
          <w:color w:val="auto"/>
          <w:kern w:val="0"/>
          <w:sz w:val="24"/>
          <w:szCs w:val="20"/>
          <w:highlight w:val="none"/>
        </w:rPr>
        <w:t>如果有任何部分未能通过试验，该部分的试验根据甲方的要求</w:t>
      </w:r>
      <w:r>
        <w:rPr>
          <w:rFonts w:hint="eastAsia" w:ascii="宋体" w:hAnsi="宋体" w:eastAsia="宋体" w:cs="宋体"/>
          <w:snapToGrid w:val="0"/>
          <w:color w:val="auto"/>
          <w:kern w:val="0"/>
          <w:sz w:val="24"/>
          <w:szCs w:val="20"/>
          <w:highlight w:val="none"/>
          <w:lang w:eastAsia="zh-CN"/>
        </w:rPr>
        <w:t>，</w:t>
      </w:r>
      <w:r>
        <w:rPr>
          <w:rFonts w:hint="eastAsia" w:ascii="宋体" w:hAnsi="宋体" w:eastAsia="宋体" w:cs="宋体"/>
          <w:snapToGrid w:val="0"/>
          <w:color w:val="auto"/>
          <w:kern w:val="0"/>
          <w:sz w:val="24"/>
          <w:szCs w:val="20"/>
          <w:highlight w:val="none"/>
        </w:rPr>
        <w:t>可在合理的时间内按合同条件重复进行试验直至试验结果被接受。</w:t>
      </w:r>
    </w:p>
    <w:p w14:paraId="512FD2CE">
      <w:pPr>
        <w:widowControl/>
        <w:numPr>
          <w:ilvl w:val="-1"/>
          <w:numId w:val="0"/>
        </w:numPr>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val="en-US" w:eastAsia="zh-CN"/>
        </w:rPr>
        <w:t xml:space="preserve">17.6.2.6 </w:t>
      </w:r>
      <w:r>
        <w:rPr>
          <w:rFonts w:hint="eastAsia" w:ascii="宋体" w:hAnsi="宋体" w:eastAsia="宋体" w:cs="宋体"/>
          <w:snapToGrid w:val="0"/>
          <w:color w:val="auto"/>
          <w:kern w:val="0"/>
          <w:sz w:val="24"/>
          <w:szCs w:val="20"/>
          <w:highlight w:val="none"/>
        </w:rPr>
        <w:t>如果由于乙方原因</w:t>
      </w:r>
      <w:r>
        <w:rPr>
          <w:rFonts w:hint="eastAsia" w:ascii="宋体" w:hAnsi="宋体" w:eastAsia="宋体" w:cs="宋体"/>
          <w:snapToGrid w:val="0"/>
          <w:color w:val="auto"/>
          <w:kern w:val="0"/>
          <w:sz w:val="24"/>
          <w:szCs w:val="20"/>
          <w:highlight w:val="none"/>
          <w:lang w:val="en-US" w:eastAsia="zh-CN"/>
        </w:rPr>
        <w:t>导致</w:t>
      </w:r>
      <w:r>
        <w:rPr>
          <w:rFonts w:hint="eastAsia" w:ascii="宋体" w:hAnsi="宋体" w:eastAsia="宋体" w:cs="宋体"/>
          <w:snapToGrid w:val="0"/>
          <w:color w:val="auto"/>
          <w:kern w:val="0"/>
          <w:sz w:val="24"/>
          <w:szCs w:val="20"/>
          <w:highlight w:val="none"/>
        </w:rPr>
        <w:t>本项目任何部分进行的重复试验仍不合格，则此不合格之设备应按</w:t>
      </w:r>
      <w:r>
        <w:rPr>
          <w:rFonts w:hint="eastAsia" w:ascii="宋体" w:hAnsi="宋体" w:eastAsia="宋体" w:cs="宋体"/>
          <w:snapToGrid w:val="0"/>
          <w:color w:val="auto"/>
          <w:kern w:val="0"/>
          <w:sz w:val="24"/>
          <w:szCs w:val="20"/>
          <w:highlight w:val="none"/>
          <w:lang w:val="en-US" w:eastAsia="zh-CN"/>
        </w:rPr>
        <w:t>合同</w:t>
      </w:r>
      <w:r>
        <w:rPr>
          <w:rFonts w:hint="eastAsia" w:ascii="宋体" w:hAnsi="宋体" w:eastAsia="宋体" w:cs="宋体"/>
          <w:snapToGrid w:val="0"/>
          <w:color w:val="auto"/>
          <w:kern w:val="0"/>
          <w:sz w:val="24"/>
          <w:szCs w:val="20"/>
          <w:highlight w:val="none"/>
        </w:rPr>
        <w:t>规定处理。</w:t>
      </w:r>
    </w:p>
    <w:p w14:paraId="233FE08A">
      <w:pPr>
        <w:widowControl/>
        <w:numPr>
          <w:ilvl w:val="-1"/>
          <w:numId w:val="0"/>
        </w:numPr>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val="en-US" w:eastAsia="zh-CN"/>
        </w:rPr>
        <w:t xml:space="preserve">17.6.2.7 </w:t>
      </w:r>
      <w:r>
        <w:rPr>
          <w:rFonts w:hint="eastAsia" w:ascii="宋体" w:hAnsi="宋体" w:eastAsia="宋体" w:cs="宋体"/>
          <w:snapToGrid w:val="0"/>
          <w:color w:val="auto"/>
          <w:kern w:val="0"/>
          <w:sz w:val="24"/>
          <w:szCs w:val="20"/>
          <w:highlight w:val="none"/>
        </w:rPr>
        <w:t>乙方应提供规定份数的完整的设备机电设备完工报告供甲方审提意见。</w:t>
      </w:r>
    </w:p>
    <w:p w14:paraId="47A80425">
      <w:pPr>
        <w:widowControl/>
        <w:numPr>
          <w:ilvl w:val="-1"/>
          <w:numId w:val="0"/>
        </w:numPr>
        <w:wordWrap/>
        <w:adjustRightInd w:val="0"/>
        <w:snapToGrid w:val="0"/>
        <w:spacing w:line="360" w:lineRule="auto"/>
        <w:ind w:left="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val="en-US" w:eastAsia="zh-CN"/>
        </w:rPr>
        <w:t xml:space="preserve">17.6.3 </w:t>
      </w:r>
      <w:r>
        <w:rPr>
          <w:rFonts w:hint="eastAsia" w:ascii="宋体" w:hAnsi="宋体" w:eastAsia="宋体" w:cs="宋体"/>
          <w:snapToGrid w:val="0"/>
          <w:color w:val="auto"/>
          <w:kern w:val="0"/>
          <w:sz w:val="24"/>
          <w:szCs w:val="20"/>
          <w:highlight w:val="none"/>
        </w:rPr>
        <w:t>性能试验</w:t>
      </w:r>
    </w:p>
    <w:p w14:paraId="55F535EB">
      <w:pPr>
        <w:widowControl/>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性能试验由甲方委托的有资质的第三方专业机构进行。</w:t>
      </w:r>
    </w:p>
    <w:p w14:paraId="39CCE3D7">
      <w:pPr>
        <w:widowControl/>
        <w:numPr>
          <w:ilvl w:val="-1"/>
          <w:numId w:val="0"/>
        </w:numPr>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val="en-US" w:eastAsia="zh-CN"/>
        </w:rPr>
        <w:t xml:space="preserve">17.6.3.1 </w:t>
      </w:r>
      <w:r>
        <w:rPr>
          <w:rFonts w:hint="eastAsia" w:ascii="宋体" w:hAnsi="宋体" w:eastAsia="宋体" w:cs="宋体"/>
          <w:snapToGrid w:val="0"/>
          <w:color w:val="auto"/>
          <w:kern w:val="0"/>
          <w:sz w:val="24"/>
          <w:szCs w:val="20"/>
          <w:highlight w:val="none"/>
        </w:rPr>
        <w:t>第一次性能试验</w:t>
      </w:r>
    </w:p>
    <w:p w14:paraId="1EA8576D">
      <w:pPr>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试运行应按技术规范的规定进行。性能试验应在试运行之日起3个月后尽快进行，但最迟在试运行完成后6个月内进行。甲方应在性能试验进行</w:t>
      </w:r>
      <w:r>
        <w:rPr>
          <w:rFonts w:hint="eastAsia" w:ascii="宋体" w:hAnsi="宋体" w:eastAsia="宋体" w:cs="宋体"/>
          <w:snapToGrid w:val="0"/>
          <w:color w:val="auto"/>
          <w:kern w:val="0"/>
          <w:sz w:val="24"/>
          <w:szCs w:val="20"/>
          <w:highlight w:val="none"/>
          <w:lang w:val="en-US" w:eastAsia="zh-CN"/>
        </w:rPr>
        <w:t>的</w:t>
      </w:r>
      <w:r>
        <w:rPr>
          <w:rFonts w:hint="eastAsia" w:ascii="宋体" w:hAnsi="宋体" w:eastAsia="宋体" w:cs="宋体"/>
          <w:snapToGrid w:val="0"/>
          <w:color w:val="auto"/>
          <w:kern w:val="0"/>
          <w:sz w:val="24"/>
          <w:szCs w:val="20"/>
          <w:highlight w:val="none"/>
        </w:rPr>
        <w:t>7天</w:t>
      </w:r>
      <w:r>
        <w:rPr>
          <w:rFonts w:hint="eastAsia" w:ascii="宋体" w:hAnsi="宋体" w:eastAsia="宋体" w:cs="宋体"/>
          <w:snapToGrid w:val="0"/>
          <w:color w:val="auto"/>
          <w:kern w:val="0"/>
          <w:sz w:val="24"/>
          <w:szCs w:val="20"/>
          <w:highlight w:val="none"/>
          <w:lang w:val="en-US" w:eastAsia="zh-CN"/>
        </w:rPr>
        <w:t>前</w:t>
      </w:r>
      <w:r>
        <w:rPr>
          <w:rFonts w:hint="eastAsia" w:ascii="宋体" w:hAnsi="宋体" w:eastAsia="宋体" w:cs="宋体"/>
          <w:snapToGrid w:val="0"/>
          <w:color w:val="auto"/>
          <w:kern w:val="0"/>
          <w:sz w:val="24"/>
          <w:szCs w:val="20"/>
          <w:highlight w:val="none"/>
        </w:rPr>
        <w:t>书面通知乙方。</w:t>
      </w:r>
    </w:p>
    <w:p w14:paraId="57F8E0EF">
      <w:pPr>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性能试验的结果应由双方</w:t>
      </w:r>
      <w:r>
        <w:rPr>
          <w:rFonts w:hint="eastAsia" w:ascii="宋体" w:hAnsi="宋体" w:eastAsia="宋体" w:cs="宋体"/>
          <w:snapToGrid w:val="0"/>
          <w:color w:val="auto"/>
          <w:kern w:val="0"/>
          <w:sz w:val="24"/>
          <w:szCs w:val="20"/>
          <w:highlight w:val="none"/>
          <w:lang w:val="en-US" w:eastAsia="zh-CN"/>
        </w:rPr>
        <w:t>共同</w:t>
      </w:r>
      <w:r>
        <w:rPr>
          <w:rFonts w:hint="eastAsia" w:ascii="宋体" w:hAnsi="宋体" w:eastAsia="宋体" w:cs="宋体"/>
          <w:snapToGrid w:val="0"/>
          <w:color w:val="auto"/>
          <w:kern w:val="0"/>
          <w:sz w:val="24"/>
          <w:szCs w:val="20"/>
          <w:highlight w:val="none"/>
        </w:rPr>
        <w:t>见证、记录并形成文件。性能试验的目的是检查光伏发电系统、设备、材料是否</w:t>
      </w:r>
      <w:r>
        <w:rPr>
          <w:rFonts w:hint="eastAsia" w:ascii="宋体" w:hAnsi="宋体" w:eastAsia="宋体" w:cs="宋体"/>
          <w:snapToGrid w:val="0"/>
          <w:color w:val="auto"/>
          <w:kern w:val="0"/>
          <w:sz w:val="24"/>
          <w:szCs w:val="20"/>
          <w:highlight w:val="none"/>
          <w:lang w:val="en-US" w:eastAsia="zh-CN"/>
        </w:rPr>
        <w:t>发包人要求及合同约定</w:t>
      </w:r>
      <w:r>
        <w:rPr>
          <w:rFonts w:hint="eastAsia" w:ascii="宋体" w:hAnsi="宋体" w:eastAsia="宋体" w:cs="宋体"/>
          <w:snapToGrid w:val="0"/>
          <w:color w:val="auto"/>
          <w:kern w:val="0"/>
          <w:sz w:val="24"/>
          <w:szCs w:val="20"/>
          <w:highlight w:val="none"/>
        </w:rPr>
        <w:t>的所有技术性能和保证值。</w:t>
      </w:r>
    </w:p>
    <w:p w14:paraId="62D0D805">
      <w:pPr>
        <w:widowControl/>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（A）达到性能保证值</w:t>
      </w:r>
    </w:p>
    <w:p w14:paraId="4A3E51A9">
      <w:pPr>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如果性能试验的结果显示性能保证值已达到且已经连续3个月安全稳定试运行，则甲方应在15个工作日内签发PAC。</w:t>
      </w:r>
    </w:p>
    <w:p w14:paraId="72ADA542">
      <w:pPr>
        <w:widowControl/>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（B）未达到性能保证值</w:t>
      </w:r>
    </w:p>
    <w:p w14:paraId="0E80A279">
      <w:pPr>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如果性能试验结果显示未达到性能保证值，乙方应在规定的时间内作调整及整改以达到性能保证值，并在3个月内重复进行性能试验。由此而产生的费用</w:t>
      </w:r>
      <w:r>
        <w:rPr>
          <w:rFonts w:hint="eastAsia" w:ascii="宋体" w:hAnsi="宋体" w:eastAsia="宋体" w:cs="宋体"/>
          <w:snapToGrid w:val="0"/>
          <w:color w:val="auto"/>
          <w:kern w:val="0"/>
          <w:sz w:val="24"/>
          <w:szCs w:val="20"/>
          <w:highlight w:val="none"/>
          <w:lang w:val="en-US" w:eastAsia="zh-CN"/>
        </w:rPr>
        <w:t>由</w:t>
      </w:r>
      <w:r>
        <w:rPr>
          <w:rFonts w:hint="eastAsia" w:ascii="宋体" w:hAnsi="宋体" w:eastAsia="宋体" w:cs="宋体"/>
          <w:snapToGrid w:val="0"/>
          <w:color w:val="auto"/>
          <w:kern w:val="0"/>
          <w:sz w:val="24"/>
          <w:szCs w:val="20"/>
          <w:highlight w:val="none"/>
        </w:rPr>
        <w:t>乙方承担。</w:t>
      </w:r>
    </w:p>
    <w:p w14:paraId="542586AF">
      <w:pPr>
        <w:widowControl/>
        <w:numPr>
          <w:ilvl w:val="-1"/>
          <w:numId w:val="0"/>
        </w:numPr>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val="en-US" w:eastAsia="zh-CN"/>
        </w:rPr>
        <w:t xml:space="preserve">17.6.3.2 </w:t>
      </w:r>
      <w:r>
        <w:rPr>
          <w:rFonts w:hint="eastAsia" w:ascii="宋体" w:hAnsi="宋体" w:eastAsia="宋体" w:cs="宋体"/>
          <w:snapToGrid w:val="0"/>
          <w:color w:val="auto"/>
          <w:kern w:val="0"/>
          <w:sz w:val="24"/>
          <w:szCs w:val="20"/>
          <w:highlight w:val="none"/>
        </w:rPr>
        <w:t>重复的性能试验</w:t>
      </w:r>
    </w:p>
    <w:p w14:paraId="30139FEF">
      <w:pPr>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重复的性能试验的结果应由双方</w:t>
      </w:r>
      <w:r>
        <w:rPr>
          <w:rFonts w:hint="eastAsia" w:ascii="宋体" w:hAnsi="宋体" w:eastAsia="宋体" w:cs="宋体"/>
          <w:snapToGrid w:val="0"/>
          <w:color w:val="auto"/>
          <w:kern w:val="0"/>
          <w:sz w:val="24"/>
          <w:szCs w:val="20"/>
          <w:highlight w:val="none"/>
          <w:lang w:val="en-US" w:eastAsia="zh-CN"/>
        </w:rPr>
        <w:t>共同</w:t>
      </w:r>
      <w:r>
        <w:rPr>
          <w:rFonts w:hint="eastAsia" w:ascii="宋体" w:hAnsi="宋体" w:eastAsia="宋体" w:cs="宋体"/>
          <w:snapToGrid w:val="0"/>
          <w:color w:val="auto"/>
          <w:kern w:val="0"/>
          <w:sz w:val="24"/>
          <w:szCs w:val="20"/>
          <w:highlight w:val="none"/>
        </w:rPr>
        <w:t>见证、记录并形成文件。</w:t>
      </w:r>
    </w:p>
    <w:p w14:paraId="2BD92CDD">
      <w:pPr>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w:t>
      </w:r>
      <w:r>
        <w:rPr>
          <w:rFonts w:hint="eastAsia" w:ascii="宋体" w:hAnsi="宋体" w:eastAsia="宋体" w:cs="宋体"/>
          <w:snapToGrid w:val="0"/>
          <w:color w:val="auto"/>
          <w:kern w:val="0"/>
          <w:sz w:val="24"/>
          <w:highlight w:val="none"/>
          <w:lang w:val="en-US" w:eastAsia="zh-CN"/>
        </w:rPr>
        <w:t>7.6</w:t>
      </w:r>
      <w:r>
        <w:rPr>
          <w:rFonts w:hint="eastAsia" w:ascii="宋体" w:hAnsi="宋体" w:eastAsia="宋体" w:cs="宋体"/>
          <w:snapToGrid w:val="0"/>
          <w:color w:val="auto"/>
          <w:kern w:val="0"/>
          <w:sz w:val="24"/>
          <w:highlight w:val="none"/>
        </w:rPr>
        <w:t>.3.2.1</w:t>
      </w:r>
      <w:r>
        <w:rPr>
          <w:rFonts w:hint="eastAsia" w:ascii="宋体" w:hAnsi="宋体" w:eastAsia="宋体" w:cs="宋体"/>
          <w:snapToGrid w:val="0"/>
          <w:color w:val="auto"/>
          <w:kern w:val="0"/>
          <w:sz w:val="24"/>
          <w:highlight w:val="none"/>
          <w:lang w:val="en-US" w:eastAsia="zh-CN"/>
        </w:rPr>
        <w:t xml:space="preserve"> </w:t>
      </w:r>
      <w:r>
        <w:rPr>
          <w:rFonts w:hint="eastAsia" w:ascii="宋体" w:hAnsi="宋体" w:eastAsia="宋体" w:cs="宋体"/>
          <w:snapToGrid w:val="0"/>
          <w:color w:val="auto"/>
          <w:kern w:val="0"/>
          <w:sz w:val="24"/>
          <w:highlight w:val="none"/>
        </w:rPr>
        <w:t>如结果显示性能保证值已达到且已经连续3个月安全稳定试运行，甲方应在15个工作日内签发PAC。</w:t>
      </w:r>
    </w:p>
    <w:p w14:paraId="1D1E8F3E">
      <w:pPr>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w:t>
      </w:r>
      <w:r>
        <w:rPr>
          <w:rFonts w:hint="eastAsia" w:ascii="宋体" w:hAnsi="宋体" w:eastAsia="宋体" w:cs="宋体"/>
          <w:snapToGrid w:val="0"/>
          <w:color w:val="auto"/>
          <w:kern w:val="0"/>
          <w:sz w:val="24"/>
          <w:highlight w:val="none"/>
          <w:lang w:val="en-US" w:eastAsia="zh-CN"/>
        </w:rPr>
        <w:t>7.6</w:t>
      </w:r>
      <w:r>
        <w:rPr>
          <w:rFonts w:hint="eastAsia" w:ascii="宋体" w:hAnsi="宋体" w:eastAsia="宋体" w:cs="宋体"/>
          <w:snapToGrid w:val="0"/>
          <w:color w:val="auto"/>
          <w:kern w:val="0"/>
          <w:sz w:val="24"/>
          <w:highlight w:val="none"/>
        </w:rPr>
        <w:t>.3.2.2</w:t>
      </w:r>
      <w:r>
        <w:rPr>
          <w:rFonts w:hint="eastAsia" w:ascii="宋体" w:hAnsi="宋体" w:eastAsia="宋体" w:cs="宋体"/>
          <w:snapToGrid w:val="0"/>
          <w:color w:val="auto"/>
          <w:kern w:val="0"/>
          <w:sz w:val="24"/>
          <w:highlight w:val="none"/>
          <w:lang w:val="en-US" w:eastAsia="zh-CN"/>
        </w:rPr>
        <w:t xml:space="preserve"> </w:t>
      </w:r>
      <w:r>
        <w:rPr>
          <w:rFonts w:hint="eastAsia" w:ascii="宋体" w:hAnsi="宋体" w:eastAsia="宋体" w:cs="宋体"/>
          <w:snapToGrid w:val="0"/>
          <w:color w:val="auto"/>
          <w:kern w:val="0"/>
          <w:sz w:val="24"/>
          <w:highlight w:val="none"/>
        </w:rPr>
        <w:t>如结果显示未达到性能保证值，并且</w:t>
      </w:r>
      <w:r>
        <w:rPr>
          <w:rFonts w:hint="eastAsia" w:ascii="宋体" w:hAnsi="宋体" w:eastAsia="宋体" w:cs="宋体"/>
          <w:snapToGrid w:val="0"/>
          <w:color w:val="auto"/>
          <w:kern w:val="0"/>
          <w:sz w:val="24"/>
          <w:highlight w:val="none"/>
          <w:lang w:val="en-US" w:eastAsia="zh-CN"/>
        </w:rPr>
        <w:t>是</w:t>
      </w:r>
      <w:r>
        <w:rPr>
          <w:rFonts w:hint="eastAsia" w:ascii="宋体" w:hAnsi="宋体" w:eastAsia="宋体" w:cs="宋体"/>
          <w:snapToGrid w:val="0"/>
          <w:color w:val="auto"/>
          <w:kern w:val="0"/>
          <w:sz w:val="24"/>
          <w:highlight w:val="none"/>
        </w:rPr>
        <w:t>由乙方原因造成</w:t>
      </w:r>
      <w:r>
        <w:rPr>
          <w:rFonts w:hint="eastAsia" w:ascii="宋体" w:hAnsi="宋体" w:eastAsia="宋体" w:cs="宋体"/>
          <w:snapToGrid w:val="0"/>
          <w:color w:val="auto"/>
          <w:kern w:val="0"/>
          <w:sz w:val="24"/>
          <w:highlight w:val="none"/>
          <w:lang w:val="en-US" w:eastAsia="zh-CN"/>
        </w:rPr>
        <w:t>的</w:t>
      </w:r>
      <w:r>
        <w:rPr>
          <w:rFonts w:hint="eastAsia" w:ascii="宋体" w:hAnsi="宋体" w:eastAsia="宋体" w:cs="宋体"/>
          <w:snapToGrid w:val="0"/>
          <w:color w:val="auto"/>
          <w:kern w:val="0"/>
          <w:sz w:val="24"/>
          <w:highlight w:val="none"/>
        </w:rPr>
        <w:t>，则甲方有权按</w:t>
      </w:r>
      <w:r>
        <w:rPr>
          <w:rFonts w:hint="eastAsia" w:ascii="宋体" w:hAnsi="宋体" w:eastAsia="宋体" w:cs="宋体"/>
          <w:snapToGrid w:val="0"/>
          <w:color w:val="auto"/>
          <w:kern w:val="0"/>
          <w:sz w:val="24"/>
          <w:highlight w:val="none"/>
          <w:lang w:val="en-US" w:eastAsia="zh-CN"/>
        </w:rPr>
        <w:t>本合同</w:t>
      </w:r>
      <w:r>
        <w:rPr>
          <w:rFonts w:hint="eastAsia" w:ascii="宋体" w:hAnsi="宋体" w:eastAsia="宋体" w:cs="宋体"/>
          <w:snapToGrid w:val="0"/>
          <w:color w:val="auto"/>
          <w:kern w:val="0"/>
          <w:sz w:val="24"/>
          <w:szCs w:val="20"/>
          <w:highlight w:val="none"/>
        </w:rPr>
        <w:t>规定</w:t>
      </w:r>
      <w:r>
        <w:rPr>
          <w:rFonts w:hint="eastAsia" w:ascii="宋体" w:hAnsi="宋体" w:eastAsia="宋体" w:cs="宋体"/>
          <w:snapToGrid w:val="0"/>
          <w:color w:val="auto"/>
          <w:kern w:val="0"/>
          <w:sz w:val="24"/>
          <w:highlight w:val="none"/>
        </w:rPr>
        <w:t>执行。在乙方</w:t>
      </w:r>
      <w:r>
        <w:rPr>
          <w:rFonts w:hint="eastAsia" w:ascii="宋体" w:hAnsi="宋体" w:eastAsia="宋体" w:cs="宋体"/>
          <w:snapToGrid w:val="0"/>
          <w:color w:val="auto"/>
          <w:kern w:val="0"/>
          <w:sz w:val="24"/>
          <w:highlight w:val="none"/>
          <w:lang w:val="en-US" w:eastAsia="zh-CN"/>
        </w:rPr>
        <w:t>向甲方承担</w:t>
      </w:r>
      <w:r>
        <w:rPr>
          <w:rFonts w:hint="eastAsia" w:ascii="宋体" w:hAnsi="宋体" w:eastAsia="宋体" w:cs="宋体"/>
          <w:snapToGrid w:val="0"/>
          <w:color w:val="auto"/>
          <w:kern w:val="0"/>
          <w:sz w:val="24"/>
          <w:highlight w:val="none"/>
        </w:rPr>
        <w:t>支付</w:t>
      </w:r>
      <w:r>
        <w:rPr>
          <w:rFonts w:hint="eastAsia" w:ascii="宋体" w:hAnsi="宋体" w:eastAsia="宋体" w:cs="宋体"/>
          <w:snapToGrid w:val="0"/>
          <w:color w:val="auto"/>
          <w:kern w:val="0"/>
          <w:sz w:val="24"/>
          <w:highlight w:val="none"/>
          <w:lang w:val="en-US" w:eastAsia="zh-CN"/>
        </w:rPr>
        <w:t>相应</w:t>
      </w:r>
      <w:r>
        <w:rPr>
          <w:rFonts w:hint="eastAsia" w:ascii="宋体" w:hAnsi="宋体" w:eastAsia="宋体" w:cs="宋体"/>
          <w:snapToGrid w:val="0"/>
          <w:color w:val="auto"/>
          <w:kern w:val="0"/>
          <w:sz w:val="24"/>
          <w:highlight w:val="none"/>
        </w:rPr>
        <w:t>赔偿后，甲方可签发初步验收证书（PAC）。</w:t>
      </w:r>
    </w:p>
    <w:p w14:paraId="54E36139">
      <w:pPr>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1</w:t>
      </w:r>
      <w:r>
        <w:rPr>
          <w:rFonts w:hint="eastAsia" w:ascii="宋体" w:hAnsi="宋体" w:eastAsia="宋体" w:cs="宋体"/>
          <w:snapToGrid w:val="0"/>
          <w:color w:val="auto"/>
          <w:kern w:val="0"/>
          <w:sz w:val="24"/>
          <w:szCs w:val="20"/>
          <w:highlight w:val="none"/>
          <w:lang w:val="en-US" w:eastAsia="zh-CN"/>
        </w:rPr>
        <w:t>7.6</w:t>
      </w:r>
      <w:r>
        <w:rPr>
          <w:rFonts w:hint="eastAsia" w:ascii="宋体" w:hAnsi="宋体" w:eastAsia="宋体" w:cs="宋体"/>
          <w:snapToGrid w:val="0"/>
          <w:color w:val="auto"/>
          <w:kern w:val="0"/>
          <w:sz w:val="24"/>
          <w:szCs w:val="20"/>
          <w:highlight w:val="none"/>
        </w:rPr>
        <w:t>.3.2.3</w:t>
      </w:r>
      <w:r>
        <w:rPr>
          <w:rFonts w:hint="eastAsia" w:ascii="宋体" w:hAnsi="宋体" w:eastAsia="宋体" w:cs="宋体"/>
          <w:snapToGrid w:val="0"/>
          <w:color w:val="auto"/>
          <w:kern w:val="0"/>
          <w:sz w:val="24"/>
          <w:szCs w:val="20"/>
          <w:highlight w:val="none"/>
          <w:lang w:val="en-US" w:eastAsia="zh-CN"/>
        </w:rPr>
        <w:t xml:space="preserve"> </w:t>
      </w:r>
      <w:r>
        <w:rPr>
          <w:rFonts w:hint="eastAsia" w:ascii="宋体" w:hAnsi="宋体" w:eastAsia="宋体" w:cs="宋体"/>
          <w:snapToGrid w:val="0"/>
          <w:color w:val="auto"/>
          <w:kern w:val="0"/>
          <w:sz w:val="24"/>
          <w:szCs w:val="20"/>
          <w:highlight w:val="none"/>
        </w:rPr>
        <w:t>如果性能试验结果显示由于非乙方原因未能达到</w:t>
      </w:r>
      <w:r>
        <w:rPr>
          <w:rFonts w:hint="eastAsia" w:ascii="宋体" w:hAnsi="宋体" w:eastAsia="宋体" w:cs="宋体"/>
          <w:snapToGrid w:val="0"/>
          <w:color w:val="auto"/>
          <w:kern w:val="0"/>
          <w:sz w:val="24"/>
          <w:szCs w:val="20"/>
          <w:highlight w:val="none"/>
          <w:lang w:val="en-US" w:eastAsia="zh-CN"/>
        </w:rPr>
        <w:t>本合同</w:t>
      </w:r>
      <w:r>
        <w:rPr>
          <w:rFonts w:hint="eastAsia" w:ascii="宋体" w:hAnsi="宋体" w:eastAsia="宋体" w:cs="宋体"/>
          <w:snapToGrid w:val="0"/>
          <w:color w:val="auto"/>
          <w:kern w:val="0"/>
          <w:sz w:val="24"/>
          <w:szCs w:val="20"/>
          <w:highlight w:val="none"/>
        </w:rPr>
        <w:t>第1</w:t>
      </w:r>
      <w:r>
        <w:rPr>
          <w:rFonts w:hint="eastAsia" w:ascii="宋体" w:hAnsi="宋体" w:eastAsia="宋体" w:cs="宋体"/>
          <w:snapToGrid w:val="0"/>
          <w:color w:val="auto"/>
          <w:kern w:val="0"/>
          <w:sz w:val="24"/>
          <w:szCs w:val="20"/>
          <w:highlight w:val="none"/>
          <w:lang w:val="en-US" w:eastAsia="zh-CN"/>
        </w:rPr>
        <w:t>6</w:t>
      </w:r>
      <w:r>
        <w:rPr>
          <w:rFonts w:hint="eastAsia" w:ascii="宋体" w:hAnsi="宋体" w:eastAsia="宋体" w:cs="宋体"/>
          <w:snapToGrid w:val="0"/>
          <w:color w:val="auto"/>
          <w:kern w:val="0"/>
          <w:sz w:val="24"/>
          <w:szCs w:val="20"/>
          <w:highlight w:val="none"/>
        </w:rPr>
        <w:t>.3.1</w:t>
      </w:r>
      <w:r>
        <w:rPr>
          <w:rFonts w:hint="eastAsia" w:ascii="宋体" w:hAnsi="宋体" w:eastAsia="宋体" w:cs="宋体"/>
          <w:snapToGrid w:val="0"/>
          <w:color w:val="auto"/>
          <w:kern w:val="0"/>
          <w:sz w:val="24"/>
          <w:szCs w:val="20"/>
          <w:highlight w:val="none"/>
          <w:lang w:val="en-US" w:eastAsia="zh-CN"/>
        </w:rPr>
        <w:t>款</w:t>
      </w:r>
      <w:r>
        <w:rPr>
          <w:rFonts w:hint="eastAsia" w:ascii="宋体" w:hAnsi="宋体" w:eastAsia="宋体" w:cs="宋体"/>
          <w:snapToGrid w:val="0"/>
          <w:color w:val="auto"/>
          <w:kern w:val="0"/>
          <w:sz w:val="24"/>
          <w:szCs w:val="20"/>
          <w:highlight w:val="none"/>
        </w:rPr>
        <w:t>或1</w:t>
      </w:r>
      <w:r>
        <w:rPr>
          <w:rFonts w:hint="eastAsia" w:ascii="宋体" w:hAnsi="宋体" w:eastAsia="宋体" w:cs="宋体"/>
          <w:snapToGrid w:val="0"/>
          <w:color w:val="auto"/>
          <w:kern w:val="0"/>
          <w:sz w:val="24"/>
          <w:szCs w:val="20"/>
          <w:highlight w:val="none"/>
          <w:lang w:val="en-US" w:eastAsia="zh-CN"/>
        </w:rPr>
        <w:t>6</w:t>
      </w:r>
      <w:r>
        <w:rPr>
          <w:rFonts w:hint="eastAsia" w:ascii="宋体" w:hAnsi="宋体" w:eastAsia="宋体" w:cs="宋体"/>
          <w:snapToGrid w:val="0"/>
          <w:color w:val="auto"/>
          <w:kern w:val="0"/>
          <w:sz w:val="24"/>
          <w:szCs w:val="20"/>
          <w:highlight w:val="none"/>
        </w:rPr>
        <w:t>.3.2</w:t>
      </w:r>
      <w:r>
        <w:rPr>
          <w:rFonts w:hint="eastAsia" w:ascii="宋体" w:hAnsi="宋体" w:eastAsia="宋体" w:cs="宋体"/>
          <w:snapToGrid w:val="0"/>
          <w:color w:val="auto"/>
          <w:kern w:val="0"/>
          <w:sz w:val="24"/>
          <w:szCs w:val="20"/>
          <w:highlight w:val="none"/>
          <w:lang w:val="en-US" w:eastAsia="zh-CN"/>
        </w:rPr>
        <w:t>款</w:t>
      </w:r>
      <w:r>
        <w:rPr>
          <w:rFonts w:hint="eastAsia" w:ascii="宋体" w:hAnsi="宋体" w:eastAsia="宋体" w:cs="宋体"/>
          <w:snapToGrid w:val="0"/>
          <w:color w:val="auto"/>
          <w:kern w:val="0"/>
          <w:sz w:val="24"/>
          <w:szCs w:val="20"/>
          <w:highlight w:val="none"/>
        </w:rPr>
        <w:t>的要求，甲方有权选择</w:t>
      </w:r>
    </w:p>
    <w:p w14:paraId="1F2B8A21">
      <w:pPr>
        <w:widowControl/>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（1）签发PAC；</w:t>
      </w:r>
    </w:p>
    <w:p w14:paraId="0E7DD851">
      <w:pPr>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（2）调整后要求进行另一次性能试验。乙方不需支付延迟签发PAC的违约罚金，但应进行重复的性能试验，试验的费用由</w:t>
      </w:r>
      <w:r>
        <w:rPr>
          <w:rFonts w:hint="eastAsia" w:ascii="宋体" w:hAnsi="宋体" w:eastAsia="宋体" w:cs="宋体"/>
          <w:snapToGrid w:val="0"/>
          <w:color w:val="auto"/>
          <w:kern w:val="0"/>
          <w:sz w:val="24"/>
          <w:highlight w:val="none"/>
          <w:lang w:val="en-US" w:eastAsia="zh-CN"/>
        </w:rPr>
        <w:t>双方共同承</w:t>
      </w:r>
      <w:r>
        <w:rPr>
          <w:rFonts w:hint="eastAsia" w:ascii="宋体" w:hAnsi="宋体" w:eastAsia="宋体" w:cs="宋体"/>
          <w:snapToGrid w:val="0"/>
          <w:color w:val="auto"/>
          <w:kern w:val="0"/>
          <w:sz w:val="24"/>
          <w:highlight w:val="none"/>
        </w:rPr>
        <w:t>担。在重复的性能试验结束后15个工作日内，甲方应向乙方支付以签发PAC为付款条件的当笔应付款但不签发PAC，</w:t>
      </w:r>
      <w:r>
        <w:rPr>
          <w:rFonts w:hint="eastAsia" w:ascii="宋体" w:hAnsi="宋体" w:eastAsia="宋体" w:cs="宋体"/>
          <w:snapToGrid w:val="0"/>
          <w:color w:val="auto"/>
          <w:kern w:val="0"/>
          <w:sz w:val="24"/>
          <w:highlight w:val="none"/>
          <w:lang w:val="en-US" w:eastAsia="zh-CN"/>
        </w:rPr>
        <w:t>但如</w:t>
      </w:r>
      <w:r>
        <w:rPr>
          <w:rFonts w:hint="eastAsia" w:ascii="宋体" w:hAnsi="宋体" w:eastAsia="宋体" w:cs="宋体"/>
          <w:snapToGrid w:val="0"/>
          <w:color w:val="auto"/>
          <w:kern w:val="0"/>
          <w:sz w:val="24"/>
          <w:highlight w:val="none"/>
        </w:rPr>
        <w:t>在甲方要求和承担费用的情况下，乙方应继续进行性能试验。但是，如果重复的性能试验成功之后，则甲方应按</w:t>
      </w:r>
      <w:r>
        <w:rPr>
          <w:rFonts w:hint="eastAsia" w:ascii="宋体" w:hAnsi="宋体" w:eastAsia="宋体" w:cs="宋体"/>
          <w:snapToGrid w:val="0"/>
          <w:color w:val="auto"/>
          <w:kern w:val="0"/>
          <w:sz w:val="24"/>
          <w:highlight w:val="none"/>
          <w:lang w:val="en-US" w:eastAsia="zh-CN"/>
        </w:rPr>
        <w:t>本合同</w:t>
      </w:r>
      <w:r>
        <w:rPr>
          <w:rFonts w:hint="eastAsia" w:ascii="宋体" w:hAnsi="宋体" w:eastAsia="宋体" w:cs="宋体"/>
          <w:snapToGrid w:val="0"/>
          <w:color w:val="auto"/>
          <w:kern w:val="0"/>
          <w:sz w:val="24"/>
          <w:highlight w:val="none"/>
        </w:rPr>
        <w:t>第1</w:t>
      </w:r>
      <w:r>
        <w:rPr>
          <w:rFonts w:hint="eastAsia" w:ascii="宋体" w:hAnsi="宋体" w:eastAsia="宋体" w:cs="宋体"/>
          <w:snapToGrid w:val="0"/>
          <w:color w:val="auto"/>
          <w:kern w:val="0"/>
          <w:sz w:val="24"/>
          <w:highlight w:val="none"/>
          <w:lang w:val="en-US" w:eastAsia="zh-CN"/>
        </w:rPr>
        <w:t>7.6</w:t>
      </w:r>
      <w:r>
        <w:rPr>
          <w:rFonts w:hint="eastAsia" w:ascii="宋体" w:hAnsi="宋体" w:eastAsia="宋体" w:cs="宋体"/>
          <w:snapToGrid w:val="0"/>
          <w:color w:val="auto"/>
          <w:kern w:val="0"/>
          <w:sz w:val="24"/>
          <w:highlight w:val="none"/>
        </w:rPr>
        <w:t>.4</w:t>
      </w:r>
      <w:r>
        <w:rPr>
          <w:rFonts w:hint="eastAsia" w:ascii="宋体" w:hAnsi="宋体" w:eastAsia="宋体" w:cs="宋体"/>
          <w:snapToGrid w:val="0"/>
          <w:color w:val="auto"/>
          <w:kern w:val="0"/>
          <w:sz w:val="24"/>
          <w:highlight w:val="none"/>
          <w:lang w:val="en-US" w:eastAsia="zh-CN"/>
        </w:rPr>
        <w:t>款</w:t>
      </w:r>
      <w:r>
        <w:rPr>
          <w:rFonts w:hint="eastAsia" w:ascii="宋体" w:hAnsi="宋体" w:eastAsia="宋体" w:cs="宋体"/>
          <w:snapToGrid w:val="0"/>
          <w:color w:val="auto"/>
          <w:kern w:val="0"/>
          <w:sz w:val="24"/>
          <w:highlight w:val="none"/>
        </w:rPr>
        <w:t>签发初步验收证书（PAC）。</w:t>
      </w:r>
    </w:p>
    <w:p w14:paraId="0DEFFDE6">
      <w:pPr>
        <w:widowControl/>
        <w:numPr>
          <w:ilvl w:val="-1"/>
          <w:numId w:val="0"/>
        </w:numPr>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val="en-US" w:eastAsia="zh-CN"/>
        </w:rPr>
        <w:t xml:space="preserve">17.6.3.3 </w:t>
      </w:r>
      <w:r>
        <w:rPr>
          <w:rFonts w:hint="eastAsia" w:ascii="宋体" w:hAnsi="宋体" w:eastAsia="宋体" w:cs="宋体"/>
          <w:snapToGrid w:val="0"/>
          <w:color w:val="auto"/>
          <w:kern w:val="0"/>
          <w:sz w:val="24"/>
          <w:szCs w:val="20"/>
          <w:highlight w:val="none"/>
        </w:rPr>
        <w:t>电站全面排查整改</w:t>
      </w:r>
    </w:p>
    <w:p w14:paraId="46E7256A">
      <w:pPr>
        <w:widowControl/>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在质保期满之前完成对电站进行全面排查整改，</w:t>
      </w:r>
      <w:r>
        <w:rPr>
          <w:rFonts w:hint="eastAsia" w:ascii="宋体" w:hAnsi="宋体" w:eastAsia="宋体" w:cs="宋体"/>
          <w:snapToGrid w:val="0"/>
          <w:color w:val="auto"/>
          <w:kern w:val="0"/>
          <w:sz w:val="24"/>
          <w:szCs w:val="20"/>
          <w:highlight w:val="none"/>
          <w:lang w:val="en-US" w:eastAsia="zh-CN"/>
        </w:rPr>
        <w:t>该</w:t>
      </w:r>
      <w:r>
        <w:rPr>
          <w:rFonts w:hint="eastAsia" w:ascii="宋体" w:hAnsi="宋体" w:eastAsia="宋体" w:cs="宋体"/>
          <w:snapToGrid w:val="0"/>
          <w:color w:val="auto"/>
          <w:kern w:val="0"/>
          <w:sz w:val="24"/>
          <w:szCs w:val="20"/>
          <w:highlight w:val="none"/>
        </w:rPr>
        <w:t>全面排查整改</w:t>
      </w:r>
      <w:r>
        <w:rPr>
          <w:rFonts w:hint="eastAsia" w:ascii="宋体" w:hAnsi="宋体" w:eastAsia="宋体" w:cs="宋体"/>
          <w:snapToGrid w:val="0"/>
          <w:color w:val="auto"/>
          <w:kern w:val="0"/>
          <w:sz w:val="24"/>
          <w:szCs w:val="20"/>
          <w:highlight w:val="none"/>
          <w:lang w:val="en-US" w:eastAsia="zh-CN"/>
        </w:rPr>
        <w:t>的</w:t>
      </w:r>
      <w:r>
        <w:rPr>
          <w:rFonts w:hint="eastAsia" w:ascii="宋体" w:hAnsi="宋体" w:eastAsia="宋体" w:cs="宋体"/>
          <w:snapToGrid w:val="0"/>
          <w:color w:val="auto"/>
          <w:kern w:val="0"/>
          <w:sz w:val="24"/>
          <w:szCs w:val="20"/>
          <w:highlight w:val="none"/>
        </w:rPr>
        <w:t>通过是签发最终验收证书（FAC）的前提</w:t>
      </w:r>
      <w:r>
        <w:rPr>
          <w:rFonts w:hint="eastAsia" w:ascii="宋体" w:hAnsi="宋体" w:eastAsia="宋体" w:cs="宋体"/>
          <w:snapToGrid w:val="0"/>
          <w:color w:val="auto"/>
          <w:kern w:val="0"/>
          <w:sz w:val="24"/>
          <w:szCs w:val="20"/>
          <w:highlight w:val="none"/>
          <w:lang w:val="en-US" w:eastAsia="zh-CN"/>
        </w:rPr>
        <w:t>条件</w:t>
      </w:r>
      <w:r>
        <w:rPr>
          <w:rFonts w:hint="eastAsia" w:ascii="宋体" w:hAnsi="宋体" w:eastAsia="宋体" w:cs="宋体"/>
          <w:snapToGrid w:val="0"/>
          <w:color w:val="auto"/>
          <w:kern w:val="0"/>
          <w:sz w:val="24"/>
          <w:szCs w:val="20"/>
          <w:highlight w:val="none"/>
        </w:rPr>
        <w:t>。</w:t>
      </w:r>
    </w:p>
    <w:p w14:paraId="0C6255FF">
      <w:pPr>
        <w:widowControl/>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本次性能测试未达要求的</w:t>
      </w:r>
      <w:r>
        <w:rPr>
          <w:rFonts w:hint="eastAsia" w:ascii="宋体" w:hAnsi="宋体" w:eastAsia="宋体" w:cs="宋体"/>
          <w:snapToGrid w:val="0"/>
          <w:color w:val="auto"/>
          <w:kern w:val="0"/>
          <w:sz w:val="24"/>
          <w:szCs w:val="20"/>
          <w:highlight w:val="none"/>
          <w:lang w:eastAsia="zh-CN"/>
        </w:rPr>
        <w:t>，</w:t>
      </w:r>
      <w:r>
        <w:rPr>
          <w:rFonts w:hint="eastAsia" w:ascii="宋体" w:hAnsi="宋体" w:eastAsia="宋体" w:cs="宋体"/>
          <w:snapToGrid w:val="0"/>
          <w:color w:val="auto"/>
          <w:kern w:val="0"/>
          <w:sz w:val="24"/>
          <w:szCs w:val="20"/>
          <w:highlight w:val="none"/>
        </w:rPr>
        <w:t>按照第一次性能试验的要求考核。</w:t>
      </w:r>
    </w:p>
    <w:p w14:paraId="02246193">
      <w:pPr>
        <w:widowControl/>
        <w:numPr>
          <w:ilvl w:val="-1"/>
          <w:numId w:val="0"/>
        </w:numPr>
        <w:wordWrap/>
        <w:adjustRightInd w:val="0"/>
        <w:snapToGrid w:val="0"/>
        <w:spacing w:line="360" w:lineRule="auto"/>
        <w:ind w:left="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val="en-US" w:eastAsia="zh-CN"/>
        </w:rPr>
        <w:t xml:space="preserve">17.6.4 </w:t>
      </w:r>
      <w:r>
        <w:rPr>
          <w:rFonts w:hint="eastAsia" w:ascii="宋体" w:hAnsi="宋体" w:eastAsia="宋体" w:cs="宋体"/>
          <w:snapToGrid w:val="0"/>
          <w:color w:val="auto"/>
          <w:kern w:val="0"/>
          <w:sz w:val="24"/>
          <w:szCs w:val="20"/>
          <w:highlight w:val="none"/>
        </w:rPr>
        <w:t>初步验收证书（PAC）</w:t>
      </w:r>
    </w:p>
    <w:p w14:paraId="396B0E64">
      <w:pPr>
        <w:widowControl/>
        <w:numPr>
          <w:ilvl w:val="-1"/>
          <w:numId w:val="0"/>
        </w:numPr>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val="en-US" w:eastAsia="zh-CN"/>
        </w:rPr>
        <w:t xml:space="preserve">17.6.4.1 </w:t>
      </w:r>
      <w:r>
        <w:rPr>
          <w:rFonts w:hint="eastAsia" w:ascii="宋体" w:hAnsi="宋体" w:eastAsia="宋体" w:cs="宋体"/>
          <w:snapToGrid w:val="0"/>
          <w:color w:val="auto"/>
          <w:kern w:val="0"/>
          <w:sz w:val="24"/>
          <w:szCs w:val="20"/>
          <w:highlight w:val="none"/>
        </w:rPr>
        <w:t>在第一次性能试验或其重复的性能试验完成且达到性能保证值后的15个工作日内，</w:t>
      </w:r>
      <w:r>
        <w:rPr>
          <w:rFonts w:hint="eastAsia" w:ascii="宋体" w:hAnsi="宋体" w:eastAsia="宋体" w:cs="宋体"/>
          <w:snapToGrid w:val="0"/>
          <w:color w:val="auto"/>
          <w:kern w:val="0"/>
          <w:sz w:val="24"/>
          <w:szCs w:val="20"/>
          <w:highlight w:val="none"/>
          <w:lang w:val="en-US" w:eastAsia="zh-CN"/>
        </w:rPr>
        <w:t>乙方可向</w:t>
      </w:r>
      <w:r>
        <w:rPr>
          <w:rFonts w:hint="eastAsia" w:ascii="宋体" w:hAnsi="宋体" w:eastAsia="宋体" w:cs="宋体"/>
          <w:snapToGrid w:val="0"/>
          <w:color w:val="auto"/>
          <w:kern w:val="0"/>
          <w:sz w:val="24"/>
          <w:szCs w:val="20"/>
          <w:highlight w:val="none"/>
        </w:rPr>
        <w:t>甲方</w:t>
      </w:r>
      <w:r>
        <w:rPr>
          <w:rFonts w:hint="eastAsia" w:ascii="宋体" w:hAnsi="宋体" w:eastAsia="宋体" w:cs="宋体"/>
          <w:snapToGrid w:val="0"/>
          <w:color w:val="auto"/>
          <w:kern w:val="0"/>
          <w:sz w:val="24"/>
          <w:szCs w:val="20"/>
          <w:highlight w:val="none"/>
          <w:lang w:val="en-US" w:eastAsia="zh-CN"/>
        </w:rPr>
        <w:t>申请</w:t>
      </w:r>
      <w:r>
        <w:rPr>
          <w:rFonts w:hint="eastAsia" w:ascii="宋体" w:hAnsi="宋体" w:eastAsia="宋体" w:cs="宋体"/>
          <w:snapToGrid w:val="0"/>
          <w:color w:val="auto"/>
          <w:kern w:val="0"/>
          <w:sz w:val="24"/>
          <w:szCs w:val="20"/>
          <w:highlight w:val="none"/>
        </w:rPr>
        <w:t>发出初步验收证书正本2份。</w:t>
      </w:r>
    </w:p>
    <w:p w14:paraId="09870F22">
      <w:pPr>
        <w:widowControl/>
        <w:numPr>
          <w:ilvl w:val="-1"/>
          <w:numId w:val="0"/>
        </w:numPr>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val="en-US" w:eastAsia="zh-CN"/>
        </w:rPr>
        <w:t xml:space="preserve">17.6.4.2 </w:t>
      </w:r>
      <w:r>
        <w:rPr>
          <w:rFonts w:hint="eastAsia" w:ascii="宋体" w:hAnsi="宋体" w:eastAsia="宋体" w:cs="宋体"/>
          <w:snapToGrid w:val="0"/>
          <w:color w:val="auto"/>
          <w:kern w:val="0"/>
          <w:sz w:val="24"/>
          <w:szCs w:val="20"/>
          <w:highlight w:val="none"/>
        </w:rPr>
        <w:t>如果上述试验过程中由于乙方原因未能解决出现的问题且未能发出初步验收证书（PAC），则甲方有权按以下两种选择之一处理：</w:t>
      </w:r>
    </w:p>
    <w:p w14:paraId="041C5DC7">
      <w:pPr>
        <w:widowControl/>
        <w:numPr>
          <w:ilvl w:val="-1"/>
          <w:numId w:val="0"/>
        </w:numPr>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拒绝出具初步验收证书（PAC）；</w:t>
      </w:r>
    </w:p>
    <w:p w14:paraId="2DC103F1">
      <w:pPr>
        <w:widowControl/>
        <w:numPr>
          <w:ilvl w:val="-1"/>
          <w:numId w:val="0"/>
        </w:numPr>
        <w:wordWrap/>
        <w:adjustRightInd w:val="0"/>
        <w:snapToGrid w:val="0"/>
        <w:spacing w:line="360" w:lineRule="auto"/>
        <w:ind w:left="0" w:leftChars="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出具注明未解决问题之初步验收证书（PAC）。</w:t>
      </w:r>
    </w:p>
    <w:p w14:paraId="555FCA42">
      <w:pPr>
        <w:wordWrap/>
        <w:adjustRightInd w:val="0"/>
        <w:snapToGrid w:val="0"/>
        <w:spacing w:line="360" w:lineRule="auto"/>
        <w:ind w:left="0" w:leftChars="0" w:right="11" w:firstLine="460" w:firstLineChars="192"/>
        <w:rPr>
          <w:rFonts w:hint="default"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如果甲方选择出具带有备注的初步验收证书（PAC），则乙方有义务在</w:t>
      </w:r>
      <w:r>
        <w:rPr>
          <w:rFonts w:hint="eastAsia" w:ascii="宋体" w:hAnsi="宋体" w:eastAsia="宋体" w:cs="宋体"/>
          <w:snapToGrid w:val="0"/>
          <w:color w:val="auto"/>
          <w:kern w:val="0"/>
          <w:sz w:val="24"/>
          <w:szCs w:val="20"/>
          <w:highlight w:val="none"/>
          <w:lang w:val="en-US" w:eastAsia="zh-CN"/>
        </w:rPr>
        <w:t>本合同第二十条</w:t>
      </w:r>
      <w:r>
        <w:rPr>
          <w:rFonts w:hint="eastAsia" w:ascii="宋体" w:hAnsi="宋体" w:eastAsia="宋体" w:cs="宋体"/>
          <w:snapToGrid w:val="0"/>
          <w:color w:val="auto"/>
          <w:kern w:val="0"/>
          <w:sz w:val="24"/>
          <w:szCs w:val="20"/>
          <w:highlight w:val="none"/>
        </w:rPr>
        <w:t>规定的缺陷责任期内负责解决所有遗留问题。</w:t>
      </w:r>
    </w:p>
    <w:p w14:paraId="696E8789">
      <w:pPr>
        <w:adjustRightInd w:val="0"/>
        <w:snapToGrid w:val="0"/>
        <w:spacing w:line="360" w:lineRule="auto"/>
        <w:ind w:right="11"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1</w:t>
      </w:r>
      <w:r>
        <w:rPr>
          <w:rFonts w:hint="eastAsia" w:ascii="宋体" w:hAnsi="宋体" w:eastAsia="宋体" w:cs="宋体"/>
          <w:b/>
          <w:snapToGrid w:val="0"/>
          <w:color w:val="auto"/>
          <w:kern w:val="0"/>
          <w:sz w:val="24"/>
          <w:highlight w:val="none"/>
          <w:lang w:val="en-US" w:eastAsia="zh-CN"/>
        </w:rPr>
        <w:t>8</w:t>
      </w:r>
      <w:r>
        <w:rPr>
          <w:rFonts w:hint="eastAsia" w:ascii="宋体" w:hAnsi="宋体" w:eastAsia="宋体" w:cs="宋体"/>
          <w:b/>
          <w:snapToGrid w:val="0"/>
          <w:color w:val="auto"/>
          <w:kern w:val="0"/>
          <w:sz w:val="24"/>
          <w:highlight w:val="none"/>
        </w:rPr>
        <w:t>、</w:t>
      </w:r>
      <w:r>
        <w:rPr>
          <w:rFonts w:hint="eastAsia" w:ascii="宋体" w:hAnsi="宋体" w:eastAsia="宋体" w:cs="宋体"/>
          <w:b/>
          <w:bCs w:val="0"/>
          <w:snapToGrid w:val="0"/>
          <w:color w:val="auto"/>
          <w:kern w:val="0"/>
          <w:sz w:val="24"/>
          <w:szCs w:val="20"/>
          <w:highlight w:val="none"/>
        </w:rPr>
        <w:t>备品备件或更换部件的供应</w:t>
      </w:r>
    </w:p>
    <w:p w14:paraId="692875E0">
      <w:pPr>
        <w:widowControl/>
        <w:numPr>
          <w:ilvl w:val="-1"/>
          <w:numId w:val="0"/>
        </w:numPr>
        <w:wordWrap/>
        <w:adjustRightInd w:val="0"/>
        <w:snapToGrid w:val="0"/>
        <w:spacing w:line="360" w:lineRule="auto"/>
        <w:ind w:left="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val="en-US" w:eastAsia="zh-CN"/>
        </w:rPr>
        <w:t>18</w:t>
      </w:r>
      <w:r>
        <w:rPr>
          <w:rFonts w:hint="eastAsia" w:ascii="宋体" w:hAnsi="宋体" w:eastAsia="宋体" w:cs="宋体"/>
          <w:snapToGrid w:val="0"/>
          <w:color w:val="auto"/>
          <w:kern w:val="0"/>
          <w:sz w:val="24"/>
          <w:szCs w:val="20"/>
          <w:highlight w:val="none"/>
        </w:rPr>
        <w:t>.1 在签发本项目初步验收证书（PAC）之前，乙方应为整个装置提供足够数量的备品备件，该部分备品备件必须足够保证光伏发电系统在正常运行条件下有效运行至FAC签署日，并符合制造商在</w:t>
      </w:r>
      <w:r>
        <w:rPr>
          <w:rFonts w:hint="eastAsia" w:ascii="宋体" w:hAnsi="宋体" w:eastAsia="宋体" w:cs="宋体"/>
          <w:snapToGrid w:val="0"/>
          <w:color w:val="auto"/>
          <w:kern w:val="0"/>
          <w:sz w:val="24"/>
          <w:szCs w:val="20"/>
          <w:highlight w:val="none"/>
          <w:lang w:val="en-US" w:eastAsia="zh-CN"/>
        </w:rPr>
        <w:t>相关</w:t>
      </w:r>
      <w:r>
        <w:rPr>
          <w:rFonts w:hint="eastAsia" w:ascii="宋体" w:hAnsi="宋体" w:eastAsia="宋体" w:cs="宋体"/>
          <w:snapToGrid w:val="0"/>
          <w:color w:val="auto"/>
          <w:kern w:val="0"/>
          <w:sz w:val="24"/>
          <w:szCs w:val="20"/>
          <w:highlight w:val="none"/>
        </w:rPr>
        <w:t>方面的推荐。</w:t>
      </w:r>
    </w:p>
    <w:p w14:paraId="5F64119D">
      <w:pPr>
        <w:widowControl/>
        <w:numPr>
          <w:ilvl w:val="-1"/>
          <w:numId w:val="0"/>
        </w:numPr>
        <w:wordWrap/>
        <w:adjustRightInd w:val="0"/>
        <w:snapToGrid w:val="0"/>
        <w:spacing w:line="360" w:lineRule="auto"/>
        <w:ind w:left="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val="en-US" w:eastAsia="zh-CN"/>
        </w:rPr>
        <w:t xml:space="preserve">18.2 </w:t>
      </w:r>
      <w:r>
        <w:rPr>
          <w:rFonts w:hint="eastAsia" w:ascii="宋体" w:hAnsi="宋体" w:eastAsia="宋体" w:cs="宋体"/>
          <w:snapToGrid w:val="0"/>
          <w:color w:val="auto"/>
          <w:kern w:val="0"/>
          <w:sz w:val="24"/>
          <w:szCs w:val="20"/>
          <w:highlight w:val="none"/>
        </w:rPr>
        <w:t>乙方须根据甲方的要求，随时以不高于投标分项报价</w:t>
      </w:r>
      <w:r>
        <w:rPr>
          <w:rFonts w:hint="eastAsia" w:ascii="宋体" w:hAnsi="宋体" w:eastAsia="宋体" w:cs="宋体"/>
          <w:snapToGrid w:val="0"/>
          <w:color w:val="auto"/>
          <w:kern w:val="0"/>
          <w:sz w:val="24"/>
          <w:szCs w:val="20"/>
          <w:highlight w:val="none"/>
          <w:lang w:eastAsia="zh-CN"/>
        </w:rPr>
        <w:t>的</w:t>
      </w:r>
      <w:r>
        <w:rPr>
          <w:rFonts w:hint="eastAsia" w:ascii="宋体" w:hAnsi="宋体" w:eastAsia="宋体" w:cs="宋体"/>
          <w:snapToGrid w:val="0"/>
          <w:color w:val="auto"/>
          <w:kern w:val="0"/>
          <w:sz w:val="24"/>
          <w:szCs w:val="20"/>
          <w:highlight w:val="none"/>
          <w:lang w:val="en-US" w:eastAsia="zh-CN"/>
        </w:rPr>
        <w:t>标准</w:t>
      </w:r>
      <w:r>
        <w:rPr>
          <w:rFonts w:hint="eastAsia" w:ascii="宋体" w:hAnsi="宋体" w:eastAsia="宋体" w:cs="宋体"/>
          <w:snapToGrid w:val="0"/>
          <w:color w:val="auto"/>
          <w:kern w:val="0"/>
          <w:sz w:val="24"/>
          <w:szCs w:val="20"/>
          <w:highlight w:val="none"/>
        </w:rPr>
        <w:t>向甲方出售和提供备品备件及更换部件，其期限是从FAC签署日算起的2年内</w:t>
      </w:r>
      <w:r>
        <w:rPr>
          <w:rFonts w:hint="eastAsia" w:ascii="宋体" w:hAnsi="宋体" w:eastAsia="宋体" w:cs="宋体"/>
          <w:snapToGrid w:val="0"/>
          <w:color w:val="auto"/>
          <w:kern w:val="0"/>
          <w:sz w:val="24"/>
          <w:szCs w:val="20"/>
          <w:highlight w:val="none"/>
          <w:lang w:eastAsia="zh-CN"/>
        </w:rPr>
        <w:t>；</w:t>
      </w:r>
      <w:r>
        <w:rPr>
          <w:rFonts w:hint="eastAsia" w:ascii="宋体" w:hAnsi="宋体" w:eastAsia="宋体" w:cs="宋体"/>
          <w:snapToGrid w:val="0"/>
          <w:color w:val="auto"/>
          <w:kern w:val="0"/>
          <w:sz w:val="24"/>
          <w:szCs w:val="20"/>
          <w:highlight w:val="none"/>
        </w:rPr>
        <w:t>随时以合理的价格向甲方出售和提供备品备件及更换部件，其期限是从FAC签署日算起的15年内。</w:t>
      </w:r>
    </w:p>
    <w:p w14:paraId="78B1F102">
      <w:pPr>
        <w:widowControl/>
        <w:numPr>
          <w:ilvl w:val="-1"/>
          <w:numId w:val="0"/>
        </w:numPr>
        <w:wordWrap/>
        <w:adjustRightInd w:val="0"/>
        <w:snapToGrid w:val="0"/>
        <w:spacing w:line="360" w:lineRule="auto"/>
        <w:ind w:left="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val="en-US" w:eastAsia="zh-CN"/>
        </w:rPr>
        <w:t xml:space="preserve">18.3 </w:t>
      </w:r>
      <w:r>
        <w:rPr>
          <w:rFonts w:hint="eastAsia" w:ascii="宋体" w:hAnsi="宋体" w:eastAsia="宋体" w:cs="宋体"/>
          <w:snapToGrid w:val="0"/>
          <w:color w:val="auto"/>
          <w:kern w:val="0"/>
          <w:sz w:val="24"/>
          <w:szCs w:val="20"/>
          <w:highlight w:val="none"/>
        </w:rPr>
        <w:t>如在上述第</w:t>
      </w:r>
      <w:r>
        <w:rPr>
          <w:rFonts w:hint="eastAsia" w:ascii="宋体" w:hAnsi="宋体" w:eastAsia="宋体" w:cs="宋体"/>
          <w:snapToGrid w:val="0"/>
          <w:color w:val="auto"/>
          <w:kern w:val="0"/>
          <w:sz w:val="24"/>
          <w:szCs w:val="20"/>
          <w:highlight w:val="none"/>
          <w:lang w:eastAsia="zh-CN"/>
        </w:rPr>
        <w:t>1</w:t>
      </w:r>
      <w:r>
        <w:rPr>
          <w:rFonts w:hint="eastAsia" w:ascii="宋体" w:hAnsi="宋体" w:eastAsia="宋体" w:cs="宋体"/>
          <w:snapToGrid w:val="0"/>
          <w:color w:val="auto"/>
          <w:kern w:val="0"/>
          <w:sz w:val="24"/>
          <w:szCs w:val="20"/>
          <w:highlight w:val="none"/>
          <w:lang w:val="en-US" w:eastAsia="zh-CN"/>
        </w:rPr>
        <w:t>8</w:t>
      </w:r>
      <w:r>
        <w:rPr>
          <w:rFonts w:hint="eastAsia" w:ascii="宋体" w:hAnsi="宋体" w:eastAsia="宋体" w:cs="宋体"/>
          <w:snapToGrid w:val="0"/>
          <w:color w:val="auto"/>
          <w:kern w:val="0"/>
          <w:sz w:val="24"/>
          <w:szCs w:val="20"/>
          <w:highlight w:val="none"/>
        </w:rPr>
        <w:t>.2</w:t>
      </w:r>
      <w:r>
        <w:rPr>
          <w:rFonts w:hint="eastAsia" w:ascii="宋体" w:hAnsi="宋体" w:eastAsia="宋体" w:cs="宋体"/>
          <w:snapToGrid w:val="0"/>
          <w:color w:val="auto"/>
          <w:kern w:val="0"/>
          <w:sz w:val="24"/>
          <w:szCs w:val="20"/>
          <w:highlight w:val="none"/>
          <w:lang w:val="en-US" w:eastAsia="zh-CN"/>
        </w:rPr>
        <w:t>款</w:t>
      </w:r>
      <w:r>
        <w:rPr>
          <w:rFonts w:hint="eastAsia" w:ascii="宋体" w:hAnsi="宋体" w:eastAsia="宋体" w:cs="宋体"/>
          <w:snapToGrid w:val="0"/>
          <w:color w:val="auto"/>
          <w:kern w:val="0"/>
          <w:sz w:val="24"/>
          <w:szCs w:val="20"/>
          <w:highlight w:val="none"/>
        </w:rPr>
        <w:t>中所述的期限结束之前，乙方</w:t>
      </w:r>
      <w:r>
        <w:rPr>
          <w:rFonts w:hint="eastAsia" w:ascii="宋体" w:hAnsi="宋体" w:eastAsia="宋体" w:cs="宋体"/>
          <w:snapToGrid w:val="0"/>
          <w:color w:val="auto"/>
          <w:kern w:val="0"/>
          <w:sz w:val="24"/>
          <w:szCs w:val="20"/>
          <w:highlight w:val="none"/>
          <w:lang w:val="en-US" w:eastAsia="zh-CN"/>
        </w:rPr>
        <w:t>需</w:t>
      </w:r>
      <w:r>
        <w:rPr>
          <w:rFonts w:hint="eastAsia" w:ascii="宋体" w:hAnsi="宋体" w:eastAsia="宋体" w:cs="宋体"/>
          <w:snapToGrid w:val="0"/>
          <w:color w:val="auto"/>
          <w:kern w:val="0"/>
          <w:sz w:val="24"/>
          <w:szCs w:val="20"/>
          <w:highlight w:val="none"/>
        </w:rPr>
        <w:t>停止提供光伏发电系统或其中任何部分的备品备件或更换部件</w:t>
      </w:r>
      <w:r>
        <w:rPr>
          <w:rFonts w:hint="eastAsia" w:ascii="宋体" w:hAnsi="宋体" w:eastAsia="宋体" w:cs="宋体"/>
          <w:snapToGrid w:val="0"/>
          <w:color w:val="auto"/>
          <w:kern w:val="0"/>
          <w:sz w:val="24"/>
          <w:szCs w:val="20"/>
          <w:highlight w:val="none"/>
          <w:lang w:eastAsia="zh-CN"/>
        </w:rPr>
        <w:t>的</w:t>
      </w:r>
      <w:r>
        <w:rPr>
          <w:rFonts w:hint="eastAsia" w:ascii="宋体" w:hAnsi="宋体" w:eastAsia="宋体" w:cs="宋体"/>
          <w:snapToGrid w:val="0"/>
          <w:color w:val="auto"/>
          <w:kern w:val="0"/>
          <w:sz w:val="24"/>
          <w:szCs w:val="20"/>
          <w:highlight w:val="none"/>
        </w:rPr>
        <w:t>，应</w:t>
      </w:r>
      <w:r>
        <w:rPr>
          <w:rFonts w:hint="eastAsia" w:ascii="宋体" w:hAnsi="宋体" w:eastAsia="宋体" w:cs="宋体"/>
          <w:snapToGrid w:val="0"/>
          <w:color w:val="auto"/>
          <w:kern w:val="0"/>
          <w:sz w:val="24"/>
          <w:szCs w:val="20"/>
          <w:highlight w:val="none"/>
          <w:lang w:val="en-US" w:eastAsia="zh-CN"/>
        </w:rPr>
        <w:t>提前书面</w:t>
      </w:r>
      <w:r>
        <w:rPr>
          <w:rFonts w:hint="eastAsia" w:ascii="宋体" w:hAnsi="宋体" w:eastAsia="宋体" w:cs="宋体"/>
          <w:snapToGrid w:val="0"/>
          <w:color w:val="auto"/>
          <w:kern w:val="0"/>
          <w:sz w:val="24"/>
          <w:szCs w:val="20"/>
          <w:highlight w:val="none"/>
        </w:rPr>
        <w:t>通知甲方，以</w:t>
      </w:r>
      <w:r>
        <w:rPr>
          <w:rFonts w:hint="eastAsia" w:ascii="宋体" w:hAnsi="宋体" w:eastAsia="宋体" w:cs="宋体"/>
          <w:snapToGrid w:val="0"/>
          <w:color w:val="auto"/>
          <w:kern w:val="0"/>
          <w:sz w:val="24"/>
          <w:szCs w:val="20"/>
          <w:highlight w:val="none"/>
          <w:lang w:val="en-US" w:eastAsia="zh-CN"/>
        </w:rPr>
        <w:t>便于</w:t>
      </w:r>
      <w:r>
        <w:rPr>
          <w:rFonts w:hint="eastAsia" w:ascii="宋体" w:hAnsi="宋体" w:eastAsia="宋体" w:cs="宋体"/>
          <w:snapToGrid w:val="0"/>
          <w:color w:val="auto"/>
          <w:kern w:val="0"/>
          <w:sz w:val="24"/>
          <w:szCs w:val="20"/>
          <w:highlight w:val="none"/>
        </w:rPr>
        <w:t>甲方</w:t>
      </w:r>
      <w:r>
        <w:rPr>
          <w:rFonts w:hint="eastAsia" w:ascii="宋体" w:hAnsi="宋体" w:eastAsia="宋体" w:cs="宋体"/>
          <w:snapToGrid w:val="0"/>
          <w:color w:val="auto"/>
          <w:kern w:val="0"/>
          <w:sz w:val="24"/>
          <w:szCs w:val="20"/>
          <w:highlight w:val="none"/>
          <w:lang w:val="en-US" w:eastAsia="zh-CN"/>
        </w:rPr>
        <w:t>有条件</w:t>
      </w:r>
      <w:r>
        <w:rPr>
          <w:rFonts w:hint="eastAsia" w:ascii="宋体" w:hAnsi="宋体" w:eastAsia="宋体" w:cs="宋体"/>
          <w:snapToGrid w:val="0"/>
          <w:color w:val="auto"/>
          <w:kern w:val="0"/>
          <w:sz w:val="24"/>
          <w:szCs w:val="20"/>
          <w:highlight w:val="none"/>
        </w:rPr>
        <w:t>（在六个月内实施）以合理的价格购置其认为光伏发电系统或其中任何部分在预定年限内合理需要的足够数量的备品备件或更换部件。</w:t>
      </w:r>
    </w:p>
    <w:p w14:paraId="246F09D9">
      <w:pPr>
        <w:widowControl/>
        <w:numPr>
          <w:ilvl w:val="-1"/>
          <w:numId w:val="0"/>
        </w:numPr>
        <w:wordWrap/>
        <w:adjustRightInd w:val="0"/>
        <w:snapToGrid w:val="0"/>
        <w:spacing w:line="360" w:lineRule="auto"/>
        <w:ind w:left="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val="en-US" w:eastAsia="zh-CN"/>
        </w:rPr>
        <w:t xml:space="preserve">18.4 </w:t>
      </w:r>
      <w:r>
        <w:rPr>
          <w:rFonts w:hint="eastAsia" w:ascii="宋体" w:hAnsi="宋体" w:eastAsia="宋体" w:cs="宋体"/>
          <w:snapToGrid w:val="0"/>
          <w:color w:val="auto"/>
          <w:kern w:val="0"/>
          <w:sz w:val="24"/>
          <w:szCs w:val="20"/>
          <w:highlight w:val="none"/>
        </w:rPr>
        <w:t>如乙方确实无法根据上述第</w:t>
      </w:r>
      <w:r>
        <w:rPr>
          <w:rFonts w:hint="eastAsia" w:ascii="宋体" w:hAnsi="宋体" w:eastAsia="宋体" w:cs="宋体"/>
          <w:snapToGrid w:val="0"/>
          <w:color w:val="auto"/>
          <w:kern w:val="0"/>
          <w:sz w:val="24"/>
          <w:szCs w:val="20"/>
          <w:highlight w:val="none"/>
          <w:lang w:eastAsia="zh-CN"/>
        </w:rPr>
        <w:t>1</w:t>
      </w:r>
      <w:r>
        <w:rPr>
          <w:rFonts w:hint="eastAsia" w:ascii="宋体" w:hAnsi="宋体" w:eastAsia="宋体" w:cs="宋体"/>
          <w:snapToGrid w:val="0"/>
          <w:color w:val="auto"/>
          <w:kern w:val="0"/>
          <w:sz w:val="24"/>
          <w:szCs w:val="20"/>
          <w:highlight w:val="none"/>
          <w:lang w:val="en-US" w:eastAsia="zh-CN"/>
        </w:rPr>
        <w:t>8</w:t>
      </w:r>
      <w:r>
        <w:rPr>
          <w:rFonts w:hint="eastAsia" w:ascii="宋体" w:hAnsi="宋体" w:eastAsia="宋体" w:cs="宋体"/>
          <w:snapToGrid w:val="0"/>
          <w:color w:val="auto"/>
          <w:kern w:val="0"/>
          <w:sz w:val="24"/>
          <w:szCs w:val="20"/>
          <w:highlight w:val="none"/>
        </w:rPr>
        <w:t>.</w:t>
      </w:r>
      <w:r>
        <w:rPr>
          <w:rFonts w:hint="eastAsia" w:ascii="宋体" w:hAnsi="宋体" w:eastAsia="宋体" w:cs="宋体"/>
          <w:snapToGrid w:val="0"/>
          <w:color w:val="auto"/>
          <w:kern w:val="0"/>
          <w:sz w:val="24"/>
          <w:szCs w:val="20"/>
          <w:highlight w:val="none"/>
          <w:lang w:val="en-US" w:eastAsia="zh-CN"/>
        </w:rPr>
        <w:t>1款及18.2</w:t>
      </w:r>
      <w:r>
        <w:rPr>
          <w:rFonts w:hint="eastAsia" w:ascii="宋体" w:hAnsi="宋体" w:eastAsia="宋体" w:cs="宋体"/>
          <w:snapToGrid w:val="0"/>
          <w:color w:val="auto"/>
          <w:kern w:val="0"/>
          <w:sz w:val="24"/>
          <w:szCs w:val="20"/>
          <w:highlight w:val="none"/>
        </w:rPr>
        <w:t>款继续供应备品备件或更换部件</w:t>
      </w:r>
      <w:r>
        <w:rPr>
          <w:rFonts w:hint="eastAsia" w:ascii="宋体" w:hAnsi="宋体" w:eastAsia="宋体" w:cs="宋体"/>
          <w:snapToGrid w:val="0"/>
          <w:color w:val="auto"/>
          <w:kern w:val="0"/>
          <w:sz w:val="24"/>
          <w:szCs w:val="20"/>
          <w:highlight w:val="none"/>
          <w:lang w:eastAsia="zh-CN"/>
        </w:rPr>
        <w:t>的</w:t>
      </w:r>
      <w:r>
        <w:rPr>
          <w:rFonts w:hint="eastAsia" w:ascii="宋体" w:hAnsi="宋体" w:eastAsia="宋体" w:cs="宋体"/>
          <w:snapToGrid w:val="0"/>
          <w:color w:val="auto"/>
          <w:kern w:val="0"/>
          <w:sz w:val="24"/>
          <w:szCs w:val="20"/>
          <w:highlight w:val="none"/>
        </w:rPr>
        <w:t>，甲方可接受由乙方提出的其他备品备件或更换部件的供应商以延续其供货，但其设备的质量必须与原来的相似或更好，并</w:t>
      </w:r>
      <w:r>
        <w:rPr>
          <w:rFonts w:hint="eastAsia" w:ascii="宋体" w:hAnsi="宋体" w:eastAsia="宋体" w:cs="宋体"/>
          <w:snapToGrid w:val="0"/>
          <w:color w:val="auto"/>
          <w:kern w:val="0"/>
          <w:sz w:val="24"/>
          <w:szCs w:val="20"/>
          <w:highlight w:val="none"/>
          <w:lang w:val="en-US" w:eastAsia="zh-CN"/>
        </w:rPr>
        <w:t>能满足</w:t>
      </w:r>
      <w:r>
        <w:rPr>
          <w:rFonts w:hint="eastAsia" w:ascii="宋体" w:hAnsi="宋体" w:eastAsia="宋体" w:cs="宋体"/>
          <w:snapToGrid w:val="0"/>
          <w:color w:val="auto"/>
          <w:kern w:val="0"/>
          <w:sz w:val="24"/>
          <w:szCs w:val="20"/>
          <w:highlight w:val="none"/>
        </w:rPr>
        <w:t>甲方</w:t>
      </w:r>
      <w:r>
        <w:rPr>
          <w:rFonts w:hint="eastAsia" w:ascii="宋体" w:hAnsi="宋体" w:eastAsia="宋体" w:cs="宋体"/>
          <w:snapToGrid w:val="0"/>
          <w:color w:val="auto"/>
          <w:kern w:val="0"/>
          <w:sz w:val="24"/>
          <w:szCs w:val="20"/>
          <w:highlight w:val="none"/>
          <w:lang w:val="en-US" w:eastAsia="zh-CN"/>
        </w:rPr>
        <w:t>使用的标准及要求</w:t>
      </w:r>
      <w:r>
        <w:rPr>
          <w:rFonts w:hint="eastAsia" w:ascii="宋体" w:hAnsi="宋体" w:eastAsia="宋体" w:cs="宋体"/>
          <w:snapToGrid w:val="0"/>
          <w:color w:val="auto"/>
          <w:kern w:val="0"/>
          <w:sz w:val="24"/>
          <w:szCs w:val="20"/>
          <w:highlight w:val="none"/>
        </w:rPr>
        <w:t>。</w:t>
      </w:r>
    </w:p>
    <w:p w14:paraId="336B6EF1">
      <w:pPr>
        <w:widowControl/>
        <w:numPr>
          <w:ilvl w:val="-1"/>
          <w:numId w:val="0"/>
        </w:numPr>
        <w:wordWrap/>
        <w:adjustRightInd w:val="0"/>
        <w:snapToGrid w:val="0"/>
        <w:spacing w:line="360" w:lineRule="auto"/>
        <w:ind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val="en-US" w:eastAsia="zh-CN"/>
        </w:rPr>
        <w:t xml:space="preserve">18.5 </w:t>
      </w:r>
      <w:r>
        <w:rPr>
          <w:rFonts w:hint="eastAsia" w:ascii="宋体" w:hAnsi="宋体" w:eastAsia="宋体" w:cs="宋体"/>
          <w:snapToGrid w:val="0"/>
          <w:color w:val="auto"/>
          <w:kern w:val="0"/>
          <w:sz w:val="24"/>
          <w:szCs w:val="20"/>
          <w:highlight w:val="none"/>
        </w:rPr>
        <w:t>如乙方在</w:t>
      </w:r>
      <w:r>
        <w:rPr>
          <w:rFonts w:hint="eastAsia" w:ascii="宋体" w:hAnsi="宋体" w:eastAsia="宋体" w:cs="宋体"/>
          <w:snapToGrid w:val="0"/>
          <w:color w:val="auto"/>
          <w:kern w:val="0"/>
          <w:sz w:val="24"/>
          <w:szCs w:val="20"/>
          <w:highlight w:val="none"/>
          <w:lang w:val="en-US" w:eastAsia="zh-CN"/>
        </w:rPr>
        <w:t>上述第</w:t>
      </w:r>
      <w:r>
        <w:rPr>
          <w:rFonts w:hint="eastAsia" w:ascii="宋体" w:hAnsi="宋体" w:eastAsia="宋体" w:cs="宋体"/>
          <w:snapToGrid w:val="0"/>
          <w:color w:val="auto"/>
          <w:kern w:val="0"/>
          <w:sz w:val="24"/>
          <w:szCs w:val="20"/>
          <w:highlight w:val="none"/>
          <w:lang w:eastAsia="zh-CN"/>
        </w:rPr>
        <w:t>1</w:t>
      </w:r>
      <w:r>
        <w:rPr>
          <w:rFonts w:hint="eastAsia" w:ascii="宋体" w:hAnsi="宋体" w:eastAsia="宋体" w:cs="宋体"/>
          <w:snapToGrid w:val="0"/>
          <w:color w:val="auto"/>
          <w:kern w:val="0"/>
          <w:sz w:val="24"/>
          <w:szCs w:val="20"/>
          <w:highlight w:val="none"/>
          <w:lang w:val="en-US" w:eastAsia="zh-CN"/>
        </w:rPr>
        <w:t>8</w:t>
      </w:r>
      <w:r>
        <w:rPr>
          <w:rFonts w:hint="eastAsia" w:ascii="宋体" w:hAnsi="宋体" w:eastAsia="宋体" w:cs="宋体"/>
          <w:snapToGrid w:val="0"/>
          <w:color w:val="auto"/>
          <w:kern w:val="0"/>
          <w:sz w:val="24"/>
          <w:szCs w:val="20"/>
          <w:highlight w:val="none"/>
        </w:rPr>
        <w:t>.2</w:t>
      </w:r>
      <w:r>
        <w:rPr>
          <w:rFonts w:hint="eastAsia" w:ascii="宋体" w:hAnsi="宋体" w:eastAsia="宋体" w:cs="宋体"/>
          <w:snapToGrid w:val="0"/>
          <w:color w:val="auto"/>
          <w:kern w:val="0"/>
          <w:sz w:val="24"/>
          <w:szCs w:val="20"/>
          <w:highlight w:val="none"/>
          <w:lang w:val="en-US" w:eastAsia="zh-CN"/>
        </w:rPr>
        <w:t>款</w:t>
      </w:r>
      <w:r>
        <w:rPr>
          <w:rFonts w:hint="eastAsia" w:ascii="宋体" w:hAnsi="宋体" w:eastAsia="宋体" w:cs="宋体"/>
          <w:snapToGrid w:val="0"/>
          <w:color w:val="auto"/>
          <w:kern w:val="0"/>
          <w:sz w:val="24"/>
          <w:szCs w:val="20"/>
          <w:highlight w:val="none"/>
        </w:rPr>
        <w:t>所述期限内未能完成甲方提出的备品备件或更换部件的供货</w:t>
      </w:r>
      <w:r>
        <w:rPr>
          <w:rFonts w:hint="eastAsia" w:ascii="宋体" w:hAnsi="宋体" w:eastAsia="宋体" w:cs="宋体"/>
          <w:snapToGrid w:val="0"/>
          <w:color w:val="auto"/>
          <w:kern w:val="0"/>
          <w:sz w:val="24"/>
          <w:szCs w:val="20"/>
          <w:highlight w:val="none"/>
          <w:lang w:val="en-US" w:eastAsia="zh-CN"/>
        </w:rPr>
        <w:t>需求</w:t>
      </w:r>
      <w:r>
        <w:rPr>
          <w:rFonts w:hint="eastAsia" w:ascii="宋体" w:hAnsi="宋体" w:eastAsia="宋体" w:cs="宋体"/>
          <w:snapToGrid w:val="0"/>
          <w:color w:val="auto"/>
          <w:kern w:val="0"/>
          <w:sz w:val="24"/>
          <w:szCs w:val="20"/>
          <w:highlight w:val="none"/>
        </w:rPr>
        <w:t>，或既</w:t>
      </w:r>
      <w:r>
        <w:rPr>
          <w:rFonts w:hint="eastAsia" w:ascii="宋体" w:hAnsi="宋体" w:eastAsia="宋体" w:cs="宋体"/>
          <w:snapToGrid w:val="0"/>
          <w:color w:val="auto"/>
          <w:kern w:val="0"/>
          <w:sz w:val="24"/>
          <w:szCs w:val="20"/>
          <w:highlight w:val="none"/>
          <w:lang w:val="en-US" w:eastAsia="zh-CN"/>
        </w:rPr>
        <w:t>未</w:t>
      </w:r>
      <w:r>
        <w:rPr>
          <w:rFonts w:hint="eastAsia" w:ascii="宋体" w:hAnsi="宋体" w:eastAsia="宋体" w:cs="宋体"/>
          <w:snapToGrid w:val="0"/>
          <w:color w:val="auto"/>
          <w:kern w:val="0"/>
          <w:sz w:val="24"/>
          <w:szCs w:val="20"/>
          <w:highlight w:val="none"/>
        </w:rPr>
        <w:t>通知甲方：</w:t>
      </w:r>
      <w:r>
        <w:rPr>
          <w:rFonts w:hint="eastAsia" w:ascii="宋体" w:hAnsi="宋体" w:eastAsia="宋体" w:cs="宋体"/>
          <w:snapToGrid w:val="0"/>
          <w:color w:val="auto"/>
          <w:kern w:val="0"/>
          <w:sz w:val="24"/>
          <w:szCs w:val="20"/>
          <w:highlight w:val="none"/>
          <w:lang w:eastAsia="zh-CN"/>
        </w:rPr>
        <w:t>（</w:t>
      </w:r>
      <w:r>
        <w:rPr>
          <w:rFonts w:hint="eastAsia" w:ascii="宋体" w:hAnsi="宋体" w:eastAsia="宋体" w:cs="宋体"/>
          <w:snapToGrid w:val="0"/>
          <w:color w:val="auto"/>
          <w:kern w:val="0"/>
          <w:sz w:val="24"/>
          <w:szCs w:val="20"/>
          <w:highlight w:val="none"/>
          <w:lang w:val="en-US" w:eastAsia="zh-CN"/>
        </w:rPr>
        <w:t>A</w:t>
      </w:r>
      <w:r>
        <w:rPr>
          <w:rFonts w:hint="eastAsia" w:ascii="宋体" w:hAnsi="宋体" w:eastAsia="宋体" w:cs="宋体"/>
          <w:snapToGrid w:val="0"/>
          <w:color w:val="auto"/>
          <w:kern w:val="0"/>
          <w:sz w:val="24"/>
          <w:szCs w:val="20"/>
          <w:highlight w:val="none"/>
          <w:lang w:eastAsia="zh-CN"/>
        </w:rPr>
        <w:t>）</w:t>
      </w:r>
      <w:r>
        <w:rPr>
          <w:rFonts w:hint="eastAsia" w:ascii="宋体" w:hAnsi="宋体" w:eastAsia="宋体" w:cs="宋体"/>
          <w:snapToGrid w:val="0"/>
          <w:color w:val="auto"/>
          <w:kern w:val="0"/>
          <w:sz w:val="24"/>
          <w:szCs w:val="20"/>
          <w:highlight w:val="none"/>
        </w:rPr>
        <w:t>又</w:t>
      </w:r>
      <w:r>
        <w:rPr>
          <w:rFonts w:hint="eastAsia" w:ascii="宋体" w:hAnsi="宋体" w:eastAsia="宋体" w:cs="宋体"/>
          <w:snapToGrid w:val="0"/>
          <w:color w:val="auto"/>
          <w:kern w:val="0"/>
          <w:sz w:val="24"/>
          <w:szCs w:val="20"/>
          <w:highlight w:val="none"/>
          <w:lang w:val="en-US" w:eastAsia="zh-CN"/>
        </w:rPr>
        <w:t>未</w:t>
      </w:r>
      <w:r>
        <w:rPr>
          <w:rFonts w:hint="eastAsia" w:ascii="宋体" w:hAnsi="宋体" w:eastAsia="宋体" w:cs="宋体"/>
          <w:snapToGrid w:val="0"/>
          <w:color w:val="auto"/>
          <w:kern w:val="0"/>
          <w:sz w:val="24"/>
          <w:szCs w:val="20"/>
          <w:highlight w:val="none"/>
        </w:rPr>
        <w:t>按合理价格从速向甲方提供光伏发电系统合理需要的备品备件或更换部件，或</w:t>
      </w:r>
      <w:r>
        <w:rPr>
          <w:rFonts w:hint="eastAsia" w:ascii="宋体" w:hAnsi="宋体" w:eastAsia="宋体" w:cs="宋体"/>
          <w:snapToGrid w:val="0"/>
          <w:color w:val="auto"/>
          <w:kern w:val="0"/>
          <w:sz w:val="24"/>
          <w:szCs w:val="20"/>
          <w:highlight w:val="none"/>
          <w:lang w:eastAsia="zh-CN"/>
        </w:rPr>
        <w:t>（</w:t>
      </w:r>
      <w:r>
        <w:rPr>
          <w:rFonts w:hint="eastAsia" w:ascii="宋体" w:hAnsi="宋体" w:eastAsia="宋体" w:cs="宋体"/>
          <w:snapToGrid w:val="0"/>
          <w:color w:val="auto"/>
          <w:kern w:val="0"/>
          <w:sz w:val="24"/>
          <w:szCs w:val="20"/>
          <w:highlight w:val="none"/>
          <w:lang w:val="en-US" w:eastAsia="zh-CN"/>
        </w:rPr>
        <w:t>B</w:t>
      </w:r>
      <w:r>
        <w:rPr>
          <w:rFonts w:hint="eastAsia" w:ascii="宋体" w:hAnsi="宋体" w:eastAsia="宋体" w:cs="宋体"/>
          <w:snapToGrid w:val="0"/>
          <w:color w:val="auto"/>
          <w:kern w:val="0"/>
          <w:sz w:val="24"/>
          <w:szCs w:val="20"/>
          <w:highlight w:val="none"/>
          <w:lang w:eastAsia="zh-CN"/>
        </w:rPr>
        <w:t>）</w:t>
      </w:r>
      <w:r>
        <w:rPr>
          <w:rFonts w:hint="eastAsia" w:ascii="宋体" w:hAnsi="宋体" w:eastAsia="宋体" w:cs="宋体"/>
          <w:snapToGrid w:val="0"/>
          <w:color w:val="auto"/>
          <w:kern w:val="0"/>
          <w:sz w:val="24"/>
          <w:szCs w:val="20"/>
          <w:highlight w:val="none"/>
        </w:rPr>
        <w:t>已经破产或结业</w:t>
      </w:r>
      <w:r>
        <w:rPr>
          <w:rFonts w:hint="eastAsia" w:ascii="宋体" w:hAnsi="宋体" w:eastAsia="宋体" w:cs="宋体"/>
          <w:snapToGrid w:val="0"/>
          <w:color w:val="auto"/>
          <w:kern w:val="0"/>
          <w:sz w:val="24"/>
          <w:szCs w:val="20"/>
          <w:highlight w:val="none"/>
          <w:lang w:eastAsia="zh-CN"/>
        </w:rPr>
        <w:t>的，</w:t>
      </w:r>
      <w:r>
        <w:rPr>
          <w:rFonts w:hint="eastAsia" w:ascii="宋体" w:hAnsi="宋体" w:eastAsia="宋体" w:cs="宋体"/>
          <w:snapToGrid w:val="0"/>
          <w:color w:val="auto"/>
          <w:kern w:val="0"/>
          <w:sz w:val="24"/>
          <w:szCs w:val="20"/>
          <w:highlight w:val="none"/>
        </w:rPr>
        <w:t>则只要法律规定或甲方提出要求，乙方应尽快无偿向甲方提供第</w:t>
      </w:r>
      <w:r>
        <w:rPr>
          <w:rFonts w:hint="eastAsia" w:ascii="宋体" w:hAnsi="宋体" w:eastAsia="宋体" w:cs="宋体"/>
          <w:snapToGrid w:val="0"/>
          <w:color w:val="auto"/>
          <w:kern w:val="0"/>
          <w:sz w:val="24"/>
          <w:szCs w:val="20"/>
          <w:highlight w:val="none"/>
          <w:lang w:eastAsia="zh-CN"/>
        </w:rPr>
        <w:t>1</w:t>
      </w:r>
      <w:r>
        <w:rPr>
          <w:rFonts w:hint="eastAsia" w:ascii="宋体" w:hAnsi="宋体" w:eastAsia="宋体" w:cs="宋体"/>
          <w:snapToGrid w:val="0"/>
          <w:color w:val="auto"/>
          <w:kern w:val="0"/>
          <w:sz w:val="24"/>
          <w:szCs w:val="20"/>
          <w:highlight w:val="none"/>
          <w:lang w:val="en-US" w:eastAsia="zh-CN"/>
        </w:rPr>
        <w:t>8</w:t>
      </w:r>
      <w:r>
        <w:rPr>
          <w:rFonts w:hint="eastAsia" w:ascii="宋体" w:hAnsi="宋体" w:eastAsia="宋体" w:cs="宋体"/>
          <w:snapToGrid w:val="0"/>
          <w:color w:val="auto"/>
          <w:kern w:val="0"/>
          <w:sz w:val="24"/>
          <w:szCs w:val="20"/>
          <w:highlight w:val="none"/>
        </w:rPr>
        <w:t>.3</w:t>
      </w:r>
      <w:r>
        <w:rPr>
          <w:rFonts w:hint="eastAsia" w:ascii="宋体" w:hAnsi="宋体" w:eastAsia="宋体" w:cs="宋体"/>
          <w:snapToGrid w:val="0"/>
          <w:color w:val="auto"/>
          <w:kern w:val="0"/>
          <w:sz w:val="24"/>
          <w:szCs w:val="20"/>
          <w:highlight w:val="none"/>
          <w:lang w:val="en-US" w:eastAsia="zh-CN"/>
        </w:rPr>
        <w:t>款</w:t>
      </w:r>
      <w:r>
        <w:rPr>
          <w:rFonts w:hint="eastAsia" w:ascii="宋体" w:hAnsi="宋体" w:eastAsia="宋体" w:cs="宋体"/>
          <w:snapToGrid w:val="0"/>
          <w:color w:val="auto"/>
          <w:kern w:val="0"/>
          <w:sz w:val="24"/>
          <w:szCs w:val="20"/>
          <w:highlight w:val="none"/>
        </w:rPr>
        <w:t>所</w:t>
      </w:r>
      <w:r>
        <w:rPr>
          <w:rFonts w:hint="eastAsia" w:ascii="宋体" w:hAnsi="宋体" w:eastAsia="宋体" w:cs="宋体"/>
          <w:snapToGrid w:val="0"/>
          <w:color w:val="auto"/>
          <w:kern w:val="0"/>
          <w:sz w:val="24"/>
          <w:szCs w:val="20"/>
          <w:highlight w:val="none"/>
          <w:lang w:val="en-US" w:eastAsia="zh-CN"/>
        </w:rPr>
        <w:t>述</w:t>
      </w:r>
      <w:r>
        <w:rPr>
          <w:rFonts w:hint="eastAsia" w:ascii="宋体" w:hAnsi="宋体" w:eastAsia="宋体" w:cs="宋体"/>
          <w:snapToGrid w:val="0"/>
          <w:color w:val="auto"/>
          <w:kern w:val="0"/>
          <w:sz w:val="24"/>
          <w:szCs w:val="20"/>
          <w:highlight w:val="none"/>
        </w:rPr>
        <w:t>的备品备件的图纸、模型、工具、模具、规范以及其他的资料和设备。甲方有权在甲方为行使本合同规定的权利所需的时间内保留这些图纸等，期满后如乙方提出要求，甲方应完好无损的归还给乙方（合理的磨损除外），其费用由乙方</w:t>
      </w:r>
      <w:r>
        <w:rPr>
          <w:rFonts w:hint="eastAsia" w:ascii="宋体" w:hAnsi="宋体" w:eastAsia="宋体" w:cs="宋体"/>
          <w:snapToGrid w:val="0"/>
          <w:color w:val="auto"/>
          <w:kern w:val="0"/>
          <w:sz w:val="24"/>
          <w:szCs w:val="20"/>
          <w:highlight w:val="none"/>
          <w:lang w:val="en-US" w:eastAsia="zh-CN"/>
        </w:rPr>
        <w:t>承担</w:t>
      </w:r>
      <w:r>
        <w:rPr>
          <w:rFonts w:hint="eastAsia" w:ascii="宋体" w:hAnsi="宋体" w:eastAsia="宋体" w:cs="宋体"/>
          <w:snapToGrid w:val="0"/>
          <w:color w:val="auto"/>
          <w:kern w:val="0"/>
          <w:sz w:val="24"/>
          <w:szCs w:val="20"/>
          <w:highlight w:val="none"/>
        </w:rPr>
        <w:t>。</w:t>
      </w:r>
    </w:p>
    <w:p w14:paraId="475E0DD7">
      <w:pPr>
        <w:widowControl/>
        <w:numPr>
          <w:ilvl w:val="-1"/>
          <w:numId w:val="0"/>
        </w:numPr>
        <w:wordWrap/>
        <w:adjustRightInd w:val="0"/>
        <w:snapToGrid w:val="0"/>
        <w:spacing w:line="360" w:lineRule="auto"/>
        <w:ind w:left="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val="en-US" w:eastAsia="zh-CN"/>
        </w:rPr>
        <w:t xml:space="preserve">18.6 </w:t>
      </w:r>
      <w:r>
        <w:rPr>
          <w:rFonts w:hint="eastAsia" w:ascii="宋体" w:hAnsi="宋体" w:eastAsia="宋体" w:cs="宋体"/>
          <w:snapToGrid w:val="0"/>
          <w:color w:val="auto"/>
          <w:kern w:val="0"/>
          <w:sz w:val="24"/>
          <w:szCs w:val="20"/>
          <w:highlight w:val="none"/>
        </w:rPr>
        <w:t>如甲方行使第</w:t>
      </w:r>
      <w:r>
        <w:rPr>
          <w:rFonts w:hint="eastAsia" w:ascii="宋体" w:hAnsi="宋体" w:eastAsia="宋体" w:cs="宋体"/>
          <w:snapToGrid w:val="0"/>
          <w:color w:val="auto"/>
          <w:kern w:val="0"/>
          <w:sz w:val="24"/>
          <w:szCs w:val="20"/>
          <w:highlight w:val="none"/>
          <w:lang w:eastAsia="zh-CN"/>
        </w:rPr>
        <w:t>1</w:t>
      </w:r>
      <w:r>
        <w:rPr>
          <w:rFonts w:hint="eastAsia" w:ascii="宋体" w:hAnsi="宋体" w:eastAsia="宋体" w:cs="宋体"/>
          <w:snapToGrid w:val="0"/>
          <w:color w:val="auto"/>
          <w:kern w:val="0"/>
          <w:sz w:val="24"/>
          <w:szCs w:val="20"/>
          <w:highlight w:val="none"/>
          <w:lang w:val="en-US" w:eastAsia="zh-CN"/>
        </w:rPr>
        <w:t>8</w:t>
      </w:r>
      <w:r>
        <w:rPr>
          <w:rFonts w:hint="eastAsia" w:ascii="宋体" w:hAnsi="宋体" w:eastAsia="宋体" w:cs="宋体"/>
          <w:snapToGrid w:val="0"/>
          <w:color w:val="auto"/>
          <w:kern w:val="0"/>
          <w:sz w:val="24"/>
          <w:szCs w:val="20"/>
          <w:highlight w:val="none"/>
        </w:rPr>
        <w:t>.3</w:t>
      </w:r>
      <w:r>
        <w:rPr>
          <w:rFonts w:hint="eastAsia" w:ascii="宋体" w:hAnsi="宋体" w:eastAsia="宋体" w:cs="宋体"/>
          <w:snapToGrid w:val="0"/>
          <w:color w:val="auto"/>
          <w:kern w:val="0"/>
          <w:sz w:val="24"/>
          <w:szCs w:val="20"/>
          <w:highlight w:val="none"/>
          <w:lang w:val="en-US" w:eastAsia="zh-CN"/>
        </w:rPr>
        <w:t>款</w:t>
      </w:r>
      <w:r>
        <w:rPr>
          <w:rFonts w:hint="eastAsia" w:ascii="宋体" w:hAnsi="宋体" w:eastAsia="宋体" w:cs="宋体"/>
          <w:snapToGrid w:val="0"/>
          <w:color w:val="auto"/>
          <w:kern w:val="0"/>
          <w:sz w:val="24"/>
          <w:szCs w:val="20"/>
          <w:highlight w:val="none"/>
        </w:rPr>
        <w:t>规定的权利，乙方必须在六个月内无偿授予甲方生产或制造备品备件或更换部件，或为此目的而使用和复制乙方根据合同规定向甲方提供的所有图纸、模型、工具、模具、规范以及其他资料的权利和自由，</w:t>
      </w:r>
      <w:r>
        <w:rPr>
          <w:rFonts w:hint="eastAsia" w:ascii="宋体" w:hAnsi="宋体" w:eastAsia="宋体" w:cs="宋体"/>
          <w:snapToGrid w:val="0"/>
          <w:color w:val="auto"/>
          <w:kern w:val="0"/>
          <w:sz w:val="24"/>
          <w:szCs w:val="20"/>
          <w:highlight w:val="none"/>
          <w:lang w:val="en-US" w:eastAsia="zh-CN"/>
        </w:rPr>
        <w:t>甲方</w:t>
      </w:r>
      <w:r>
        <w:rPr>
          <w:rFonts w:hint="eastAsia" w:ascii="宋体" w:hAnsi="宋体" w:eastAsia="宋体" w:cs="宋体"/>
          <w:snapToGrid w:val="0"/>
          <w:color w:val="auto"/>
          <w:kern w:val="0"/>
          <w:sz w:val="24"/>
          <w:szCs w:val="20"/>
          <w:highlight w:val="none"/>
        </w:rPr>
        <w:t>无需支付任何专利权使用费或其他费用。</w:t>
      </w:r>
    </w:p>
    <w:p w14:paraId="0B893DB6">
      <w:pPr>
        <w:widowControl/>
        <w:numPr>
          <w:ilvl w:val="-1"/>
          <w:numId w:val="0"/>
        </w:numPr>
        <w:wordWrap/>
        <w:adjustRightInd w:val="0"/>
        <w:snapToGrid w:val="0"/>
        <w:spacing w:line="360" w:lineRule="auto"/>
        <w:ind w:left="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val="en-US" w:eastAsia="zh-CN"/>
        </w:rPr>
        <w:t xml:space="preserve">18.7 </w:t>
      </w:r>
      <w:r>
        <w:rPr>
          <w:rFonts w:hint="eastAsia" w:ascii="宋体" w:hAnsi="宋体" w:eastAsia="宋体" w:cs="宋体"/>
          <w:snapToGrid w:val="0"/>
          <w:color w:val="auto"/>
          <w:kern w:val="0"/>
          <w:sz w:val="24"/>
          <w:szCs w:val="20"/>
          <w:highlight w:val="none"/>
        </w:rPr>
        <w:t>乙方必须在任何时候都尽力</w:t>
      </w:r>
      <w:r>
        <w:rPr>
          <w:rFonts w:hint="eastAsia" w:ascii="宋体" w:hAnsi="宋体" w:eastAsia="宋体" w:cs="宋体"/>
          <w:snapToGrid w:val="0"/>
          <w:color w:val="auto"/>
          <w:kern w:val="0"/>
          <w:sz w:val="24"/>
          <w:szCs w:val="20"/>
          <w:highlight w:val="none"/>
          <w:lang w:val="en-US" w:eastAsia="zh-CN"/>
        </w:rPr>
        <w:t>督促</w:t>
      </w:r>
      <w:r>
        <w:rPr>
          <w:rFonts w:hint="eastAsia" w:ascii="宋体" w:hAnsi="宋体" w:eastAsia="宋体" w:cs="宋体"/>
          <w:snapToGrid w:val="0"/>
          <w:color w:val="auto"/>
          <w:kern w:val="0"/>
          <w:sz w:val="24"/>
          <w:szCs w:val="20"/>
          <w:highlight w:val="none"/>
        </w:rPr>
        <w:t>确保其</w:t>
      </w:r>
      <w:r>
        <w:rPr>
          <w:rFonts w:hint="eastAsia" w:ascii="宋体" w:hAnsi="宋体" w:eastAsia="宋体" w:cs="宋体"/>
          <w:snapToGrid w:val="0"/>
          <w:color w:val="auto"/>
          <w:kern w:val="0"/>
          <w:sz w:val="24"/>
          <w:szCs w:val="20"/>
          <w:highlight w:val="none"/>
          <w:lang w:val="en-US" w:eastAsia="zh-CN"/>
        </w:rPr>
        <w:t>专业</w:t>
      </w:r>
      <w:r>
        <w:rPr>
          <w:rFonts w:hint="eastAsia" w:ascii="宋体" w:hAnsi="宋体" w:eastAsia="宋体" w:cs="宋体"/>
          <w:snapToGrid w:val="0"/>
          <w:color w:val="auto"/>
          <w:kern w:val="0"/>
          <w:sz w:val="24"/>
          <w:szCs w:val="20"/>
          <w:highlight w:val="none"/>
        </w:rPr>
        <w:t>分包遵守第</w:t>
      </w:r>
      <w:r>
        <w:rPr>
          <w:rFonts w:hint="eastAsia" w:ascii="宋体" w:hAnsi="宋体" w:eastAsia="宋体" w:cs="宋体"/>
          <w:snapToGrid w:val="0"/>
          <w:color w:val="auto"/>
          <w:kern w:val="0"/>
          <w:sz w:val="24"/>
          <w:szCs w:val="20"/>
          <w:highlight w:val="none"/>
          <w:lang w:eastAsia="zh-CN"/>
        </w:rPr>
        <w:t>1</w:t>
      </w:r>
      <w:r>
        <w:rPr>
          <w:rFonts w:hint="eastAsia" w:ascii="宋体" w:hAnsi="宋体" w:eastAsia="宋体" w:cs="宋体"/>
          <w:snapToGrid w:val="0"/>
          <w:color w:val="auto"/>
          <w:kern w:val="0"/>
          <w:sz w:val="24"/>
          <w:szCs w:val="20"/>
          <w:highlight w:val="none"/>
          <w:lang w:val="en-US" w:eastAsia="zh-CN"/>
        </w:rPr>
        <w:t>8</w:t>
      </w:r>
      <w:r>
        <w:rPr>
          <w:rFonts w:hint="eastAsia" w:ascii="宋体" w:hAnsi="宋体" w:eastAsia="宋体" w:cs="宋体"/>
          <w:snapToGrid w:val="0"/>
          <w:color w:val="auto"/>
          <w:kern w:val="0"/>
          <w:sz w:val="24"/>
          <w:szCs w:val="20"/>
          <w:highlight w:val="none"/>
        </w:rPr>
        <w:t>.1、</w:t>
      </w:r>
      <w:r>
        <w:rPr>
          <w:rFonts w:hint="eastAsia" w:ascii="宋体" w:hAnsi="宋体" w:eastAsia="宋体" w:cs="宋体"/>
          <w:snapToGrid w:val="0"/>
          <w:color w:val="auto"/>
          <w:kern w:val="0"/>
          <w:sz w:val="24"/>
          <w:szCs w:val="20"/>
          <w:highlight w:val="none"/>
          <w:lang w:eastAsia="zh-CN"/>
        </w:rPr>
        <w:t>1</w:t>
      </w:r>
      <w:r>
        <w:rPr>
          <w:rFonts w:hint="eastAsia" w:ascii="宋体" w:hAnsi="宋体" w:eastAsia="宋体" w:cs="宋体"/>
          <w:snapToGrid w:val="0"/>
          <w:color w:val="auto"/>
          <w:kern w:val="0"/>
          <w:sz w:val="24"/>
          <w:szCs w:val="20"/>
          <w:highlight w:val="none"/>
          <w:lang w:val="en-US" w:eastAsia="zh-CN"/>
        </w:rPr>
        <w:t>8</w:t>
      </w:r>
      <w:r>
        <w:rPr>
          <w:rFonts w:hint="eastAsia" w:ascii="宋体" w:hAnsi="宋体" w:eastAsia="宋体" w:cs="宋体"/>
          <w:snapToGrid w:val="0"/>
          <w:color w:val="auto"/>
          <w:kern w:val="0"/>
          <w:sz w:val="24"/>
          <w:szCs w:val="20"/>
          <w:highlight w:val="none"/>
        </w:rPr>
        <w:t>.2、</w:t>
      </w:r>
      <w:r>
        <w:rPr>
          <w:rFonts w:hint="eastAsia" w:ascii="宋体" w:hAnsi="宋体" w:eastAsia="宋体" w:cs="宋体"/>
          <w:snapToGrid w:val="0"/>
          <w:color w:val="auto"/>
          <w:kern w:val="0"/>
          <w:sz w:val="24"/>
          <w:szCs w:val="20"/>
          <w:highlight w:val="none"/>
          <w:lang w:eastAsia="zh-CN"/>
        </w:rPr>
        <w:t>1</w:t>
      </w:r>
      <w:r>
        <w:rPr>
          <w:rFonts w:hint="eastAsia" w:ascii="宋体" w:hAnsi="宋体" w:eastAsia="宋体" w:cs="宋体"/>
          <w:snapToGrid w:val="0"/>
          <w:color w:val="auto"/>
          <w:kern w:val="0"/>
          <w:sz w:val="24"/>
          <w:szCs w:val="20"/>
          <w:highlight w:val="none"/>
          <w:lang w:val="en-US" w:eastAsia="zh-CN"/>
        </w:rPr>
        <w:t>8</w:t>
      </w:r>
      <w:r>
        <w:rPr>
          <w:rFonts w:hint="eastAsia" w:ascii="宋体" w:hAnsi="宋体" w:eastAsia="宋体" w:cs="宋体"/>
          <w:snapToGrid w:val="0"/>
          <w:color w:val="auto"/>
          <w:kern w:val="0"/>
          <w:sz w:val="24"/>
          <w:szCs w:val="20"/>
          <w:highlight w:val="none"/>
        </w:rPr>
        <w:t>.3</w:t>
      </w:r>
      <w:r>
        <w:rPr>
          <w:rFonts w:hint="eastAsia" w:ascii="宋体" w:hAnsi="宋体" w:eastAsia="宋体" w:cs="宋体"/>
          <w:snapToGrid w:val="0"/>
          <w:color w:val="auto"/>
          <w:kern w:val="0"/>
          <w:sz w:val="24"/>
          <w:szCs w:val="20"/>
          <w:highlight w:val="none"/>
          <w:lang w:eastAsia="zh-CN"/>
        </w:rPr>
        <w:t>、1</w:t>
      </w:r>
      <w:r>
        <w:rPr>
          <w:rFonts w:hint="eastAsia" w:ascii="宋体" w:hAnsi="宋体" w:eastAsia="宋体" w:cs="宋体"/>
          <w:snapToGrid w:val="0"/>
          <w:color w:val="auto"/>
          <w:kern w:val="0"/>
          <w:sz w:val="24"/>
          <w:szCs w:val="20"/>
          <w:highlight w:val="none"/>
          <w:lang w:val="en-US" w:eastAsia="zh-CN"/>
        </w:rPr>
        <w:t>8</w:t>
      </w:r>
      <w:r>
        <w:rPr>
          <w:rFonts w:hint="eastAsia" w:ascii="宋体" w:hAnsi="宋体" w:eastAsia="宋体" w:cs="宋体"/>
          <w:snapToGrid w:val="0"/>
          <w:color w:val="auto"/>
          <w:kern w:val="0"/>
          <w:sz w:val="24"/>
          <w:szCs w:val="20"/>
          <w:highlight w:val="none"/>
        </w:rPr>
        <w:t>.4</w:t>
      </w:r>
      <w:r>
        <w:rPr>
          <w:rFonts w:hint="eastAsia" w:ascii="宋体" w:hAnsi="宋体" w:eastAsia="宋体" w:cs="宋体"/>
          <w:snapToGrid w:val="0"/>
          <w:color w:val="auto"/>
          <w:kern w:val="0"/>
          <w:sz w:val="24"/>
          <w:szCs w:val="20"/>
          <w:highlight w:val="none"/>
          <w:lang w:val="en-US" w:eastAsia="zh-CN"/>
        </w:rPr>
        <w:t>款</w:t>
      </w:r>
      <w:r>
        <w:rPr>
          <w:rFonts w:hint="eastAsia" w:ascii="宋体" w:hAnsi="宋体" w:eastAsia="宋体" w:cs="宋体"/>
          <w:snapToGrid w:val="0"/>
          <w:color w:val="auto"/>
          <w:kern w:val="0"/>
          <w:sz w:val="24"/>
          <w:szCs w:val="20"/>
          <w:highlight w:val="none"/>
        </w:rPr>
        <w:t>的规定。</w:t>
      </w:r>
    </w:p>
    <w:p w14:paraId="70FA29C4">
      <w:pPr>
        <w:adjustRightInd w:val="0"/>
        <w:snapToGrid w:val="0"/>
        <w:spacing w:line="360" w:lineRule="auto"/>
        <w:ind w:firstLine="472" w:firstLineChars="196"/>
        <w:rPr>
          <w:rFonts w:hint="eastAsia" w:ascii="宋体" w:hAnsi="宋体" w:eastAsia="宋体" w:cs="宋体"/>
          <w:b/>
          <w:snapToGrid w:val="0"/>
          <w:color w:val="auto"/>
          <w:kern w:val="0"/>
          <w:sz w:val="24"/>
          <w:highlight w:val="none"/>
          <w:lang w:val="en-US" w:eastAsia="zh-CN"/>
        </w:rPr>
      </w:pPr>
      <w:r>
        <w:rPr>
          <w:rFonts w:hint="eastAsia" w:ascii="宋体" w:hAnsi="宋体" w:eastAsia="宋体" w:cs="宋体"/>
          <w:b/>
          <w:snapToGrid w:val="0"/>
          <w:color w:val="auto"/>
          <w:kern w:val="0"/>
          <w:sz w:val="24"/>
          <w:highlight w:val="none"/>
          <w:lang w:val="en-US" w:eastAsia="zh-CN"/>
        </w:rPr>
        <w:t>19、设备的归属</w:t>
      </w:r>
    </w:p>
    <w:p w14:paraId="26249B3D">
      <w:pPr>
        <w:widowControl/>
        <w:numPr>
          <w:ilvl w:val="-1"/>
          <w:numId w:val="0"/>
        </w:numPr>
        <w:wordWrap/>
        <w:adjustRightInd w:val="0"/>
        <w:snapToGrid w:val="0"/>
        <w:spacing w:line="360" w:lineRule="auto"/>
        <w:ind w:left="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eastAsia="zh-CN"/>
        </w:rPr>
        <w:t>1</w:t>
      </w:r>
      <w:r>
        <w:rPr>
          <w:rFonts w:hint="eastAsia" w:ascii="宋体" w:hAnsi="宋体" w:eastAsia="宋体" w:cs="宋体"/>
          <w:snapToGrid w:val="0"/>
          <w:color w:val="auto"/>
          <w:kern w:val="0"/>
          <w:sz w:val="24"/>
          <w:szCs w:val="20"/>
          <w:highlight w:val="none"/>
          <w:lang w:val="en-US" w:eastAsia="zh-CN"/>
        </w:rPr>
        <w:t>9</w:t>
      </w:r>
      <w:r>
        <w:rPr>
          <w:rFonts w:hint="eastAsia" w:ascii="宋体" w:hAnsi="宋体" w:eastAsia="宋体" w:cs="宋体"/>
          <w:snapToGrid w:val="0"/>
          <w:color w:val="auto"/>
          <w:kern w:val="0"/>
          <w:sz w:val="24"/>
          <w:szCs w:val="20"/>
          <w:highlight w:val="none"/>
        </w:rPr>
        <w:t xml:space="preserve">.1 </w:t>
      </w:r>
      <w:r>
        <w:rPr>
          <w:rFonts w:hint="eastAsia" w:ascii="宋体" w:hAnsi="宋体" w:eastAsia="宋体" w:cs="宋体"/>
          <w:snapToGrid w:val="0"/>
          <w:color w:val="auto"/>
          <w:kern w:val="0"/>
          <w:sz w:val="24"/>
          <w:szCs w:val="20"/>
          <w:highlight w:val="none"/>
          <w:lang w:val="en-US" w:eastAsia="zh-CN"/>
        </w:rPr>
        <w:t>乙方</w:t>
      </w:r>
      <w:r>
        <w:rPr>
          <w:rFonts w:hint="eastAsia" w:ascii="宋体" w:hAnsi="宋体" w:eastAsia="宋体" w:cs="宋体"/>
          <w:snapToGrid w:val="0"/>
          <w:color w:val="auto"/>
          <w:kern w:val="0"/>
          <w:sz w:val="24"/>
          <w:szCs w:val="20"/>
          <w:highlight w:val="none"/>
        </w:rPr>
        <w:t>根据</w:t>
      </w:r>
      <w:r>
        <w:rPr>
          <w:rFonts w:hint="eastAsia" w:ascii="宋体" w:hAnsi="宋体" w:eastAsia="宋体" w:cs="宋体"/>
          <w:snapToGrid w:val="0"/>
          <w:color w:val="auto"/>
          <w:kern w:val="0"/>
          <w:sz w:val="24"/>
          <w:szCs w:val="20"/>
          <w:highlight w:val="none"/>
          <w:lang w:val="en-US" w:eastAsia="zh-CN"/>
        </w:rPr>
        <w:t>本</w:t>
      </w:r>
      <w:r>
        <w:rPr>
          <w:rFonts w:hint="eastAsia" w:ascii="宋体" w:hAnsi="宋体" w:eastAsia="宋体" w:cs="宋体"/>
          <w:snapToGrid w:val="0"/>
          <w:color w:val="auto"/>
          <w:kern w:val="0"/>
          <w:sz w:val="24"/>
          <w:szCs w:val="20"/>
          <w:highlight w:val="none"/>
        </w:rPr>
        <w:t>合同提供的将成为永久工程的材料、物品及设备在</w:t>
      </w:r>
      <w:r>
        <w:rPr>
          <w:rFonts w:hint="eastAsia" w:ascii="宋体" w:hAnsi="宋体" w:eastAsia="宋体" w:cs="宋体"/>
          <w:snapToGrid w:val="0"/>
          <w:color w:val="auto"/>
          <w:kern w:val="0"/>
          <w:sz w:val="24"/>
          <w:szCs w:val="20"/>
          <w:highlight w:val="none"/>
          <w:lang w:val="en-US" w:eastAsia="zh-CN"/>
        </w:rPr>
        <w:t>达到</w:t>
      </w:r>
      <w:r>
        <w:rPr>
          <w:rFonts w:hint="eastAsia" w:ascii="宋体" w:hAnsi="宋体" w:eastAsia="宋体" w:cs="宋体"/>
          <w:snapToGrid w:val="0"/>
          <w:color w:val="auto"/>
          <w:kern w:val="0"/>
          <w:sz w:val="24"/>
          <w:szCs w:val="20"/>
          <w:highlight w:val="none"/>
        </w:rPr>
        <w:t>下列</w:t>
      </w:r>
      <w:r>
        <w:rPr>
          <w:rFonts w:hint="eastAsia" w:ascii="宋体" w:hAnsi="宋体" w:eastAsia="宋体" w:cs="宋体"/>
          <w:snapToGrid w:val="0"/>
          <w:color w:val="auto"/>
          <w:kern w:val="0"/>
          <w:sz w:val="24"/>
          <w:szCs w:val="20"/>
          <w:highlight w:val="none"/>
          <w:lang w:val="en-US" w:eastAsia="zh-CN"/>
        </w:rPr>
        <w:t>条件之一</w:t>
      </w:r>
      <w:r>
        <w:rPr>
          <w:rFonts w:hint="eastAsia" w:ascii="宋体" w:hAnsi="宋体" w:eastAsia="宋体" w:cs="宋体"/>
          <w:snapToGrid w:val="0"/>
          <w:color w:val="auto"/>
          <w:kern w:val="0"/>
          <w:sz w:val="24"/>
          <w:szCs w:val="20"/>
          <w:highlight w:val="none"/>
          <w:lang w:eastAsia="zh-CN"/>
        </w:rPr>
        <w:t>（</w:t>
      </w:r>
      <w:r>
        <w:rPr>
          <w:rFonts w:hint="eastAsia" w:ascii="宋体" w:hAnsi="宋体" w:eastAsia="宋体" w:cs="宋体"/>
          <w:snapToGrid w:val="0"/>
          <w:color w:val="auto"/>
          <w:kern w:val="0"/>
          <w:sz w:val="24"/>
          <w:szCs w:val="20"/>
          <w:highlight w:val="none"/>
          <w:lang w:val="en-US" w:eastAsia="zh-CN"/>
        </w:rPr>
        <w:t>取</w:t>
      </w:r>
      <w:r>
        <w:rPr>
          <w:rFonts w:hint="eastAsia" w:ascii="宋体" w:hAnsi="宋体" w:eastAsia="宋体" w:cs="宋体"/>
          <w:snapToGrid w:val="0"/>
          <w:color w:val="auto"/>
          <w:kern w:val="0"/>
          <w:sz w:val="24"/>
          <w:szCs w:val="20"/>
          <w:highlight w:val="none"/>
        </w:rPr>
        <w:t>最早出现的时间</w:t>
      </w:r>
      <w:r>
        <w:rPr>
          <w:rFonts w:hint="eastAsia" w:ascii="宋体" w:hAnsi="宋体" w:eastAsia="宋体" w:cs="宋体"/>
          <w:snapToGrid w:val="0"/>
          <w:color w:val="auto"/>
          <w:kern w:val="0"/>
          <w:sz w:val="24"/>
          <w:szCs w:val="20"/>
          <w:highlight w:val="none"/>
          <w:lang w:val="en-US" w:eastAsia="zh-CN"/>
        </w:rPr>
        <w:t>点）</w:t>
      </w:r>
      <w:r>
        <w:rPr>
          <w:rFonts w:hint="eastAsia" w:ascii="宋体" w:hAnsi="宋体" w:eastAsia="宋体" w:cs="宋体"/>
          <w:snapToGrid w:val="0"/>
          <w:color w:val="auto"/>
          <w:kern w:val="0"/>
          <w:sz w:val="24"/>
          <w:szCs w:val="20"/>
          <w:highlight w:val="none"/>
        </w:rPr>
        <w:t>即成为甲方的财产：</w:t>
      </w:r>
    </w:p>
    <w:p w14:paraId="7055F146">
      <w:pPr>
        <w:widowControl/>
        <w:numPr>
          <w:ilvl w:val="-1"/>
          <w:numId w:val="0"/>
        </w:numPr>
        <w:wordWrap/>
        <w:adjustRightInd w:val="0"/>
        <w:snapToGrid w:val="0"/>
        <w:spacing w:line="360" w:lineRule="auto"/>
        <w:ind w:left="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eastAsia="zh-CN"/>
        </w:rPr>
        <w:t>（</w:t>
      </w:r>
      <w:r>
        <w:rPr>
          <w:rFonts w:hint="eastAsia" w:ascii="宋体" w:hAnsi="宋体" w:eastAsia="宋体" w:cs="宋体"/>
          <w:snapToGrid w:val="0"/>
          <w:color w:val="auto"/>
          <w:kern w:val="0"/>
          <w:sz w:val="24"/>
          <w:szCs w:val="20"/>
          <w:highlight w:val="none"/>
          <w:lang w:val="en-US" w:eastAsia="zh-CN"/>
        </w:rPr>
        <w:t>A</w:t>
      </w:r>
      <w:r>
        <w:rPr>
          <w:rFonts w:hint="eastAsia" w:ascii="宋体" w:hAnsi="宋体" w:eastAsia="宋体" w:cs="宋体"/>
          <w:snapToGrid w:val="0"/>
          <w:color w:val="auto"/>
          <w:kern w:val="0"/>
          <w:sz w:val="24"/>
          <w:szCs w:val="20"/>
          <w:highlight w:val="none"/>
          <w:lang w:eastAsia="zh-CN"/>
        </w:rPr>
        <w:t>）</w:t>
      </w:r>
      <w:r>
        <w:rPr>
          <w:rFonts w:hint="eastAsia" w:ascii="宋体" w:hAnsi="宋体" w:eastAsia="宋体" w:cs="宋体"/>
          <w:snapToGrid w:val="0"/>
          <w:color w:val="auto"/>
          <w:kern w:val="0"/>
          <w:sz w:val="24"/>
          <w:szCs w:val="20"/>
          <w:highlight w:val="none"/>
        </w:rPr>
        <w:t>根据合同，材料、物品及设备运抵项目现场或邻近的临时存放地点并已卸货；</w:t>
      </w:r>
    </w:p>
    <w:p w14:paraId="655E7B25">
      <w:pPr>
        <w:widowControl/>
        <w:numPr>
          <w:ilvl w:val="-1"/>
          <w:numId w:val="0"/>
        </w:numPr>
        <w:wordWrap/>
        <w:adjustRightInd w:val="0"/>
        <w:snapToGrid w:val="0"/>
        <w:spacing w:line="360" w:lineRule="auto"/>
        <w:ind w:left="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eastAsia="zh-CN"/>
        </w:rPr>
        <w:t>（</w:t>
      </w:r>
      <w:r>
        <w:rPr>
          <w:rFonts w:hint="eastAsia" w:ascii="宋体" w:hAnsi="宋体" w:eastAsia="宋体" w:cs="宋体"/>
          <w:snapToGrid w:val="0"/>
          <w:color w:val="auto"/>
          <w:kern w:val="0"/>
          <w:sz w:val="24"/>
          <w:szCs w:val="20"/>
          <w:highlight w:val="none"/>
          <w:lang w:val="en-US" w:eastAsia="zh-CN"/>
        </w:rPr>
        <w:t>B</w:t>
      </w:r>
      <w:r>
        <w:rPr>
          <w:rFonts w:hint="eastAsia" w:ascii="宋体" w:hAnsi="宋体" w:eastAsia="宋体" w:cs="宋体"/>
          <w:snapToGrid w:val="0"/>
          <w:color w:val="auto"/>
          <w:kern w:val="0"/>
          <w:sz w:val="24"/>
          <w:szCs w:val="20"/>
          <w:highlight w:val="none"/>
          <w:lang w:eastAsia="zh-CN"/>
        </w:rPr>
        <w:t>）</w:t>
      </w:r>
      <w:r>
        <w:rPr>
          <w:rFonts w:hint="eastAsia" w:ascii="宋体" w:hAnsi="宋体" w:eastAsia="宋体" w:cs="宋体"/>
          <w:snapToGrid w:val="0"/>
          <w:color w:val="auto"/>
          <w:kern w:val="0"/>
          <w:sz w:val="24"/>
          <w:szCs w:val="20"/>
          <w:highlight w:val="none"/>
        </w:rPr>
        <w:t>材料、物品及设备已按合同规定加以分配或确定，乙方已根据合同</w:t>
      </w:r>
      <w:r>
        <w:rPr>
          <w:rFonts w:hint="eastAsia" w:ascii="宋体" w:hAnsi="宋体" w:eastAsia="宋体" w:cs="宋体"/>
          <w:snapToGrid w:val="0"/>
          <w:color w:val="auto"/>
          <w:kern w:val="0"/>
          <w:sz w:val="24"/>
          <w:szCs w:val="20"/>
          <w:highlight w:val="none"/>
          <w:lang w:val="en-US" w:eastAsia="zh-CN"/>
        </w:rPr>
        <w:t>约定的支付</w:t>
      </w:r>
      <w:r>
        <w:rPr>
          <w:rFonts w:hint="eastAsia" w:ascii="宋体" w:hAnsi="宋体" w:eastAsia="宋体" w:cs="宋体"/>
          <w:snapToGrid w:val="0"/>
          <w:color w:val="auto"/>
          <w:kern w:val="0"/>
          <w:sz w:val="24"/>
          <w:szCs w:val="20"/>
          <w:highlight w:val="none"/>
        </w:rPr>
        <w:t>条款收到应得的货款</w:t>
      </w:r>
      <w:r>
        <w:rPr>
          <w:rFonts w:hint="eastAsia" w:ascii="宋体" w:hAnsi="宋体" w:eastAsia="宋体" w:cs="宋体"/>
          <w:snapToGrid w:val="0"/>
          <w:color w:val="auto"/>
          <w:kern w:val="0"/>
          <w:sz w:val="24"/>
          <w:szCs w:val="20"/>
          <w:highlight w:val="none"/>
          <w:lang w:eastAsia="zh-CN"/>
        </w:rPr>
        <w:t>。</w:t>
      </w:r>
    </w:p>
    <w:p w14:paraId="3E83A00A">
      <w:pPr>
        <w:widowControl/>
        <w:numPr>
          <w:ilvl w:val="-1"/>
          <w:numId w:val="0"/>
        </w:numPr>
        <w:wordWrap/>
        <w:adjustRightInd w:val="0"/>
        <w:snapToGrid w:val="0"/>
        <w:spacing w:line="360" w:lineRule="auto"/>
        <w:ind w:left="0"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val="en-US" w:eastAsia="zh-CN"/>
        </w:rPr>
        <w:t xml:space="preserve">19.2 </w:t>
      </w:r>
      <w:r>
        <w:rPr>
          <w:rFonts w:hint="eastAsia" w:ascii="宋体" w:hAnsi="宋体" w:eastAsia="宋体" w:cs="宋体"/>
          <w:snapToGrid w:val="0"/>
          <w:color w:val="auto"/>
          <w:kern w:val="0"/>
          <w:sz w:val="24"/>
          <w:szCs w:val="20"/>
          <w:highlight w:val="none"/>
        </w:rPr>
        <w:t>乙方对于</w:t>
      </w:r>
      <w:r>
        <w:rPr>
          <w:rFonts w:hint="eastAsia" w:ascii="宋体" w:hAnsi="宋体" w:eastAsia="宋体" w:cs="宋体"/>
          <w:snapToGrid w:val="0"/>
          <w:color w:val="auto"/>
          <w:kern w:val="0"/>
          <w:sz w:val="24"/>
          <w:szCs w:val="20"/>
          <w:highlight w:val="none"/>
          <w:lang w:val="en-US" w:eastAsia="zh-CN"/>
        </w:rPr>
        <w:t>权属</w:t>
      </w:r>
      <w:r>
        <w:rPr>
          <w:rFonts w:hint="eastAsia" w:ascii="宋体" w:hAnsi="宋体" w:eastAsia="宋体" w:cs="宋体"/>
          <w:snapToGrid w:val="0"/>
          <w:color w:val="auto"/>
          <w:kern w:val="0"/>
          <w:sz w:val="24"/>
          <w:szCs w:val="20"/>
          <w:highlight w:val="none"/>
        </w:rPr>
        <w:t>已</w:t>
      </w:r>
      <w:r>
        <w:rPr>
          <w:rFonts w:hint="eastAsia" w:ascii="宋体" w:hAnsi="宋体" w:eastAsia="宋体" w:cs="宋体"/>
          <w:snapToGrid w:val="0"/>
          <w:color w:val="auto"/>
          <w:kern w:val="0"/>
          <w:sz w:val="24"/>
          <w:szCs w:val="20"/>
          <w:highlight w:val="none"/>
          <w:lang w:val="en-US" w:eastAsia="zh-CN"/>
        </w:rPr>
        <w:t>归</w:t>
      </w:r>
      <w:r>
        <w:rPr>
          <w:rFonts w:hint="eastAsia" w:ascii="宋体" w:hAnsi="宋体" w:eastAsia="宋体" w:cs="宋体"/>
          <w:snapToGrid w:val="0"/>
          <w:color w:val="auto"/>
          <w:kern w:val="0"/>
          <w:sz w:val="24"/>
          <w:szCs w:val="20"/>
          <w:highlight w:val="none"/>
        </w:rPr>
        <w:t>于甲方</w:t>
      </w:r>
      <w:r>
        <w:rPr>
          <w:rFonts w:hint="eastAsia" w:ascii="宋体" w:hAnsi="宋体" w:eastAsia="宋体" w:cs="宋体"/>
          <w:snapToGrid w:val="0"/>
          <w:color w:val="auto"/>
          <w:kern w:val="0"/>
          <w:sz w:val="24"/>
          <w:szCs w:val="20"/>
          <w:highlight w:val="none"/>
          <w:lang w:val="en-US" w:eastAsia="zh-CN"/>
        </w:rPr>
        <w:t>的</w:t>
      </w:r>
      <w:r>
        <w:rPr>
          <w:rFonts w:hint="eastAsia" w:ascii="宋体" w:hAnsi="宋体" w:eastAsia="宋体" w:cs="宋体"/>
          <w:snapToGrid w:val="0"/>
          <w:color w:val="auto"/>
          <w:kern w:val="0"/>
          <w:sz w:val="24"/>
          <w:szCs w:val="20"/>
          <w:highlight w:val="none"/>
        </w:rPr>
        <w:t>材料、物品及设备须妥善保管，在PAC签发以前，材料、物品及设备损失的风险及责任由乙方承担。</w:t>
      </w:r>
    </w:p>
    <w:p w14:paraId="264824B6">
      <w:pPr>
        <w:widowControl/>
        <w:numPr>
          <w:ilvl w:val="0"/>
          <w:numId w:val="0"/>
        </w:numPr>
        <w:wordWrap/>
        <w:adjustRightInd w:val="0"/>
        <w:snapToGrid w:val="0"/>
        <w:spacing w:line="360" w:lineRule="auto"/>
        <w:ind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val="en-US" w:eastAsia="zh-CN"/>
        </w:rPr>
        <w:t xml:space="preserve">19.2.1 </w:t>
      </w:r>
      <w:r>
        <w:rPr>
          <w:rFonts w:hint="eastAsia" w:ascii="宋体" w:hAnsi="宋体" w:eastAsia="宋体" w:cs="宋体"/>
          <w:snapToGrid w:val="0"/>
          <w:color w:val="auto"/>
          <w:kern w:val="0"/>
          <w:sz w:val="24"/>
          <w:szCs w:val="20"/>
          <w:highlight w:val="none"/>
        </w:rPr>
        <w:t>如材料、物品及设备在交货前已属甲方的财产，乙方应按甲方的要求，在该货物上标出该货物为甲方的财产。</w:t>
      </w:r>
      <w:r>
        <w:rPr>
          <w:rFonts w:hint="eastAsia" w:ascii="宋体" w:hAnsi="宋体" w:eastAsia="宋体" w:cs="宋体"/>
          <w:snapToGrid w:val="0"/>
          <w:color w:val="auto"/>
          <w:kern w:val="0"/>
          <w:sz w:val="24"/>
          <w:szCs w:val="20"/>
          <w:highlight w:val="none"/>
          <w:lang w:val="en-US" w:eastAsia="zh-CN"/>
        </w:rPr>
        <w:t>上述属于甲方的</w:t>
      </w:r>
      <w:r>
        <w:rPr>
          <w:rFonts w:hint="eastAsia" w:ascii="宋体" w:hAnsi="宋体" w:eastAsia="宋体" w:cs="宋体"/>
          <w:snapToGrid w:val="0"/>
          <w:color w:val="auto"/>
          <w:kern w:val="0"/>
          <w:sz w:val="24"/>
          <w:szCs w:val="20"/>
          <w:highlight w:val="none"/>
        </w:rPr>
        <w:t>货物由乙方保管和使用，</w:t>
      </w:r>
      <w:r>
        <w:rPr>
          <w:rFonts w:hint="eastAsia" w:ascii="宋体" w:hAnsi="宋体" w:eastAsia="宋体" w:cs="宋体"/>
          <w:snapToGrid w:val="0"/>
          <w:color w:val="auto"/>
          <w:kern w:val="0"/>
          <w:sz w:val="24"/>
          <w:szCs w:val="20"/>
          <w:highlight w:val="none"/>
          <w:lang w:val="en-US" w:eastAsia="zh-CN"/>
        </w:rPr>
        <w:t>但仅</w:t>
      </w:r>
      <w:r>
        <w:rPr>
          <w:rFonts w:hint="eastAsia" w:ascii="宋体" w:hAnsi="宋体" w:eastAsia="宋体" w:cs="宋体"/>
          <w:snapToGrid w:val="0"/>
          <w:color w:val="auto"/>
          <w:kern w:val="0"/>
          <w:sz w:val="24"/>
          <w:szCs w:val="20"/>
          <w:highlight w:val="none"/>
        </w:rPr>
        <w:t>为履行合同</w:t>
      </w:r>
      <w:r>
        <w:rPr>
          <w:rFonts w:hint="eastAsia" w:ascii="宋体" w:hAnsi="宋体" w:eastAsia="宋体" w:cs="宋体"/>
          <w:snapToGrid w:val="0"/>
          <w:color w:val="auto"/>
          <w:kern w:val="0"/>
          <w:sz w:val="24"/>
          <w:szCs w:val="20"/>
          <w:highlight w:val="none"/>
          <w:lang w:val="en-US" w:eastAsia="zh-CN"/>
        </w:rPr>
        <w:t>之目的</w:t>
      </w:r>
      <w:r>
        <w:rPr>
          <w:rFonts w:hint="eastAsia" w:ascii="宋体" w:hAnsi="宋体" w:eastAsia="宋体" w:cs="宋体"/>
          <w:snapToGrid w:val="0"/>
          <w:color w:val="auto"/>
          <w:kern w:val="0"/>
          <w:sz w:val="24"/>
          <w:szCs w:val="20"/>
          <w:highlight w:val="none"/>
        </w:rPr>
        <w:t>，乙方不得对</w:t>
      </w:r>
      <w:r>
        <w:rPr>
          <w:rFonts w:hint="eastAsia" w:ascii="宋体" w:hAnsi="宋体" w:eastAsia="宋体" w:cs="宋体"/>
          <w:snapToGrid w:val="0"/>
          <w:color w:val="auto"/>
          <w:kern w:val="0"/>
          <w:sz w:val="24"/>
          <w:szCs w:val="20"/>
          <w:highlight w:val="none"/>
          <w:lang w:val="en-US" w:eastAsia="zh-CN"/>
        </w:rPr>
        <w:t>上述</w:t>
      </w:r>
      <w:r>
        <w:rPr>
          <w:rFonts w:hint="eastAsia" w:ascii="宋体" w:hAnsi="宋体" w:eastAsia="宋体" w:cs="宋体"/>
          <w:snapToGrid w:val="0"/>
          <w:color w:val="auto"/>
          <w:kern w:val="0"/>
          <w:sz w:val="24"/>
          <w:szCs w:val="20"/>
          <w:highlight w:val="none"/>
        </w:rPr>
        <w:t>货物</w:t>
      </w:r>
      <w:r>
        <w:rPr>
          <w:rFonts w:hint="eastAsia" w:ascii="宋体" w:hAnsi="宋体" w:eastAsia="宋体" w:cs="宋体"/>
          <w:snapToGrid w:val="0"/>
          <w:color w:val="auto"/>
          <w:kern w:val="0"/>
          <w:sz w:val="24"/>
          <w:szCs w:val="20"/>
          <w:highlight w:val="none"/>
          <w:lang w:val="en-US" w:eastAsia="zh-CN"/>
        </w:rPr>
        <w:t>进行</w:t>
      </w:r>
      <w:r>
        <w:rPr>
          <w:rFonts w:hint="eastAsia" w:ascii="宋体" w:hAnsi="宋体" w:eastAsia="宋体" w:cs="宋体"/>
          <w:snapToGrid w:val="0"/>
          <w:color w:val="auto"/>
          <w:kern w:val="0"/>
          <w:sz w:val="24"/>
          <w:szCs w:val="20"/>
          <w:highlight w:val="none"/>
        </w:rPr>
        <w:t>出售</w:t>
      </w:r>
      <w:r>
        <w:rPr>
          <w:rFonts w:hint="eastAsia" w:ascii="宋体" w:hAnsi="宋体" w:eastAsia="宋体" w:cs="宋体"/>
          <w:snapToGrid w:val="0"/>
          <w:color w:val="auto"/>
          <w:kern w:val="0"/>
          <w:sz w:val="24"/>
          <w:szCs w:val="20"/>
          <w:highlight w:val="none"/>
          <w:lang w:eastAsia="zh-CN"/>
        </w:rPr>
        <w:t>、</w:t>
      </w:r>
      <w:r>
        <w:rPr>
          <w:rFonts w:hint="eastAsia" w:ascii="宋体" w:hAnsi="宋体" w:eastAsia="宋体" w:cs="宋体"/>
          <w:snapToGrid w:val="0"/>
          <w:color w:val="auto"/>
          <w:kern w:val="0"/>
          <w:sz w:val="24"/>
          <w:szCs w:val="20"/>
          <w:highlight w:val="none"/>
        </w:rPr>
        <w:t>转让或</w:t>
      </w:r>
      <w:r>
        <w:rPr>
          <w:rFonts w:hint="eastAsia" w:ascii="宋体" w:hAnsi="宋体" w:eastAsia="宋体" w:cs="宋体"/>
          <w:snapToGrid w:val="0"/>
          <w:color w:val="auto"/>
          <w:kern w:val="0"/>
          <w:sz w:val="24"/>
          <w:szCs w:val="20"/>
          <w:highlight w:val="none"/>
          <w:lang w:val="en-US" w:eastAsia="zh-CN"/>
        </w:rPr>
        <w:t>对其</w:t>
      </w:r>
      <w:r>
        <w:rPr>
          <w:rFonts w:hint="eastAsia" w:ascii="宋体" w:hAnsi="宋体" w:eastAsia="宋体" w:cs="宋体"/>
          <w:snapToGrid w:val="0"/>
          <w:color w:val="auto"/>
          <w:kern w:val="0"/>
          <w:sz w:val="24"/>
          <w:szCs w:val="20"/>
          <w:highlight w:val="none"/>
        </w:rPr>
        <w:t>设置担保等处分行为。</w:t>
      </w:r>
    </w:p>
    <w:p w14:paraId="3039579E">
      <w:pPr>
        <w:widowControl/>
        <w:numPr>
          <w:ilvl w:val="0"/>
          <w:numId w:val="0"/>
        </w:numPr>
        <w:wordWrap/>
        <w:adjustRightInd w:val="0"/>
        <w:snapToGrid w:val="0"/>
        <w:spacing w:line="360" w:lineRule="auto"/>
        <w:ind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val="en-US" w:eastAsia="zh-CN"/>
        </w:rPr>
        <w:t>19</w:t>
      </w:r>
      <w:r>
        <w:rPr>
          <w:rFonts w:hint="eastAsia" w:ascii="宋体" w:hAnsi="宋体" w:eastAsia="宋体" w:cs="宋体"/>
          <w:snapToGrid w:val="0"/>
          <w:color w:val="auto"/>
          <w:kern w:val="0"/>
          <w:sz w:val="24"/>
          <w:szCs w:val="20"/>
          <w:highlight w:val="none"/>
        </w:rPr>
        <w:t>.2.2</w:t>
      </w:r>
      <w:r>
        <w:rPr>
          <w:rFonts w:hint="eastAsia" w:ascii="宋体" w:hAnsi="宋体" w:eastAsia="宋体" w:cs="宋体"/>
          <w:snapToGrid w:val="0"/>
          <w:color w:val="auto"/>
          <w:kern w:val="0"/>
          <w:sz w:val="24"/>
          <w:szCs w:val="20"/>
          <w:highlight w:val="none"/>
          <w:lang w:val="en-US" w:eastAsia="zh-CN"/>
        </w:rPr>
        <w:t xml:space="preserve"> </w:t>
      </w:r>
      <w:r>
        <w:rPr>
          <w:rFonts w:hint="eastAsia" w:ascii="宋体" w:hAnsi="宋体" w:eastAsia="宋体" w:cs="宋体"/>
          <w:snapToGrid w:val="0"/>
          <w:color w:val="auto"/>
          <w:kern w:val="0"/>
          <w:sz w:val="24"/>
          <w:szCs w:val="20"/>
          <w:highlight w:val="none"/>
        </w:rPr>
        <w:t>甲方</w:t>
      </w:r>
      <w:r>
        <w:rPr>
          <w:rFonts w:hint="eastAsia" w:ascii="宋体" w:hAnsi="宋体" w:eastAsia="宋体" w:cs="宋体"/>
          <w:snapToGrid w:val="0"/>
          <w:color w:val="auto"/>
          <w:kern w:val="0"/>
          <w:sz w:val="24"/>
          <w:szCs w:val="20"/>
          <w:highlight w:val="none"/>
          <w:lang w:val="en-US" w:eastAsia="zh-CN"/>
        </w:rPr>
        <w:t>随时有权在</w:t>
      </w:r>
      <w:r>
        <w:rPr>
          <w:rFonts w:hint="eastAsia" w:ascii="宋体" w:hAnsi="宋体" w:eastAsia="宋体" w:cs="宋体"/>
          <w:snapToGrid w:val="0"/>
          <w:color w:val="auto"/>
          <w:kern w:val="0"/>
          <w:sz w:val="24"/>
          <w:szCs w:val="20"/>
          <w:highlight w:val="none"/>
        </w:rPr>
        <w:t>发出通知后，在任何时候检查已属于甲方财产的货物，</w:t>
      </w:r>
      <w:r>
        <w:rPr>
          <w:rFonts w:hint="eastAsia" w:ascii="宋体" w:hAnsi="宋体" w:eastAsia="宋体" w:cs="宋体"/>
          <w:snapToGrid w:val="0"/>
          <w:color w:val="auto"/>
          <w:kern w:val="0"/>
          <w:sz w:val="24"/>
          <w:szCs w:val="20"/>
          <w:highlight w:val="none"/>
          <w:lang w:val="en-US" w:eastAsia="zh-CN"/>
        </w:rPr>
        <w:t>乙方须就</w:t>
      </w:r>
      <w:r>
        <w:rPr>
          <w:rFonts w:hint="eastAsia" w:ascii="宋体" w:hAnsi="宋体" w:eastAsia="宋体" w:cs="宋体"/>
          <w:snapToGrid w:val="0"/>
          <w:color w:val="auto"/>
          <w:kern w:val="0"/>
          <w:sz w:val="24"/>
          <w:szCs w:val="20"/>
          <w:highlight w:val="none"/>
        </w:rPr>
        <w:t>甲方进入乙方的场地或放置货物的其他场地进行检查</w:t>
      </w:r>
      <w:r>
        <w:rPr>
          <w:rFonts w:hint="eastAsia" w:ascii="宋体" w:hAnsi="宋体" w:eastAsia="宋体" w:cs="宋体"/>
          <w:snapToGrid w:val="0"/>
          <w:color w:val="auto"/>
          <w:kern w:val="0"/>
          <w:sz w:val="24"/>
          <w:szCs w:val="20"/>
          <w:highlight w:val="none"/>
          <w:lang w:val="en-US" w:eastAsia="zh-CN"/>
        </w:rPr>
        <w:t>予以协助和便利</w:t>
      </w:r>
      <w:r>
        <w:rPr>
          <w:rFonts w:hint="eastAsia" w:ascii="宋体" w:hAnsi="宋体" w:eastAsia="宋体" w:cs="宋体"/>
          <w:snapToGrid w:val="0"/>
          <w:color w:val="auto"/>
          <w:kern w:val="0"/>
          <w:sz w:val="24"/>
          <w:szCs w:val="20"/>
          <w:highlight w:val="none"/>
        </w:rPr>
        <w:t>。</w:t>
      </w:r>
    </w:p>
    <w:p w14:paraId="7957B3BB">
      <w:pPr>
        <w:widowControl/>
        <w:numPr>
          <w:ilvl w:val="0"/>
          <w:numId w:val="0"/>
        </w:numPr>
        <w:wordWrap/>
        <w:adjustRightInd w:val="0"/>
        <w:snapToGrid w:val="0"/>
        <w:spacing w:line="360" w:lineRule="auto"/>
        <w:ind w:right="11" w:firstLine="460" w:firstLineChars="192"/>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lang w:eastAsia="zh-CN"/>
        </w:rPr>
        <w:t>1</w:t>
      </w:r>
      <w:r>
        <w:rPr>
          <w:rFonts w:hint="eastAsia" w:ascii="宋体" w:hAnsi="宋体" w:eastAsia="宋体" w:cs="宋体"/>
          <w:snapToGrid w:val="0"/>
          <w:color w:val="auto"/>
          <w:kern w:val="0"/>
          <w:sz w:val="24"/>
          <w:szCs w:val="20"/>
          <w:highlight w:val="none"/>
          <w:lang w:val="en-US" w:eastAsia="zh-CN"/>
        </w:rPr>
        <w:t>9</w:t>
      </w:r>
      <w:r>
        <w:rPr>
          <w:rFonts w:hint="eastAsia" w:ascii="宋体" w:hAnsi="宋体" w:eastAsia="宋体" w:cs="宋体"/>
          <w:snapToGrid w:val="0"/>
          <w:color w:val="auto"/>
          <w:kern w:val="0"/>
          <w:sz w:val="24"/>
          <w:szCs w:val="20"/>
          <w:highlight w:val="none"/>
        </w:rPr>
        <w:t>.2.3</w:t>
      </w:r>
      <w:r>
        <w:rPr>
          <w:rFonts w:hint="eastAsia" w:ascii="宋体" w:hAnsi="宋体" w:eastAsia="宋体" w:cs="宋体"/>
          <w:snapToGrid w:val="0"/>
          <w:color w:val="auto"/>
          <w:kern w:val="0"/>
          <w:sz w:val="24"/>
          <w:szCs w:val="20"/>
          <w:highlight w:val="none"/>
          <w:lang w:val="en-US" w:eastAsia="zh-CN"/>
        </w:rPr>
        <w:t xml:space="preserve"> </w:t>
      </w:r>
      <w:r>
        <w:rPr>
          <w:rFonts w:hint="eastAsia" w:ascii="宋体" w:hAnsi="宋体" w:eastAsia="宋体" w:cs="宋体"/>
          <w:snapToGrid w:val="0"/>
          <w:color w:val="auto"/>
          <w:kern w:val="0"/>
          <w:sz w:val="24"/>
          <w:szCs w:val="20"/>
          <w:highlight w:val="none"/>
        </w:rPr>
        <w:t>所有设备的包装物归乙方所有，由乙方自行回收，乙方应及时进行处理，不得影响现场的正常生产及检修工作。</w:t>
      </w:r>
      <w:r>
        <w:rPr>
          <w:rFonts w:hint="eastAsia" w:ascii="宋体" w:hAnsi="宋体" w:eastAsia="宋体" w:cs="宋体"/>
          <w:snapToGrid w:val="0"/>
          <w:color w:val="auto"/>
          <w:kern w:val="0"/>
          <w:sz w:val="24"/>
          <w:szCs w:val="20"/>
          <w:highlight w:val="none"/>
          <w:lang w:val="en-US" w:eastAsia="zh-CN"/>
        </w:rPr>
        <w:t>甲乙双方</w:t>
      </w:r>
      <w:r>
        <w:rPr>
          <w:rFonts w:hint="eastAsia" w:ascii="宋体" w:hAnsi="宋体" w:eastAsia="宋体" w:cs="宋体"/>
          <w:snapToGrid w:val="0"/>
          <w:color w:val="auto"/>
          <w:kern w:val="0"/>
          <w:sz w:val="24"/>
          <w:szCs w:val="20"/>
          <w:highlight w:val="none"/>
        </w:rPr>
        <w:t>另有约定的除外。</w:t>
      </w:r>
    </w:p>
    <w:p w14:paraId="79CA98C5">
      <w:pPr>
        <w:rPr>
          <w:rFonts w:hint="default"/>
          <w:color w:val="auto"/>
          <w:highlight w:val="none"/>
          <w:lang w:val="en-US" w:eastAsia="zh-CN"/>
        </w:rPr>
      </w:pPr>
    </w:p>
    <w:p w14:paraId="1EC3630B">
      <w:pPr>
        <w:adjustRightInd w:val="0"/>
        <w:snapToGrid w:val="0"/>
        <w:spacing w:line="360" w:lineRule="auto"/>
        <w:ind w:firstLine="472" w:firstLineChars="196"/>
        <w:rPr>
          <w:rFonts w:hint="eastAsia" w:ascii="宋体" w:hAnsi="宋体" w:eastAsia="宋体" w:cs="宋体"/>
          <w:b/>
          <w:strike/>
          <w:snapToGrid w:val="0"/>
          <w:color w:val="auto"/>
          <w:kern w:val="0"/>
          <w:sz w:val="24"/>
          <w:highlight w:val="none"/>
        </w:rPr>
      </w:pPr>
      <w:r>
        <w:rPr>
          <w:rFonts w:hint="eastAsia" w:ascii="宋体" w:hAnsi="宋体" w:eastAsia="宋体" w:cs="宋体"/>
          <w:b/>
          <w:strike/>
          <w:snapToGrid w:val="0"/>
          <w:color w:val="auto"/>
          <w:kern w:val="0"/>
          <w:sz w:val="24"/>
          <w:highlight w:val="none"/>
        </w:rPr>
        <w:t>19、工程试车</w:t>
      </w:r>
    </w:p>
    <w:p w14:paraId="597DB8B4">
      <w:pPr>
        <w:pStyle w:val="12"/>
        <w:rPr>
          <w:rFonts w:hint="eastAsia" w:ascii="宋体" w:hAnsi="宋体"/>
          <w:strike/>
          <w:color w:val="auto"/>
          <w:highlight w:val="none"/>
        </w:rPr>
      </w:pPr>
      <w:r>
        <w:rPr>
          <w:rFonts w:hint="eastAsia" w:ascii="宋体" w:hAnsi="宋体" w:cs="宋体"/>
          <w:b/>
          <w:strike/>
          <w:snapToGrid w:val="0"/>
          <w:color w:val="auto"/>
          <w:kern w:val="0"/>
          <w:sz w:val="24"/>
          <w:highlight w:val="none"/>
        </w:rPr>
        <w:t>承包人和发包人一致同意该条款不适用。</w:t>
      </w:r>
    </w:p>
    <w:p w14:paraId="1C13E480">
      <w:pPr>
        <w:pStyle w:val="10"/>
        <w:jc w:val="left"/>
        <w:rPr>
          <w:rFonts w:hint="eastAsia" w:ascii="宋体" w:hAnsi="宋体"/>
          <w:snapToGrid w:val="0"/>
          <w:color w:val="auto"/>
          <w:kern w:val="0"/>
          <w:highlight w:val="none"/>
        </w:rPr>
      </w:pPr>
      <w:bookmarkStart w:id="560" w:name="_Toc520902760"/>
      <w:bookmarkStart w:id="561" w:name="_Toc514664864"/>
      <w:bookmarkStart w:id="562" w:name="_Toc514663862"/>
      <w:bookmarkStart w:id="563" w:name="_Toc35083099"/>
      <w:bookmarkStart w:id="564" w:name="_Toc518481736"/>
      <w:bookmarkStart w:id="565" w:name="_Toc520902609"/>
      <w:bookmarkStart w:id="566" w:name="_Toc514666977"/>
      <w:bookmarkStart w:id="567" w:name="_Toc520358058"/>
      <w:bookmarkStart w:id="568" w:name="_Toc516495980"/>
      <w:bookmarkStart w:id="569" w:name="_Toc520901464"/>
      <w:bookmarkStart w:id="570" w:name="_Toc519503084"/>
      <w:bookmarkStart w:id="571" w:name="_Toc514681767"/>
      <w:bookmarkStart w:id="572" w:name="_Toc514681186"/>
      <w:bookmarkStart w:id="573" w:name="_Toc514665286"/>
      <w:bookmarkStart w:id="574" w:name="_Toc519502254"/>
      <w:bookmarkStart w:id="575" w:name="_Toc517954577"/>
      <w:bookmarkStart w:id="576" w:name="_Toc520902831"/>
      <w:bookmarkStart w:id="577" w:name="_Toc514665147"/>
      <w:bookmarkStart w:id="578" w:name="_Toc520358234"/>
      <w:bookmarkStart w:id="579" w:name="_Toc517774564"/>
      <w:r>
        <w:rPr>
          <w:rFonts w:hint="eastAsia" w:ascii="宋体" w:hAnsi="宋体"/>
          <w:snapToGrid w:val="0"/>
          <w:color w:val="auto"/>
          <w:kern w:val="0"/>
          <w:highlight w:val="none"/>
        </w:rPr>
        <w:t>五、绿色施工安全防护</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39DDB353">
      <w:pPr>
        <w:adjustRightInd w:val="0"/>
        <w:snapToGrid w:val="0"/>
        <w:spacing w:line="360" w:lineRule="auto"/>
        <w:ind w:right="11"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20、施工场地的占用与管理</w:t>
      </w:r>
    </w:p>
    <w:p w14:paraId="086B6D34">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bCs/>
          <w:snapToGrid w:val="0"/>
          <w:color w:val="auto"/>
          <w:kern w:val="0"/>
          <w:sz w:val="24"/>
          <w:highlight w:val="none"/>
        </w:rPr>
        <w:t>20.2</w:t>
      </w:r>
      <w:r>
        <w:rPr>
          <w:rFonts w:hint="eastAsia" w:ascii="宋体" w:hAnsi="宋体" w:eastAsia="宋体" w:cs="宋体"/>
          <w:snapToGrid w:val="0"/>
          <w:color w:val="auto"/>
          <w:kern w:val="0"/>
          <w:sz w:val="24"/>
          <w:highlight w:val="none"/>
        </w:rPr>
        <w:t>在工程实施期间，施工场地一经移交给承包人，承包人即对施工场地负有全过程、全面的管理责任，必须对施工场地范围内的治安秩序、安全保卫、环境卫生以及周围房屋、市政设施等全面负责，对施工场地范围内的交通道路、用水、用电、场地内的施工协调负责。承包人需对其施工场地布置、人员的管理、交通组织制订详细的方案，对施工时段作出合理安排，必须采用全封闭施工方案，确保不对周边环境、道路、行人和相邻施工现场造成不利影响，不得干扰周围居民的正常生活。</w:t>
      </w:r>
    </w:p>
    <w:p w14:paraId="36C13DBE">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20.3承包人必须在工程竣工初验之日起30天内或发包人规定的时间内（发包人将提前通知承包人），无条件清退所有施工场地。拒不清退的，发包人有权要求承包人承担1次较大违约责任处罚，发包人还有权暂停计价支付、工程结算等工作，并由承包人承担由此而产生的一切后果（包括但不限于发包人因此而被第三方索赔所产生的损失）。</w:t>
      </w:r>
    </w:p>
    <w:p w14:paraId="185BC268">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对于临时房屋及设施，发包人认为有必要保留的，承包人在清退场地时应无条件保持完好并移交给发包人使用，并不得提出任何费用要求及其他要求。</w:t>
      </w:r>
    </w:p>
    <w:p w14:paraId="33EAC0A2">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20.4承包人必须服从政府主管部门的执法检查和处罚，并按照检查结果进行整改。</w:t>
      </w:r>
    </w:p>
    <w:p w14:paraId="63C72494">
      <w:pPr>
        <w:adjustRightInd w:val="0"/>
        <w:snapToGrid w:val="0"/>
        <w:spacing w:line="360" w:lineRule="auto"/>
        <w:ind w:right="11"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21、安全施工与检查</w:t>
      </w:r>
    </w:p>
    <w:p w14:paraId="55087B65">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21.1</w:t>
      </w:r>
      <w:r>
        <w:rPr>
          <w:rFonts w:hint="eastAsia" w:ascii="宋体" w:hAnsi="宋体" w:eastAsia="宋体" w:cs="宋体"/>
          <w:snapToGrid w:val="0"/>
          <w:color w:val="auto"/>
          <w:kern w:val="0"/>
          <w:sz w:val="24"/>
          <w:highlight w:val="none"/>
        </w:rPr>
        <w:t>承包人应建立健全建筑施工</w:t>
      </w:r>
      <w:r>
        <w:rPr>
          <w:rFonts w:hint="eastAsia" w:ascii="宋体" w:hAnsi="宋体" w:eastAsia="宋体" w:cs="宋体"/>
          <w:bCs/>
          <w:snapToGrid w:val="0"/>
          <w:color w:val="auto"/>
          <w:kern w:val="0"/>
          <w:sz w:val="24"/>
          <w:highlight w:val="none"/>
        </w:rPr>
        <w:t>安全生产组织机构和</w:t>
      </w:r>
      <w:r>
        <w:rPr>
          <w:rFonts w:hint="eastAsia" w:ascii="宋体" w:hAnsi="宋体" w:eastAsia="宋体" w:cs="宋体"/>
          <w:snapToGrid w:val="0"/>
          <w:color w:val="auto"/>
          <w:kern w:val="0"/>
          <w:sz w:val="24"/>
          <w:highlight w:val="none"/>
        </w:rPr>
        <w:t>安全保证体系，</w:t>
      </w:r>
      <w:r>
        <w:rPr>
          <w:rFonts w:hint="eastAsia" w:ascii="宋体" w:hAnsi="宋体" w:eastAsia="宋体" w:cs="宋体"/>
          <w:bCs/>
          <w:snapToGrid w:val="0"/>
          <w:color w:val="auto"/>
          <w:kern w:val="0"/>
          <w:sz w:val="24"/>
          <w:highlight w:val="none"/>
        </w:rPr>
        <w:t>落实安全生产责任制，</w:t>
      </w:r>
      <w:r>
        <w:rPr>
          <w:rFonts w:hint="eastAsia" w:ascii="宋体" w:hAnsi="宋体" w:eastAsia="宋体" w:cs="宋体"/>
          <w:snapToGrid w:val="0"/>
          <w:color w:val="auto"/>
          <w:kern w:val="0"/>
          <w:sz w:val="24"/>
          <w:highlight w:val="none"/>
        </w:rPr>
        <w:t>按照工程建设安全生产的有关管理规定，采取相应措施，负责现场全部作业的安全，并对此承担全部责任。</w:t>
      </w:r>
    </w:p>
    <w:p w14:paraId="26B66AE8">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21.2</w:t>
      </w:r>
      <w:r>
        <w:rPr>
          <w:rFonts w:hint="eastAsia" w:ascii="宋体" w:hAnsi="宋体" w:eastAsia="宋体" w:cs="宋体"/>
          <w:snapToGrid w:val="0"/>
          <w:color w:val="auto"/>
          <w:kern w:val="0"/>
          <w:sz w:val="24"/>
          <w:highlight w:val="none"/>
        </w:rPr>
        <w:t>承包人在施工中必须制定定期检查制度，加强对自身管理范围内各专业单位在安全施工方面的检查、监督管理；若被发现存在严重安全隐患的，应按照合同专用条款第38.8款的约定承担违约责任。</w:t>
      </w:r>
    </w:p>
    <w:p w14:paraId="3F396D5D">
      <w:pPr>
        <w:adjustRightInd w:val="0"/>
        <w:snapToGrid w:val="0"/>
        <w:spacing w:line="360" w:lineRule="auto"/>
        <w:ind w:right="11"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22、安全防护</w:t>
      </w:r>
    </w:p>
    <w:p w14:paraId="66BA4564">
      <w:pPr>
        <w:adjustRightInd w:val="0"/>
        <w:snapToGrid w:val="0"/>
        <w:spacing w:line="360" w:lineRule="auto"/>
        <w:ind w:right="11" w:firstLine="463" w:firstLineChars="192"/>
        <w:rPr>
          <w:rFonts w:hint="eastAsia" w:ascii="宋体" w:hAnsi="宋体" w:eastAsia="宋体" w:cs="宋体"/>
          <w:bCs/>
          <w:snapToGrid w:val="0"/>
          <w:color w:val="auto"/>
          <w:kern w:val="0"/>
          <w:sz w:val="24"/>
          <w:highlight w:val="none"/>
        </w:rPr>
      </w:pPr>
      <w:r>
        <w:rPr>
          <w:rFonts w:hint="eastAsia" w:ascii="宋体" w:hAnsi="宋体" w:eastAsia="宋体" w:cs="宋体"/>
          <w:b/>
          <w:snapToGrid w:val="0"/>
          <w:color w:val="auto"/>
          <w:kern w:val="0"/>
          <w:sz w:val="24"/>
          <w:highlight w:val="none"/>
        </w:rPr>
        <w:t>承包人和发包人一致同意增加22.3</w:t>
      </w:r>
      <w:r>
        <w:rPr>
          <w:rFonts w:hint="eastAsia" w:ascii="宋体" w:hAnsi="宋体" w:eastAsia="宋体" w:cs="宋体"/>
          <w:b/>
          <w:snapToGrid w:val="0"/>
          <w:color w:val="auto"/>
          <w:kern w:val="0"/>
          <w:sz w:val="24"/>
          <w:highlight w:val="none"/>
          <w:lang w:val="en-US" w:eastAsia="zh-CN"/>
        </w:rPr>
        <w:t>至22.5</w:t>
      </w:r>
      <w:r>
        <w:rPr>
          <w:rFonts w:hint="eastAsia" w:ascii="宋体" w:hAnsi="宋体" w:eastAsia="宋体" w:cs="宋体"/>
          <w:b/>
          <w:snapToGrid w:val="0"/>
          <w:color w:val="auto"/>
          <w:kern w:val="0"/>
          <w:sz w:val="24"/>
          <w:highlight w:val="none"/>
        </w:rPr>
        <w:t>：</w:t>
      </w:r>
    </w:p>
    <w:p w14:paraId="709ECD73">
      <w:pPr>
        <w:adjustRightInd w:val="0"/>
        <w:snapToGrid w:val="0"/>
        <w:spacing w:line="360" w:lineRule="auto"/>
        <w:ind w:firstLine="48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22.3本工程的绿色施工安全防护措施费包括但不限于合同通用条款第22.1款、第22.2款所列明的费用，所有绿色施工安全防护措施费已包含在合同价款之中。</w:t>
      </w:r>
    </w:p>
    <w:p w14:paraId="58C1A27B">
      <w:pPr>
        <w:adjustRightInd w:val="0"/>
        <w:snapToGrid w:val="0"/>
        <w:spacing w:line="360" w:lineRule="auto"/>
        <w:ind w:firstLine="48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22.4措施项目的实施要求须满足《建筑施工安全检查标准》（JGJ59-2011）、《建设工程施工现场环境与卫生标准》（JGJ146-2013）、广东省建设厅转发建设部关于印发《建筑工程安全防护、文明施工措施费用及使用管理规定》的通知（粤建管字[2005]116号）、关于印发《广东省建设厅建筑工程安全防护、文明施工措施费用管理办法》的通知（粤建管字[2007]39号）、《广州市建设工程现场文明施工管理规定》（广州市人民政府令第62号）和《关于进一步规范建设工程施工现场围蔽的通知》（穗建质[2008]1008号）、《广州市住房和城乡建设局等8部门关于印发广州市建设工程扬尘防治“6个100%”管理标准图集（V2.0版）的通知》和《广州市住房和城乡建设局等9部门关于印发广州市建设工程绿色施工围蔽指导图集（V2.0版）的通知 》（穗建质〔2020〕1号）及发包人制定的相关规定的要求，并应当做到：</w:t>
      </w:r>
    </w:p>
    <w:p w14:paraId="14026FB9">
      <w:pPr>
        <w:adjustRightInd w:val="0"/>
        <w:snapToGrid w:val="0"/>
        <w:spacing w:line="360" w:lineRule="auto"/>
        <w:ind w:firstLine="48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（1）加强对职业健康安全应急预案、安全技术方案的审查管理工作。</w:t>
      </w:r>
    </w:p>
    <w:p w14:paraId="21AC9181">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bCs/>
          <w:snapToGrid w:val="0"/>
          <w:color w:val="auto"/>
          <w:kern w:val="0"/>
          <w:sz w:val="24"/>
          <w:highlight w:val="none"/>
        </w:rPr>
        <w:t>（2）保护所有在现场人员的安全，保护其管辖范围内的现场以及尚未完</w:t>
      </w:r>
      <w:r>
        <w:rPr>
          <w:rFonts w:hint="eastAsia" w:ascii="宋体" w:hAnsi="宋体" w:eastAsia="宋体" w:cs="宋体"/>
          <w:snapToGrid w:val="0"/>
          <w:color w:val="auto"/>
          <w:kern w:val="0"/>
          <w:sz w:val="24"/>
          <w:highlight w:val="none"/>
        </w:rPr>
        <w:t>工的和发包人尚未占用的工程处于良好的安全状态。</w:t>
      </w:r>
    </w:p>
    <w:p w14:paraId="2D746173">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snapToGrid w:val="0"/>
          <w:color w:val="auto"/>
          <w:kern w:val="0"/>
          <w:sz w:val="24"/>
          <w:highlight w:val="none"/>
        </w:rPr>
        <w:t>（3）在需要的时间和地点，根据总监理工程师、发包人或者当地政府的要求，提供和维持所有的照明灯光、护板、围墙、栅栏、警告信号标志和值班人员，对工程进行保护和为公众提供安全和方便。</w:t>
      </w:r>
    </w:p>
    <w:p w14:paraId="61D5A585">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承包人应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如：非典型性肺炎，新冠肺炎）时，承包人必须遵守并执行省市卫生部门为处理和控制上述传染病而制定的规章、命令和要求，迅速向发包人和工程所在地疾病控制中心报告。</w:t>
      </w:r>
    </w:p>
    <w:p w14:paraId="10DA8AF6">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22.5疫情防控，如工程实施期间处于疫情等重大突发公共卫生事件响应期间，本工程的疫情防控费用由承包人承担。承包人应将疫情防控费用综合考虑在投标报价中，不单独列项。</w:t>
      </w:r>
    </w:p>
    <w:p w14:paraId="58B23285">
      <w:pPr>
        <w:adjustRightInd w:val="0"/>
        <w:snapToGrid w:val="0"/>
        <w:spacing w:line="360" w:lineRule="auto"/>
        <w:ind w:right="11"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23、事故处理</w:t>
      </w:r>
    </w:p>
    <w:p w14:paraId="1F835FB7">
      <w:pPr>
        <w:adjustRightInd w:val="0"/>
        <w:snapToGrid w:val="0"/>
        <w:spacing w:line="360" w:lineRule="auto"/>
        <w:ind w:right="11" w:firstLine="463" w:firstLineChars="192"/>
        <w:rPr>
          <w:rFonts w:hint="eastAsia" w:ascii="宋体" w:hAnsi="宋体" w:eastAsia="宋体" w:cs="宋体"/>
          <w:bCs/>
          <w:snapToGrid w:val="0"/>
          <w:color w:val="auto"/>
          <w:kern w:val="0"/>
          <w:sz w:val="24"/>
          <w:highlight w:val="none"/>
        </w:rPr>
      </w:pPr>
      <w:r>
        <w:rPr>
          <w:rFonts w:hint="eastAsia" w:ascii="宋体" w:hAnsi="宋体" w:eastAsia="宋体" w:cs="宋体"/>
          <w:b/>
          <w:snapToGrid w:val="0"/>
          <w:color w:val="auto"/>
          <w:kern w:val="0"/>
          <w:sz w:val="24"/>
          <w:highlight w:val="none"/>
        </w:rPr>
        <w:t>承包人和发包人一致同意增加23.3、23.4：</w:t>
      </w:r>
    </w:p>
    <w:p w14:paraId="45679982">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23.3因承包人故意或过失造成安全事故的，除按照国家规定由行政主管部门给予承包人处罚外，承包人还应负责赔偿发包人的损失，并按照合同专用条款第38.8款的约定承担违约责任。</w:t>
      </w:r>
    </w:p>
    <w:p w14:paraId="3FC2B6C0">
      <w:pPr>
        <w:pStyle w:val="43"/>
        <w:adjustRightInd w:val="0"/>
        <w:snapToGrid w:val="0"/>
        <w:spacing w:line="360" w:lineRule="auto"/>
        <w:ind w:firstLine="480"/>
        <w:rPr>
          <w:rFonts w:hint="eastAsia" w:hAnsi="宋体" w:eastAsia="宋体" w:cs="宋体"/>
          <w:snapToGrid w:val="0"/>
          <w:color w:val="auto"/>
          <w:kern w:val="0"/>
          <w:sz w:val="24"/>
          <w:highlight w:val="none"/>
        </w:rPr>
      </w:pPr>
      <w:r>
        <w:rPr>
          <w:rFonts w:hint="eastAsia" w:hAnsi="宋体" w:eastAsia="宋体" w:cs="宋体"/>
          <w:snapToGrid w:val="0"/>
          <w:color w:val="auto"/>
          <w:kern w:val="0"/>
          <w:sz w:val="24"/>
          <w:highlight w:val="none"/>
        </w:rPr>
        <w:t>23.4承包人应保证发包人免于受到或承担应由承包人负责的因承包人现场施工所引起的或与之有关的索赔、诉讼以及其他开支（包括但不限于诉讼费、仲裁费、保全费、执行费、律师费等）；若有证据证实发包人因此发生了索赔、诉讼以及其他开支，承包人必须在接到发包人通知之日起三天内据实补偿发包人因此所受到的损失或者由发包人在承包人工程款项中予以扣除。</w:t>
      </w:r>
    </w:p>
    <w:p w14:paraId="51B92053">
      <w:pPr>
        <w:numPr>
          <w:ilvl w:val="0"/>
          <w:numId w:val="0"/>
        </w:numPr>
        <w:adjustRightInd w:val="0"/>
        <w:snapToGrid w:val="0"/>
        <w:spacing w:line="360" w:lineRule="auto"/>
        <w:ind w:right="11" w:rightChars="0"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lang w:val="en-US" w:eastAsia="zh-CN"/>
        </w:rPr>
        <w:t>24、</w:t>
      </w:r>
      <w:r>
        <w:rPr>
          <w:rFonts w:hint="eastAsia" w:ascii="宋体" w:hAnsi="宋体" w:eastAsia="宋体" w:cs="宋体"/>
          <w:b/>
          <w:snapToGrid w:val="0"/>
          <w:color w:val="auto"/>
          <w:kern w:val="0"/>
          <w:sz w:val="24"/>
          <w:highlight w:val="none"/>
        </w:rPr>
        <w:t>绿色文明施工与环境保护</w:t>
      </w:r>
    </w:p>
    <w:p w14:paraId="50FDC723">
      <w:pPr>
        <w:numPr>
          <w:ilvl w:val="0"/>
          <w:numId w:val="0"/>
        </w:numPr>
        <w:adjustRightInd w:val="0"/>
        <w:snapToGrid w:val="0"/>
        <w:spacing w:line="360" w:lineRule="auto"/>
        <w:ind w:right="11"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snapToGrid w:val="0"/>
          <w:color w:val="auto"/>
          <w:kern w:val="0"/>
          <w:sz w:val="24"/>
          <w:szCs w:val="24"/>
          <w:highlight w:val="none"/>
          <w:lang w:val="en-US" w:eastAsia="zh-CN"/>
        </w:rPr>
        <w:t>24.2在工程施工期间，根据建设项目环境保护的有关管理规定，承包人应</w:t>
      </w:r>
      <w:r>
        <w:rPr>
          <w:rFonts w:hint="eastAsia" w:ascii="宋体" w:hAnsi="宋体" w:eastAsia="宋体" w:cs="宋体"/>
          <w:snapToGrid w:val="0"/>
          <w:color w:val="auto"/>
          <w:kern w:val="0"/>
          <w:sz w:val="24"/>
          <w:highlight w:val="none"/>
        </w:rPr>
        <w:t>应严格遵守政府有关主管部门对施工场地交通、施工噪音、扬尘治理以及环境保护和安全生产的管理规定</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按规定办理有关手续，</w:t>
      </w:r>
      <w:r>
        <w:rPr>
          <w:rFonts w:hint="eastAsia" w:ascii="宋体" w:hAnsi="宋体" w:eastAsia="宋体" w:cs="宋体"/>
          <w:b w:val="0"/>
          <w:snapToGrid w:val="0"/>
          <w:color w:val="auto"/>
          <w:kern w:val="0"/>
          <w:sz w:val="24"/>
          <w:szCs w:val="24"/>
          <w:highlight w:val="none"/>
          <w:lang w:val="en-US" w:eastAsia="zh-CN"/>
        </w:rPr>
        <w:t>采取所有合理的措施来保护施工场地内外的环境，避免由于其操作方法所造成的污染、噪声或其他问题而对周边的人员或公私财产造成干扰、损失或者损害。由此发生的相关费用已包含在合同综合单价中。因承包人环保措施不力造成损害的责任和因此发生的费用，由承包人承担。</w:t>
      </w:r>
    </w:p>
    <w:p w14:paraId="5FB1FB0E">
      <w:pPr>
        <w:adjustRightInd w:val="0"/>
        <w:snapToGrid w:val="0"/>
        <w:spacing w:line="360" w:lineRule="auto"/>
        <w:ind w:right="11"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承包人和发包人一致同意增加24.3</w:t>
      </w:r>
      <w:r>
        <w:rPr>
          <w:rFonts w:hint="eastAsia" w:ascii="宋体" w:hAnsi="宋体" w:eastAsia="宋体" w:cs="宋体"/>
          <w:b/>
          <w:snapToGrid w:val="0"/>
          <w:color w:val="auto"/>
          <w:kern w:val="0"/>
          <w:sz w:val="24"/>
          <w:highlight w:val="none"/>
          <w:lang w:val="en-US" w:eastAsia="zh-CN"/>
        </w:rPr>
        <w:t>至</w:t>
      </w:r>
      <w:r>
        <w:rPr>
          <w:rFonts w:hint="eastAsia" w:ascii="宋体" w:hAnsi="宋体" w:eastAsia="宋体" w:cs="宋体"/>
          <w:b/>
          <w:snapToGrid w:val="0"/>
          <w:color w:val="auto"/>
          <w:kern w:val="0"/>
          <w:sz w:val="24"/>
          <w:highlight w:val="none"/>
        </w:rPr>
        <w:t>24.7：</w:t>
      </w:r>
    </w:p>
    <w:p w14:paraId="2EEC621C">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24.3承包人应严格落实文明施工措施，否则按合同专用条款第38.9款的约定承担违约责任。</w:t>
      </w:r>
    </w:p>
    <w:p w14:paraId="37EABECE">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24.4</w:t>
      </w:r>
      <w:r>
        <w:rPr>
          <w:rFonts w:hint="eastAsia" w:ascii="宋体" w:hAnsi="宋体" w:eastAsia="宋体" w:cs="宋体"/>
          <w:snapToGrid w:val="0"/>
          <w:color w:val="auto"/>
          <w:kern w:val="0"/>
          <w:sz w:val="24"/>
          <w:highlight w:val="none"/>
        </w:rPr>
        <w:t>承包人应在进入现场前提交施工期间的环境保护方案一式四份，经总监理工程师批准后实施。环境保护方案必须包括：施工现场所必须的照明灯光、护板、围护、栅栏、警告标志和值班人员名单，以及建筑垃圾、施工和生活污水、噪音、粉尘、泥浆的处理排放方案。在实施过程中所采用的材料、设备等应使总监理工程师和发包人满意。</w:t>
      </w:r>
    </w:p>
    <w:p w14:paraId="7977BAB1">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承包人应</w:t>
      </w:r>
      <w:r>
        <w:rPr>
          <w:rFonts w:hint="eastAsia" w:ascii="宋体" w:hAnsi="宋体" w:eastAsia="宋体" w:cs="宋体"/>
          <w:snapToGrid w:val="0"/>
          <w:color w:val="auto"/>
          <w:kern w:val="0"/>
          <w:sz w:val="24"/>
          <w:highlight w:val="none"/>
        </w:rPr>
        <w:t>明确扬尘污染防治责任，</w:t>
      </w:r>
      <w:r>
        <w:rPr>
          <w:rFonts w:hint="eastAsia" w:ascii="宋体" w:hAnsi="宋体" w:eastAsia="宋体" w:cs="宋体"/>
          <w:bCs/>
          <w:snapToGrid w:val="0"/>
          <w:color w:val="auto"/>
          <w:kern w:val="0"/>
          <w:sz w:val="24"/>
          <w:highlight w:val="none"/>
        </w:rPr>
        <w:t>应制定具体的施工扬尘污染防治实施方案，在施工工地公示扬尘污染防治措施、负责人、扬尘监督管理主管部门等信息。施工单位应当采取有效防尘降尘措施，减少施工作业过程扬尘污染，并做好扬尘污染防治工作：</w:t>
      </w:r>
    </w:p>
    <w:p w14:paraId="63263BCD">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（1）对施工现场实行封闭管理。城市范围内主要路段的施工工地应设置高度不小于2.5m的封闭围挡，一般路段的施工工地应设置高度不小于1.8m的封闭围挡。施工工地的封闭围挡应坚固、稳定、整洁、美观。</w:t>
      </w:r>
    </w:p>
    <w:p w14:paraId="07D61D4F">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加强物料管理。施工现场的建筑材料、构件、料具应按总平面布局进行码放。在规定区域内的施工现场应使用预拌混凝土及预拌砂浆；采用现场搅拌混凝土或砂浆的场所应采取封闭、降尘、降噪措施；水泥和其它易飞扬的细颗粒建筑材料应密闭存放或采取覆盖等措施。</w:t>
      </w:r>
    </w:p>
    <w:p w14:paraId="4136F3D8">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（3）注重降尘作业。施工进行铣刨、切割等作业时，应采取有效防扬尘措施；灰土和无机料应采用预拌进场，碾压过程中应洒水降尘。</w:t>
      </w:r>
    </w:p>
    <w:p w14:paraId="5A3E301C">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4）硬化路面和清洗车辆。施工现场的主要道路及材料加工区地面应进行硬化处理，道路应畅通，路面应平整坚实。裸露的场地和堆放的土方应采取覆盖、固化或绿化等措施。施工现场出入口应设置车辆冲洗设施，并对驶出车辆进行清洗。</w:t>
      </w:r>
    </w:p>
    <w:p w14:paraId="0694EE8B">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（5）清运建筑垃圾。土方和建筑垃圾的运输应采用封闭式运输车辆或采取覆盖措施。建筑物内施工垃圾的清运，应采用器具或管道运输，严禁随意抛掷。施工现场严禁焚烧各类废弃物。</w:t>
      </w:r>
    </w:p>
    <w:p w14:paraId="2B012955">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6）加强监测监控。要求施工工地安装在线监测和视频监控设备，并与当地有关主管部门联网。当环境空气质量指数达到中度及以上污染时，施工现场应增加洒水频次，加强覆盖措施，减少易造成大气污染的施工作业。</w:t>
      </w:r>
    </w:p>
    <w:p w14:paraId="59E5A982">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对于承包人施工过程中造成的环境污染问题，经发包人或者总监理工程师指出后，承包人未能在24小时之内采取整治措施，或者所采取的整治措施未能有效消除污染的，发包人可以自行或者委托他人代为整治，由此所产生的一切损失、费用均由承包人承担，</w:t>
      </w:r>
      <w:r>
        <w:rPr>
          <w:rFonts w:hint="eastAsia" w:ascii="宋体" w:hAnsi="宋体" w:eastAsia="宋体" w:cs="宋体"/>
          <w:bCs/>
          <w:snapToGrid w:val="0"/>
          <w:color w:val="auto"/>
          <w:kern w:val="0"/>
          <w:sz w:val="24"/>
          <w:highlight w:val="none"/>
        </w:rPr>
        <w:t>且发包人有权将该费用在对承包人的应付工程款中扣除</w:t>
      </w:r>
      <w:r>
        <w:rPr>
          <w:rFonts w:hint="eastAsia" w:ascii="宋体" w:hAnsi="宋体" w:eastAsia="宋体" w:cs="宋体"/>
          <w:snapToGrid w:val="0"/>
          <w:color w:val="auto"/>
          <w:kern w:val="0"/>
          <w:sz w:val="24"/>
          <w:highlight w:val="none"/>
        </w:rPr>
        <w:t>。</w:t>
      </w:r>
    </w:p>
    <w:p w14:paraId="4EFD33C3">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对于发包人直接发包的专业承包单位在施工过程中造成的环境污染（包括文明施工混乱），承包人必须配合发包人及监理单位，督促该专业承包单位立即采取整治措施，如果该专业承包单位不服从承包人的整治要求，承包人必须自行组织及时完成环境污染的整治工作并向总监理工程师及发包人书面汇报其过程及效果，由此产生的费用经总监理工程师及发包人审核确认，从该专业承包单位的工程款项中扣除，由发包人将该笔款项直接支付给承包人。由于承包人管理督促不力或漠视不理，以致专业承包单位未能及时整治或不进行整治而造成的一切损失均由承包人承担，同时承包人还必须按合同专用条款第38.9款的约定承担相应的违约责任。</w:t>
      </w:r>
    </w:p>
    <w:p w14:paraId="41C60330">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24.5承包人承诺：所有施工的安全设施、机具以及围网、护栏、临边防护、施工通道等全部按发包人的要求统一标准、统一标识。安全防护、文明施工的内容按中标后承包人向发包人提交且经总监理工程师和发包人批准的详细的施工组织设计实施，但安全防护、文明施工的投标总报价不变。</w:t>
      </w:r>
    </w:p>
    <w:p w14:paraId="0E4F4A68">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bCs/>
          <w:snapToGrid w:val="0"/>
          <w:color w:val="auto"/>
          <w:kern w:val="0"/>
          <w:sz w:val="24"/>
          <w:highlight w:val="none"/>
        </w:rPr>
        <w:t>在合同工期内，发包人、总监理工程师对承包人的安全文明施工及环境保护措施</w:t>
      </w:r>
      <w:r>
        <w:rPr>
          <w:rFonts w:hint="eastAsia" w:ascii="宋体" w:hAnsi="宋体" w:eastAsia="宋体" w:cs="宋体"/>
          <w:snapToGrid w:val="0"/>
          <w:color w:val="auto"/>
          <w:kern w:val="0"/>
          <w:sz w:val="24"/>
          <w:highlight w:val="none"/>
        </w:rPr>
        <w:t>进行定期检查，并按招标文件规定的项目和款项执行奖罚。</w:t>
      </w:r>
    </w:p>
    <w:p w14:paraId="3EEF93E0">
      <w:pPr>
        <w:pStyle w:val="43"/>
        <w:adjustRightInd w:val="0"/>
        <w:snapToGrid w:val="0"/>
        <w:spacing w:line="360" w:lineRule="auto"/>
        <w:ind w:firstLine="482" w:firstLineChars="200"/>
        <w:rPr>
          <w:rFonts w:hint="eastAsia" w:hAnsi="宋体" w:eastAsia="宋体" w:cs="宋体"/>
          <w:b/>
          <w:iCs/>
          <w:snapToGrid w:val="0"/>
          <w:color w:val="auto"/>
          <w:kern w:val="0"/>
          <w:sz w:val="24"/>
          <w:szCs w:val="20"/>
          <w:highlight w:val="none"/>
        </w:rPr>
      </w:pPr>
      <w:r>
        <w:rPr>
          <w:rFonts w:hint="eastAsia" w:hAnsi="宋体" w:eastAsia="宋体" w:cs="宋体"/>
          <w:b/>
          <w:iCs/>
          <w:snapToGrid w:val="0"/>
          <w:color w:val="auto"/>
          <w:kern w:val="0"/>
          <w:sz w:val="24"/>
          <w:szCs w:val="20"/>
          <w:highlight w:val="none"/>
        </w:rPr>
        <w:t>24.</w:t>
      </w:r>
      <w:r>
        <w:rPr>
          <w:rFonts w:hint="eastAsia" w:hAnsi="宋体" w:eastAsia="宋体" w:cs="宋体"/>
          <w:b/>
          <w:iCs/>
          <w:snapToGrid w:val="0"/>
          <w:color w:val="auto"/>
          <w:kern w:val="0"/>
          <w:sz w:val="24"/>
          <w:szCs w:val="20"/>
          <w:highlight w:val="none"/>
          <w:lang w:val="en-US" w:eastAsia="zh-CN"/>
        </w:rPr>
        <w:t>6</w:t>
      </w:r>
      <w:r>
        <w:rPr>
          <w:rFonts w:hint="eastAsia" w:hAnsi="宋体" w:eastAsia="宋体" w:cs="宋体"/>
          <w:b/>
          <w:iCs/>
          <w:snapToGrid w:val="0"/>
          <w:color w:val="auto"/>
          <w:kern w:val="0"/>
          <w:sz w:val="24"/>
          <w:szCs w:val="20"/>
          <w:highlight w:val="none"/>
        </w:rPr>
        <w:t>用工实名管理</w:t>
      </w:r>
    </w:p>
    <w:p w14:paraId="4AD8F3E5">
      <w:pPr>
        <w:pStyle w:val="43"/>
        <w:adjustRightInd w:val="0"/>
        <w:snapToGrid w:val="0"/>
        <w:spacing w:line="360" w:lineRule="auto"/>
        <w:ind w:firstLine="480" w:firstLineChars="200"/>
        <w:rPr>
          <w:rFonts w:hint="eastAsia" w:hAnsi="宋体" w:eastAsia="宋体" w:cs="宋体"/>
          <w:b/>
          <w:iCs/>
          <w:snapToGrid w:val="0"/>
          <w:color w:val="auto"/>
          <w:kern w:val="0"/>
          <w:sz w:val="24"/>
          <w:szCs w:val="20"/>
          <w:highlight w:val="none"/>
        </w:rPr>
      </w:pPr>
      <w:r>
        <w:rPr>
          <w:rFonts w:hint="eastAsia" w:hAnsi="宋体" w:eastAsia="宋体" w:cs="宋体"/>
          <w:bCs/>
          <w:iCs/>
          <w:snapToGrid w:val="0"/>
          <w:color w:val="auto"/>
          <w:kern w:val="0"/>
          <w:sz w:val="24"/>
          <w:highlight w:val="none"/>
        </w:rPr>
        <w:t>24.</w:t>
      </w:r>
      <w:r>
        <w:rPr>
          <w:rFonts w:hint="eastAsia" w:hAnsi="宋体" w:eastAsia="宋体" w:cs="宋体"/>
          <w:bCs/>
          <w:iCs/>
          <w:snapToGrid w:val="0"/>
          <w:color w:val="auto"/>
          <w:kern w:val="0"/>
          <w:sz w:val="24"/>
          <w:highlight w:val="none"/>
          <w:lang w:val="en-US" w:eastAsia="zh-CN"/>
        </w:rPr>
        <w:t>6</w:t>
      </w:r>
      <w:r>
        <w:rPr>
          <w:rFonts w:hint="eastAsia" w:hAnsi="宋体" w:eastAsia="宋体" w:cs="宋体"/>
          <w:bCs/>
          <w:iCs/>
          <w:snapToGrid w:val="0"/>
          <w:color w:val="auto"/>
          <w:kern w:val="0"/>
          <w:sz w:val="24"/>
          <w:highlight w:val="none"/>
        </w:rPr>
        <w:t>.1承包人应利用信息技术手段，建立用工实名管理制度，对施工现场人员登记并进行监管，开展实名管理所需数据的提取、登记、审核、报送和档案管理等工作；</w:t>
      </w:r>
    </w:p>
    <w:p w14:paraId="6C0D5815">
      <w:pPr>
        <w:pStyle w:val="43"/>
        <w:adjustRightInd w:val="0"/>
        <w:snapToGrid w:val="0"/>
        <w:spacing w:line="360" w:lineRule="auto"/>
        <w:ind w:firstLine="480" w:firstLineChars="200"/>
        <w:rPr>
          <w:rFonts w:hint="eastAsia" w:hAnsi="宋体" w:eastAsia="宋体" w:cs="宋体"/>
          <w:bCs/>
          <w:iCs/>
          <w:snapToGrid w:val="0"/>
          <w:color w:val="auto"/>
          <w:kern w:val="0"/>
          <w:sz w:val="24"/>
          <w:highlight w:val="none"/>
        </w:rPr>
      </w:pPr>
      <w:r>
        <w:rPr>
          <w:rFonts w:hint="eastAsia" w:hAnsi="宋体" w:eastAsia="宋体" w:cs="宋体"/>
          <w:bCs/>
          <w:iCs/>
          <w:snapToGrid w:val="0"/>
          <w:color w:val="auto"/>
          <w:kern w:val="0"/>
          <w:sz w:val="24"/>
          <w:highlight w:val="none"/>
        </w:rPr>
        <w:t>24.</w:t>
      </w:r>
      <w:r>
        <w:rPr>
          <w:rFonts w:hint="eastAsia" w:hAnsi="宋体" w:eastAsia="宋体" w:cs="宋体"/>
          <w:bCs/>
          <w:iCs/>
          <w:snapToGrid w:val="0"/>
          <w:color w:val="auto"/>
          <w:kern w:val="0"/>
          <w:sz w:val="24"/>
          <w:highlight w:val="none"/>
          <w:lang w:val="en-US" w:eastAsia="zh-CN"/>
        </w:rPr>
        <w:t>6</w:t>
      </w:r>
      <w:r>
        <w:rPr>
          <w:rFonts w:hint="eastAsia" w:hAnsi="宋体" w:eastAsia="宋体" w:cs="宋体"/>
          <w:bCs/>
          <w:iCs/>
          <w:snapToGrid w:val="0"/>
          <w:color w:val="auto"/>
          <w:kern w:val="0"/>
          <w:sz w:val="24"/>
          <w:highlight w:val="none"/>
        </w:rPr>
        <w:t>.</w:t>
      </w:r>
      <w:r>
        <w:rPr>
          <w:rFonts w:hint="eastAsia" w:hAnsi="宋体" w:eastAsia="宋体" w:cs="宋体"/>
          <w:bCs/>
          <w:iCs/>
          <w:snapToGrid w:val="0"/>
          <w:color w:val="auto"/>
          <w:kern w:val="0"/>
          <w:sz w:val="24"/>
          <w:highlight w:val="none"/>
          <w:lang w:val="en-US" w:eastAsia="zh-CN"/>
        </w:rPr>
        <w:t>2</w:t>
      </w:r>
      <w:r>
        <w:rPr>
          <w:rFonts w:hint="eastAsia" w:hAnsi="宋体" w:eastAsia="宋体" w:cs="宋体"/>
          <w:bCs/>
          <w:iCs/>
          <w:snapToGrid w:val="0"/>
          <w:color w:val="auto"/>
          <w:kern w:val="0"/>
          <w:sz w:val="24"/>
          <w:highlight w:val="none"/>
        </w:rPr>
        <w:t>落实工程建设领域人工费用与其他工程款分账管理制度，设立工资支付专用账户，同意为已实名信息采集的施工现场人员办理银行卡，并通过银行卡足额发放工资；</w:t>
      </w:r>
    </w:p>
    <w:p w14:paraId="03691242">
      <w:pPr>
        <w:pStyle w:val="43"/>
        <w:adjustRightInd w:val="0"/>
        <w:snapToGrid w:val="0"/>
        <w:spacing w:line="360" w:lineRule="auto"/>
        <w:ind w:firstLine="480" w:firstLineChars="200"/>
        <w:rPr>
          <w:rFonts w:hint="eastAsia" w:hAnsi="宋体" w:eastAsia="宋体" w:cs="宋体"/>
          <w:bCs/>
          <w:iCs/>
          <w:snapToGrid w:val="0"/>
          <w:color w:val="auto"/>
          <w:kern w:val="0"/>
          <w:sz w:val="24"/>
          <w:highlight w:val="none"/>
        </w:rPr>
      </w:pPr>
      <w:r>
        <w:rPr>
          <w:rFonts w:hint="eastAsia" w:hAnsi="宋体" w:eastAsia="宋体" w:cs="宋体"/>
          <w:bCs/>
          <w:iCs/>
          <w:snapToGrid w:val="0"/>
          <w:color w:val="auto"/>
          <w:kern w:val="0"/>
          <w:sz w:val="24"/>
          <w:highlight w:val="none"/>
        </w:rPr>
        <w:t>24.</w:t>
      </w:r>
      <w:r>
        <w:rPr>
          <w:rFonts w:hint="eastAsia" w:hAnsi="宋体" w:eastAsia="宋体" w:cs="宋体"/>
          <w:bCs/>
          <w:iCs/>
          <w:snapToGrid w:val="0"/>
          <w:color w:val="auto"/>
          <w:kern w:val="0"/>
          <w:sz w:val="24"/>
          <w:highlight w:val="none"/>
          <w:lang w:val="en-US" w:eastAsia="zh-CN"/>
        </w:rPr>
        <w:t>6</w:t>
      </w:r>
      <w:r>
        <w:rPr>
          <w:rFonts w:hint="eastAsia" w:hAnsi="宋体" w:eastAsia="宋体" w:cs="宋体"/>
          <w:bCs/>
          <w:iCs/>
          <w:snapToGrid w:val="0"/>
          <w:color w:val="auto"/>
          <w:kern w:val="0"/>
          <w:sz w:val="24"/>
          <w:highlight w:val="none"/>
        </w:rPr>
        <w:t>.</w:t>
      </w:r>
      <w:r>
        <w:rPr>
          <w:rFonts w:hint="eastAsia" w:hAnsi="宋体" w:eastAsia="宋体" w:cs="宋体"/>
          <w:bCs/>
          <w:iCs/>
          <w:snapToGrid w:val="0"/>
          <w:color w:val="auto"/>
          <w:kern w:val="0"/>
          <w:sz w:val="24"/>
          <w:highlight w:val="none"/>
          <w:lang w:val="en-US" w:eastAsia="zh-CN"/>
        </w:rPr>
        <w:t>3</w:t>
      </w:r>
      <w:r>
        <w:rPr>
          <w:rFonts w:hint="eastAsia" w:hAnsi="宋体" w:eastAsia="宋体" w:cs="宋体"/>
          <w:bCs/>
          <w:iCs/>
          <w:snapToGrid w:val="0"/>
          <w:color w:val="auto"/>
          <w:kern w:val="0"/>
          <w:sz w:val="24"/>
          <w:highlight w:val="none"/>
        </w:rPr>
        <w:t>自行或提请银行将银行卡发放信息、工资支付信息归集后上传至实名监督系统，并向施工现场人员反馈其工资收入信息；</w:t>
      </w:r>
    </w:p>
    <w:p w14:paraId="0DF1384A">
      <w:pPr>
        <w:pStyle w:val="43"/>
        <w:adjustRightInd w:val="0"/>
        <w:snapToGrid w:val="0"/>
        <w:spacing w:line="360" w:lineRule="auto"/>
        <w:ind w:firstLine="480" w:firstLineChars="200"/>
        <w:rPr>
          <w:rFonts w:hint="eastAsia" w:hAnsi="宋体" w:eastAsia="宋体" w:cs="宋体"/>
          <w:bCs/>
          <w:iCs/>
          <w:snapToGrid w:val="0"/>
          <w:color w:val="auto"/>
          <w:kern w:val="0"/>
          <w:sz w:val="24"/>
          <w:highlight w:val="none"/>
        </w:rPr>
      </w:pPr>
      <w:r>
        <w:rPr>
          <w:rFonts w:hint="eastAsia" w:hAnsi="宋体" w:eastAsia="宋体" w:cs="宋体"/>
          <w:bCs/>
          <w:iCs/>
          <w:snapToGrid w:val="0"/>
          <w:color w:val="auto"/>
          <w:kern w:val="0"/>
          <w:sz w:val="24"/>
          <w:highlight w:val="none"/>
        </w:rPr>
        <w:t>24.</w:t>
      </w:r>
      <w:r>
        <w:rPr>
          <w:rFonts w:hint="eastAsia" w:hAnsi="宋体" w:eastAsia="宋体" w:cs="宋体"/>
          <w:bCs/>
          <w:iCs/>
          <w:snapToGrid w:val="0"/>
          <w:color w:val="auto"/>
          <w:kern w:val="0"/>
          <w:sz w:val="24"/>
          <w:highlight w:val="none"/>
          <w:lang w:val="en-US" w:eastAsia="zh-CN"/>
        </w:rPr>
        <w:t>6</w:t>
      </w:r>
      <w:r>
        <w:rPr>
          <w:rFonts w:hint="eastAsia" w:hAnsi="宋体" w:eastAsia="宋体" w:cs="宋体"/>
          <w:bCs/>
          <w:iCs/>
          <w:snapToGrid w:val="0"/>
          <w:color w:val="auto"/>
          <w:kern w:val="0"/>
          <w:sz w:val="24"/>
          <w:highlight w:val="none"/>
        </w:rPr>
        <w:t>.</w:t>
      </w:r>
      <w:r>
        <w:rPr>
          <w:rFonts w:hint="eastAsia" w:hAnsi="宋体" w:eastAsia="宋体" w:cs="宋体"/>
          <w:bCs/>
          <w:iCs/>
          <w:snapToGrid w:val="0"/>
          <w:color w:val="auto"/>
          <w:kern w:val="0"/>
          <w:sz w:val="24"/>
          <w:highlight w:val="none"/>
          <w:lang w:val="en-US" w:eastAsia="zh-CN"/>
        </w:rPr>
        <w:t>4</w:t>
      </w:r>
      <w:r>
        <w:rPr>
          <w:rFonts w:hint="eastAsia" w:hAnsi="宋体" w:eastAsia="宋体" w:cs="宋体"/>
          <w:bCs/>
          <w:iCs/>
          <w:snapToGrid w:val="0"/>
          <w:color w:val="auto"/>
          <w:kern w:val="0"/>
          <w:sz w:val="24"/>
          <w:highlight w:val="none"/>
        </w:rPr>
        <w:t>承包人用工实名制应符合《住房和城乡建设部 人力资源社会保障部关于修改《建筑工人实名制管理办法（试行）》的通知》（建市〔2022〕59号）、《广州市住房和城乡建设委员会关于转发&lt;广东省住房和城乡建设厅关于房屋建筑和市政基础设施工程用工实名管理暂行办法&gt;的通知》（穗建筑〔2018〕981号）、《广州市住房和城乡建设局关于印发广州市建筑施工实名制管理办法的通知》（穗建规字〔2020〕18号）等政策文件的要求。</w:t>
      </w:r>
    </w:p>
    <w:p w14:paraId="60870B02">
      <w:pPr>
        <w:pStyle w:val="10"/>
        <w:jc w:val="left"/>
        <w:rPr>
          <w:rFonts w:hint="eastAsia" w:ascii="宋体" w:hAnsi="宋体"/>
          <w:snapToGrid w:val="0"/>
          <w:color w:val="auto"/>
          <w:kern w:val="0"/>
          <w:highlight w:val="none"/>
        </w:rPr>
      </w:pPr>
      <w:bookmarkStart w:id="580" w:name="_Toc514681187"/>
      <w:bookmarkStart w:id="581" w:name="_Toc514664865"/>
      <w:bookmarkStart w:id="582" w:name="_Toc517774565"/>
      <w:bookmarkStart w:id="583" w:name="_Toc520902761"/>
      <w:bookmarkStart w:id="584" w:name="_Toc520902610"/>
      <w:bookmarkStart w:id="585" w:name="_Toc520358235"/>
      <w:bookmarkStart w:id="586" w:name="_Toc520902832"/>
      <w:bookmarkStart w:id="587" w:name="_Toc520358059"/>
      <w:bookmarkStart w:id="588" w:name="_Toc519502255"/>
      <w:bookmarkStart w:id="589" w:name="_Toc514666978"/>
      <w:bookmarkStart w:id="590" w:name="_Toc518481737"/>
      <w:bookmarkStart w:id="591" w:name="_Toc517954578"/>
      <w:bookmarkStart w:id="592" w:name="_Toc516495981"/>
      <w:bookmarkStart w:id="593" w:name="_Toc514663863"/>
      <w:bookmarkStart w:id="594" w:name="_Toc514681768"/>
      <w:bookmarkStart w:id="595" w:name="_Toc35083100"/>
      <w:bookmarkStart w:id="596" w:name="_Toc514665148"/>
      <w:bookmarkStart w:id="597" w:name="_Toc520901465"/>
      <w:bookmarkStart w:id="598" w:name="_Toc519503085"/>
      <w:bookmarkStart w:id="599" w:name="_Toc514665287"/>
      <w:r>
        <w:rPr>
          <w:rFonts w:hint="eastAsia" w:ascii="宋体" w:hAnsi="宋体"/>
          <w:snapToGrid w:val="0"/>
          <w:color w:val="auto"/>
          <w:kern w:val="0"/>
          <w:highlight w:val="none"/>
        </w:rPr>
        <w:t>六、合同价款与支付</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14:paraId="7718EF55">
      <w:pPr>
        <w:adjustRightInd w:val="0"/>
        <w:snapToGrid w:val="0"/>
        <w:spacing w:line="360" w:lineRule="auto"/>
        <w:ind w:right="11"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25、合同价款及调整</w:t>
      </w:r>
    </w:p>
    <w:p w14:paraId="69B19AC6">
      <w:pPr>
        <w:autoSpaceDE w:val="0"/>
        <w:autoSpaceDN w:val="0"/>
        <w:adjustRightInd w:val="0"/>
        <w:snapToGrid w:val="0"/>
        <w:spacing w:line="360" w:lineRule="auto"/>
        <w:ind w:right="11" w:firstLine="461"/>
        <w:rPr>
          <w:rFonts w:hint="eastAsia"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lang w:val="zh-CN"/>
        </w:rPr>
        <w:t>25.1合同价款按照合同协议书第六条和本条第25.2款的约定执行。</w:t>
      </w:r>
    </w:p>
    <w:p w14:paraId="4FB61F04">
      <w:pPr>
        <w:autoSpaceDE w:val="0"/>
        <w:autoSpaceDN w:val="0"/>
        <w:adjustRightInd w:val="0"/>
        <w:snapToGrid w:val="0"/>
        <w:spacing w:line="360" w:lineRule="auto"/>
        <w:ind w:right="11" w:firstLine="461"/>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25.2</w:t>
      </w:r>
      <w:r>
        <w:rPr>
          <w:rFonts w:hint="eastAsia" w:ascii="宋体" w:hAnsi="宋体" w:eastAsia="宋体" w:cs="宋体"/>
          <w:snapToGrid w:val="0"/>
          <w:color w:val="auto"/>
          <w:kern w:val="0"/>
          <w:sz w:val="24"/>
          <w:highlight w:val="none"/>
          <w:lang w:val="zh-CN"/>
        </w:rPr>
        <w:t>确定合同价款的方式</w:t>
      </w:r>
      <w:r>
        <w:rPr>
          <w:rFonts w:hint="eastAsia" w:ascii="宋体" w:hAnsi="宋体" w:eastAsia="宋体" w:cs="宋体"/>
          <w:snapToGrid w:val="0"/>
          <w:color w:val="auto"/>
          <w:kern w:val="0"/>
          <w:sz w:val="24"/>
          <w:highlight w:val="none"/>
        </w:rPr>
        <w:t>：</w:t>
      </w:r>
    </w:p>
    <w:p w14:paraId="70E803D4">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snapToGrid w:val="0"/>
          <w:color w:val="auto"/>
          <w:kern w:val="0"/>
          <w:sz w:val="24"/>
          <w:highlight w:val="none"/>
        </w:rPr>
        <w:t>□</w:t>
      </w:r>
      <w:r>
        <w:rPr>
          <w:rFonts w:hint="eastAsia" w:ascii="宋体" w:hAnsi="宋体" w:eastAsia="宋体" w:cs="宋体"/>
          <w:bCs/>
          <w:snapToGrid w:val="0"/>
          <w:color w:val="auto"/>
          <w:kern w:val="0"/>
          <w:sz w:val="24"/>
          <w:highlight w:val="none"/>
        </w:rPr>
        <w:t>（1）</w:t>
      </w:r>
      <w:r>
        <w:rPr>
          <w:rFonts w:hint="eastAsia" w:ascii="宋体" w:hAnsi="宋体" w:eastAsia="宋体" w:cs="宋体"/>
          <w:snapToGrid w:val="0"/>
          <w:color w:val="auto"/>
          <w:kern w:val="0"/>
          <w:sz w:val="24"/>
          <w:highlight w:val="none"/>
          <w:lang w:val="zh-CN"/>
        </w:rPr>
        <w:t>采用合同协议书第</w:t>
      </w:r>
      <w:r>
        <w:rPr>
          <w:rFonts w:hint="eastAsia" w:ascii="宋体" w:hAnsi="宋体" w:eastAsia="宋体" w:cs="宋体"/>
          <w:bCs/>
          <w:snapToGrid w:val="0"/>
          <w:color w:val="auto"/>
          <w:kern w:val="0"/>
          <w:sz w:val="24"/>
          <w:highlight w:val="none"/>
        </w:rPr>
        <w:t>2.3</w:t>
      </w:r>
      <w:r>
        <w:rPr>
          <w:rFonts w:hint="eastAsia" w:ascii="宋体" w:hAnsi="宋体" w:eastAsia="宋体" w:cs="宋体"/>
          <w:snapToGrid w:val="0"/>
          <w:color w:val="auto"/>
          <w:kern w:val="0"/>
          <w:sz w:val="24"/>
          <w:highlight w:val="none"/>
          <w:lang w:val="zh-CN"/>
        </w:rPr>
        <w:t>款约定的</w:t>
      </w:r>
      <w:r>
        <w:rPr>
          <w:rFonts w:hint="eastAsia" w:ascii="宋体" w:hAnsi="宋体" w:eastAsia="宋体" w:cs="宋体"/>
          <w:bCs/>
          <w:snapToGrid w:val="0"/>
          <w:color w:val="auto"/>
          <w:kern w:val="0"/>
          <w:sz w:val="24"/>
          <w:highlight w:val="none"/>
        </w:rPr>
        <w:t>合同价款固定不变。</w:t>
      </w:r>
    </w:p>
    <w:p w14:paraId="3EDFB88A">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snapToGrid w:val="0"/>
          <w:color w:val="auto"/>
          <w:kern w:val="0"/>
          <w:sz w:val="24"/>
          <w:highlight w:val="none"/>
          <w:lang w:eastAsia="zh-CN"/>
        </w:rPr>
        <w:t>□</w:t>
      </w:r>
      <w:r>
        <w:rPr>
          <w:rFonts w:hint="eastAsia" w:ascii="宋体" w:hAnsi="宋体" w:eastAsia="宋体" w:cs="宋体"/>
          <w:bCs/>
          <w:snapToGrid w:val="0"/>
          <w:color w:val="auto"/>
          <w:kern w:val="0"/>
          <w:sz w:val="24"/>
          <w:highlight w:val="none"/>
        </w:rPr>
        <w:t>（2）合同价款总价包干，若招标范围和承包内容不发生变化，则本工程结算价即为合同价（招标文件及本合同另有约定可以调整的项目除外）。</w:t>
      </w:r>
    </w:p>
    <w:p w14:paraId="2CC6D2FF">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Segoe UI Emoji" w:hAnsi="Segoe UI Emoji" w:eastAsia="宋体" w:cs="Segoe UI Emoji"/>
          <w:snapToGrid w:val="0"/>
          <w:color w:val="auto"/>
          <w:kern w:val="0"/>
          <w:sz w:val="24"/>
          <w:highlight w:val="none"/>
          <w:lang w:eastAsia="zh-CN"/>
        </w:rPr>
        <w:t>☑</w:t>
      </w:r>
      <w:r>
        <w:rPr>
          <w:rFonts w:hint="eastAsia" w:ascii="宋体" w:hAnsi="宋体" w:eastAsia="宋体" w:cs="宋体"/>
          <w:bCs/>
          <w:snapToGrid w:val="0"/>
          <w:color w:val="auto"/>
          <w:kern w:val="0"/>
          <w:sz w:val="24"/>
          <w:highlight w:val="none"/>
        </w:rPr>
        <w:t>（3）分部分项工程量清单综合单价包干、措施项目（注：除模板综合单价包干外）综合合价包干，招标文件及本合同另有约定的除外。</w:t>
      </w:r>
    </w:p>
    <w:p w14:paraId="3D200326">
      <w:pPr>
        <w:autoSpaceDE w:val="0"/>
        <w:autoSpaceDN w:val="0"/>
        <w:adjustRightInd w:val="0"/>
        <w:snapToGrid w:val="0"/>
        <w:spacing w:line="450" w:lineRule="exact"/>
        <w:ind w:right="11" w:firstLine="461"/>
        <w:rPr>
          <w:rFonts w:hint="eastAsia"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rPr>
        <w:t>□（4）</w:t>
      </w:r>
      <w:r>
        <w:rPr>
          <w:rFonts w:hint="eastAsia" w:ascii="宋体" w:hAnsi="宋体" w:eastAsia="宋体" w:cs="宋体"/>
          <w:snapToGrid w:val="0"/>
          <w:color w:val="auto"/>
          <w:kern w:val="0"/>
          <w:sz w:val="24"/>
          <w:highlight w:val="none"/>
          <w:lang w:val="zh-CN"/>
        </w:rPr>
        <w:t>其他</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u w:val="single"/>
        </w:rPr>
        <w:t xml:space="preserve"> / </w:t>
      </w:r>
      <w:r>
        <w:rPr>
          <w:rFonts w:hint="eastAsia" w:ascii="宋体" w:hAnsi="宋体" w:eastAsia="宋体" w:cs="宋体"/>
          <w:snapToGrid w:val="0"/>
          <w:color w:val="auto"/>
          <w:kern w:val="0"/>
          <w:sz w:val="24"/>
          <w:highlight w:val="none"/>
          <w:lang w:val="zh-CN"/>
        </w:rPr>
        <w:t>。</w:t>
      </w:r>
    </w:p>
    <w:p w14:paraId="40E08148">
      <w:pPr>
        <w:adjustRightInd w:val="0"/>
        <w:snapToGrid w:val="0"/>
        <w:spacing w:line="450" w:lineRule="exact"/>
        <w:ind w:right="11" w:firstLine="463" w:firstLineChars="192"/>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承包人与发包人一致同意不适用合同通用条款第25.3、25.4款的约定，代之以：</w:t>
      </w:r>
    </w:p>
    <w:p w14:paraId="17501AD0">
      <w:pPr>
        <w:adjustRightInd w:val="0"/>
        <w:snapToGrid w:val="0"/>
        <w:spacing w:line="450" w:lineRule="exact"/>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25.3综合单价包干的合同价款的调整</w:t>
      </w:r>
    </w:p>
    <w:p w14:paraId="1B13AD63">
      <w:pPr>
        <w:adjustRightInd w:val="0"/>
        <w:snapToGrid w:val="0"/>
        <w:spacing w:line="450" w:lineRule="exact"/>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合同价款的调整按照如下约定执行：</w:t>
      </w:r>
    </w:p>
    <w:p w14:paraId="26256171">
      <w:pPr>
        <w:adjustRightInd w:val="0"/>
        <w:snapToGrid w:val="0"/>
        <w:spacing w:line="450" w:lineRule="exact"/>
        <w:ind w:right="11" w:firstLine="460" w:firstLineChars="192"/>
        <w:rPr>
          <w:rFonts w:hint="eastAsia" w:ascii="宋体" w:hAnsi="宋体" w:eastAsia="宋体" w:cs="宋体"/>
          <w:snapToGrid w:val="0"/>
          <w:color w:val="auto"/>
          <w:kern w:val="0"/>
          <w:sz w:val="24"/>
          <w:highlight w:val="none"/>
        </w:rPr>
      </w:pPr>
      <w:r>
        <w:rPr>
          <w:rFonts w:ascii="Segoe UI Emoji" w:hAnsi="Segoe UI Emoji" w:eastAsia="宋体" w:cs="Segoe UI Emoji"/>
          <w:snapToGrid w:val="0"/>
          <w:color w:val="auto"/>
          <w:kern w:val="0"/>
          <w:sz w:val="24"/>
          <w:highlight w:val="none"/>
        </w:rPr>
        <w:t>☑</w:t>
      </w:r>
      <w:r>
        <w:rPr>
          <w:rFonts w:hint="eastAsia" w:ascii="宋体" w:hAnsi="宋体" w:eastAsia="宋体" w:cs="宋体"/>
          <w:snapToGrid w:val="0"/>
          <w:color w:val="auto"/>
          <w:kern w:val="0"/>
          <w:sz w:val="24"/>
          <w:highlight w:val="none"/>
        </w:rPr>
        <w:t>（1）合同价款的调整。当发生下列情况时，可对合同价款进行调整：</w:t>
      </w:r>
    </w:p>
    <w:p w14:paraId="576E1947">
      <w:pPr>
        <w:adjustRightInd w:val="0"/>
        <w:snapToGrid w:val="0"/>
        <w:spacing w:line="450" w:lineRule="exact"/>
        <w:ind w:right="11" w:firstLine="463" w:firstLineChars="192"/>
        <w:rPr>
          <w:rFonts w:hint="eastAsia" w:ascii="宋体" w:hAnsi="宋体" w:eastAsia="宋体" w:cs="宋体"/>
          <w:snapToGrid w:val="0"/>
          <w:color w:val="auto"/>
          <w:kern w:val="0"/>
          <w:sz w:val="24"/>
          <w:highlight w:val="none"/>
        </w:rPr>
      </w:pPr>
      <w:r>
        <w:rPr>
          <w:rFonts w:ascii="Segoe UI Emoji" w:hAnsi="Segoe UI Emoji" w:eastAsia="宋体" w:cs="Segoe UI Emoji"/>
          <w:b/>
          <w:bCs/>
          <w:snapToGrid w:val="0"/>
          <w:color w:val="auto"/>
          <w:kern w:val="0"/>
          <w:sz w:val="24"/>
          <w:szCs w:val="24"/>
          <w:highlight w:val="none"/>
        </w:rPr>
        <w:t>☑</w:t>
      </w:r>
      <w:r>
        <w:rPr>
          <w:rFonts w:hint="eastAsia" w:ascii="宋体" w:hAnsi="宋体" w:eastAsia="宋体" w:cs="宋体"/>
          <w:snapToGrid w:val="0"/>
          <w:color w:val="auto"/>
          <w:kern w:val="0"/>
          <w:sz w:val="24"/>
          <w:highlight w:val="none"/>
        </w:rPr>
        <w:t xml:space="preserve"> 1）发包人及监理单位共同确认的工程量增减。</w:t>
      </w:r>
    </w:p>
    <w:p w14:paraId="562A75AF">
      <w:pPr>
        <w:adjustRightInd w:val="0"/>
        <w:snapToGrid w:val="0"/>
        <w:spacing w:line="450" w:lineRule="exact"/>
        <w:ind w:right="11" w:firstLine="463" w:firstLineChars="192"/>
        <w:rPr>
          <w:rFonts w:hint="eastAsia" w:ascii="宋体" w:hAnsi="宋体" w:eastAsia="宋体" w:cs="宋体"/>
          <w:snapToGrid w:val="0"/>
          <w:color w:val="auto"/>
          <w:kern w:val="0"/>
          <w:sz w:val="24"/>
          <w:highlight w:val="none"/>
        </w:rPr>
      </w:pPr>
      <w:r>
        <w:rPr>
          <w:rFonts w:ascii="Segoe UI Emoji" w:hAnsi="Segoe UI Emoji" w:eastAsia="宋体" w:cs="Segoe UI Emoji"/>
          <w:b/>
          <w:bCs/>
          <w:snapToGrid w:val="0"/>
          <w:color w:val="auto"/>
          <w:kern w:val="0"/>
          <w:sz w:val="24"/>
          <w:szCs w:val="24"/>
          <w:highlight w:val="none"/>
        </w:rPr>
        <w:t>☑</w:t>
      </w:r>
      <w:r>
        <w:rPr>
          <w:rFonts w:hint="eastAsia" w:ascii="宋体" w:hAnsi="宋体" w:eastAsia="宋体" w:cs="宋体"/>
          <w:snapToGrid w:val="0"/>
          <w:color w:val="auto"/>
          <w:kern w:val="0"/>
          <w:sz w:val="24"/>
          <w:highlight w:val="none"/>
        </w:rPr>
        <w:t xml:space="preserve"> 2）发包人及监理单位共同确认的变更工程和新增工程。</w:t>
      </w:r>
    </w:p>
    <w:p w14:paraId="01FCA7DB">
      <w:pPr>
        <w:adjustRightInd w:val="0"/>
        <w:snapToGrid w:val="0"/>
        <w:spacing w:line="450" w:lineRule="exact"/>
        <w:ind w:right="11" w:firstLine="463" w:firstLineChars="192"/>
        <w:rPr>
          <w:rFonts w:hint="eastAsia" w:ascii="宋体" w:hAnsi="宋体" w:eastAsia="宋体" w:cs="宋体"/>
          <w:snapToGrid w:val="0"/>
          <w:color w:val="auto"/>
          <w:kern w:val="0"/>
          <w:sz w:val="24"/>
          <w:highlight w:val="none"/>
        </w:rPr>
      </w:pPr>
      <w:r>
        <w:rPr>
          <w:rFonts w:ascii="Segoe UI Emoji" w:hAnsi="Segoe UI Emoji" w:eastAsia="宋体" w:cs="Segoe UI Emoji"/>
          <w:b/>
          <w:bCs/>
          <w:snapToGrid w:val="0"/>
          <w:color w:val="auto"/>
          <w:kern w:val="0"/>
          <w:sz w:val="24"/>
          <w:szCs w:val="24"/>
          <w:highlight w:val="none"/>
        </w:rPr>
        <w:t>☑</w:t>
      </w:r>
      <w:r>
        <w:rPr>
          <w:rFonts w:hint="eastAsia" w:ascii="宋体" w:hAnsi="宋体" w:eastAsia="宋体" w:cs="宋体"/>
          <w:snapToGrid w:val="0"/>
          <w:color w:val="auto"/>
          <w:kern w:val="0"/>
          <w:sz w:val="24"/>
          <w:highlight w:val="none"/>
        </w:rPr>
        <w:t xml:space="preserve"> 3）</w:t>
      </w:r>
      <w:r>
        <w:rPr>
          <w:rFonts w:hint="eastAsia" w:ascii="宋体" w:hAnsi="宋体" w:eastAsia="宋体" w:cs="宋体"/>
          <w:b/>
          <w:bCs/>
          <w:color w:val="auto"/>
          <w:sz w:val="24"/>
          <w:szCs w:val="24"/>
          <w:highlight w:val="none"/>
        </w:rPr>
        <w:t>本合同专用条款第33条允许调整的项目。</w:t>
      </w:r>
    </w:p>
    <w:p w14:paraId="3DECC96C">
      <w:pPr>
        <w:adjustRightInd w:val="0"/>
        <w:snapToGrid w:val="0"/>
        <w:spacing w:line="450" w:lineRule="exact"/>
        <w:ind w:right="11" w:firstLine="463" w:firstLineChars="192"/>
        <w:rPr>
          <w:rFonts w:hint="eastAsia" w:ascii="宋体" w:hAnsi="宋体" w:eastAsia="宋体" w:cs="宋体"/>
          <w:snapToGrid w:val="0"/>
          <w:color w:val="auto"/>
          <w:kern w:val="0"/>
          <w:sz w:val="24"/>
          <w:highlight w:val="none"/>
        </w:rPr>
      </w:pPr>
      <w:r>
        <w:rPr>
          <w:rFonts w:ascii="Segoe UI Emoji" w:hAnsi="Segoe UI Emoji" w:eastAsia="宋体" w:cs="Segoe UI Emoji"/>
          <w:b/>
          <w:bCs/>
          <w:snapToGrid w:val="0"/>
          <w:color w:val="auto"/>
          <w:kern w:val="0"/>
          <w:sz w:val="24"/>
          <w:szCs w:val="24"/>
          <w:highlight w:val="none"/>
        </w:rPr>
        <w:t>☑</w:t>
      </w:r>
      <w:r>
        <w:rPr>
          <w:rFonts w:hint="eastAsia" w:ascii="宋体" w:hAnsi="宋体" w:eastAsia="宋体" w:cs="宋体"/>
          <w:snapToGrid w:val="0"/>
          <w:color w:val="auto"/>
          <w:kern w:val="0"/>
          <w:sz w:val="24"/>
          <w:highlight w:val="none"/>
        </w:rPr>
        <w:t>（2）所有变更工程和新增工程的单价或价格，均按照合同专用条款第33条执行。</w:t>
      </w:r>
    </w:p>
    <w:p w14:paraId="48F54628">
      <w:pPr>
        <w:adjustRightInd w:val="0"/>
        <w:snapToGrid w:val="0"/>
        <w:spacing w:line="450" w:lineRule="exact"/>
        <w:ind w:right="11" w:firstLine="460" w:firstLineChars="192"/>
        <w:rPr>
          <w:rFonts w:hint="eastAsia" w:ascii="宋体" w:hAnsi="宋体" w:eastAsia="宋体" w:cs="宋体"/>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25.4承包人应在本条第25.3（1）款情况发生之日起5天内将调整原因、金额以书面形式通知监理单位，经监理单位和发包人批准后作为调整合同价款及工程结算的依据。</w:t>
      </w:r>
    </w:p>
    <w:p w14:paraId="116B9C5D">
      <w:pPr>
        <w:adjustRightInd w:val="0"/>
        <w:snapToGrid w:val="0"/>
        <w:spacing w:line="450" w:lineRule="exact"/>
        <w:ind w:right="11" w:firstLine="463" w:firstLineChars="192"/>
        <w:rPr>
          <w:rFonts w:hint="eastAsia" w:ascii="宋体" w:hAnsi="宋体" w:eastAsia="宋体" w:cs="宋体"/>
          <w:snapToGrid w:val="0"/>
          <w:color w:val="auto"/>
          <w:kern w:val="0"/>
          <w:sz w:val="24"/>
          <w:highlight w:val="none"/>
        </w:rPr>
      </w:pPr>
      <w:r>
        <w:rPr>
          <w:rFonts w:hint="eastAsia" w:ascii="宋体" w:hAnsi="宋体" w:eastAsia="宋体" w:cs="宋体"/>
          <w:b/>
          <w:snapToGrid w:val="0"/>
          <w:color w:val="auto"/>
          <w:kern w:val="0"/>
          <w:sz w:val="24"/>
          <w:highlight w:val="none"/>
        </w:rPr>
        <w:t>承包人与发包人一致同意增加25.5至25.8：</w:t>
      </w:r>
    </w:p>
    <w:p w14:paraId="4369ADE0">
      <w:pPr>
        <w:adjustRightInd w:val="0"/>
        <w:snapToGrid w:val="0"/>
        <w:spacing w:line="450" w:lineRule="exact"/>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25.5工程签证及新增工程的计价</w:t>
      </w:r>
    </w:p>
    <w:p w14:paraId="67887056">
      <w:pPr>
        <w:adjustRightInd w:val="0"/>
        <w:snapToGrid w:val="0"/>
        <w:spacing w:line="450" w:lineRule="exact"/>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25.5.1当发包人书面指令必须进行工程签证时，所有工程量签证必须经发包人和监理单位现场核实计量后签字并盖章确认，所有工程量见证记录需附上有日期、时间、发包人代表和监理旁站人员的照片，承包人根据工程量签证确认的工程量编制预算，执行发包人的变更管理流程，报相关部门、单位审核。凡是没有经过发包人和监理单位签字并盖章确认的工程签证单，其增加的费用不予确认。结算时工程签证的计价以结算终审部门的审定为准。</w:t>
      </w:r>
    </w:p>
    <w:p w14:paraId="61DE9844">
      <w:pPr>
        <w:adjustRightInd w:val="0"/>
        <w:snapToGrid w:val="0"/>
        <w:spacing w:line="450" w:lineRule="exact"/>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25.5.2合同外的新增项目需由承包人根据方案编制预算，执行发包人的变更管理流程，报相关部门、单位审核。结算时新增工程的计价以结算终审部门的审定为准。</w:t>
      </w:r>
    </w:p>
    <w:p w14:paraId="1382CE6C">
      <w:pPr>
        <w:adjustRightInd w:val="0"/>
        <w:snapToGrid w:val="0"/>
        <w:spacing w:line="450" w:lineRule="exact"/>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25.6承包人承诺：所有变更工程和新增工程引起的计价、计量调整、报批和审批过程，均不得影响变更的执行，承包人不得以此为理由公开或变相拖延或延误新增或变更工程的实施，否则，承包人须承担由此造成的发包人经济损失及工期延误的责任，且须按合同专用条款第38.4、38.5款承担违约责任。</w:t>
      </w:r>
    </w:p>
    <w:p w14:paraId="2C291B78">
      <w:pPr>
        <w:pStyle w:val="73"/>
        <w:adjustRightInd w:val="0"/>
        <w:snapToGrid w:val="0"/>
        <w:spacing w:before="0" w:beforeAutospacing="0" w:after="0" w:afterAutospacing="0" w:line="450" w:lineRule="exact"/>
        <w:ind w:firstLine="480" w:firstLineChars="200"/>
        <w:rPr>
          <w:rFonts w:hint="eastAsia" w:cs="宋体"/>
          <w:snapToGrid w:val="0"/>
          <w:color w:val="auto"/>
          <w:highlight w:val="none"/>
        </w:rPr>
      </w:pPr>
      <w:r>
        <w:rPr>
          <w:rFonts w:hint="eastAsia" w:cs="宋体"/>
          <w:snapToGrid w:val="0"/>
          <w:color w:val="auto"/>
          <w:highlight w:val="none"/>
        </w:rPr>
        <w:t>25.7承包人承诺：在整个合同执行期间发包人如发现有招标文件规定的不合理投标报价的，发包人有权按有关规定和合同约定进行调整，同时书面通知承包人，并以此作为结算依据，承包人不得有任何异议。</w:t>
      </w:r>
    </w:p>
    <w:p w14:paraId="3258D0E5">
      <w:pPr>
        <w:adjustRightInd w:val="0"/>
        <w:snapToGrid w:val="0"/>
        <w:spacing w:line="360" w:lineRule="auto"/>
        <w:ind w:right="11"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承包人与发包人一致同意不适用合同通用条款第26条的约定，代之以：</w:t>
      </w:r>
    </w:p>
    <w:p w14:paraId="7A562AFA">
      <w:pPr>
        <w:adjustRightInd w:val="0"/>
        <w:snapToGrid w:val="0"/>
        <w:spacing w:line="450" w:lineRule="exact"/>
        <w:ind w:right="11" w:firstLine="463" w:firstLineChars="192"/>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26、工程预付款</w:t>
      </w:r>
    </w:p>
    <w:p w14:paraId="592BAC93">
      <w:pPr>
        <w:pStyle w:val="73"/>
        <w:adjustRightInd w:val="0"/>
        <w:snapToGrid w:val="0"/>
        <w:spacing w:before="0" w:beforeAutospacing="0" w:after="0" w:afterAutospacing="0" w:line="360" w:lineRule="auto"/>
        <w:ind w:firstLine="480" w:firstLineChars="200"/>
        <w:rPr>
          <w:rFonts w:hint="eastAsia" w:cs="宋体"/>
          <w:snapToGrid w:val="0"/>
          <w:color w:val="auto"/>
          <w:highlight w:val="none"/>
        </w:rPr>
      </w:pPr>
      <w:r>
        <w:rPr>
          <w:rFonts w:hint="eastAsia" w:cs="宋体"/>
          <w:snapToGrid w:val="0"/>
          <w:color w:val="auto"/>
          <w:highlight w:val="none"/>
        </w:rPr>
        <w:t>26.1合同签订生效</w:t>
      </w:r>
      <w:r>
        <w:rPr>
          <w:rFonts w:hint="eastAsia" w:cs="宋体"/>
          <w:snapToGrid w:val="0"/>
          <w:color w:val="auto"/>
          <w:highlight w:val="none"/>
          <w:lang w:eastAsia="zh-CN"/>
        </w:rPr>
        <w:t>、</w:t>
      </w:r>
      <w:r>
        <w:rPr>
          <w:rFonts w:hint="eastAsia" w:cs="宋体"/>
          <w:snapToGrid w:val="0"/>
          <w:color w:val="auto"/>
          <w:highlight w:val="none"/>
          <w:lang w:val="en-US" w:eastAsia="zh-CN"/>
        </w:rPr>
        <w:t>按照本合同专用条款第9.13款开设监管账户、</w:t>
      </w:r>
      <w:r>
        <w:rPr>
          <w:rFonts w:hint="eastAsia" w:cs="宋体"/>
          <w:snapToGrid w:val="0"/>
          <w:color w:val="auto"/>
          <w:highlight w:val="none"/>
        </w:rPr>
        <w:t>且承包人提交履约银行保函后，</w:t>
      </w:r>
      <w:r>
        <w:rPr>
          <w:rFonts w:hint="eastAsia" w:cs="宋体"/>
          <w:snapToGrid w:val="0"/>
          <w:color w:val="auto"/>
          <w:highlight w:val="none"/>
          <w:lang w:val="en-US" w:eastAsia="zh-CN"/>
        </w:rPr>
        <w:t>由承包人提交工程预付款申请书</w:t>
      </w:r>
      <w:r>
        <w:rPr>
          <w:rFonts w:hint="eastAsia" w:cs="宋体"/>
          <w:snapToGrid w:val="0"/>
          <w:color w:val="auto"/>
          <w:highlight w:val="none"/>
        </w:rPr>
        <w:t>，经发包人审核确认后，发包人向承包人支付累计不超合同价格中工程费用的20%（含本数）作为预付款。发包人在确保项目资金风险可控情况下，有权根据工程交地及施工准备工作情况酌情调整</w:t>
      </w:r>
      <w:r>
        <w:rPr>
          <w:rFonts w:hint="eastAsia" w:cs="宋体"/>
          <w:snapToGrid w:val="0"/>
          <w:color w:val="auto"/>
          <w:highlight w:val="none"/>
          <w:lang w:val="en-US" w:eastAsia="zh-CN"/>
        </w:rPr>
        <w:t>预付</w:t>
      </w:r>
      <w:r>
        <w:rPr>
          <w:rFonts w:hint="eastAsia" w:cs="宋体"/>
          <w:snapToGrid w:val="0"/>
          <w:color w:val="auto"/>
          <w:highlight w:val="none"/>
        </w:rPr>
        <w:t>款支付比例及进度</w:t>
      </w:r>
      <w:r>
        <w:rPr>
          <w:rFonts w:hint="eastAsia" w:ascii="宋体" w:hAnsi="宋体" w:cs="宋体"/>
          <w:snapToGrid w:val="0"/>
          <w:color w:val="auto"/>
          <w:szCs w:val="24"/>
          <w:highlight w:val="none"/>
        </w:rPr>
        <w:t>。在光伏电站正式并网发电后，预付款自动转为合同付款。</w:t>
      </w:r>
      <w:r>
        <w:rPr>
          <w:rFonts w:hint="eastAsia" w:cs="宋体"/>
          <w:snapToGrid w:val="0"/>
          <w:color w:val="auto"/>
          <w:highlight w:val="none"/>
        </w:rPr>
        <w:t>承包人须在申请第一笔工程进度款前完成预付款的申领手续，否则视为放弃。（若有甲招乙供材料设备和甲管乙供材料设备的，按分部分项工程量报价清单一定比例计算的工程预付款已包含甲招乙供材料设备和甲管乙供材料设备款，并须按本条第26.2款及26.3款的约定一并考虑执行）。</w:t>
      </w:r>
    </w:p>
    <w:p w14:paraId="67585205">
      <w:pPr>
        <w:pStyle w:val="73"/>
        <w:adjustRightInd w:val="0"/>
        <w:snapToGrid w:val="0"/>
        <w:spacing w:before="0" w:beforeAutospacing="0" w:after="0" w:afterAutospacing="0" w:line="360" w:lineRule="auto"/>
        <w:ind w:firstLine="480" w:firstLineChars="200"/>
        <w:rPr>
          <w:rFonts w:hint="eastAsia" w:cs="宋体"/>
          <w:snapToGrid w:val="0"/>
          <w:color w:val="auto"/>
          <w:highlight w:val="none"/>
        </w:rPr>
      </w:pPr>
      <w:r>
        <w:rPr>
          <w:rFonts w:hint="eastAsia" w:cs="宋体"/>
          <w:snapToGrid w:val="0"/>
          <w:color w:val="auto"/>
          <w:highlight w:val="none"/>
        </w:rPr>
        <w:t>26.2若本工程含有甲招乙供材料设备，承包人应严格按照本合同、招标文件及与甲招乙供材料设备供应商所签合同的约定及时审核、申请支付甲招乙供材料设备预付款，并在银行的监控下，按照发包人的要求直接将甲招乙供材料设备款项支付给材料设备供应商，若承包人未按照甲招乙供合同要求支付预付款，发包人有权要求承包人承担1次一般违约责任处罚。</w:t>
      </w:r>
    </w:p>
    <w:p w14:paraId="6E73DBA6">
      <w:pPr>
        <w:pStyle w:val="73"/>
        <w:adjustRightInd w:val="0"/>
        <w:snapToGrid w:val="0"/>
        <w:spacing w:before="0" w:beforeAutospacing="0" w:after="0" w:afterAutospacing="0" w:line="360" w:lineRule="auto"/>
        <w:ind w:firstLine="480" w:firstLineChars="200"/>
        <w:rPr>
          <w:rFonts w:hint="eastAsia" w:cs="宋体"/>
          <w:snapToGrid w:val="0"/>
          <w:color w:val="auto"/>
          <w:highlight w:val="none"/>
        </w:rPr>
      </w:pPr>
      <w:r>
        <w:rPr>
          <w:rFonts w:hint="eastAsia" w:cs="宋体"/>
          <w:snapToGrid w:val="0"/>
          <w:color w:val="auto"/>
          <w:highlight w:val="none"/>
        </w:rPr>
        <w:t>26.3承包人应将预付款专用于实施本工程所需的施工机械、材料设备及人员费用，并向总监理工程师提交发票或其他证明文件的副本以证明预付款确实专款专用，否则发包人有权要求承包人承担1次一般违约责任处罚。</w:t>
      </w:r>
    </w:p>
    <w:p w14:paraId="7F5AF6CF">
      <w:pPr>
        <w:adjustRightInd w:val="0"/>
        <w:snapToGrid w:val="0"/>
        <w:spacing w:line="500" w:lineRule="exact"/>
        <w:ind w:right="11"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27、工程量的确认</w:t>
      </w:r>
    </w:p>
    <w:p w14:paraId="0CA79E7E">
      <w:pPr>
        <w:adjustRightInd w:val="0"/>
        <w:snapToGrid w:val="0"/>
        <w:spacing w:line="500" w:lineRule="exact"/>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27.1承包人每次申请工程进度款时应提交已完工程进度款申请报表。</w:t>
      </w:r>
    </w:p>
    <w:p w14:paraId="2DE10533">
      <w:pPr>
        <w:adjustRightInd w:val="0"/>
        <w:snapToGrid w:val="0"/>
        <w:spacing w:line="500" w:lineRule="exact"/>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已完工程进度款申请报表的提交应按发包人工程项目信息管理的要求执行。</w:t>
      </w:r>
    </w:p>
    <w:p w14:paraId="01E6F5D1">
      <w:pPr>
        <w:adjustRightInd w:val="0"/>
        <w:snapToGrid w:val="0"/>
        <w:spacing w:line="500" w:lineRule="exact"/>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27.3不予计量的情况：</w:t>
      </w:r>
    </w:p>
    <w:p w14:paraId="4EB621CC">
      <w:pPr>
        <w:adjustRightInd w:val="0"/>
        <w:snapToGrid w:val="0"/>
        <w:spacing w:line="500" w:lineRule="exact"/>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（1）隐蔽工程无验收记录表的；</w:t>
      </w:r>
    </w:p>
    <w:p w14:paraId="343A6116">
      <w:pPr>
        <w:adjustRightInd w:val="0"/>
        <w:snapToGrid w:val="0"/>
        <w:spacing w:line="500" w:lineRule="exact"/>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（2）施工图之外未经批准的工作量；</w:t>
      </w:r>
    </w:p>
    <w:p w14:paraId="55E75444">
      <w:pPr>
        <w:adjustRightInd w:val="0"/>
        <w:snapToGrid w:val="0"/>
        <w:spacing w:line="500" w:lineRule="exact"/>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（3）因承包人责任而增加的工作量；</w:t>
      </w:r>
    </w:p>
    <w:p w14:paraId="1FC61A98">
      <w:pPr>
        <w:adjustRightInd w:val="0"/>
        <w:snapToGrid w:val="0"/>
        <w:spacing w:line="500" w:lineRule="exact"/>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（4）未经发包人批准的分包单位施工的工程；</w:t>
      </w:r>
    </w:p>
    <w:p w14:paraId="1AEA8356">
      <w:pPr>
        <w:adjustRightInd w:val="0"/>
        <w:snapToGrid w:val="0"/>
        <w:spacing w:line="500" w:lineRule="exact"/>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（5）不符合合同约定或设计要求的工程。</w:t>
      </w:r>
    </w:p>
    <w:p w14:paraId="6CD8A0B0">
      <w:pPr>
        <w:adjustRightInd w:val="0"/>
        <w:snapToGrid w:val="0"/>
        <w:spacing w:line="500" w:lineRule="exact"/>
        <w:ind w:right="11" w:firstLine="463" w:firstLineChars="192"/>
        <w:rPr>
          <w:rFonts w:hint="eastAsia" w:ascii="宋体" w:hAnsi="宋体" w:eastAsia="宋体" w:cs="宋体"/>
          <w:bCs/>
          <w:snapToGrid w:val="0"/>
          <w:color w:val="auto"/>
          <w:kern w:val="0"/>
          <w:sz w:val="24"/>
          <w:highlight w:val="none"/>
        </w:rPr>
      </w:pPr>
      <w:r>
        <w:rPr>
          <w:rFonts w:hint="eastAsia" w:ascii="宋体" w:hAnsi="宋体" w:eastAsia="宋体" w:cs="宋体"/>
          <w:b/>
          <w:snapToGrid w:val="0"/>
          <w:color w:val="auto"/>
          <w:kern w:val="0"/>
          <w:sz w:val="24"/>
          <w:highlight w:val="none"/>
        </w:rPr>
        <w:t>承包人和发包人一致同意增加27.4</w:t>
      </w:r>
      <w:r>
        <w:rPr>
          <w:rFonts w:hint="eastAsia" w:ascii="宋体" w:hAnsi="宋体" w:eastAsia="宋体" w:cs="宋体"/>
          <w:b/>
          <w:snapToGrid w:val="0"/>
          <w:color w:val="auto"/>
          <w:kern w:val="0"/>
          <w:sz w:val="24"/>
          <w:highlight w:val="none"/>
          <w:lang w:val="en-US" w:eastAsia="zh-CN"/>
        </w:rPr>
        <w:t>、</w:t>
      </w:r>
      <w:r>
        <w:rPr>
          <w:rFonts w:hint="eastAsia" w:ascii="宋体" w:hAnsi="宋体" w:eastAsia="宋体" w:cs="宋体"/>
          <w:b/>
          <w:snapToGrid w:val="0"/>
          <w:color w:val="auto"/>
          <w:kern w:val="0"/>
          <w:sz w:val="24"/>
          <w:highlight w:val="none"/>
        </w:rPr>
        <w:t>27.</w:t>
      </w:r>
      <w:r>
        <w:rPr>
          <w:rFonts w:hint="eastAsia" w:ascii="宋体" w:hAnsi="宋体" w:eastAsia="宋体" w:cs="宋体"/>
          <w:b/>
          <w:snapToGrid w:val="0"/>
          <w:color w:val="auto"/>
          <w:kern w:val="0"/>
          <w:sz w:val="24"/>
          <w:highlight w:val="none"/>
          <w:lang w:val="en-US" w:eastAsia="zh-CN"/>
        </w:rPr>
        <w:t>5</w:t>
      </w:r>
      <w:r>
        <w:rPr>
          <w:rFonts w:hint="eastAsia" w:ascii="宋体" w:hAnsi="宋体" w:eastAsia="宋体" w:cs="宋体"/>
          <w:b/>
          <w:snapToGrid w:val="0"/>
          <w:color w:val="auto"/>
          <w:kern w:val="0"/>
          <w:sz w:val="24"/>
          <w:highlight w:val="none"/>
        </w:rPr>
        <w:t>：</w:t>
      </w:r>
    </w:p>
    <w:p w14:paraId="328C4FB0">
      <w:pPr>
        <w:adjustRightInd w:val="0"/>
        <w:snapToGrid w:val="0"/>
        <w:spacing w:line="500" w:lineRule="exact"/>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27.4除另有特别说明外，总监理工程师应根据合同的约定和批准的施工图纸、设计变更图纸通过计量来核实并确认已完工程的价值。当总监理工程师要求对工程的任一部分或若干部分进行计量时，总监理工程师应当书面通知承包人，承包人应按通知要求立即前往协助监理单位从事上述计量工作，并提供此计量所需的一切详实资料。承包人未能按要求时间前往参加计量并提供详实资料，则由总监理工程师进行的或由其批准的计量应直接被认为是对这一部分工程的正确计量。</w:t>
      </w:r>
    </w:p>
    <w:p w14:paraId="3C6178F8">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27.5工程的计量应以合同约定为准，双方另有约定的除外。</w:t>
      </w:r>
    </w:p>
    <w:p w14:paraId="570AF659">
      <w:pPr>
        <w:adjustRightInd w:val="0"/>
        <w:snapToGrid w:val="0"/>
        <w:spacing w:line="360" w:lineRule="auto"/>
        <w:ind w:right="11"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承包人与发包人一致同意不适用合同通用条款第28条的约定，代之以：</w:t>
      </w:r>
    </w:p>
    <w:p w14:paraId="06E310F0">
      <w:pPr>
        <w:numPr>
          <w:ilvl w:val="0"/>
          <w:numId w:val="3"/>
        </w:numPr>
        <w:adjustRightInd w:val="0"/>
        <w:snapToGrid w:val="0"/>
        <w:spacing w:line="360" w:lineRule="auto"/>
        <w:ind w:right="11" w:firstLine="482" w:firstLineChars="20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工程款（进度款）支付</w:t>
      </w:r>
    </w:p>
    <w:p w14:paraId="795F2D6D">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rPr>
        <w:t>28.1双方约定的工程进度款支付</w:t>
      </w:r>
      <w:r>
        <w:rPr>
          <w:rFonts w:hint="eastAsia" w:ascii="宋体" w:hAnsi="宋体" w:eastAsia="宋体" w:cs="宋体"/>
          <w:snapToGrid w:val="0"/>
          <w:color w:val="auto"/>
          <w:kern w:val="0"/>
          <w:sz w:val="24"/>
          <w:highlight w:val="none"/>
          <w:lang w:val="zh-CN"/>
        </w:rPr>
        <w:t>方式</w:t>
      </w:r>
    </w:p>
    <w:p w14:paraId="0A21705D">
      <w:pPr>
        <w:numPr>
          <w:ilvl w:val="-1"/>
          <w:numId w:val="0"/>
        </w:num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lang w:val="en-US" w:eastAsia="zh-CN"/>
        </w:rPr>
        <w:t>价格</w:t>
      </w:r>
      <w:r>
        <w:rPr>
          <w:rFonts w:hint="eastAsia" w:ascii="宋体" w:hAnsi="宋体" w:eastAsia="宋体" w:cs="宋体"/>
          <w:color w:val="auto"/>
          <w:sz w:val="24"/>
          <w:szCs w:val="24"/>
          <w:highlight w:val="none"/>
          <w:lang w:eastAsia="zh-CN"/>
        </w:rPr>
        <w:t>确</w:t>
      </w:r>
      <w:r>
        <w:rPr>
          <w:rFonts w:hint="eastAsia" w:ascii="宋体" w:hAnsi="宋体" w:eastAsia="宋体" w:cs="宋体"/>
          <w:color w:val="auto"/>
          <w:sz w:val="24"/>
          <w:szCs w:val="24"/>
          <w:highlight w:val="none"/>
          <w:lang w:val="en-US" w:eastAsia="zh-CN"/>
        </w:rPr>
        <w:t>定并签订</w:t>
      </w:r>
      <w:r>
        <w:rPr>
          <w:rFonts w:hint="eastAsia" w:ascii="宋体" w:hAnsi="宋体" w:eastAsia="宋体" w:cs="宋体"/>
          <w:color w:val="auto"/>
          <w:sz w:val="24"/>
          <w:szCs w:val="24"/>
          <w:highlight w:val="none"/>
          <w:lang w:eastAsia="zh-CN"/>
        </w:rPr>
        <w:t>补充协议（</w:t>
      </w:r>
      <w:r>
        <w:rPr>
          <w:rFonts w:hint="eastAsia" w:ascii="宋体" w:hAnsi="宋体" w:eastAsia="宋体" w:cs="宋体"/>
          <w:color w:val="auto"/>
          <w:sz w:val="24"/>
          <w:szCs w:val="24"/>
          <w:highlight w:val="none"/>
          <w:lang w:val="en-US" w:eastAsia="zh-CN"/>
        </w:rPr>
        <w:t>如需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、且完成全部光伏</w:t>
      </w:r>
      <w:r>
        <w:rPr>
          <w:rFonts w:hint="eastAsia" w:ascii="宋体" w:hAnsi="宋体" w:eastAsia="宋体" w:cs="宋体"/>
          <w:color w:val="auto"/>
          <w:sz w:val="24"/>
          <w:szCs w:val="24"/>
          <w:highlight w:val="none"/>
          <w:lang w:eastAsia="zh-CN"/>
        </w:rPr>
        <w:t>组件安装</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lang w:eastAsia="zh-CN"/>
        </w:rPr>
        <w:t>向甲方提出付款申请，</w:t>
      </w:r>
      <w:r>
        <w:rPr>
          <w:rFonts w:hint="eastAsia" w:ascii="宋体" w:hAnsi="宋体" w:eastAsia="宋体" w:cs="宋体"/>
          <w:color w:val="auto"/>
          <w:sz w:val="24"/>
          <w:szCs w:val="24"/>
          <w:highlight w:val="none"/>
          <w:lang w:val="en-US" w:eastAsia="zh-CN"/>
        </w:rPr>
        <w:t>经甲方审核后向乙方</w:t>
      </w:r>
      <w:r>
        <w:rPr>
          <w:rFonts w:hint="eastAsia" w:ascii="宋体" w:hAnsi="宋体" w:eastAsia="宋体" w:cs="宋体"/>
          <w:color w:val="auto"/>
          <w:sz w:val="24"/>
          <w:szCs w:val="24"/>
          <w:highlight w:val="none"/>
          <w:lang w:eastAsia="zh-CN"/>
        </w:rPr>
        <w:t>支付</w:t>
      </w:r>
      <w:r>
        <w:rPr>
          <w:rFonts w:hint="eastAsia" w:ascii="宋体" w:hAnsi="宋体" w:eastAsia="宋体" w:cs="宋体"/>
          <w:color w:val="auto"/>
          <w:sz w:val="24"/>
          <w:szCs w:val="24"/>
          <w:highlight w:val="none"/>
          <w:lang w:val="en-US" w:eastAsia="zh-CN"/>
        </w:rPr>
        <w:t>至合同暂定金额</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(累计至60%，含预付款）</w:t>
      </w:r>
      <w:r>
        <w:rPr>
          <w:rFonts w:hint="eastAsia" w:ascii="宋体" w:hAnsi="宋体" w:eastAsia="宋体" w:cs="宋体"/>
          <w:color w:val="auto"/>
          <w:sz w:val="24"/>
          <w:szCs w:val="24"/>
          <w:highlight w:val="none"/>
          <w:lang w:eastAsia="zh-CN"/>
        </w:rPr>
        <w:t>。</w:t>
      </w:r>
    </w:p>
    <w:p w14:paraId="0589A14C">
      <w:pPr>
        <w:numPr>
          <w:ilvl w:val="-1"/>
          <w:numId w:val="0"/>
        </w:numPr>
        <w:tabs>
          <w:tab w:val="left" w:pos="1560"/>
          <w:tab w:val="left" w:pos="1843"/>
        </w:tabs>
        <w:wordWrap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项目投运（通过并网验收）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并经</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确认完成</w:t>
      </w:r>
      <w:r>
        <w:rPr>
          <w:rFonts w:hint="eastAsia" w:ascii="宋体" w:hAnsi="宋体" w:eastAsia="宋体" w:cs="宋体"/>
          <w:color w:val="auto"/>
          <w:sz w:val="24"/>
          <w:szCs w:val="24"/>
          <w:highlight w:val="none"/>
        </w:rPr>
        <w:t>机电设备完工签证</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可向甲方</w:t>
      </w:r>
      <w:r>
        <w:rPr>
          <w:rFonts w:hint="eastAsia" w:ascii="宋体" w:hAnsi="宋体" w:eastAsia="宋体" w:cs="宋体"/>
          <w:color w:val="auto"/>
          <w:sz w:val="24"/>
          <w:szCs w:val="24"/>
          <w:highlight w:val="none"/>
        </w:rPr>
        <w:t>提出</w:t>
      </w:r>
      <w:r>
        <w:rPr>
          <w:rFonts w:hint="eastAsia" w:ascii="宋体" w:hAnsi="宋体" w:eastAsia="宋体" w:cs="宋体"/>
          <w:color w:val="auto"/>
          <w:sz w:val="24"/>
          <w:szCs w:val="24"/>
          <w:highlight w:val="none"/>
          <w:lang w:val="en-US" w:eastAsia="zh-CN"/>
        </w:rPr>
        <w:t>支付</w:t>
      </w:r>
      <w:r>
        <w:rPr>
          <w:rFonts w:hint="eastAsia" w:ascii="宋体" w:hAnsi="宋体" w:eastAsia="宋体" w:cs="宋体"/>
          <w:color w:val="auto"/>
          <w:sz w:val="24"/>
          <w:szCs w:val="24"/>
          <w:highlight w:val="none"/>
        </w:rPr>
        <w:t>申请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累计</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至合同暂定金额</w:t>
      </w:r>
      <w:r>
        <w:rPr>
          <w:rFonts w:hint="eastAsia" w:ascii="宋体" w:hAnsi="宋体" w:eastAsia="宋体" w:cs="宋体"/>
          <w:color w:val="auto"/>
          <w:sz w:val="24"/>
          <w:szCs w:val="24"/>
          <w:highlight w:val="none"/>
        </w:rPr>
        <w:t>的80%（含预付款）。同时预付款转</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rPr>
        <w:t>进度款。</w:t>
      </w:r>
    </w:p>
    <w:p w14:paraId="2CC718C2">
      <w:pPr>
        <w:widowControl/>
        <w:numPr>
          <w:ilvl w:val="0"/>
          <w:numId w:val="3"/>
        </w:numPr>
        <w:wordWrap/>
        <w:adjustRightInd w:val="0"/>
        <w:snapToGrid w:val="0"/>
        <w:spacing w:line="360" w:lineRule="auto"/>
        <w:ind w:left="0" w:leftChars="0" w:right="11" w:firstLine="482" w:firstLineChars="200"/>
        <w:rPr>
          <w:rFonts w:hint="eastAsia" w:ascii="宋体" w:hAnsi="宋体" w:eastAsia="宋体" w:cs="宋体"/>
          <w:b/>
          <w:bCs w:val="0"/>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rPr>
        <w:t>结算款</w:t>
      </w:r>
      <w:r>
        <w:rPr>
          <w:rFonts w:hint="eastAsia" w:ascii="宋体" w:hAnsi="宋体" w:eastAsia="宋体" w:cs="宋体"/>
          <w:b/>
          <w:bCs w:val="0"/>
          <w:snapToGrid w:val="0"/>
          <w:color w:val="auto"/>
          <w:kern w:val="0"/>
          <w:sz w:val="24"/>
          <w:szCs w:val="24"/>
          <w:highlight w:val="none"/>
          <w:lang w:val="en-US" w:eastAsia="zh-CN"/>
        </w:rPr>
        <w:t>支付</w:t>
      </w:r>
      <w:r>
        <w:rPr>
          <w:rFonts w:hint="eastAsia" w:ascii="宋体" w:hAnsi="宋体" w:eastAsia="宋体" w:cs="宋体"/>
          <w:b/>
          <w:bCs w:val="0"/>
          <w:snapToGrid w:val="0"/>
          <w:color w:val="auto"/>
          <w:kern w:val="0"/>
          <w:sz w:val="24"/>
          <w:szCs w:val="24"/>
          <w:highlight w:val="none"/>
        </w:rPr>
        <w:t xml:space="preserve"> </w:t>
      </w:r>
    </w:p>
    <w:p w14:paraId="4039190F">
      <w:pPr>
        <w:wordWrap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工程竣工验收合格，完成工程结算审核手续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根据甲方要求可由甲方委托第三方审核机构负责本合同结算审核工作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，且乙方将所有档案资料按甲方档案管理要求收集、整理、移交后，在乙方提交以下文件经甲方确认后，</w:t>
      </w:r>
      <w:r>
        <w:rPr>
          <w:rFonts w:hint="eastAsia" w:ascii="宋体" w:hAnsi="宋体" w:eastAsia="宋体" w:cs="宋体"/>
          <w:color w:val="auto"/>
          <w:sz w:val="24"/>
          <w:szCs w:val="24"/>
          <w:highlight w:val="none"/>
          <w:lang w:val="en-US" w:eastAsia="zh-CN"/>
        </w:rPr>
        <w:t>乙方可向</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申请</w:t>
      </w:r>
      <w:r>
        <w:rPr>
          <w:rFonts w:hint="eastAsia" w:ascii="宋体" w:hAnsi="宋体" w:eastAsia="宋体" w:cs="宋体"/>
          <w:color w:val="auto"/>
          <w:sz w:val="24"/>
          <w:szCs w:val="24"/>
          <w:highlight w:val="none"/>
        </w:rPr>
        <w:t>支付至</w:t>
      </w:r>
      <w:r>
        <w:rPr>
          <w:rFonts w:hint="eastAsia" w:ascii="宋体" w:hAnsi="宋体" w:eastAsia="宋体" w:cs="宋体"/>
          <w:color w:val="auto"/>
          <w:sz w:val="24"/>
          <w:szCs w:val="24"/>
          <w:highlight w:val="none"/>
          <w:lang w:val="en-US" w:eastAsia="zh-CN"/>
        </w:rPr>
        <w:t>经甲方审核确认的</w:t>
      </w:r>
      <w:r>
        <w:rPr>
          <w:rFonts w:hint="eastAsia" w:ascii="宋体" w:hAnsi="宋体" w:eastAsia="宋体" w:cs="宋体"/>
          <w:color w:val="auto"/>
          <w:sz w:val="24"/>
          <w:szCs w:val="24"/>
          <w:highlight w:val="none"/>
        </w:rPr>
        <w:t>合同结算</w:t>
      </w:r>
      <w:r>
        <w:rPr>
          <w:rFonts w:hint="eastAsia" w:ascii="宋体" w:hAnsi="宋体" w:eastAsia="宋体" w:cs="宋体"/>
          <w:color w:val="auto"/>
          <w:sz w:val="24"/>
          <w:szCs w:val="24"/>
          <w:highlight w:val="none"/>
          <w:lang w:val="en-US" w:eastAsia="zh-CN"/>
        </w:rPr>
        <w:t>终审</w:t>
      </w:r>
      <w:r>
        <w:rPr>
          <w:rFonts w:hint="eastAsia" w:ascii="宋体" w:hAnsi="宋体" w:eastAsia="宋体" w:cs="宋体"/>
          <w:color w:val="auto"/>
          <w:sz w:val="24"/>
          <w:szCs w:val="24"/>
          <w:highlight w:val="none"/>
        </w:rPr>
        <w:t>价的97%：</w:t>
      </w:r>
      <w:r>
        <w:rPr>
          <w:rFonts w:hint="eastAsia" w:ascii="宋体" w:hAnsi="宋体" w:eastAsia="宋体" w:cs="宋体"/>
          <w:color w:val="auto"/>
          <w:sz w:val="24"/>
          <w:szCs w:val="24"/>
          <w:highlight w:val="none"/>
          <w:lang w:val="en-US" w:eastAsia="zh-CN"/>
        </w:rPr>
        <w:t>包括不限于：</w:t>
      </w:r>
    </w:p>
    <w:p w14:paraId="18FCB157">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甲方签发</w:t>
      </w:r>
      <w:r>
        <w:rPr>
          <w:rFonts w:hint="eastAsia" w:ascii="宋体" w:hAnsi="宋体" w:eastAsia="宋体" w:cs="宋体"/>
          <w:color w:val="auto"/>
          <w:sz w:val="24"/>
          <w:szCs w:val="24"/>
          <w:highlight w:val="none"/>
          <w:lang w:val="en-US" w:eastAsia="zh-CN"/>
        </w:rPr>
        <w:t>的光伏系统的</w:t>
      </w:r>
      <w:r>
        <w:rPr>
          <w:rFonts w:hint="eastAsia" w:ascii="宋体" w:hAnsi="宋体" w:eastAsia="宋体" w:cs="宋体"/>
          <w:color w:val="auto"/>
          <w:sz w:val="24"/>
          <w:szCs w:val="24"/>
          <w:highlight w:val="none"/>
        </w:rPr>
        <w:t>初步验收证书（PAC）、</w:t>
      </w:r>
      <w:r>
        <w:rPr>
          <w:rFonts w:hint="eastAsia" w:ascii="宋体" w:hAnsi="宋体" w:eastAsia="宋体" w:cs="宋体"/>
          <w:color w:val="auto"/>
          <w:sz w:val="24"/>
          <w:szCs w:val="24"/>
          <w:highlight w:val="none"/>
          <w:lang w:val="en-US" w:eastAsia="zh-CN"/>
        </w:rPr>
        <w:t>甲方签发的</w:t>
      </w:r>
      <w:r>
        <w:rPr>
          <w:rFonts w:hint="eastAsia" w:ascii="宋体" w:hAnsi="宋体" w:eastAsia="宋体" w:cs="宋体"/>
          <w:color w:val="auto"/>
          <w:sz w:val="24"/>
          <w:szCs w:val="24"/>
          <w:highlight w:val="none"/>
          <w:lang w:eastAsia="zh-CN"/>
        </w:rPr>
        <w:t>自行车充电车棚</w:t>
      </w:r>
      <w:r>
        <w:rPr>
          <w:rFonts w:hint="eastAsia" w:ascii="宋体" w:hAnsi="宋体" w:eastAsia="宋体" w:cs="宋体"/>
          <w:color w:val="auto"/>
          <w:sz w:val="24"/>
          <w:szCs w:val="24"/>
          <w:highlight w:val="none"/>
        </w:rPr>
        <w:t>工程验收合格证书；</w:t>
      </w:r>
    </w:p>
    <w:p w14:paraId="50F42737">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经甲方审核确认的工程结算书；</w:t>
      </w:r>
    </w:p>
    <w:p w14:paraId="14FBDBB6">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相应</w:t>
      </w:r>
      <w:r>
        <w:rPr>
          <w:rFonts w:hint="eastAsia" w:ascii="宋体" w:hAnsi="宋体" w:eastAsia="宋体" w:cs="宋体"/>
          <w:color w:val="auto"/>
          <w:sz w:val="24"/>
          <w:szCs w:val="24"/>
          <w:highlight w:val="none"/>
        </w:rPr>
        <w:t>款项增值税专用发票；</w:t>
      </w:r>
    </w:p>
    <w:p w14:paraId="12D42862">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d</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项目建设单位安健环负责人签字确认的考核结果。</w:t>
      </w:r>
    </w:p>
    <w:p w14:paraId="2DD38474">
      <w:pPr>
        <w:widowControl/>
        <w:numPr>
          <w:ilvl w:val="0"/>
          <w:numId w:val="3"/>
        </w:numPr>
        <w:wordWrap/>
        <w:adjustRightInd w:val="0"/>
        <w:snapToGrid w:val="0"/>
        <w:spacing w:line="360" w:lineRule="auto"/>
        <w:ind w:left="0" w:leftChars="0" w:right="11" w:firstLine="482" w:firstLineChars="200"/>
        <w:rPr>
          <w:rFonts w:hint="eastAsia" w:ascii="宋体" w:hAnsi="宋体" w:eastAsia="宋体" w:cs="宋体"/>
          <w:b/>
          <w:bCs w:val="0"/>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rPr>
        <w:t>质量保证金的支付</w:t>
      </w:r>
    </w:p>
    <w:p w14:paraId="1412B752">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经甲方审核确认的</w:t>
      </w:r>
      <w:r>
        <w:rPr>
          <w:rFonts w:hint="eastAsia" w:ascii="宋体" w:hAnsi="宋体" w:eastAsia="宋体" w:cs="宋体"/>
          <w:color w:val="auto"/>
          <w:sz w:val="24"/>
          <w:szCs w:val="24"/>
          <w:highlight w:val="none"/>
        </w:rPr>
        <w:t>合同结算</w:t>
      </w:r>
      <w:r>
        <w:rPr>
          <w:rFonts w:hint="eastAsia" w:ascii="宋体" w:hAnsi="宋体" w:eastAsia="宋体" w:cs="宋体"/>
          <w:color w:val="auto"/>
          <w:sz w:val="24"/>
          <w:szCs w:val="24"/>
          <w:highlight w:val="none"/>
          <w:lang w:val="en-US" w:eastAsia="zh-CN"/>
        </w:rPr>
        <w:t>终审</w:t>
      </w:r>
      <w:r>
        <w:rPr>
          <w:rFonts w:hint="eastAsia" w:ascii="宋体" w:hAnsi="宋体" w:eastAsia="宋体" w:cs="宋体"/>
          <w:color w:val="auto"/>
          <w:sz w:val="24"/>
          <w:szCs w:val="24"/>
          <w:highlight w:val="none"/>
        </w:rPr>
        <w:t>价</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3%作为质量保证金，当光伏发电系统及充电站整体质保期届满无遗留质量问题，在收到乙方提交的由甲方签发的光伏项目最终验收证书（FAC）后，</w:t>
      </w:r>
      <w:r>
        <w:rPr>
          <w:rFonts w:hint="eastAsia" w:ascii="宋体" w:hAnsi="宋体" w:eastAsia="宋体" w:cs="宋体"/>
          <w:color w:val="auto"/>
          <w:sz w:val="24"/>
          <w:szCs w:val="24"/>
          <w:highlight w:val="none"/>
          <w:lang w:val="en-US" w:eastAsia="zh-CN"/>
        </w:rPr>
        <w:t>由</w:t>
      </w:r>
      <w:r>
        <w:rPr>
          <w:rFonts w:hint="eastAsia" w:ascii="宋体" w:hAnsi="宋体" w:eastAsia="宋体" w:cs="宋体"/>
          <w:color w:val="auto"/>
          <w:sz w:val="24"/>
          <w:szCs w:val="24"/>
          <w:highlight w:val="none"/>
        </w:rPr>
        <w:t>甲方向乙方无息支付</w:t>
      </w:r>
      <w:r>
        <w:rPr>
          <w:rFonts w:hint="eastAsia" w:ascii="宋体" w:hAnsi="宋体" w:eastAsia="宋体" w:cs="宋体"/>
          <w:color w:val="auto"/>
          <w:sz w:val="24"/>
          <w:szCs w:val="24"/>
          <w:highlight w:val="none"/>
          <w:lang w:val="en-US" w:eastAsia="zh-CN"/>
        </w:rPr>
        <w:t>该</w:t>
      </w:r>
      <w:r>
        <w:rPr>
          <w:rFonts w:hint="eastAsia" w:ascii="宋体" w:hAnsi="宋体" w:eastAsia="宋体" w:cs="宋体"/>
          <w:color w:val="auto"/>
          <w:sz w:val="24"/>
          <w:szCs w:val="24"/>
          <w:highlight w:val="none"/>
        </w:rPr>
        <w:t>质</w:t>
      </w:r>
      <w:r>
        <w:rPr>
          <w:rFonts w:hint="eastAsia" w:ascii="宋体" w:hAnsi="宋体" w:eastAsia="宋体" w:cs="宋体"/>
          <w:color w:val="auto"/>
          <w:sz w:val="24"/>
          <w:szCs w:val="24"/>
          <w:highlight w:val="none"/>
          <w:lang w:val="en-US" w:eastAsia="zh-CN"/>
        </w:rPr>
        <w:t>量</w:t>
      </w:r>
      <w:r>
        <w:rPr>
          <w:rFonts w:hint="eastAsia" w:ascii="宋体" w:hAnsi="宋体" w:eastAsia="宋体" w:cs="宋体"/>
          <w:color w:val="auto"/>
          <w:sz w:val="24"/>
          <w:szCs w:val="24"/>
          <w:highlight w:val="none"/>
        </w:rPr>
        <w:t>保</w:t>
      </w:r>
      <w:r>
        <w:rPr>
          <w:rFonts w:hint="eastAsia" w:ascii="宋体" w:hAnsi="宋体" w:eastAsia="宋体" w:cs="宋体"/>
          <w:color w:val="auto"/>
          <w:sz w:val="24"/>
          <w:szCs w:val="24"/>
          <w:highlight w:val="none"/>
          <w:lang w:val="en-US" w:eastAsia="zh-CN"/>
        </w:rPr>
        <w:t>证</w:t>
      </w:r>
      <w:r>
        <w:rPr>
          <w:rFonts w:hint="eastAsia" w:ascii="宋体" w:hAnsi="宋体" w:eastAsia="宋体" w:cs="宋体"/>
          <w:color w:val="auto"/>
          <w:sz w:val="24"/>
          <w:szCs w:val="24"/>
          <w:highlight w:val="none"/>
        </w:rPr>
        <w:t>金。</w:t>
      </w:r>
    </w:p>
    <w:p w14:paraId="1E7D2B28">
      <w:pPr>
        <w:widowControl/>
        <w:numPr>
          <w:ilvl w:val="-1"/>
          <w:numId w:val="0"/>
        </w:numPr>
        <w:wordWrap w:val="0"/>
        <w:snapToGrid/>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甲方在收到乙方的付款申请时，应</w:t>
      </w: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rPr>
        <w:t>其真实性</w:t>
      </w:r>
      <w:r>
        <w:rPr>
          <w:rFonts w:hint="eastAsia" w:ascii="宋体" w:hAnsi="宋体" w:eastAsia="宋体" w:cs="宋体"/>
          <w:color w:val="auto"/>
          <w:sz w:val="24"/>
          <w:szCs w:val="24"/>
          <w:highlight w:val="none"/>
          <w:lang w:val="en-US" w:eastAsia="zh-CN"/>
        </w:rPr>
        <w:t>进行审核</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如</w:t>
      </w:r>
      <w:r>
        <w:rPr>
          <w:rFonts w:hint="eastAsia" w:ascii="宋体" w:hAnsi="宋体" w:eastAsia="宋体" w:cs="宋体"/>
          <w:color w:val="auto"/>
          <w:sz w:val="24"/>
          <w:szCs w:val="24"/>
          <w:highlight w:val="none"/>
        </w:rPr>
        <w:t>申请付款文件</w:t>
      </w:r>
      <w:r>
        <w:rPr>
          <w:rFonts w:hint="eastAsia" w:ascii="宋体" w:hAnsi="宋体" w:eastAsia="宋体" w:cs="宋体"/>
          <w:color w:val="auto"/>
          <w:sz w:val="24"/>
          <w:szCs w:val="24"/>
          <w:highlight w:val="none"/>
          <w:lang w:val="en-US" w:eastAsia="zh-CN"/>
        </w:rPr>
        <w:t>未</w:t>
      </w:r>
      <w:r>
        <w:rPr>
          <w:rFonts w:hint="eastAsia" w:ascii="宋体" w:hAnsi="宋体" w:eastAsia="宋体" w:cs="宋体"/>
          <w:color w:val="auto"/>
          <w:sz w:val="24"/>
          <w:szCs w:val="24"/>
          <w:highlight w:val="none"/>
        </w:rPr>
        <w:t>齐备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甲方应及时通知乙方</w:t>
      </w:r>
      <w:r>
        <w:rPr>
          <w:rFonts w:hint="eastAsia" w:ascii="宋体" w:hAnsi="宋体" w:eastAsia="宋体" w:cs="宋体"/>
          <w:color w:val="auto"/>
          <w:sz w:val="24"/>
          <w:szCs w:val="24"/>
          <w:highlight w:val="none"/>
        </w:rPr>
        <w:t>。如乙方的申请付款文件真实、齐备</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方可办理</w:t>
      </w:r>
      <w:r>
        <w:rPr>
          <w:rFonts w:hint="eastAsia" w:ascii="宋体" w:hAnsi="宋体" w:eastAsia="宋体" w:cs="宋体"/>
          <w:color w:val="auto"/>
          <w:sz w:val="24"/>
          <w:szCs w:val="24"/>
          <w:highlight w:val="none"/>
        </w:rPr>
        <w:t>付款；如果甲方发现</w:t>
      </w:r>
      <w:r>
        <w:rPr>
          <w:rFonts w:hint="eastAsia" w:ascii="宋体" w:hAnsi="宋体" w:eastAsia="宋体" w:cs="宋体"/>
          <w:color w:val="auto"/>
          <w:sz w:val="24"/>
          <w:szCs w:val="24"/>
          <w:highlight w:val="none"/>
          <w:lang w:val="en-US" w:eastAsia="zh-CN"/>
        </w:rPr>
        <w:t>乙方的</w:t>
      </w:r>
      <w:r>
        <w:rPr>
          <w:rFonts w:hint="eastAsia" w:ascii="宋体" w:hAnsi="宋体" w:eastAsia="宋体" w:cs="宋体"/>
          <w:color w:val="auto"/>
          <w:sz w:val="24"/>
          <w:szCs w:val="24"/>
          <w:highlight w:val="none"/>
        </w:rPr>
        <w:t>付款</w:t>
      </w:r>
      <w:r>
        <w:rPr>
          <w:rFonts w:hint="eastAsia" w:ascii="宋体" w:hAnsi="宋体" w:eastAsia="宋体" w:cs="宋体"/>
          <w:color w:val="auto"/>
          <w:sz w:val="24"/>
          <w:szCs w:val="24"/>
          <w:highlight w:val="none"/>
          <w:lang w:val="en-US" w:eastAsia="zh-CN"/>
        </w:rPr>
        <w:t>申请</w:t>
      </w:r>
      <w:r>
        <w:rPr>
          <w:rFonts w:hint="eastAsia" w:ascii="宋体" w:hAnsi="宋体" w:eastAsia="宋体" w:cs="宋体"/>
          <w:color w:val="auto"/>
          <w:sz w:val="24"/>
          <w:szCs w:val="24"/>
          <w:highlight w:val="none"/>
        </w:rPr>
        <w:t>文件有错误，</w:t>
      </w:r>
      <w:r>
        <w:rPr>
          <w:rFonts w:hint="eastAsia" w:ascii="宋体" w:hAnsi="宋体" w:eastAsia="宋体" w:cs="宋体"/>
          <w:color w:val="auto"/>
          <w:sz w:val="24"/>
          <w:szCs w:val="24"/>
          <w:highlight w:val="none"/>
          <w:lang w:val="en-US" w:eastAsia="zh-CN"/>
        </w:rPr>
        <w:t>应及时</w:t>
      </w:r>
      <w:r>
        <w:rPr>
          <w:rFonts w:hint="eastAsia" w:ascii="宋体" w:hAnsi="宋体" w:eastAsia="宋体" w:cs="宋体"/>
          <w:color w:val="auto"/>
          <w:sz w:val="24"/>
          <w:szCs w:val="24"/>
          <w:highlight w:val="none"/>
        </w:rPr>
        <w:t>要求乙方改正</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提供进一步的证明文件，乙方有义务在合理时间内</w:t>
      </w:r>
      <w:r>
        <w:rPr>
          <w:rFonts w:hint="eastAsia" w:ascii="宋体" w:hAnsi="宋体" w:eastAsia="宋体" w:cs="宋体"/>
          <w:color w:val="auto"/>
          <w:sz w:val="24"/>
          <w:szCs w:val="24"/>
          <w:highlight w:val="none"/>
          <w:lang w:val="en-US" w:eastAsia="zh-CN"/>
        </w:rPr>
        <w:t>落实完善</w:t>
      </w:r>
      <w:r>
        <w:rPr>
          <w:rFonts w:hint="eastAsia" w:ascii="宋体" w:hAnsi="宋体" w:eastAsia="宋体" w:cs="宋体"/>
          <w:color w:val="auto"/>
          <w:sz w:val="24"/>
          <w:szCs w:val="24"/>
          <w:highlight w:val="none"/>
        </w:rPr>
        <w:t>。</w:t>
      </w:r>
    </w:p>
    <w:p w14:paraId="3BD21656">
      <w:pPr>
        <w:widowControl/>
        <w:wordWrap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乙方应提供符合国家及地方有关税法要求的相应税率的发票，如果由于乙方出具了不符合国家及地方有关税法要求的发票而给甲方造成的损失由乙方承担。</w:t>
      </w:r>
    </w:p>
    <w:p w14:paraId="62397D18">
      <w:pPr>
        <w:widowControl/>
        <w:numPr>
          <w:ilvl w:val="0"/>
          <w:numId w:val="3"/>
        </w:numPr>
        <w:wordWrap/>
        <w:adjustRightInd w:val="0"/>
        <w:snapToGrid w:val="0"/>
        <w:spacing w:line="360" w:lineRule="auto"/>
        <w:ind w:left="0" w:right="11"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变更和调整</w:t>
      </w:r>
    </w:p>
    <w:p w14:paraId="7BD77D27">
      <w:pPr>
        <w:widowControl/>
        <w:numPr>
          <w:ilvl w:val="-1"/>
          <w:numId w:val="0"/>
        </w:numPr>
        <w:wordWrap w:val="0"/>
        <w:adjustRightInd/>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31.1 </w:t>
      </w:r>
      <w:r>
        <w:rPr>
          <w:rFonts w:hint="eastAsia" w:ascii="宋体" w:hAnsi="宋体" w:eastAsia="宋体" w:cs="宋体"/>
          <w:color w:val="auto"/>
          <w:sz w:val="24"/>
          <w:szCs w:val="24"/>
          <w:highlight w:val="none"/>
        </w:rPr>
        <w:t>容量变更</w:t>
      </w:r>
    </w:p>
    <w:p w14:paraId="2CEC28FD">
      <w:pPr>
        <w:widowControl/>
        <w:wordWrap w:val="0"/>
        <w:snapToGrid/>
        <w:spacing w:line="360" w:lineRule="auto"/>
        <w:ind w:firstLine="480" w:firstLineChars="20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装机容量变更是指直流侧实际装机容量较本合同约定的项目装机容量的差异所进行的变更，双方同意调整合同价格。因发包人原因或根据发包人要求对建设规模进行减少的，费用进行相应的核减。若项目竣工时实际容量小于合同约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结算时按实际容量进行结算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无论最终实际容量为多少，结算金额原则不超过合同总金额。但如建设规模减少系因承包人原因导致的，除按上述方式核减费用外，发包人有权按照违约责任条款要求承包人承担违约责任。</w:t>
      </w:r>
    </w:p>
    <w:p w14:paraId="75990CEB">
      <w:pPr>
        <w:widowControl/>
        <w:numPr>
          <w:ilvl w:val="-1"/>
          <w:numId w:val="0"/>
        </w:numPr>
        <w:wordWrap w:val="0"/>
        <w:adjustRightInd/>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31.2 </w:t>
      </w:r>
      <w:r>
        <w:rPr>
          <w:rFonts w:hint="eastAsia" w:ascii="宋体" w:hAnsi="宋体" w:eastAsia="宋体" w:cs="宋体"/>
          <w:color w:val="auto"/>
          <w:sz w:val="24"/>
          <w:szCs w:val="24"/>
          <w:highlight w:val="none"/>
        </w:rPr>
        <w:t>工程变更</w:t>
      </w:r>
    </w:p>
    <w:p w14:paraId="5F6E11AE">
      <w:pPr>
        <w:widowControl/>
        <w:wordWrap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工程变更是指在合同执行过程中发生的、经甲方批准的工程变更，包括设计变更和现场签证等，具体变更按合同</w:t>
      </w:r>
      <w:r>
        <w:rPr>
          <w:rFonts w:hint="eastAsia" w:ascii="宋体" w:hAnsi="宋体" w:eastAsia="宋体" w:cs="宋体"/>
          <w:color w:val="auto"/>
          <w:sz w:val="24"/>
          <w:szCs w:val="24"/>
          <w:highlight w:val="none"/>
          <w:lang w:val="en-US" w:eastAsia="zh-CN"/>
        </w:rPr>
        <w:t>相关条款</w:t>
      </w:r>
      <w:r>
        <w:rPr>
          <w:rFonts w:hint="eastAsia" w:ascii="宋体" w:hAnsi="宋体" w:eastAsia="宋体" w:cs="宋体"/>
          <w:color w:val="auto"/>
          <w:sz w:val="24"/>
          <w:szCs w:val="24"/>
          <w:highlight w:val="none"/>
        </w:rPr>
        <w:t>执行。甲方发出书面变更通知后，乙方应</w:t>
      </w:r>
      <w:r>
        <w:rPr>
          <w:rFonts w:hint="eastAsia" w:ascii="宋体" w:hAnsi="宋体" w:eastAsia="宋体" w:cs="宋体"/>
          <w:color w:val="auto"/>
          <w:sz w:val="24"/>
          <w:szCs w:val="24"/>
          <w:highlight w:val="none"/>
          <w:lang w:val="en-US" w:eastAsia="zh-CN"/>
        </w:rPr>
        <w:t>在甲方要求的期限内</w:t>
      </w:r>
      <w:r>
        <w:rPr>
          <w:rFonts w:hint="eastAsia" w:ascii="宋体" w:hAnsi="宋体" w:eastAsia="宋体" w:cs="宋体"/>
          <w:color w:val="auto"/>
          <w:sz w:val="24"/>
          <w:szCs w:val="24"/>
          <w:highlight w:val="none"/>
        </w:rPr>
        <w:t>提交</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变更预算报价，经甲方</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确认签字后作为日后工程结算依据。</w:t>
      </w:r>
      <w:r>
        <w:rPr>
          <w:rFonts w:hint="eastAsia" w:ascii="宋体" w:hAnsi="宋体" w:eastAsia="宋体" w:cs="宋体"/>
          <w:color w:val="auto"/>
          <w:sz w:val="24"/>
          <w:szCs w:val="24"/>
          <w:highlight w:val="none"/>
          <w:lang w:val="en-US" w:eastAsia="zh-CN"/>
        </w:rPr>
        <w:t>所有变更需完成审定并签订补充协议方可结算，待结算时一同审定并纳入结算尾款一并支付。</w:t>
      </w:r>
    </w:p>
    <w:p w14:paraId="0A6242B9">
      <w:pPr>
        <w:widowControl/>
        <w:wordWrap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31.3  </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中华人民共和国</w:t>
      </w:r>
      <w:r>
        <w:rPr>
          <w:rFonts w:hint="eastAsia" w:ascii="宋体" w:hAnsi="宋体" w:eastAsia="宋体" w:cs="宋体"/>
          <w:color w:val="auto"/>
          <w:sz w:val="24"/>
          <w:szCs w:val="24"/>
          <w:highlight w:val="none"/>
        </w:rPr>
        <w:t>现行税法，</w:t>
      </w:r>
      <w:r>
        <w:rPr>
          <w:rFonts w:hint="eastAsia" w:ascii="宋体" w:hAnsi="宋体" w:eastAsia="宋体" w:cs="宋体"/>
          <w:color w:val="auto"/>
          <w:sz w:val="24"/>
          <w:szCs w:val="24"/>
          <w:highlight w:val="none"/>
          <w:lang w:val="en-US" w:eastAsia="zh-CN"/>
        </w:rPr>
        <w:t>中华人民共和国</w:t>
      </w:r>
      <w:r>
        <w:rPr>
          <w:rFonts w:hint="eastAsia" w:ascii="宋体" w:hAnsi="宋体" w:eastAsia="宋体" w:cs="宋体"/>
          <w:color w:val="auto"/>
          <w:sz w:val="24"/>
          <w:szCs w:val="24"/>
          <w:highlight w:val="none"/>
        </w:rPr>
        <w:t>政府</w:t>
      </w:r>
      <w:r>
        <w:rPr>
          <w:rFonts w:hint="eastAsia" w:ascii="宋体" w:hAnsi="宋体" w:eastAsia="宋体" w:cs="宋体"/>
          <w:color w:val="auto"/>
          <w:sz w:val="24"/>
          <w:szCs w:val="24"/>
          <w:highlight w:val="none"/>
          <w:lang w:val="en-US" w:eastAsia="zh-CN"/>
        </w:rPr>
        <w:t>或境外</w:t>
      </w:r>
      <w:r>
        <w:rPr>
          <w:rFonts w:hint="eastAsia" w:ascii="宋体" w:hAnsi="宋体" w:eastAsia="宋体" w:cs="宋体"/>
          <w:color w:val="auto"/>
          <w:sz w:val="24"/>
          <w:szCs w:val="24"/>
          <w:highlight w:val="none"/>
        </w:rPr>
        <w:t>（包括香港、澳门行政区和台湾地区）</w:t>
      </w:r>
      <w:r>
        <w:rPr>
          <w:rFonts w:hint="eastAsia" w:ascii="宋体" w:hAnsi="宋体" w:eastAsia="宋体" w:cs="宋体"/>
          <w:color w:val="auto"/>
          <w:sz w:val="24"/>
          <w:szCs w:val="24"/>
          <w:highlight w:val="none"/>
          <w:lang w:val="en-US" w:eastAsia="zh-CN"/>
        </w:rPr>
        <w:t>机构/部门</w:t>
      </w:r>
      <w:r>
        <w:rPr>
          <w:rFonts w:hint="eastAsia" w:ascii="宋体" w:hAnsi="宋体" w:eastAsia="宋体" w:cs="宋体"/>
          <w:color w:val="auto"/>
          <w:sz w:val="24"/>
          <w:szCs w:val="24"/>
          <w:highlight w:val="none"/>
        </w:rPr>
        <w:t>向乙方征收的与本合同有关及</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rPr>
        <w:t>执行本合同所引起的一切税款（包括进口设备关税、增值税等进口费用）由乙方</w:t>
      </w:r>
      <w:r>
        <w:rPr>
          <w:rFonts w:hint="eastAsia" w:ascii="宋体" w:hAnsi="宋体" w:eastAsia="宋体" w:cs="宋体"/>
          <w:color w:val="auto"/>
          <w:sz w:val="24"/>
          <w:szCs w:val="24"/>
          <w:highlight w:val="none"/>
          <w:lang w:val="en-US" w:eastAsia="zh-CN"/>
        </w:rPr>
        <w:t>承担</w:t>
      </w:r>
      <w:r>
        <w:rPr>
          <w:rFonts w:hint="eastAsia" w:ascii="宋体" w:hAnsi="宋体" w:eastAsia="宋体" w:cs="宋体"/>
          <w:color w:val="auto"/>
          <w:sz w:val="24"/>
          <w:szCs w:val="24"/>
          <w:highlight w:val="none"/>
        </w:rPr>
        <w:t>。</w:t>
      </w:r>
    </w:p>
    <w:p w14:paraId="28BECDAD">
      <w:pPr>
        <w:pStyle w:val="73"/>
        <w:adjustRightInd w:val="0"/>
        <w:snapToGrid w:val="0"/>
        <w:spacing w:before="0" w:beforeAutospacing="0" w:after="0" w:afterAutospacing="0" w:line="360" w:lineRule="auto"/>
        <w:ind w:firstLine="481"/>
        <w:rPr>
          <w:rFonts w:hint="default" w:cs="宋体"/>
          <w:bCs/>
          <w:color w:val="auto"/>
          <w:highlight w:val="none"/>
          <w:lang w:val="en-US" w:eastAsia="zh-CN"/>
        </w:rPr>
      </w:pPr>
      <w:r>
        <w:rPr>
          <w:rFonts w:hint="eastAsia" w:cs="宋体"/>
          <w:bCs/>
          <w:color w:val="auto"/>
          <w:highlight w:val="none"/>
          <w:lang w:val="en-US" w:eastAsia="zh-CN"/>
        </w:rPr>
        <w:t>31.4 本合同</w:t>
      </w:r>
      <w:r>
        <w:rPr>
          <w:rFonts w:hint="eastAsia" w:ascii="宋体" w:hAnsi="宋体" w:eastAsia="宋体" w:cs="宋体"/>
          <w:color w:val="auto"/>
          <w:sz w:val="24"/>
          <w:szCs w:val="24"/>
          <w:highlight w:val="none"/>
          <w:lang w:val="en-US" w:eastAsia="zh-CN"/>
        </w:rPr>
        <w:t>最终结算金额以甲方及甲方委托的第三方审核机构审定为准。</w:t>
      </w:r>
    </w:p>
    <w:p w14:paraId="63D1936D">
      <w:pPr>
        <w:pStyle w:val="73"/>
        <w:adjustRightInd w:val="0"/>
        <w:snapToGrid w:val="0"/>
        <w:spacing w:before="0" w:beforeAutospacing="0" w:after="0" w:afterAutospacing="0" w:line="360" w:lineRule="auto"/>
        <w:ind w:firstLine="481"/>
        <w:rPr>
          <w:rFonts w:hint="default" w:eastAsia="宋体" w:cs="宋体"/>
          <w:bCs/>
          <w:color w:val="auto"/>
          <w:highlight w:val="none"/>
          <w:lang w:val="en-US" w:eastAsia="zh-CN"/>
        </w:rPr>
      </w:pPr>
      <w:r>
        <w:rPr>
          <w:rFonts w:hint="eastAsia" w:cs="宋体"/>
          <w:bCs/>
          <w:color w:val="auto"/>
          <w:highlight w:val="none"/>
          <w:lang w:val="en-US" w:eastAsia="zh-CN"/>
        </w:rPr>
        <w:t>32、其他相关内容</w:t>
      </w:r>
    </w:p>
    <w:p w14:paraId="7CCE0021">
      <w:pPr>
        <w:pStyle w:val="73"/>
        <w:adjustRightInd w:val="0"/>
        <w:snapToGrid w:val="0"/>
        <w:spacing w:before="0" w:beforeAutospacing="0" w:after="0" w:afterAutospacing="0" w:line="360" w:lineRule="auto"/>
        <w:ind w:firstLine="481"/>
        <w:rPr>
          <w:rFonts w:cs="宋体"/>
          <w:bCs/>
          <w:snapToGrid w:val="0"/>
          <w:color w:val="auto"/>
          <w:highlight w:val="none"/>
        </w:rPr>
      </w:pPr>
      <w:r>
        <w:rPr>
          <w:rFonts w:hint="eastAsia" w:cs="宋体"/>
          <w:bCs/>
          <w:color w:val="auto"/>
          <w:highlight w:val="none"/>
        </w:rPr>
        <w:t>（</w:t>
      </w:r>
      <w:r>
        <w:rPr>
          <w:rFonts w:hint="eastAsia" w:cs="宋体"/>
          <w:bCs/>
          <w:color w:val="auto"/>
          <w:highlight w:val="none"/>
          <w:lang w:val="en-US" w:eastAsia="zh-CN"/>
        </w:rPr>
        <w:t>1</w:t>
      </w:r>
      <w:r>
        <w:rPr>
          <w:rFonts w:hint="eastAsia" w:cs="宋体"/>
          <w:bCs/>
          <w:color w:val="auto"/>
          <w:highlight w:val="none"/>
        </w:rPr>
        <w:t>）</w:t>
      </w:r>
      <w:r>
        <w:rPr>
          <w:rFonts w:hint="eastAsia" w:cs="宋体"/>
          <w:bCs/>
          <w:snapToGrid w:val="0"/>
          <w:color w:val="auto"/>
          <w:highlight w:val="none"/>
        </w:rPr>
        <w:t>承包人对劳保金的使用须符合相关规定。</w:t>
      </w:r>
    </w:p>
    <w:p w14:paraId="016E49FF">
      <w:pPr>
        <w:pStyle w:val="73"/>
        <w:adjustRightInd w:val="0"/>
        <w:snapToGrid w:val="0"/>
        <w:spacing w:before="0" w:beforeAutospacing="0" w:after="0" w:afterAutospacing="0" w:line="360" w:lineRule="auto"/>
        <w:ind w:firstLine="481"/>
        <w:rPr>
          <w:rFonts w:cs="宋体"/>
          <w:b/>
          <w:bCs/>
          <w:snapToGrid w:val="0"/>
          <w:color w:val="auto"/>
          <w:highlight w:val="none"/>
        </w:rPr>
      </w:pPr>
      <w:r>
        <w:rPr>
          <w:rFonts w:hint="eastAsia" w:cs="宋体"/>
          <w:bCs/>
          <w:snapToGrid w:val="0"/>
          <w:color w:val="auto"/>
          <w:highlight w:val="none"/>
        </w:rPr>
        <w:t>（</w:t>
      </w:r>
      <w:r>
        <w:rPr>
          <w:rFonts w:hint="eastAsia" w:cs="宋体"/>
          <w:bCs/>
          <w:snapToGrid w:val="0"/>
          <w:color w:val="auto"/>
          <w:highlight w:val="none"/>
          <w:lang w:val="en-US" w:eastAsia="zh-CN"/>
        </w:rPr>
        <w:t>2</w:t>
      </w:r>
      <w:r>
        <w:rPr>
          <w:rFonts w:hint="eastAsia" w:cs="宋体"/>
          <w:bCs/>
          <w:snapToGrid w:val="0"/>
          <w:color w:val="auto"/>
          <w:highlight w:val="none"/>
        </w:rPr>
        <w:t>）承包人、发包人须按照</w:t>
      </w:r>
      <w:r>
        <w:rPr>
          <w:rFonts w:hint="eastAsia"/>
          <w:color w:val="auto"/>
          <w:highlight w:val="none"/>
        </w:rPr>
        <w:t>《</w:t>
      </w:r>
      <w:r>
        <w:rPr>
          <w:rFonts w:hint="eastAsia"/>
          <w:bCs/>
          <w:color w:val="auto"/>
          <w:highlight w:val="none"/>
        </w:rPr>
        <w:t>广州市建设领域工人工资支付分账管理实施细则</w:t>
      </w:r>
      <w:r>
        <w:rPr>
          <w:rFonts w:hint="eastAsia"/>
          <w:color w:val="auto"/>
          <w:highlight w:val="none"/>
        </w:rPr>
        <w:t>》（穗建规字〔2020〕37号）、</w:t>
      </w:r>
      <w:r>
        <w:rPr>
          <w:rFonts w:hint="eastAsia" w:cs="宋体"/>
          <w:bCs/>
          <w:snapToGrid w:val="0"/>
          <w:color w:val="auto"/>
          <w:highlight w:val="none"/>
        </w:rPr>
        <w:t>《关于印发&lt;广东省建设工程领域工人工资支付专用账户管理办法&gt;的通知》（粤人社规[2018]14号）及《广州市住房和城乡建设局关于我市房建市政工程贯彻省用工实名及工人工资支付专用账户管理办法有关要求的通知》（穗建筑[2019]352号）、</w:t>
      </w:r>
      <w:r>
        <w:rPr>
          <w:rFonts w:hint="eastAsia"/>
          <w:color w:val="auto"/>
          <w:highlight w:val="none"/>
        </w:rPr>
        <w:t>《广州市住房和城乡建设局关于印发广州市建筑施工实名制管理办法的通知》（穗建规字〔2020〕18号）</w:t>
      </w:r>
      <w:r>
        <w:rPr>
          <w:rFonts w:hint="eastAsia" w:cs="宋体"/>
          <w:bCs/>
          <w:snapToGrid w:val="0"/>
          <w:color w:val="auto"/>
          <w:highlight w:val="none"/>
        </w:rPr>
        <w:t>等文件执行。</w:t>
      </w:r>
    </w:p>
    <w:p w14:paraId="4BFAD551">
      <w:pPr>
        <w:pStyle w:val="73"/>
        <w:adjustRightInd w:val="0"/>
        <w:snapToGrid w:val="0"/>
        <w:spacing w:before="0" w:beforeAutospacing="0" w:after="0" w:afterAutospacing="0" w:line="360" w:lineRule="auto"/>
        <w:ind w:firstLine="481"/>
        <w:jc w:val="both"/>
        <w:rPr>
          <w:rFonts w:cs="宋体"/>
          <w:bCs/>
          <w:snapToGrid w:val="0"/>
          <w:color w:val="auto"/>
          <w:highlight w:val="none"/>
        </w:rPr>
      </w:pPr>
      <w:r>
        <w:rPr>
          <w:rFonts w:hint="eastAsia" w:cs="宋体"/>
          <w:bCs/>
          <w:snapToGrid w:val="0"/>
          <w:color w:val="auto"/>
          <w:highlight w:val="none"/>
        </w:rPr>
        <w:t>（</w:t>
      </w:r>
      <w:r>
        <w:rPr>
          <w:rFonts w:hint="eastAsia" w:cs="宋体"/>
          <w:bCs/>
          <w:snapToGrid w:val="0"/>
          <w:color w:val="auto"/>
          <w:highlight w:val="none"/>
          <w:lang w:val="en-US" w:eastAsia="zh-CN"/>
        </w:rPr>
        <w:t>3</w:t>
      </w:r>
      <w:r>
        <w:rPr>
          <w:rFonts w:hint="eastAsia" w:cs="宋体"/>
          <w:bCs/>
          <w:snapToGrid w:val="0"/>
          <w:color w:val="auto"/>
          <w:highlight w:val="none"/>
        </w:rPr>
        <w:t>）本工程工人工资暂定为</w:t>
      </w:r>
      <w:r>
        <w:rPr>
          <w:rFonts w:hint="eastAsia" w:cs="宋体"/>
          <w:bCs/>
          <w:snapToGrid w:val="0"/>
          <w:color w:val="auto"/>
          <w:highlight w:val="none"/>
          <w:u w:val="single"/>
        </w:rPr>
        <w:t>【】</w:t>
      </w:r>
      <w:r>
        <w:rPr>
          <w:rFonts w:hint="eastAsia" w:cs="宋体"/>
          <w:bCs/>
          <w:snapToGrid w:val="0"/>
          <w:color w:val="auto"/>
          <w:highlight w:val="none"/>
        </w:rPr>
        <w:t>元，支付比例占同期进度款的</w:t>
      </w:r>
      <w:r>
        <w:rPr>
          <w:rFonts w:hint="eastAsia" w:cs="宋体"/>
          <w:bCs/>
          <w:snapToGrid w:val="0"/>
          <w:color w:val="auto"/>
          <w:highlight w:val="none"/>
          <w:u w:val="single"/>
        </w:rPr>
        <w:t>【】</w:t>
      </w:r>
      <w:r>
        <w:rPr>
          <w:rFonts w:hint="eastAsia" w:cs="宋体"/>
          <w:bCs/>
          <w:snapToGrid w:val="0"/>
          <w:color w:val="auto"/>
          <w:highlight w:val="none"/>
        </w:rPr>
        <w:t>%，与工程进度款同期支付，直至支付完</w:t>
      </w:r>
      <w:r>
        <w:rPr>
          <w:rFonts w:hint="eastAsia" w:cs="宋体"/>
          <w:bCs/>
          <w:snapToGrid w:val="0"/>
          <w:color w:val="auto"/>
          <w:highlight w:val="none"/>
          <w:u w:val="single"/>
        </w:rPr>
        <w:t>【】</w:t>
      </w:r>
      <w:r>
        <w:rPr>
          <w:rFonts w:hint="eastAsia" w:cs="宋体"/>
          <w:bCs/>
          <w:snapToGrid w:val="0"/>
          <w:color w:val="auto"/>
          <w:highlight w:val="none"/>
        </w:rPr>
        <w:t>元为止。承包人建立工人工资支付专用帐户，并在用工之日起15日内为每个工人办理工资个人账户，以银行卡方式支付工资，支付时间为每月收到发包人工程进度款之日起5个工作日内支付。并建立用工管理台账备查。</w:t>
      </w:r>
    </w:p>
    <w:p w14:paraId="7A0E1665">
      <w:pPr>
        <w:pStyle w:val="73"/>
        <w:adjustRightInd w:val="0"/>
        <w:snapToGrid w:val="0"/>
        <w:spacing w:before="0" w:beforeAutospacing="0" w:after="0" w:afterAutospacing="0" w:line="360" w:lineRule="auto"/>
        <w:ind w:firstLine="480" w:firstLineChars="200"/>
        <w:rPr>
          <w:rFonts w:cs="宋体"/>
          <w:bCs/>
          <w:snapToGrid w:val="0"/>
          <w:color w:val="auto"/>
          <w:highlight w:val="none"/>
        </w:rPr>
      </w:pPr>
      <w:r>
        <w:rPr>
          <w:rFonts w:hint="eastAsia" w:cs="宋体"/>
          <w:bCs/>
          <w:snapToGrid w:val="0"/>
          <w:color w:val="auto"/>
          <w:highlight w:val="none"/>
        </w:rPr>
        <w:t>开户人名称：</w:t>
      </w:r>
      <w:r>
        <w:rPr>
          <w:rFonts w:hint="eastAsia" w:cs="宋体"/>
          <w:bCs/>
          <w:snapToGrid w:val="0"/>
          <w:color w:val="auto"/>
          <w:highlight w:val="none"/>
          <w:u w:val="single"/>
        </w:rPr>
        <w:t>【】</w:t>
      </w:r>
      <w:r>
        <w:rPr>
          <w:rFonts w:cs="宋体"/>
          <w:bCs/>
          <w:snapToGrid w:val="0"/>
          <w:color w:val="auto"/>
          <w:highlight w:val="none"/>
          <w:u w:val="single"/>
        </w:rPr>
        <w:t>；</w:t>
      </w:r>
    </w:p>
    <w:p w14:paraId="2F8DA348">
      <w:pPr>
        <w:pStyle w:val="73"/>
        <w:adjustRightInd w:val="0"/>
        <w:snapToGrid w:val="0"/>
        <w:spacing w:before="0" w:beforeAutospacing="0" w:after="0" w:afterAutospacing="0" w:line="360" w:lineRule="auto"/>
        <w:ind w:firstLine="480" w:firstLineChars="200"/>
        <w:rPr>
          <w:rFonts w:cs="宋体"/>
          <w:bCs/>
          <w:snapToGrid w:val="0"/>
          <w:color w:val="auto"/>
          <w:highlight w:val="none"/>
        </w:rPr>
      </w:pPr>
      <w:r>
        <w:rPr>
          <w:rFonts w:hint="eastAsia" w:cs="宋体"/>
          <w:bCs/>
          <w:snapToGrid w:val="0"/>
          <w:color w:val="auto"/>
          <w:highlight w:val="none"/>
        </w:rPr>
        <w:t>专用账户开户银行</w:t>
      </w:r>
      <w:r>
        <w:rPr>
          <w:rFonts w:cs="宋体"/>
          <w:bCs/>
          <w:snapToGrid w:val="0"/>
          <w:color w:val="auto"/>
          <w:highlight w:val="none"/>
        </w:rPr>
        <w:t>：</w:t>
      </w:r>
      <w:r>
        <w:rPr>
          <w:rFonts w:hint="eastAsia" w:cs="宋体"/>
          <w:bCs/>
          <w:snapToGrid w:val="0"/>
          <w:color w:val="auto"/>
          <w:highlight w:val="none"/>
          <w:u w:val="single"/>
        </w:rPr>
        <w:t>【】</w:t>
      </w:r>
      <w:r>
        <w:rPr>
          <w:rFonts w:cs="宋体"/>
          <w:bCs/>
          <w:snapToGrid w:val="0"/>
          <w:color w:val="auto"/>
          <w:highlight w:val="none"/>
          <w:u w:val="single"/>
        </w:rPr>
        <w:t>；</w:t>
      </w:r>
    </w:p>
    <w:p w14:paraId="14C01ADA">
      <w:pPr>
        <w:pStyle w:val="73"/>
        <w:adjustRightInd w:val="0"/>
        <w:snapToGrid w:val="0"/>
        <w:spacing w:before="0" w:beforeAutospacing="0" w:after="0" w:afterAutospacing="0" w:line="360" w:lineRule="auto"/>
        <w:ind w:firstLine="480" w:firstLineChars="200"/>
        <w:rPr>
          <w:rFonts w:cs="宋体"/>
          <w:bCs/>
          <w:snapToGrid w:val="0"/>
          <w:color w:val="auto"/>
          <w:highlight w:val="none"/>
        </w:rPr>
      </w:pPr>
      <w:r>
        <w:rPr>
          <w:rFonts w:hint="eastAsia" w:cs="宋体"/>
          <w:bCs/>
          <w:snapToGrid w:val="0"/>
          <w:color w:val="auto"/>
          <w:highlight w:val="none"/>
        </w:rPr>
        <w:t>账号：</w:t>
      </w:r>
      <w:r>
        <w:rPr>
          <w:rFonts w:hint="eastAsia" w:cs="宋体"/>
          <w:bCs/>
          <w:snapToGrid w:val="0"/>
          <w:color w:val="auto"/>
          <w:highlight w:val="none"/>
          <w:u w:val="single"/>
        </w:rPr>
        <w:t>【】</w:t>
      </w:r>
      <w:r>
        <w:rPr>
          <w:rFonts w:cs="宋体"/>
          <w:bCs/>
          <w:snapToGrid w:val="0"/>
          <w:color w:val="auto"/>
          <w:highlight w:val="none"/>
          <w:u w:val="single"/>
        </w:rPr>
        <w:t>；</w:t>
      </w:r>
    </w:p>
    <w:p w14:paraId="128E20B6">
      <w:pPr>
        <w:pStyle w:val="73"/>
        <w:adjustRightInd w:val="0"/>
        <w:snapToGrid w:val="0"/>
        <w:spacing w:before="0" w:beforeAutospacing="0" w:after="0" w:afterAutospacing="0" w:line="360" w:lineRule="auto"/>
        <w:ind w:firstLine="480" w:firstLineChars="200"/>
        <w:rPr>
          <w:rFonts w:cs="宋体"/>
          <w:bCs/>
          <w:snapToGrid w:val="0"/>
          <w:color w:val="auto"/>
          <w:highlight w:val="none"/>
        </w:rPr>
      </w:pPr>
      <w:r>
        <w:rPr>
          <w:rFonts w:hint="eastAsia" w:cs="宋体"/>
          <w:bCs/>
          <w:snapToGrid w:val="0"/>
          <w:color w:val="auto"/>
          <w:highlight w:val="none"/>
        </w:rPr>
        <w:t>工人工资专用账户开户银行：</w:t>
      </w:r>
      <w:r>
        <w:rPr>
          <w:rFonts w:hint="eastAsia" w:cs="宋体"/>
          <w:bCs/>
          <w:snapToGrid w:val="0"/>
          <w:color w:val="auto"/>
          <w:highlight w:val="none"/>
          <w:u w:val="single"/>
        </w:rPr>
        <w:t>【】</w:t>
      </w:r>
      <w:r>
        <w:rPr>
          <w:rFonts w:cs="宋体"/>
          <w:bCs/>
          <w:snapToGrid w:val="0"/>
          <w:color w:val="auto"/>
          <w:highlight w:val="none"/>
          <w:u w:val="single"/>
        </w:rPr>
        <w:t>；</w:t>
      </w:r>
    </w:p>
    <w:p w14:paraId="46BC0EB7">
      <w:pPr>
        <w:pStyle w:val="73"/>
        <w:adjustRightInd w:val="0"/>
        <w:snapToGrid w:val="0"/>
        <w:spacing w:before="0" w:beforeAutospacing="0" w:after="0" w:afterAutospacing="0" w:line="360" w:lineRule="auto"/>
        <w:ind w:firstLine="480" w:firstLineChars="200"/>
        <w:rPr>
          <w:rFonts w:cs="宋体"/>
          <w:b/>
          <w:bCs/>
          <w:snapToGrid w:val="0"/>
          <w:color w:val="auto"/>
          <w:highlight w:val="none"/>
        </w:rPr>
      </w:pPr>
      <w:r>
        <w:rPr>
          <w:rFonts w:hint="eastAsia" w:cs="宋体"/>
          <w:bCs/>
          <w:snapToGrid w:val="0"/>
          <w:color w:val="auto"/>
          <w:highlight w:val="none"/>
        </w:rPr>
        <w:t>账号：</w:t>
      </w:r>
      <w:r>
        <w:rPr>
          <w:rFonts w:hint="eastAsia" w:cs="宋体"/>
          <w:bCs/>
          <w:snapToGrid w:val="0"/>
          <w:color w:val="auto"/>
          <w:highlight w:val="none"/>
          <w:u w:val="single"/>
        </w:rPr>
        <w:t>【】。</w:t>
      </w:r>
    </w:p>
    <w:p w14:paraId="72045153">
      <w:pPr>
        <w:pStyle w:val="73"/>
        <w:adjustRightInd w:val="0"/>
        <w:snapToGrid w:val="0"/>
        <w:spacing w:before="0" w:beforeAutospacing="0" w:after="0" w:afterAutospacing="0" w:line="360" w:lineRule="auto"/>
        <w:ind w:firstLine="480" w:firstLineChars="200"/>
        <w:rPr>
          <w:rFonts w:hint="eastAsia" w:cs="宋体"/>
          <w:b/>
          <w:color w:val="auto"/>
          <w:highlight w:val="none"/>
        </w:rPr>
      </w:pPr>
      <w:r>
        <w:rPr>
          <w:rFonts w:hint="eastAsia" w:cs="宋体"/>
          <w:snapToGrid w:val="0"/>
          <w:color w:val="auto"/>
          <w:highlight w:val="none"/>
        </w:rPr>
        <w:t>如因承包人未按规定开立、使用、变更、撤销工人工资支付专用账户导致本工程施工许可证未能如期办理、拖欠或克扣工人工资造成群体性事件或其他不良行为的，由此</w:t>
      </w:r>
      <w:r>
        <w:rPr>
          <w:rFonts w:hint="eastAsia" w:cs="宋体"/>
          <w:bCs/>
          <w:snapToGrid w:val="0"/>
          <w:color w:val="auto"/>
          <w:highlight w:val="none"/>
        </w:rPr>
        <w:t>引起的相关责任全部由承包人承担。</w:t>
      </w:r>
    </w:p>
    <w:p w14:paraId="199C0158">
      <w:pPr>
        <w:adjustRightInd w:val="0"/>
        <w:snapToGrid w:val="0"/>
        <w:spacing w:line="360" w:lineRule="auto"/>
        <w:ind w:right="11" w:firstLine="480" w:firstLineChars="200"/>
        <w:rPr>
          <w:rFonts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若发包人支付本合同项下款项需向政府部门申请拨付，则各阶段支付条件还应包括发包人向相关政府部门申请款项获得批准且得到拨付，付款时间应相应根据拨付时间顺延。承包人不可撤销地承诺，若政府部门审定、拨付本合同项下相关费用时间超过上述约定支付期限的，承包人无权以任何理由要求发包人承担任何违约责任，且承包人仍须按照本合同约定履行义务。</w:t>
      </w:r>
    </w:p>
    <w:p w14:paraId="7859ED10">
      <w:pPr>
        <w:pStyle w:val="73"/>
        <w:adjustRightInd w:val="0"/>
        <w:snapToGrid w:val="0"/>
        <w:spacing w:before="0" w:beforeAutospacing="0" w:after="0" w:afterAutospacing="0" w:line="360" w:lineRule="auto"/>
        <w:ind w:firstLine="480" w:firstLineChars="200"/>
        <w:rPr>
          <w:rFonts w:hint="eastAsia" w:cs="宋体"/>
          <w:bCs/>
          <w:snapToGrid w:val="0"/>
          <w:color w:val="auto"/>
          <w:highlight w:val="none"/>
          <w:lang w:val="zh-CN"/>
        </w:rPr>
      </w:pPr>
      <w:bookmarkStart w:id="600" w:name="_Hlk126767144"/>
      <w:r>
        <w:rPr>
          <w:rFonts w:hint="eastAsia" w:cs="宋体"/>
          <w:bCs/>
          <w:snapToGrid w:val="0"/>
          <w:color w:val="auto"/>
          <w:highlight w:val="none"/>
          <w:lang w:val="zh-CN"/>
        </w:rPr>
        <w:t>（</w:t>
      </w:r>
      <w:r>
        <w:rPr>
          <w:rFonts w:hint="eastAsia" w:cs="宋体"/>
          <w:bCs/>
          <w:snapToGrid w:val="0"/>
          <w:color w:val="auto"/>
          <w:highlight w:val="none"/>
          <w:lang w:val="en-US" w:eastAsia="zh-CN"/>
        </w:rPr>
        <w:t>5</w:t>
      </w:r>
      <w:r>
        <w:rPr>
          <w:rFonts w:hint="eastAsia" w:cs="宋体"/>
          <w:bCs/>
          <w:snapToGrid w:val="0"/>
          <w:color w:val="auto"/>
          <w:highlight w:val="none"/>
          <w:lang w:val="zh-CN"/>
        </w:rPr>
        <w:t>）承包人应按合同约定在申请工程款及其他费用前，向发包人提供等额合法有效的增值税专用发票，再由发包人向承包人进行支付，否则发包人有权相应顺延支付且无需承担任何违约责任。</w:t>
      </w:r>
      <w:bookmarkEnd w:id="600"/>
    </w:p>
    <w:p w14:paraId="4856A2DF">
      <w:pPr>
        <w:pStyle w:val="10"/>
        <w:jc w:val="left"/>
        <w:rPr>
          <w:rFonts w:hint="eastAsia" w:ascii="宋体" w:hAnsi="宋体"/>
          <w:snapToGrid w:val="0"/>
          <w:color w:val="auto"/>
          <w:highlight w:val="none"/>
        </w:rPr>
      </w:pPr>
      <w:bookmarkStart w:id="601" w:name="_Toc517774566"/>
      <w:bookmarkStart w:id="602" w:name="_Toc514681188"/>
      <w:bookmarkStart w:id="603" w:name="_Toc514663864"/>
      <w:bookmarkStart w:id="604" w:name="_Toc519502256"/>
      <w:bookmarkStart w:id="605" w:name="_Toc514666979"/>
      <w:bookmarkStart w:id="606" w:name="_Toc514664866"/>
      <w:bookmarkStart w:id="607" w:name="_Toc520901466"/>
      <w:bookmarkStart w:id="608" w:name="_Toc514665149"/>
      <w:bookmarkStart w:id="609" w:name="_Toc520902833"/>
      <w:bookmarkStart w:id="610" w:name="_Toc514665288"/>
      <w:bookmarkStart w:id="611" w:name="_Toc517954579"/>
      <w:bookmarkStart w:id="612" w:name="_Toc520902762"/>
      <w:bookmarkStart w:id="613" w:name="_Toc520358060"/>
      <w:bookmarkStart w:id="614" w:name="_Toc516495982"/>
      <w:bookmarkStart w:id="615" w:name="_Toc520358236"/>
      <w:bookmarkStart w:id="616" w:name="_Toc35083101"/>
      <w:bookmarkStart w:id="617" w:name="_Toc518481738"/>
      <w:bookmarkStart w:id="618" w:name="_Toc514681769"/>
      <w:bookmarkStart w:id="619" w:name="_Toc520902611"/>
      <w:bookmarkStart w:id="620" w:name="_Toc519503086"/>
      <w:r>
        <w:rPr>
          <w:rFonts w:hint="eastAsia" w:ascii="宋体" w:hAnsi="宋体"/>
          <w:snapToGrid w:val="0"/>
          <w:color w:val="auto"/>
          <w:highlight w:val="none"/>
        </w:rPr>
        <w:t>七、材料设备供应</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59BC749C">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（一）发包人、承包人一致同意在本合同签订</w:t>
      </w:r>
      <w:r>
        <w:rPr>
          <w:rFonts w:hint="eastAsia" w:ascii="宋体" w:hAnsi="宋体" w:eastAsia="宋体" w:cs="宋体"/>
          <w:bCs/>
          <w:snapToGrid w:val="0"/>
          <w:color w:val="auto"/>
          <w:kern w:val="0"/>
          <w:sz w:val="24"/>
          <w:highlight w:val="none"/>
        </w:rPr>
        <w:t>之日起</w:t>
      </w:r>
      <w:r>
        <w:rPr>
          <w:rFonts w:hint="eastAsia" w:ascii="宋体" w:hAnsi="宋体" w:eastAsia="宋体" w:cs="宋体"/>
          <w:snapToGrid w:val="0"/>
          <w:color w:val="auto"/>
          <w:kern w:val="0"/>
          <w:sz w:val="24"/>
          <w:highlight w:val="none"/>
        </w:rPr>
        <w:t>一个月内，会同监理单位参照上述分类及分工编制本工</w:t>
      </w:r>
      <w:bookmarkStart w:id="621" w:name="_Hlk114669773"/>
      <w:r>
        <w:rPr>
          <w:rFonts w:hint="eastAsia" w:ascii="宋体" w:hAnsi="宋体" w:eastAsia="宋体" w:cs="宋体"/>
          <w:snapToGrid w:val="0"/>
          <w:color w:val="auto"/>
          <w:kern w:val="0"/>
          <w:sz w:val="24"/>
          <w:highlight w:val="none"/>
        </w:rPr>
        <w:t>程主要材料设</w:t>
      </w:r>
      <w:bookmarkEnd w:id="621"/>
      <w:r>
        <w:rPr>
          <w:rFonts w:hint="eastAsia" w:ascii="宋体" w:hAnsi="宋体" w:eastAsia="宋体" w:cs="宋体"/>
          <w:snapToGrid w:val="0"/>
          <w:color w:val="auto"/>
          <w:kern w:val="0"/>
          <w:sz w:val="24"/>
          <w:highlight w:val="none"/>
        </w:rPr>
        <w:t>备供应计划并严格执行（数量较大的材料设备应分批到货，不可分割的材料设备应同时到货）。其中，所有材料设备的下料单均应由承包人填报并经监理单位及发包人批准方可实施，发包人及监理单位的批准不免除承包人因下料单失误（包括但不限于供应计划不准确、不及时、数量规格与实际需求不符等）影响工程质量、进度等的责任。</w:t>
      </w:r>
    </w:p>
    <w:p w14:paraId="24265819">
      <w:pPr>
        <w:adjustRightInd w:val="0"/>
        <w:snapToGrid w:val="0"/>
        <w:spacing w:line="360" w:lineRule="auto"/>
        <w:ind w:firstLine="480" w:firstLineChars="200"/>
        <w:rPr>
          <w:rFonts w:hint="eastAsia" w:ascii="宋体" w:hAnsi="宋体" w:eastAsia="宋体" w:cs="宋体"/>
          <w:snapToGrid w:val="0"/>
          <w:color w:val="auto"/>
          <w:kern w:val="0"/>
          <w:sz w:val="24"/>
          <w:szCs w:val="21"/>
          <w:highlight w:val="none"/>
          <w:lang w:val="zh-CN"/>
        </w:rPr>
      </w:pPr>
      <w:r>
        <w:rPr>
          <w:rFonts w:hint="eastAsia" w:ascii="宋体" w:hAnsi="宋体" w:eastAsia="宋体" w:cs="宋体"/>
          <w:snapToGrid w:val="0"/>
          <w:color w:val="auto"/>
          <w:kern w:val="0"/>
          <w:sz w:val="24"/>
          <w:highlight w:val="none"/>
        </w:rPr>
        <w:t>（二）发包人将委托有资质的产品质量监督检验机构并由该机构依据合同约定对本工程进行材料设备技术检验（包括到厂抽检）和现场技术质量管理，承包人应予积极配合。凡用于本工程的材料设备必须贴上该机构的检验合格标志方可使用，没有该检验合格标志的材料设备视同不合格产品，发包人有权要求承包人拆除、调换或运出施工场地，或发包人自行组织拆除、调换或运出施工场地，因此所发生的费用和所造成的损失及责任全部由承包人承担。</w:t>
      </w:r>
    </w:p>
    <w:p w14:paraId="0F2B979E">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三）承包人承诺：所有的材料设备均严格按照相关技术规范、用户需求书选用，并保证材料设备参数的真实性、有效性，如发生材料设备货不对板、或以低品质材料设备冒充高品质材料设备、或以低技术档次系列的产品冒充高技术档次系列的产品的情况，该材料设备不得在本工程使用。发包人有权按照对本工程最有利的原则要求承包人更换为满足设计要求的高品质材料设备或高技术档次系列的产品，且价格不作调整；同时承包人应承担由此产生的有关违约责任和其他法律责任。</w:t>
      </w:r>
    </w:p>
    <w:p w14:paraId="2009F7FD">
      <w:pPr>
        <w:adjustRightInd w:val="0"/>
        <w:snapToGrid w:val="0"/>
        <w:spacing w:line="360" w:lineRule="auto"/>
        <w:ind w:right="11" w:firstLine="463" w:firstLineChars="192"/>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30、承包人采购材料设备</w:t>
      </w:r>
    </w:p>
    <w:p w14:paraId="5A2C5F87">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30.1承包人采购的材料设备主要为乙供材料设备。</w:t>
      </w:r>
    </w:p>
    <w:p w14:paraId="1B361357">
      <w:pPr>
        <w:adjustRightInd w:val="0"/>
        <w:snapToGrid w:val="0"/>
        <w:spacing w:line="360" w:lineRule="auto"/>
        <w:ind w:right="11" w:firstLine="463" w:firstLineChars="192"/>
        <w:rPr>
          <w:rFonts w:hint="eastAsia" w:ascii="宋体" w:hAnsi="宋体" w:eastAsia="宋体" w:cs="宋体"/>
          <w:snapToGrid w:val="0"/>
          <w:color w:val="auto"/>
          <w:kern w:val="0"/>
          <w:sz w:val="24"/>
          <w:szCs w:val="24"/>
          <w:highlight w:val="none"/>
        </w:rPr>
      </w:pPr>
      <w:r>
        <w:rPr>
          <w:rFonts w:hint="eastAsia" w:ascii="宋体" w:hAnsi="宋体" w:eastAsia="宋体" w:cs="宋体"/>
          <w:b/>
          <w:snapToGrid w:val="0"/>
          <w:color w:val="auto"/>
          <w:kern w:val="0"/>
          <w:sz w:val="24"/>
          <w:highlight w:val="none"/>
        </w:rPr>
        <w:t>承包人和发包人一致同意增加30.7：</w:t>
      </w:r>
    </w:p>
    <w:p w14:paraId="618290D3">
      <w:pPr>
        <w:pStyle w:val="43"/>
        <w:adjustRightInd w:val="0"/>
        <w:snapToGrid w:val="0"/>
        <w:spacing w:line="360" w:lineRule="auto"/>
        <w:ind w:firstLine="480" w:firstLineChars="200"/>
        <w:rPr>
          <w:rFonts w:hint="eastAsia" w:hAnsi="宋体" w:eastAsia="宋体" w:cs="宋体"/>
          <w:snapToGrid w:val="0"/>
          <w:color w:val="auto"/>
          <w:kern w:val="0"/>
          <w:sz w:val="24"/>
          <w:highlight w:val="none"/>
        </w:rPr>
      </w:pPr>
      <w:r>
        <w:rPr>
          <w:rFonts w:hint="eastAsia" w:hAnsi="宋体" w:eastAsia="宋体" w:cs="宋体"/>
          <w:snapToGrid w:val="0"/>
          <w:color w:val="auto"/>
          <w:kern w:val="0"/>
          <w:sz w:val="24"/>
          <w:highlight w:val="none"/>
        </w:rPr>
        <w:t>30.7对材料设备采购的相关要求</w:t>
      </w:r>
    </w:p>
    <w:p w14:paraId="3ABE2775">
      <w:pPr>
        <w:pStyle w:val="43"/>
        <w:adjustRightInd w:val="0"/>
        <w:snapToGrid w:val="0"/>
        <w:spacing w:line="360" w:lineRule="auto"/>
        <w:ind w:firstLine="480" w:firstLineChars="200"/>
        <w:rPr>
          <w:rFonts w:hint="eastAsia" w:hAnsi="宋体" w:eastAsia="宋体" w:cs="宋体"/>
          <w:snapToGrid w:val="0"/>
          <w:color w:val="auto"/>
          <w:kern w:val="0"/>
          <w:sz w:val="24"/>
          <w:highlight w:val="none"/>
        </w:rPr>
      </w:pPr>
      <w:r>
        <w:rPr>
          <w:rFonts w:hint="eastAsia" w:hAnsi="宋体" w:eastAsia="宋体" w:cs="宋体"/>
          <w:snapToGrid w:val="0"/>
          <w:color w:val="auto"/>
          <w:kern w:val="0"/>
          <w:sz w:val="24"/>
          <w:highlight w:val="none"/>
        </w:rPr>
        <w:t>（1）招标文件已列明推荐品牌的材料设备</w:t>
      </w:r>
    </w:p>
    <w:p w14:paraId="2B42CCF5">
      <w:pPr>
        <w:pStyle w:val="43"/>
        <w:adjustRightInd w:val="0"/>
        <w:snapToGrid w:val="0"/>
        <w:spacing w:line="360" w:lineRule="auto"/>
        <w:ind w:firstLine="480" w:firstLineChars="200"/>
        <w:rPr>
          <w:rFonts w:hint="eastAsia" w:hAnsi="宋体" w:eastAsia="宋体" w:cs="宋体"/>
          <w:snapToGrid w:val="0"/>
          <w:color w:val="auto"/>
          <w:kern w:val="0"/>
          <w:sz w:val="24"/>
          <w:highlight w:val="none"/>
        </w:rPr>
      </w:pPr>
      <w:r>
        <w:rPr>
          <w:rFonts w:hint="eastAsia" w:hAnsi="宋体" w:eastAsia="宋体" w:cs="宋体"/>
          <w:snapToGrid w:val="0"/>
          <w:color w:val="auto"/>
          <w:kern w:val="0"/>
          <w:sz w:val="24"/>
          <w:highlight w:val="none"/>
        </w:rPr>
        <w:t>① 主材若属发包人推荐品牌范围的，承包人须按发包人推荐的供货厂家进行报价。承包人必须在《主要设备材料推荐品牌表》中列明所选用材料及设备的品牌、产地等，否则承包人中标后，发包人有权要求承包人按发包人的要求采购，并保留调整其材料价格的权利。</w:t>
      </w:r>
    </w:p>
    <w:p w14:paraId="2879353E">
      <w:pPr>
        <w:pStyle w:val="43"/>
        <w:adjustRightInd w:val="0"/>
        <w:snapToGrid w:val="0"/>
        <w:spacing w:line="360" w:lineRule="auto"/>
        <w:ind w:firstLine="480" w:firstLineChars="200"/>
        <w:rPr>
          <w:rFonts w:hint="eastAsia" w:hAnsi="宋体" w:eastAsia="宋体" w:cs="宋体"/>
          <w:snapToGrid w:val="0"/>
          <w:color w:val="auto"/>
          <w:kern w:val="0"/>
          <w:sz w:val="24"/>
          <w:highlight w:val="none"/>
        </w:rPr>
      </w:pPr>
      <w:r>
        <w:rPr>
          <w:rFonts w:hint="eastAsia" w:hAnsi="宋体" w:eastAsia="宋体" w:cs="宋体"/>
          <w:snapToGrid w:val="0"/>
          <w:color w:val="auto"/>
          <w:kern w:val="0"/>
          <w:sz w:val="24"/>
          <w:highlight w:val="none"/>
        </w:rPr>
        <w:t>② 承包人必须在满足或优于招标文件（包括招标文件各专业主要设备材料技术参数）、招标图纸和相关规范要求的条件下，从招标文件材料设备推荐品牌范围中进行选择（招标文件有规定推荐品牌系列范围的承包人须明确其相应品牌的档次、系列）；承包人可以填报其中的一种或多种推荐品牌，但承包人在中标后选用推荐品牌中的任一品牌，均不予调整其投标价。</w:t>
      </w:r>
    </w:p>
    <w:p w14:paraId="17526019">
      <w:pPr>
        <w:pStyle w:val="43"/>
        <w:adjustRightInd w:val="0"/>
        <w:snapToGrid w:val="0"/>
        <w:spacing w:line="360" w:lineRule="auto"/>
        <w:ind w:firstLine="480" w:firstLineChars="200"/>
        <w:rPr>
          <w:rFonts w:hint="eastAsia" w:hAnsi="宋体" w:eastAsia="宋体" w:cs="宋体"/>
          <w:snapToGrid w:val="0"/>
          <w:color w:val="auto"/>
          <w:kern w:val="0"/>
          <w:sz w:val="24"/>
          <w:highlight w:val="none"/>
        </w:rPr>
      </w:pPr>
      <w:r>
        <w:rPr>
          <w:rFonts w:hint="eastAsia" w:hAnsi="宋体" w:eastAsia="宋体" w:cs="宋体"/>
          <w:snapToGrid w:val="0"/>
          <w:color w:val="auto"/>
          <w:kern w:val="0"/>
          <w:sz w:val="24"/>
          <w:highlight w:val="none"/>
        </w:rPr>
        <w:t>③ 若因发包人调整招标文件各专业主要设备材料技术参数的相关要求导致招标文件材料设备推荐品牌范围中的所有厂家产品均无法满足要求，则参照本条款“招标文件未列明推荐品牌的材料设备”的相关规定执行。</w:t>
      </w:r>
    </w:p>
    <w:p w14:paraId="74D470EE">
      <w:pPr>
        <w:pStyle w:val="43"/>
        <w:adjustRightInd w:val="0"/>
        <w:snapToGrid w:val="0"/>
        <w:spacing w:line="360" w:lineRule="auto"/>
        <w:ind w:firstLine="480" w:firstLineChars="200"/>
        <w:rPr>
          <w:rFonts w:hint="eastAsia" w:hAnsi="宋体" w:eastAsia="宋体" w:cs="宋体"/>
          <w:snapToGrid w:val="0"/>
          <w:color w:val="auto"/>
          <w:kern w:val="0"/>
          <w:sz w:val="24"/>
          <w:highlight w:val="none"/>
        </w:rPr>
      </w:pPr>
      <w:r>
        <w:rPr>
          <w:rFonts w:hint="eastAsia" w:hAnsi="宋体" w:eastAsia="宋体" w:cs="宋体"/>
          <w:snapToGrid w:val="0"/>
          <w:color w:val="auto"/>
          <w:kern w:val="0"/>
          <w:sz w:val="24"/>
          <w:highlight w:val="none"/>
        </w:rPr>
        <w:t>④ 承包人进场后，在同一标段内同一类材料设备的品牌应为同一品牌；特殊情况下，经发包人同意后，同一标段内同一类材料设备的品牌方可不同，但承包人至少应保证同一单体内的同一类材料设备的品牌应为同一品牌。</w:t>
      </w:r>
    </w:p>
    <w:p w14:paraId="7A615DFC">
      <w:pPr>
        <w:pStyle w:val="43"/>
        <w:adjustRightInd w:val="0"/>
        <w:snapToGrid w:val="0"/>
        <w:spacing w:line="360" w:lineRule="auto"/>
        <w:ind w:firstLine="480" w:firstLineChars="200"/>
        <w:rPr>
          <w:rFonts w:hint="eastAsia" w:hAnsi="宋体" w:eastAsia="宋体" w:cs="宋体"/>
          <w:snapToGrid w:val="0"/>
          <w:color w:val="auto"/>
          <w:kern w:val="0"/>
          <w:sz w:val="24"/>
          <w:highlight w:val="none"/>
        </w:rPr>
      </w:pPr>
      <w:r>
        <w:rPr>
          <w:rFonts w:hint="eastAsia" w:hAnsi="宋体" w:eastAsia="宋体" w:cs="宋体"/>
          <w:snapToGrid w:val="0"/>
          <w:color w:val="auto"/>
          <w:kern w:val="0"/>
          <w:sz w:val="24"/>
          <w:highlight w:val="none"/>
        </w:rPr>
        <w:t>（2）招标文件未列明推荐品牌的材料设备</w:t>
      </w:r>
    </w:p>
    <w:p w14:paraId="06DA100A">
      <w:pPr>
        <w:pStyle w:val="43"/>
        <w:adjustRightInd w:val="0"/>
        <w:snapToGrid w:val="0"/>
        <w:spacing w:line="360" w:lineRule="auto"/>
        <w:ind w:firstLine="480" w:firstLineChars="200"/>
        <w:rPr>
          <w:rFonts w:hint="eastAsia" w:hAnsi="宋体" w:eastAsia="宋体" w:cs="宋体"/>
          <w:snapToGrid w:val="0"/>
          <w:color w:val="auto"/>
          <w:kern w:val="0"/>
          <w:sz w:val="24"/>
          <w:highlight w:val="none"/>
        </w:rPr>
      </w:pPr>
      <w:r>
        <w:rPr>
          <w:rFonts w:hint="eastAsia" w:hAnsi="宋体" w:eastAsia="宋体" w:cs="宋体"/>
          <w:snapToGrid w:val="0"/>
          <w:color w:val="auto"/>
          <w:kern w:val="0"/>
          <w:sz w:val="24"/>
          <w:highlight w:val="none"/>
        </w:rPr>
        <w:t>① 招标文件未列明推荐供货厂家的，承包人必须注明所选用材料设备的品牌、产地、规格、等级，如未列明，则按发包人的要求采购，且发包人保留调整其材料价格的权利。</w:t>
      </w:r>
    </w:p>
    <w:p w14:paraId="4F66E99D">
      <w:pPr>
        <w:pStyle w:val="43"/>
        <w:adjustRightInd w:val="0"/>
        <w:snapToGrid w:val="0"/>
        <w:spacing w:line="360" w:lineRule="auto"/>
        <w:ind w:firstLine="480" w:firstLineChars="200"/>
        <w:rPr>
          <w:rFonts w:hint="eastAsia" w:hAnsi="宋体" w:eastAsia="宋体" w:cs="宋体"/>
          <w:snapToGrid w:val="0"/>
          <w:color w:val="auto"/>
          <w:kern w:val="0"/>
          <w:sz w:val="24"/>
          <w:highlight w:val="none"/>
        </w:rPr>
      </w:pPr>
      <w:r>
        <w:rPr>
          <w:rFonts w:hint="eastAsia" w:hAnsi="宋体" w:eastAsia="宋体" w:cs="宋体"/>
          <w:snapToGrid w:val="0"/>
          <w:color w:val="auto"/>
          <w:kern w:val="0"/>
          <w:sz w:val="24"/>
          <w:highlight w:val="none"/>
        </w:rPr>
        <w:t>② 承包人在满足或优于招标文件各专业主要设备材料技术参数的前提下，可以选择一种或多种品牌；中标后只要发包人未有对各专业主要设备材料技术参数的相关要求进行调整则均不因承包人改变选用的品牌而调整其中标价。</w:t>
      </w:r>
    </w:p>
    <w:p w14:paraId="5E607A74">
      <w:pPr>
        <w:pStyle w:val="43"/>
        <w:adjustRightInd w:val="0"/>
        <w:snapToGrid w:val="0"/>
        <w:spacing w:line="360" w:lineRule="auto"/>
        <w:ind w:firstLine="480" w:firstLineChars="200"/>
        <w:rPr>
          <w:rFonts w:hint="eastAsia" w:hAnsi="宋体" w:eastAsia="宋体" w:cs="宋体"/>
          <w:snapToGrid w:val="0"/>
          <w:color w:val="auto"/>
          <w:kern w:val="0"/>
          <w:sz w:val="24"/>
          <w:highlight w:val="none"/>
        </w:rPr>
      </w:pPr>
      <w:r>
        <w:rPr>
          <w:rFonts w:hint="eastAsia" w:hAnsi="宋体" w:eastAsia="宋体" w:cs="宋体"/>
          <w:snapToGrid w:val="0"/>
          <w:color w:val="auto"/>
          <w:kern w:val="0"/>
          <w:sz w:val="24"/>
          <w:highlight w:val="none"/>
        </w:rPr>
        <w:t>（3）承包人在投标报价时所选定的材料设备供应商，应是与承包人有长期合作关系、有良好商业信誉和雄厚实力的材料设备生产供应能力的合格供应商。以保证按项目的质量、数量和时间要求，以合理的价格和可靠的供货来源，获得所需的设备、材料及有关服务。</w:t>
      </w:r>
    </w:p>
    <w:p w14:paraId="272BB97B">
      <w:pPr>
        <w:pStyle w:val="43"/>
        <w:adjustRightInd w:val="0"/>
        <w:snapToGrid w:val="0"/>
        <w:spacing w:line="360" w:lineRule="auto"/>
        <w:ind w:firstLine="480" w:firstLineChars="200"/>
        <w:rPr>
          <w:rFonts w:hint="eastAsia" w:hAnsi="宋体" w:eastAsia="宋体" w:cs="宋体"/>
          <w:snapToGrid w:val="0"/>
          <w:color w:val="auto"/>
          <w:kern w:val="0"/>
          <w:sz w:val="24"/>
          <w:highlight w:val="none"/>
        </w:rPr>
      </w:pPr>
      <w:r>
        <w:rPr>
          <w:rFonts w:hint="eastAsia" w:hAnsi="宋体" w:eastAsia="宋体" w:cs="宋体"/>
          <w:snapToGrid w:val="0"/>
          <w:color w:val="auto"/>
          <w:kern w:val="0"/>
          <w:sz w:val="24"/>
          <w:highlight w:val="none"/>
        </w:rPr>
        <w:t>（4）承包人在投标时所选定材料设备的品牌、规格和供应商，一经发包人确认，承包人不得对此进行更改。如因特殊原因（如不可抗力、生产厂商破产）确需变更供应商时，承包人须按发包人关于乙供材料设备、工程变更及设计变更管理的相关规定向发包人申请变更材料设备的供应商（品牌），经发包人书面审批同意后方可进行变更。承包人应优先在招标文件推荐品牌范围中选择变更后的供应商（品牌）和供应商。</w:t>
      </w:r>
    </w:p>
    <w:p w14:paraId="5B86F9BF">
      <w:pPr>
        <w:pStyle w:val="43"/>
        <w:adjustRightInd w:val="0"/>
        <w:snapToGrid w:val="0"/>
        <w:spacing w:line="360" w:lineRule="auto"/>
        <w:ind w:firstLine="480" w:firstLineChars="200"/>
        <w:rPr>
          <w:rFonts w:hint="eastAsia" w:hAnsi="宋体" w:eastAsia="宋体" w:cs="宋体"/>
          <w:snapToGrid w:val="0"/>
          <w:color w:val="auto"/>
          <w:kern w:val="0"/>
          <w:sz w:val="24"/>
          <w:highlight w:val="none"/>
        </w:rPr>
      </w:pPr>
      <w:r>
        <w:rPr>
          <w:rFonts w:hint="eastAsia" w:hAnsi="宋体" w:eastAsia="宋体" w:cs="宋体"/>
          <w:snapToGrid w:val="0"/>
          <w:color w:val="auto"/>
          <w:kern w:val="0"/>
          <w:sz w:val="24"/>
          <w:highlight w:val="none"/>
        </w:rPr>
        <w:t>（5）材料设备采购的变更</w:t>
      </w:r>
    </w:p>
    <w:p w14:paraId="14C014DC">
      <w:pPr>
        <w:pStyle w:val="43"/>
        <w:adjustRightInd w:val="0"/>
        <w:snapToGrid w:val="0"/>
        <w:spacing w:line="360" w:lineRule="auto"/>
        <w:ind w:firstLine="480" w:firstLineChars="200"/>
        <w:rPr>
          <w:rFonts w:hint="eastAsia" w:hAnsi="宋体" w:eastAsia="宋体" w:cs="宋体"/>
          <w:snapToGrid w:val="0"/>
          <w:color w:val="auto"/>
          <w:kern w:val="0"/>
          <w:sz w:val="24"/>
          <w:highlight w:val="none"/>
        </w:rPr>
      </w:pPr>
      <w:r>
        <w:rPr>
          <w:rFonts w:hint="eastAsia" w:hAnsi="宋体" w:eastAsia="宋体" w:cs="宋体"/>
          <w:snapToGrid w:val="0"/>
          <w:color w:val="auto"/>
          <w:kern w:val="0"/>
          <w:sz w:val="24"/>
          <w:highlight w:val="none"/>
        </w:rPr>
        <w:t>1）在工程施工过程中，根据工程的具体情况，从有利于保证工程质量、进度和投资控制角度考虑，发包人有权对相应材料设备的采购供应方式进行适当的变更（如改为甲供或甲招乙供），承包人在接到发包人的变更通知后，应无条件地接受发包人对材料设备采购供应方式的变更并予以积极配合。</w:t>
      </w:r>
    </w:p>
    <w:p w14:paraId="0E641B3B">
      <w:pPr>
        <w:pStyle w:val="43"/>
        <w:adjustRightInd w:val="0"/>
        <w:snapToGrid w:val="0"/>
        <w:spacing w:line="360" w:lineRule="auto"/>
        <w:ind w:firstLine="480" w:firstLineChars="200"/>
        <w:rPr>
          <w:rFonts w:hint="eastAsia" w:hAnsi="宋体" w:eastAsia="宋体" w:cs="宋体"/>
          <w:snapToGrid w:val="0"/>
          <w:color w:val="auto"/>
          <w:kern w:val="0"/>
          <w:sz w:val="24"/>
          <w:highlight w:val="none"/>
        </w:rPr>
      </w:pPr>
      <w:r>
        <w:rPr>
          <w:rFonts w:hint="eastAsia" w:hAnsi="宋体" w:eastAsia="宋体" w:cs="宋体"/>
          <w:snapToGrid w:val="0"/>
          <w:color w:val="auto"/>
          <w:kern w:val="0"/>
          <w:sz w:val="24"/>
          <w:highlight w:val="none"/>
        </w:rPr>
        <w:t>2）</w:t>
      </w:r>
      <w:r>
        <w:rPr>
          <w:rFonts w:hint="eastAsia" w:hAnsi="宋体" w:eastAsia="宋体" w:cs="宋体"/>
          <w:snapToGrid w:val="0"/>
          <w:color w:val="auto"/>
          <w:spacing w:val="-4"/>
          <w:kern w:val="0"/>
          <w:sz w:val="24"/>
          <w:highlight w:val="none"/>
        </w:rPr>
        <w:t>出于为保证本工程的整体质量和效果等特殊原因，发包人决定将某种材料设备的供货方式由乙供改为甲供或甲招乙供时，承包人应至少提前30天做好材料到货及使用时间计划给发包人，否则由承包人承担未能及时供货的相关损失。发包人根据材料到货及使用时间计划确定购买时间后将书面通知承包人。若上述甲供或甲招乙供材料设备款不需要承包人支付时，发包人将以设计图纸结算用量（含定额规定的损耗）乘以合同中的相应材料设备价格后从工程结算款中扣除相应的材料设备价款及其相关取费，若实际供应的甲供材料设备数量超出按图纸计算用量（含定额规定的损耗）的差异部分则从承包人的工程结算款中扣除，如不由承包人安装，安装费也相应扣除。</w:t>
      </w:r>
    </w:p>
    <w:p w14:paraId="484F0A6A">
      <w:pPr>
        <w:pStyle w:val="10"/>
        <w:jc w:val="left"/>
        <w:rPr>
          <w:rFonts w:hint="eastAsia" w:ascii="宋体" w:hAnsi="宋体"/>
          <w:snapToGrid w:val="0"/>
          <w:color w:val="auto"/>
          <w:kern w:val="0"/>
          <w:highlight w:val="none"/>
        </w:rPr>
      </w:pPr>
      <w:bookmarkStart w:id="622" w:name="_Toc519502257"/>
      <w:bookmarkStart w:id="623" w:name="_Toc517954580"/>
      <w:bookmarkStart w:id="624" w:name="_Toc35083102"/>
      <w:bookmarkStart w:id="625" w:name="_Toc520902763"/>
      <w:bookmarkStart w:id="626" w:name="_Toc514664867"/>
      <w:bookmarkStart w:id="627" w:name="_Toc520901467"/>
      <w:bookmarkStart w:id="628" w:name="_Toc520902612"/>
      <w:bookmarkStart w:id="629" w:name="_Toc518481739"/>
      <w:bookmarkStart w:id="630" w:name="_Toc514666980"/>
      <w:bookmarkStart w:id="631" w:name="_Toc514665289"/>
      <w:bookmarkStart w:id="632" w:name="_Toc520902834"/>
      <w:bookmarkStart w:id="633" w:name="_Toc517774567"/>
      <w:bookmarkStart w:id="634" w:name="_Toc520358237"/>
      <w:bookmarkStart w:id="635" w:name="_Toc514663865"/>
      <w:bookmarkStart w:id="636" w:name="_Toc514681770"/>
      <w:bookmarkStart w:id="637" w:name="_Toc514665150"/>
      <w:bookmarkStart w:id="638" w:name="_Toc519503087"/>
      <w:bookmarkStart w:id="639" w:name="_Toc520358061"/>
      <w:bookmarkStart w:id="640" w:name="_Toc516495983"/>
      <w:bookmarkStart w:id="641" w:name="_Toc514681189"/>
      <w:r>
        <w:rPr>
          <w:rFonts w:hint="eastAsia" w:ascii="宋体" w:hAnsi="宋体"/>
          <w:snapToGrid w:val="0"/>
          <w:color w:val="auto"/>
          <w:kern w:val="0"/>
          <w:highlight w:val="none"/>
        </w:rPr>
        <w:t>八、工程变更</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2B5C5F5D">
      <w:pPr>
        <w:adjustRightInd w:val="0"/>
        <w:snapToGrid w:val="0"/>
        <w:spacing w:line="360" w:lineRule="auto"/>
        <w:ind w:right="11" w:firstLine="463" w:firstLineChars="192"/>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33、确定变更价款</w:t>
      </w:r>
    </w:p>
    <w:p w14:paraId="33DA2AD7">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33.1调整合同价款</w:t>
      </w:r>
    </w:p>
    <w:p w14:paraId="4C4F2A8B">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Cs/>
          <w:snapToGrid w:val="0"/>
          <w:color w:val="auto"/>
          <w:kern w:val="0"/>
          <w:sz w:val="24"/>
          <w:szCs w:val="22"/>
          <w:highlight w:val="none"/>
        </w:rPr>
        <w:t>承包人对发包人提供的工程量清单中列出的工程项目所报出的综合单价和措施项目费（措施项目费必须单列，没有单独列出的，视为已经包含在投标报价中），在工程结算时将不得变更，即在施工过程中即使工程量清单项目的工程量发生变更，中标投标文件列出的综合单价和措施项目费也不发生改变。如在施工期间内，材料市场价格发生异常变动情况时，中标投标文件列出的综合单价和措施项目费也不发生改变。</w:t>
      </w:r>
    </w:p>
    <w:p w14:paraId="21C27916">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33.2工程变更，导致综合单价调整</w:t>
      </w:r>
      <w:bookmarkStart w:id="642" w:name="_Toc365380285"/>
      <w:bookmarkStart w:id="643" w:name="_Toc372815046"/>
      <w:bookmarkStart w:id="644" w:name="_Toc365320145"/>
      <w:bookmarkStart w:id="645" w:name="_Toc514663866"/>
      <w:bookmarkStart w:id="646" w:name="_Toc421274405"/>
    </w:p>
    <w:p w14:paraId="511ECFB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工程变更，导致综合单价调整，按以下方法执行：</w:t>
      </w:r>
      <w:bookmarkEnd w:id="642"/>
      <w:bookmarkEnd w:id="643"/>
      <w:bookmarkEnd w:id="644"/>
      <w:bookmarkEnd w:id="645"/>
      <w:bookmarkEnd w:id="646"/>
    </w:p>
    <w:p w14:paraId="3DE96A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量清单报价中已有类似项目的综合单价，则按类似项目的综合单价对相应子目、消耗量、单价等进行调整换算，原管理费、利润水平不变。如中标的投标文件工程量清单中类似项目的综合单价有两个以上，则由发包人按消耗量最少、管理费和利润取费最低的优先顺序选择类似项目综合单价进行换算。如换算时出现类似项目中没有的材料单价，执行合同基准期广州市建设工程造价管理站发布的《广州地区建设工程常用材料税前综合价格》；如《广州地区建设工程常用材料税前综合价格》没有的材料价格，参考合同基准期广州市工程造价行业协会发布《广州地区建设工程材料（设备）厂商价格信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中土建工程、园建工程、市政工程下浮10%，机电安装工程下浮20%；如均没有时，由承包人根据发包人提供的材料品牌表选用报价并报发包人审定确认，发包人确认的材料单价与进场材料匹配的有效增值税专用发票（监理单位和发包人确认）的材料单价对比，如发票价格高于发包人审定价，按发包人审定价进行计算。施工期间涉及材料价格调整的，按专用条款第</w:t>
      </w:r>
      <w:r>
        <w:rPr>
          <w:rFonts w:ascii="宋体" w:hAnsi="宋体" w:eastAsia="宋体" w:cs="宋体"/>
          <w:color w:val="auto"/>
          <w:sz w:val="24"/>
          <w:szCs w:val="24"/>
          <w:highlight w:val="none"/>
        </w:rPr>
        <w:t>33.1</w:t>
      </w:r>
      <w:r>
        <w:rPr>
          <w:rFonts w:hint="eastAsia" w:ascii="宋体" w:hAnsi="宋体" w:eastAsia="宋体" w:cs="宋体"/>
          <w:color w:val="auto"/>
          <w:sz w:val="24"/>
          <w:szCs w:val="24"/>
          <w:highlight w:val="none"/>
        </w:rPr>
        <w:t>款相应执行。</w:t>
      </w:r>
    </w:p>
    <w:p w14:paraId="5F8151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（2）中标的投标文件工程量清单中没有相同项目或类似项目的新增综合单价，按如下计价原则执行：</w:t>
      </w:r>
    </w:p>
    <w:p w14:paraId="6E43D5E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依据《建设工程工程量清单计价规范》（GB50500-2013）、《光伏发电工程概算定额》（NB/T 32035-2016）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广东省建设工程计价依据（2018）》，包括《广东省房屋建筑与装饰工程综合定额（2018）》《广东省通用安装工程综合定额（2018）》《广东省市政工程综合定额（2018）》《广东省园林绿化工程综合定额（2018）》《广东省建设工程施工机具台班费用编制规则（2018）》及本地区工程计价的有关规定，按清单计价法进行计价。人工、材料、机械价格以合同基准期对应执行，属</w:t>
      </w:r>
      <w:r>
        <w:rPr>
          <w:rFonts w:hint="eastAsia" w:ascii="宋体" w:hAnsi="宋体" w:eastAsia="宋体" w:cs="宋体"/>
          <w:color w:val="auto"/>
          <w:sz w:val="24"/>
          <w:szCs w:val="24"/>
          <w:highlight w:val="none"/>
          <w:lang w:val="en-US" w:eastAsia="zh-CN"/>
        </w:rPr>
        <w:t>项目所在行政</w:t>
      </w:r>
      <w:r>
        <w:rPr>
          <w:rFonts w:hint="eastAsia" w:ascii="宋体" w:hAnsi="宋体" w:eastAsia="宋体" w:cs="宋体"/>
          <w:color w:val="auto"/>
          <w:sz w:val="24"/>
          <w:szCs w:val="24"/>
          <w:highlight w:val="none"/>
        </w:rPr>
        <w:t>区范围项目优先执行</w:t>
      </w:r>
      <w:r>
        <w:rPr>
          <w:rFonts w:hint="eastAsia" w:ascii="宋体" w:hAnsi="宋体" w:eastAsia="宋体" w:cs="宋体"/>
          <w:color w:val="auto"/>
          <w:sz w:val="24"/>
          <w:szCs w:val="24"/>
          <w:highlight w:val="none"/>
          <w:lang w:val="en-US" w:eastAsia="zh-CN"/>
        </w:rPr>
        <w:t>该</w:t>
      </w:r>
      <w:r>
        <w:rPr>
          <w:rFonts w:hint="eastAsia" w:ascii="宋体" w:hAnsi="宋体" w:eastAsia="宋体" w:cs="宋体"/>
          <w:color w:val="auto"/>
          <w:sz w:val="24"/>
          <w:szCs w:val="24"/>
          <w:highlight w:val="none"/>
        </w:rPr>
        <w:t>区建设行政主管部门发布的建设工程地方材料指导价格，并执行广州市建设工程造价管理站发布的《广州地区建设工程常用材料税前综合价格》；如无再参考缺项部分可参考广州市工程造价行业协会发布《广州地区建设工程材料（设备）厂商价格信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其中土建工程、园建工程、市政工程下浮10%，机电安装工程下浮20%计算，并结合</w:t>
      </w:r>
      <w:r>
        <w:rPr>
          <w:rFonts w:hint="eastAsia" w:ascii="宋体" w:hAnsi="宋体" w:eastAsia="宋体" w:cs="宋体"/>
          <w:color w:val="auto"/>
          <w:sz w:val="24"/>
          <w:szCs w:val="24"/>
          <w:highlight w:val="none"/>
          <w:lang w:val="en-US" w:eastAsia="zh-CN"/>
        </w:rPr>
        <w:t>中标下浮率下浮</w:t>
      </w:r>
      <w:r>
        <w:rPr>
          <w:rFonts w:hint="eastAsia" w:ascii="宋体" w:hAnsi="宋体" w:eastAsia="宋体" w:cs="宋体"/>
          <w:color w:val="auto"/>
          <w:sz w:val="24"/>
          <w:szCs w:val="24"/>
          <w:highlight w:val="none"/>
        </w:rPr>
        <w:t>作为新增综合单价；如遇定额中没有的工程项目,则由甲乙双方协商解决。施工期间涉及材料价格调整的，按专用条款第</w:t>
      </w:r>
      <w:r>
        <w:rPr>
          <w:rFonts w:ascii="宋体" w:hAnsi="宋体" w:eastAsia="宋体" w:cs="宋体"/>
          <w:color w:val="auto"/>
          <w:sz w:val="24"/>
          <w:szCs w:val="24"/>
          <w:highlight w:val="none"/>
        </w:rPr>
        <w:t>33.1</w:t>
      </w:r>
      <w:r>
        <w:rPr>
          <w:rFonts w:hint="eastAsia" w:ascii="宋体" w:hAnsi="宋体" w:eastAsia="宋体" w:cs="宋体"/>
          <w:color w:val="auto"/>
          <w:sz w:val="24"/>
          <w:szCs w:val="24"/>
          <w:highlight w:val="none"/>
        </w:rPr>
        <w:t>款相应执行。</w:t>
      </w:r>
    </w:p>
    <w:p w14:paraId="7A3160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（3）变更项目确定后28天内，承包人未提交增加费用的估算及竣工日期延长，视为该项变更不涉及合同价格增加和竣工日期延长，发包人不再承担此项变更增加的任何费用及竣工日期延长的责任。</w:t>
      </w:r>
    </w:p>
    <w:p w14:paraId="31346138">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33.3现场签证的计价</w:t>
      </w:r>
    </w:p>
    <w:p w14:paraId="4CB5D3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所有现场签证必须由监理单位、发包人相关人员签字盖章确认。当现场签证的造价累计超过合同造价5％以后，所有现场签证必须由总监及发包人现场代表签字盖章确认，并汇总台账及时报送监理及发包人。</w:t>
      </w:r>
    </w:p>
    <w:p w14:paraId="00313072">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33.4设计变更的计价</w:t>
      </w:r>
    </w:p>
    <w:p w14:paraId="47107C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工程出现特别变化，按原计划无法实施或可能造成较大浪费时，由监理单位负责汇集、分析情况，会同设计单位和有关单位进行研究，以书面形式提出设计变更的申请，经发包人审核同意后方可进行设计变更。如发包人同意进行设计变更的，则设计单位必须在发包人同意后提出正式的设计变更申请文件，并由监理单位对此文件提出书面意见后交发包人审定。</w:t>
      </w:r>
    </w:p>
    <w:p w14:paraId="7F5596B7">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33.5所有的工程变更必须以发包人、监理单位的书面意见为实施依据，严格执行发包人制定的工程变更管理办法，否则所增加的工程造价发包人有权不予承认。发包人有增减项目的权力，减少的项目，发包人不予补偿。</w:t>
      </w:r>
    </w:p>
    <w:p w14:paraId="49AF3A77">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33.6不平衡报价的计价</w:t>
      </w:r>
    </w:p>
    <w:p w14:paraId="3DAAB3F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不平衡报价的定义：如投标报价中出现某项工程量清单综合单价大于最高投标限价中对应该项综合单价（明显不合理除外）的，视为不平衡报价。出现不平衡报价时，执行以下原则计价：</w:t>
      </w:r>
    </w:p>
    <w:p w14:paraId="29FD0AB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33.6.1实际单项工程量小于等于招标工程量的，按中标综合单价作为工程计量支付及结算的依据。</w:t>
      </w:r>
    </w:p>
    <w:p w14:paraId="583F8A1A">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33.6.2实际单项工程量大于招标工程量的，计量支付及结算的原则如下：原招标清单内的工程量，按中标综合单价作为工程计量支付及结算的依据；超过招标清单内的工程量，超过部分的工程量按最高投标限价中该项对应的综合单价作为工程计量支付及结算的依据。</w:t>
      </w:r>
    </w:p>
    <w:p w14:paraId="29EB457A">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ascii="宋体" w:hAnsi="宋体" w:eastAsia="宋体" w:cs="宋体"/>
          <w:color w:val="auto"/>
          <w:sz w:val="24"/>
          <w:szCs w:val="24"/>
          <w:highlight w:val="none"/>
        </w:rPr>
        <w:t>3.6.3</w:t>
      </w:r>
      <w:r>
        <w:rPr>
          <w:rFonts w:hint="eastAsia" w:ascii="宋体" w:hAnsi="宋体" w:eastAsia="宋体" w:cs="宋体"/>
          <w:color w:val="auto"/>
          <w:sz w:val="24"/>
          <w:szCs w:val="24"/>
          <w:highlight w:val="none"/>
        </w:rPr>
        <w:t>如最高投标限价中某项综合单价与“按合同基准期计算的标准基价（依据《建设工程工程量清单计价规范》（GB50500-2013）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《光伏发电工程概算定额》（NB/T 32035-2016）及《广东省建设工程计价依据（2018）》计价）”偏差±20%时，视为该项综合单价明显不合理。如最高投标限价中某项综合单价明显不合理的，则该项综合单价以“按合同基准期计算的标准基价”的 95%作为不平衡报价计价依据。</w:t>
      </w:r>
    </w:p>
    <w:p w14:paraId="1F5C5476">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33.7综合合价包干的措施项目费调整</w:t>
      </w:r>
    </w:p>
    <w:p w14:paraId="3B96DAA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因以下原因之一造成了综合合价包干的措施项目费调整的，经发包人同意可调整措施项目费：</w:t>
      </w:r>
    </w:p>
    <w:p w14:paraId="7E988FF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①因规划、建设等行政主管部门原因，造成重大设计方案调整的；</w:t>
      </w:r>
    </w:p>
    <w:p w14:paraId="6317110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②因非承包人原因造成施工工艺工法发生重大改变的；</w:t>
      </w:r>
    </w:p>
    <w:p w14:paraId="3677955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③因特殊原因，发包人要求部分单位工程或工程部位须甩项竣工的。</w:t>
      </w:r>
    </w:p>
    <w:p w14:paraId="37CBA44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因上所述原因需调整措施项目费的按以下方式计取调整费用：</w:t>
      </w:r>
    </w:p>
    <w:p w14:paraId="023F33CB">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①可计算工程量的措施项目，按调整的工程量乘以相应的单价或合价调整计算；</w:t>
      </w:r>
    </w:p>
    <w:p w14:paraId="05571858">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②不可计算工程量的措施项目，按调整措施项目的变化比例进行计算。</w:t>
      </w:r>
    </w:p>
    <w:p w14:paraId="21DEB5F8">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bookmarkStart w:id="647" w:name="_Toc437441284"/>
      <w:bookmarkStart w:id="648" w:name="_Toc450206833"/>
      <w:bookmarkStart w:id="649" w:name="_Toc472695218"/>
      <w:bookmarkStart w:id="650" w:name="_Toc445392657"/>
      <w:r>
        <w:rPr>
          <w:rFonts w:ascii="宋体" w:hAnsi="宋体" w:eastAsia="宋体" w:cs="宋体"/>
          <w:snapToGrid w:val="0"/>
          <w:color w:val="auto"/>
          <w:kern w:val="0"/>
          <w:sz w:val="24"/>
          <w:highlight w:val="none"/>
        </w:rPr>
        <w:t>33.8</w:t>
      </w:r>
      <w:r>
        <w:rPr>
          <w:rFonts w:hint="eastAsia" w:ascii="宋体" w:hAnsi="宋体" w:eastAsia="宋体" w:cs="宋体"/>
          <w:snapToGrid w:val="0"/>
          <w:color w:val="auto"/>
          <w:kern w:val="0"/>
          <w:sz w:val="24"/>
          <w:highlight w:val="none"/>
        </w:rPr>
        <w:t xml:space="preserve"> 工程变更价款的支付</w:t>
      </w:r>
      <w:bookmarkEnd w:id="647"/>
      <w:bookmarkEnd w:id="648"/>
      <w:bookmarkEnd w:id="649"/>
      <w:bookmarkEnd w:id="650"/>
    </w:p>
    <w:p w14:paraId="2986EA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（1）当工程变更及合同约定的人材机价差调整和工程量的偏差等因素，导致的工程造价增减， 经监理、造价咨询单位和发包人初步审核，累计增加金额不超过合同暂列金额，双方视情况可签订补充协议调整合同价款，补充协议增加的工程价款按已完工程的50%支付。工程变更经发包人报上级主管部门备案或经上级主管部门审批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，按核定工程变更增加的工程价款已完工程的70%支付。</w:t>
      </w:r>
    </w:p>
    <w:p w14:paraId="1D1500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（2）上述因素引起的价格调整仅作为工程款支付核算使用，实际结算时按合同约定结算原则计算。</w:t>
      </w:r>
    </w:p>
    <w:p w14:paraId="12061DD8">
      <w:pPr>
        <w:pStyle w:val="10"/>
        <w:jc w:val="left"/>
        <w:rPr>
          <w:rFonts w:hint="eastAsia" w:ascii="宋体" w:hAnsi="宋体"/>
          <w:snapToGrid w:val="0"/>
          <w:color w:val="auto"/>
          <w:kern w:val="0"/>
          <w:highlight w:val="none"/>
        </w:rPr>
      </w:pPr>
      <w:bookmarkStart w:id="651" w:name="_Toc518481740"/>
      <w:bookmarkStart w:id="652" w:name="_Toc519503088"/>
      <w:bookmarkStart w:id="653" w:name="_Toc514665151"/>
      <w:bookmarkStart w:id="654" w:name="_Toc514663867"/>
      <w:bookmarkStart w:id="655" w:name="_Toc520901468"/>
      <w:bookmarkStart w:id="656" w:name="_Toc519502258"/>
      <w:bookmarkStart w:id="657" w:name="_Toc520358238"/>
      <w:bookmarkStart w:id="658" w:name="_Toc514665290"/>
      <w:bookmarkStart w:id="659" w:name="_Toc517774568"/>
      <w:bookmarkStart w:id="660" w:name="_Toc514666981"/>
      <w:bookmarkStart w:id="661" w:name="_Toc520358062"/>
      <w:bookmarkStart w:id="662" w:name="_Toc35083103"/>
      <w:bookmarkStart w:id="663" w:name="_Toc514681771"/>
      <w:bookmarkStart w:id="664" w:name="_Toc520902613"/>
      <w:bookmarkStart w:id="665" w:name="_Toc520902764"/>
      <w:bookmarkStart w:id="666" w:name="_Toc520902835"/>
      <w:bookmarkStart w:id="667" w:name="_Toc514681190"/>
      <w:bookmarkStart w:id="668" w:name="_Toc514664868"/>
      <w:bookmarkStart w:id="669" w:name="_Toc516495984"/>
      <w:bookmarkStart w:id="670" w:name="_Toc517954581"/>
      <w:r>
        <w:rPr>
          <w:rFonts w:hint="eastAsia" w:ascii="宋体" w:hAnsi="宋体"/>
          <w:snapToGrid w:val="0"/>
          <w:color w:val="auto"/>
          <w:kern w:val="0"/>
          <w:highlight w:val="none"/>
        </w:rPr>
        <w:t>九、竣工验收与结算</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05616B95">
      <w:pPr>
        <w:adjustRightInd w:val="0"/>
        <w:snapToGrid w:val="0"/>
        <w:spacing w:line="360" w:lineRule="auto"/>
        <w:ind w:firstLine="48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承包人与发包人一致同意不适用合同通用条款第34条的约定，代之以：</w:t>
      </w:r>
    </w:p>
    <w:p w14:paraId="43BBC779">
      <w:pPr>
        <w:adjustRightInd w:val="0"/>
        <w:snapToGrid w:val="0"/>
        <w:spacing w:line="360" w:lineRule="auto"/>
        <w:ind w:right="11" w:firstLine="463" w:firstLineChars="192"/>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34、竣工验收</w:t>
      </w:r>
    </w:p>
    <w:p w14:paraId="10BD4133">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34.1工程具备竣工验收条件，承包人按国家工程竣工验收有关规定，向发包人提供完整竣工资料（包含竣工图）及竣工验收报告。</w:t>
      </w:r>
    </w:p>
    <w:p w14:paraId="61B78089">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34.2发包人收到竣工验收报告并审核竣工文件后，如认为承包人竣工文件不能符合竣工要求，应书面通知承包人整改，承包人按要求整改后重新提出竣工验收报告。发包人收到竣工验收报告并审核竣工文件通过后28天内组织有关单位进行验收。</w:t>
      </w:r>
    </w:p>
    <w:p w14:paraId="51B088A6">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34.3发包人应在验收后14天内给予认可或提出修改意见。承包人按要求修改，并承担由自身原因造成修改的费用。</w:t>
      </w:r>
    </w:p>
    <w:p w14:paraId="3B2EDFD2">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34.4发包人收到承包人送交的竣工验收报告并审核竣工文件通过后28天内无故不组织验收，或验收后14天内不提出修改意见，视为竣工验收报告已被认可。</w:t>
      </w:r>
    </w:p>
    <w:p w14:paraId="626EEC7A">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34.5工程竣工验收通过，承包人送交竣工验收报告的日期为实际竣工日期。工程按发包人要求修改后通过竣工验收的，实际竣工日期为承包人修改后提请发包人验收的日期。</w:t>
      </w:r>
    </w:p>
    <w:p w14:paraId="794F479B">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34.6中间交工工程的验收按合同专用条款第17条的约定办理。</w:t>
      </w:r>
    </w:p>
    <w:p w14:paraId="07A26CF2">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34.7因特殊原因，发包人要求部分单位工程或工程部位甩项竣工的，双方另行签订甩项竣工协议，明确双方责任和工程价款的支付方法。</w:t>
      </w:r>
    </w:p>
    <w:p w14:paraId="36C40DA0">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34.8经验收评定，工程质量及工程内容符合合同要求的，发包人、承包人、监理单位及设计单位均应在工程竣工验收证明书上盖章签字；工程质量不合格或工程内容有尚未完成者，由承包人在商定的期限内进行修补后，再进行竣工验收，直至达到完全符合合同要求为止，并按最后验收合格的日期作为竣工日期，由此产生的一切费用均由承包人负责。</w:t>
      </w:r>
    </w:p>
    <w:p w14:paraId="3477D25A">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34.9工程未经竣工验收或竣工验收未通过的，发包人不得使用。发包人强行使用时，由此发生的质量问题及其他问题，由发包人承担责任。</w:t>
      </w:r>
    </w:p>
    <w:p w14:paraId="06AB58AE">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34.10承包人应按如下程序进行竣工资料准备：</w:t>
      </w:r>
    </w:p>
    <w:p w14:paraId="5E4B5389">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（1）承包人有责任根据竣工验收要求对分包单位所绘制的竣工图进行符合性审查。</w:t>
      </w:r>
    </w:p>
    <w:p w14:paraId="2BD032FC">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承包人有义务对专业管理、分包单位的工程资料按照国家《城市建设档案管理规定》《广州市建筑工程档案编制指南（试行）》（广州市城市建设档案馆二Ｏ一三年八月发布）和发包人的具体要求进行收集、整理、编制、汇总和管理。</w:t>
      </w:r>
    </w:p>
    <w:p w14:paraId="40E82D72">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34.11验收依据和标准：施工图纸，图纸说明，设计变更资料和图纸，技术交底及会议纪要，国家颁布的施工验收规范、规定，以及本工程专家委员会根据国家有关标准、规范制订的针对本工程特殊子项的施工规范及验收标准。</w:t>
      </w:r>
    </w:p>
    <w:p w14:paraId="46D2600A">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34.12专业分包工程需单独验收的，经承包人预验合格后，属专业分包项目的再报监理单位进行监理预验；不属专业分包项目的由</w:t>
      </w:r>
      <w:r>
        <w:rPr>
          <w:rFonts w:hint="eastAsia" w:ascii="宋体" w:hAnsi="宋体" w:eastAsia="宋体" w:cs="宋体"/>
          <w:snapToGrid w:val="0"/>
          <w:color w:val="auto"/>
          <w:kern w:val="0"/>
          <w:sz w:val="24"/>
          <w:highlight w:val="none"/>
          <w:lang w:val="en-US" w:eastAsia="zh-CN"/>
        </w:rPr>
        <w:t>主体部分</w:t>
      </w:r>
      <w:r>
        <w:rPr>
          <w:rFonts w:hint="eastAsia" w:ascii="宋体" w:hAnsi="宋体" w:eastAsia="宋体" w:cs="宋体"/>
          <w:snapToGrid w:val="0"/>
          <w:color w:val="auto"/>
          <w:kern w:val="0"/>
          <w:sz w:val="24"/>
          <w:highlight w:val="none"/>
        </w:rPr>
        <w:t>施工监理单位进行监理预验，合格后由该分包单位与专业工程验收管理部门、监理单位、发包人协商确定验收时间，并及时通知承包人参与验收。</w:t>
      </w:r>
    </w:p>
    <w:p w14:paraId="36BBFD92">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34.13专业分包工程不需要办理单独验收的，经承包人预验合格后，属专业分包项目的再报监理单位进行监理预验；不属专业分包项目的由</w:t>
      </w:r>
      <w:r>
        <w:rPr>
          <w:rFonts w:hint="eastAsia" w:ascii="宋体" w:hAnsi="宋体" w:eastAsia="宋体" w:cs="宋体"/>
          <w:snapToGrid w:val="0"/>
          <w:color w:val="auto"/>
          <w:kern w:val="0"/>
          <w:sz w:val="24"/>
          <w:highlight w:val="none"/>
          <w:lang w:val="en-US" w:eastAsia="zh-CN"/>
        </w:rPr>
        <w:t>主体部分</w:t>
      </w:r>
      <w:r>
        <w:rPr>
          <w:rFonts w:hint="eastAsia" w:ascii="宋体" w:hAnsi="宋体" w:eastAsia="宋体" w:cs="宋体"/>
          <w:snapToGrid w:val="0"/>
          <w:color w:val="auto"/>
          <w:kern w:val="0"/>
          <w:sz w:val="24"/>
          <w:highlight w:val="none"/>
        </w:rPr>
        <w:t>施工监理单位进行监理预验，合格后由分包单位、承包人、施工监理单位、发包人协商验收。</w:t>
      </w:r>
    </w:p>
    <w:p w14:paraId="29F2F07B">
      <w:pPr>
        <w:adjustRightInd w:val="0"/>
        <w:snapToGrid w:val="0"/>
        <w:spacing w:line="360" w:lineRule="auto"/>
        <w:ind w:firstLine="480"/>
        <w:rPr>
          <w:rFonts w:hint="eastAsia" w:ascii="宋体" w:hAnsi="宋体" w:eastAsia="宋体" w:cs="宋体"/>
          <w:snapToGrid w:val="0"/>
          <w:color w:val="auto"/>
          <w:kern w:val="0"/>
          <w:sz w:val="24"/>
          <w:highlight w:val="none"/>
        </w:rPr>
      </w:pPr>
      <w:bookmarkStart w:id="671" w:name="_Toc8092"/>
      <w:r>
        <w:rPr>
          <w:rFonts w:hint="eastAsia" w:ascii="宋体" w:hAnsi="宋体" w:eastAsia="宋体" w:cs="宋体"/>
          <w:snapToGrid w:val="0"/>
          <w:color w:val="auto"/>
          <w:kern w:val="0"/>
          <w:sz w:val="24"/>
          <w:highlight w:val="none"/>
        </w:rPr>
        <w:t>34.14承包人必须全力配合发包人组织的专项验收工作。</w:t>
      </w:r>
      <w:bookmarkEnd w:id="671"/>
    </w:p>
    <w:p w14:paraId="0D4DEBD3">
      <w:pPr>
        <w:adjustRightInd w:val="0"/>
        <w:snapToGrid w:val="0"/>
        <w:spacing w:line="360" w:lineRule="auto"/>
        <w:ind w:right="11" w:firstLine="463" w:firstLineChars="192"/>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35、工程移交</w:t>
      </w:r>
    </w:p>
    <w:p w14:paraId="6A34A13A">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35.1承包人应在工程全部项目验收合格后，移交前将场地清理干净，将无关机械设备及材料撤离现场，保证移交的工程项目环境洁净、安全卫生。</w:t>
      </w:r>
    </w:p>
    <w:p w14:paraId="098E8AE6">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35.2承包人应于工程竣工验收合格之日起15天内按要求提供相关资料，整理汇编成工程移交手册，协助项目产权管理单位</w:t>
      </w:r>
      <w:r>
        <w:rPr>
          <w:rFonts w:hint="eastAsia" w:ascii="宋体" w:hAnsi="宋体" w:eastAsia="宋体" w:cs="宋体"/>
          <w:snapToGrid w:val="0"/>
          <w:color w:val="auto"/>
          <w:kern w:val="0"/>
          <w:sz w:val="24"/>
          <w:highlight w:val="none"/>
          <w:lang w:val="en-US" w:eastAsia="zh-CN"/>
        </w:rPr>
        <w:t>或使用单位</w:t>
      </w:r>
      <w:r>
        <w:rPr>
          <w:rFonts w:hint="eastAsia" w:ascii="宋体" w:hAnsi="宋体" w:eastAsia="宋体" w:cs="宋体"/>
          <w:snapToGrid w:val="0"/>
          <w:color w:val="auto"/>
          <w:kern w:val="0"/>
          <w:sz w:val="24"/>
          <w:highlight w:val="none"/>
        </w:rPr>
        <w:t>尽快熟悉工程项目各部分（建筑单体、周边管线等）、各系统（电梯、消防、空调、供水、供电、弱电等）的情况，为项目产权管理单位</w:t>
      </w:r>
      <w:r>
        <w:rPr>
          <w:rFonts w:hint="eastAsia" w:ascii="宋体" w:hAnsi="宋体" w:eastAsia="宋体" w:cs="宋体"/>
          <w:snapToGrid w:val="0"/>
          <w:color w:val="auto"/>
          <w:kern w:val="0"/>
          <w:sz w:val="24"/>
          <w:highlight w:val="none"/>
          <w:lang w:val="en-US" w:eastAsia="zh-CN"/>
        </w:rPr>
        <w:t>或使用单位</w:t>
      </w:r>
      <w:r>
        <w:rPr>
          <w:rFonts w:hint="eastAsia" w:ascii="宋体" w:hAnsi="宋体" w:eastAsia="宋体" w:cs="宋体"/>
          <w:snapToGrid w:val="0"/>
          <w:color w:val="auto"/>
          <w:kern w:val="0"/>
          <w:sz w:val="24"/>
          <w:highlight w:val="none"/>
        </w:rPr>
        <w:t>的接收、使用、维护、管理作准备。移交手册包括但不限于以下内容：</w:t>
      </w:r>
    </w:p>
    <w:p w14:paraId="2F1B733F">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（1）工程项目各部分、各系统的工程概况；</w:t>
      </w:r>
    </w:p>
    <w:p w14:paraId="3CC631B5">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（2）工程项目全部的图纸及清单；</w:t>
      </w:r>
    </w:p>
    <w:p w14:paraId="114B30CF">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（3）工程项目的承包人、主要材料设备供货商清单、联系人及电话；</w:t>
      </w:r>
    </w:p>
    <w:p w14:paraId="75B526BA">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（4）主要材料设备的数量；</w:t>
      </w:r>
    </w:p>
    <w:p w14:paraId="2BD12D5E">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（5）工程、材料、设备的保修书（包括保修内容、期限、联系人、电话等）；</w:t>
      </w:r>
    </w:p>
    <w:p w14:paraId="02B77FA5">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（6）各系统的设计功能、使用功能或使用说明；</w:t>
      </w:r>
    </w:p>
    <w:p w14:paraId="2A2A3FA7">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（7）电梯、空调、发电机等主要设备的运行参数。</w:t>
      </w:r>
    </w:p>
    <w:p w14:paraId="6F7C3F4B">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35.3承包人应在进行本条第35.2款工作的同时编写工程项目移交计划，并于本条第35.2款工作完成之日起3天内组织发包人、承包人、项目产权管理单位</w:t>
      </w:r>
      <w:r>
        <w:rPr>
          <w:rFonts w:hint="eastAsia" w:ascii="宋体" w:hAnsi="宋体" w:eastAsia="宋体" w:cs="宋体"/>
          <w:snapToGrid w:val="0"/>
          <w:color w:val="auto"/>
          <w:kern w:val="0"/>
          <w:sz w:val="24"/>
          <w:highlight w:val="none"/>
          <w:lang w:val="en-US" w:eastAsia="zh-CN"/>
        </w:rPr>
        <w:t>或使用单位</w:t>
      </w:r>
      <w:r>
        <w:rPr>
          <w:rFonts w:hint="eastAsia" w:ascii="宋体" w:hAnsi="宋体" w:eastAsia="宋体" w:cs="宋体"/>
          <w:snapToGrid w:val="0"/>
          <w:color w:val="auto"/>
          <w:kern w:val="0"/>
          <w:sz w:val="24"/>
          <w:highlight w:val="none"/>
        </w:rPr>
        <w:t>按如下程序进行工程项目移交：</w:t>
      </w:r>
    </w:p>
    <w:p w14:paraId="1A6602FB">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（1）按移交手册的资料清单移交图纸、资料；</w:t>
      </w:r>
    </w:p>
    <w:p w14:paraId="2F0F1810">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（2）按移交手册的数量清单清点主要材料设备的数量；</w:t>
      </w:r>
    </w:p>
    <w:p w14:paraId="421E3361">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（3）按移交手册的设计、使用功能说明进行必要的功能性试验（或组织各方参加政府指定机构、第三方检测机构进行的功能性试验）；</w:t>
      </w:r>
    </w:p>
    <w:p w14:paraId="6C5EAE64">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（4）按移交手册的说明进行系统的试运行（或组织各方参加政府指定机构、第三方检测机构进行的功能性试验），测试主要设备的运行参数；</w:t>
      </w:r>
    </w:p>
    <w:p w14:paraId="7893C675">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（5）组织发包人、承包人、项目产权管理单位</w:t>
      </w:r>
      <w:r>
        <w:rPr>
          <w:rFonts w:hint="eastAsia" w:ascii="宋体" w:hAnsi="宋体" w:eastAsia="宋体" w:cs="宋体"/>
          <w:snapToGrid w:val="0"/>
          <w:color w:val="auto"/>
          <w:kern w:val="0"/>
          <w:sz w:val="24"/>
          <w:highlight w:val="none"/>
          <w:lang w:val="en-US" w:eastAsia="zh-CN"/>
        </w:rPr>
        <w:t>或使用单位</w:t>
      </w:r>
      <w:r>
        <w:rPr>
          <w:rFonts w:hint="eastAsia" w:ascii="宋体" w:hAnsi="宋体" w:eastAsia="宋体" w:cs="宋体"/>
          <w:snapToGrid w:val="0"/>
          <w:color w:val="auto"/>
          <w:kern w:val="0"/>
          <w:sz w:val="24"/>
          <w:highlight w:val="none"/>
        </w:rPr>
        <w:t>各方对上述移交过程进行签认；</w:t>
      </w:r>
    </w:p>
    <w:p w14:paraId="34E45060">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（6）对移交过程中发现的质量问题进行记录并及时组织责任方进行维修，验收合格后重新组织移交；</w:t>
      </w:r>
    </w:p>
    <w:p w14:paraId="71DF16F2">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（7）对于某些在操作上有专门要求的机电系统（如消防、智能化等）编制培训计划，并按合同要求对项目产权管理单位</w:t>
      </w:r>
      <w:r>
        <w:rPr>
          <w:rFonts w:hint="eastAsia" w:ascii="宋体" w:hAnsi="宋体" w:eastAsia="宋体" w:cs="宋体"/>
          <w:snapToGrid w:val="0"/>
          <w:color w:val="auto"/>
          <w:kern w:val="0"/>
          <w:sz w:val="24"/>
          <w:highlight w:val="none"/>
          <w:lang w:val="en-US" w:eastAsia="zh-CN"/>
        </w:rPr>
        <w:t>或使用单位</w:t>
      </w:r>
      <w:r>
        <w:rPr>
          <w:rFonts w:hint="eastAsia" w:ascii="宋体" w:hAnsi="宋体" w:eastAsia="宋体" w:cs="宋体"/>
          <w:snapToGrid w:val="0"/>
          <w:color w:val="auto"/>
          <w:kern w:val="0"/>
          <w:sz w:val="24"/>
          <w:highlight w:val="none"/>
        </w:rPr>
        <w:t>人员进行培训。</w:t>
      </w:r>
    </w:p>
    <w:p w14:paraId="0DFF03FD">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35.4承包人应按照国家《城市建设档案管理规定》《广州市城市建设档案管理办法》（穗府规〔2020〕8号）和发包人有关整理工程档案的要求，在工程施工期间及时收集、汇总、整理、编制竣工档案，包括但不限于：</w:t>
      </w:r>
    </w:p>
    <w:p w14:paraId="78CF3CEB">
      <w:pPr>
        <w:adjustRightInd w:val="0"/>
        <w:snapToGrid w:val="0"/>
        <w:spacing w:line="360" w:lineRule="auto"/>
        <w:ind w:left="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（1）竣工文件资料、竣工图档案（原件）各一式四份；</w:t>
      </w:r>
    </w:p>
    <w:p w14:paraId="42F8B240">
      <w:pPr>
        <w:adjustRightInd w:val="0"/>
        <w:snapToGrid w:val="0"/>
        <w:spacing w:line="360" w:lineRule="auto"/>
        <w:ind w:left="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（2）与本款（1）项内容相同的电子版档案一式二份；</w:t>
      </w:r>
    </w:p>
    <w:p w14:paraId="6479F725">
      <w:pPr>
        <w:adjustRightInd w:val="0"/>
        <w:snapToGrid w:val="0"/>
        <w:spacing w:line="360" w:lineRule="auto"/>
        <w:ind w:left="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（3）声像档案一式二份。</w:t>
      </w:r>
    </w:p>
    <w:p w14:paraId="5301679C">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35.5承包人移交竣工档案的时限：承包人应于工程竣工验收之日起15天内将竣工档案提交工程监理单位审查。经工程监理单位审查合格后，承包人应及时将竣工档案移交给发包人归档并同时移交有关归档的证明文件。发包人经审查合格的，应在收到竣工档案之日起10天内签署档案验收意见；不合格的，要求承包人限期补正，直至合格为止。</w:t>
      </w:r>
    </w:p>
    <w:p w14:paraId="3F820B4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35.6电子版竣工图的编制，以发包人提供的电子版施工图为基础。承包人在移交竣工档案时，应一并移交发包人提供的电子版施工图。</w:t>
      </w:r>
    </w:p>
    <w:p w14:paraId="076BD379">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35.7电子版施工图和电子版竣工图的知识产权归属发包人所有，非经发包人书面许可，承包人不得以任何方式复制、备份、转让和利用，否则由此引起的任何纠纷和责任由承包人承担。造成发包人损失的，承包人应当赔偿。</w:t>
      </w:r>
    </w:p>
    <w:p w14:paraId="71A92A47">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35.8承包人应督促其工程分包单位及时做好竣工资料整理工作，于分包工程竣工验收后25天内将全部档案资料移交给承包人，由承包人汇总、归档，并在承包人移交竣工档案时一并移交。</w:t>
      </w:r>
    </w:p>
    <w:p w14:paraId="5E9D01E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35.9承包人按时、完整移交竣工档案的，如承包人不按时移交竣工档案，或者移交的竣工档案不完整且在发包人规定的期限内不补充完整的，发包人有权扣取部分或者全部保证金，同时，并不免除承包人完整移交竣工档案的义务。</w:t>
      </w:r>
    </w:p>
    <w:p w14:paraId="7ACEC348">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35.10因承包人的原因致使发包人未能按照国家规定向政府有关部门移交工程竣工档案而受到经济处罚的，由承包人承担全额赔偿责任。</w:t>
      </w:r>
    </w:p>
    <w:p w14:paraId="7B66F08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35.11由承包人先移交给发包人、然后再由发包人移交给项目产权管理单位</w:t>
      </w:r>
      <w:r>
        <w:rPr>
          <w:rFonts w:hint="eastAsia" w:ascii="宋体" w:hAnsi="宋体" w:eastAsia="宋体" w:cs="宋体"/>
          <w:snapToGrid w:val="0"/>
          <w:color w:val="auto"/>
          <w:kern w:val="0"/>
          <w:sz w:val="24"/>
          <w:highlight w:val="none"/>
          <w:lang w:val="en-US" w:eastAsia="zh-CN"/>
        </w:rPr>
        <w:t>或使用单位</w:t>
      </w:r>
      <w:r>
        <w:rPr>
          <w:rFonts w:hint="eastAsia" w:ascii="宋体" w:hAnsi="宋体" w:eastAsia="宋体" w:cs="宋体"/>
          <w:snapToGrid w:val="0"/>
          <w:color w:val="auto"/>
          <w:kern w:val="0"/>
          <w:sz w:val="24"/>
          <w:highlight w:val="none"/>
        </w:rPr>
        <w:t>的工程项目，承包人仍应按发包人的要求及上述约定予以协助。</w:t>
      </w:r>
    </w:p>
    <w:p w14:paraId="753B4F3E">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35.12工程项目移交给项目产权管理单位</w:t>
      </w:r>
      <w:r>
        <w:rPr>
          <w:rFonts w:hint="eastAsia" w:ascii="宋体" w:hAnsi="宋体" w:eastAsia="宋体" w:cs="宋体"/>
          <w:snapToGrid w:val="0"/>
          <w:color w:val="auto"/>
          <w:kern w:val="0"/>
          <w:sz w:val="24"/>
          <w:highlight w:val="none"/>
          <w:lang w:val="en-US" w:eastAsia="zh-CN"/>
        </w:rPr>
        <w:t>或使用单位</w:t>
      </w:r>
      <w:r>
        <w:rPr>
          <w:rFonts w:hint="eastAsia" w:ascii="宋体" w:hAnsi="宋体" w:eastAsia="宋体" w:cs="宋体"/>
          <w:snapToGrid w:val="0"/>
          <w:color w:val="auto"/>
          <w:kern w:val="0"/>
          <w:sz w:val="24"/>
          <w:highlight w:val="none"/>
        </w:rPr>
        <w:t>后，由项目产权管理单位</w:t>
      </w:r>
      <w:r>
        <w:rPr>
          <w:rFonts w:hint="eastAsia" w:ascii="宋体" w:hAnsi="宋体" w:eastAsia="宋体" w:cs="宋体"/>
          <w:snapToGrid w:val="0"/>
          <w:color w:val="auto"/>
          <w:kern w:val="0"/>
          <w:sz w:val="24"/>
          <w:highlight w:val="none"/>
          <w:lang w:val="en-US" w:eastAsia="zh-CN"/>
        </w:rPr>
        <w:t>或使用单位</w:t>
      </w:r>
      <w:r>
        <w:rPr>
          <w:rFonts w:hint="eastAsia" w:ascii="宋体" w:hAnsi="宋体" w:eastAsia="宋体" w:cs="宋体"/>
          <w:snapToGrid w:val="0"/>
          <w:color w:val="auto"/>
          <w:kern w:val="0"/>
          <w:sz w:val="24"/>
          <w:highlight w:val="none"/>
        </w:rPr>
        <w:t>替代发包人在本合同中的地位，承继发包人的权利和义务。</w:t>
      </w:r>
    </w:p>
    <w:p w14:paraId="34620148">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35.13承包人参与移交或协助移交的所有费用均已包含在合同价款之内。</w:t>
      </w:r>
    </w:p>
    <w:p w14:paraId="75B74649">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35.14承包人应做好项目建设的档案管理工作，包括但不限于以下工作：</w:t>
      </w:r>
    </w:p>
    <w:p w14:paraId="370DEC24">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制定此项目的档案工作计划，建立健全项目档案工作各项规章制度；明确分管档案工作的负责人，建立于项目相适应的档案管理机构，配备档案管理人员，制定档案管理制度，安全、集中统一管理本工程的档案工作。</w:t>
      </w:r>
    </w:p>
    <w:p w14:paraId="4E5C78CB">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（2）收集、整理本单位在合同期内形成的项目文件材料归档整理；除按规定向有关单位移交项目档案外，工程竣工时应移交建设单位2套施工全过程产生的完整项目档案。</w:t>
      </w:r>
    </w:p>
    <w:p w14:paraId="5EA9A30C">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）档案管理的整理工作应符合《国家重大建设项目文件归档要求与档案整理规范》（DA/T28-2002），具体按《建设工程档案编制技术规范》（DBJ440100/T153-2012）的要求整理。</w:t>
      </w:r>
    </w:p>
    <w:p w14:paraId="58E5AE59">
      <w:pPr>
        <w:adjustRightInd w:val="0"/>
        <w:snapToGrid w:val="0"/>
        <w:spacing w:line="360" w:lineRule="auto"/>
        <w:ind w:firstLine="480"/>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承包人与发包人一致同意不适用合同通用条款第36条的约定，代之以：</w:t>
      </w:r>
    </w:p>
    <w:p w14:paraId="088F3B1F">
      <w:pPr>
        <w:adjustRightInd w:val="0"/>
        <w:snapToGrid w:val="0"/>
        <w:spacing w:line="360" w:lineRule="auto"/>
        <w:ind w:right="11" w:firstLine="463" w:firstLineChars="192"/>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36、竣工结算</w:t>
      </w:r>
    </w:p>
    <w:p w14:paraId="7404A923">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36.1结算方式：按招标文件及本合同有关规定办理，工程全部验收合格并收到竣工备案证书</w:t>
      </w:r>
      <w:r>
        <w:rPr>
          <w:rFonts w:hint="eastAsia" w:ascii="宋体" w:hAnsi="宋体" w:eastAsia="宋体" w:cs="宋体"/>
          <w:color w:val="auto"/>
          <w:sz w:val="24"/>
          <w:szCs w:val="24"/>
          <w:highlight w:val="none"/>
        </w:rPr>
        <w:t>后方可办理工程结算</w:t>
      </w:r>
      <w:r>
        <w:rPr>
          <w:rFonts w:hint="eastAsia" w:ascii="宋体" w:hAnsi="宋体" w:eastAsia="宋体" w:cs="宋体"/>
          <w:snapToGrid w:val="0"/>
          <w:color w:val="auto"/>
          <w:kern w:val="0"/>
          <w:sz w:val="24"/>
          <w:highlight w:val="none"/>
        </w:rPr>
        <w:t>，承包人按</w:t>
      </w:r>
      <w:r>
        <w:rPr>
          <w:rFonts w:hint="eastAsia" w:ascii="宋体" w:hAnsi="宋体" w:eastAsia="宋体" w:cs="宋体"/>
          <w:snapToGrid w:val="0"/>
          <w:color w:val="auto"/>
          <w:kern w:val="0"/>
          <w:sz w:val="24"/>
          <w:highlight w:val="none"/>
          <w:lang w:val="en-US" w:eastAsia="zh-CN"/>
        </w:rPr>
        <w:t>发包人</w:t>
      </w:r>
      <w:r>
        <w:rPr>
          <w:rFonts w:hint="eastAsia" w:ascii="宋体" w:hAnsi="宋体" w:eastAsia="宋体" w:cs="宋体"/>
          <w:snapToGrid w:val="0"/>
          <w:color w:val="auto"/>
          <w:kern w:val="0"/>
          <w:sz w:val="24"/>
          <w:highlight w:val="none"/>
        </w:rPr>
        <w:t>结算部门的具体要求编制结算书，并提交分段结算及竣工结算资料。</w:t>
      </w:r>
    </w:p>
    <w:p w14:paraId="4DC354A9">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36.2承包人提交结算报告的时间</w:t>
      </w:r>
    </w:p>
    <w:p w14:paraId="62DA2F7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bCs/>
          <w:snapToGrid w:val="0"/>
          <w:color w:val="auto"/>
          <w:kern w:val="0"/>
          <w:sz w:val="24"/>
          <w:highlight w:val="none"/>
        </w:rPr>
        <w:t>□</w:t>
      </w:r>
      <w:r>
        <w:rPr>
          <w:rFonts w:hint="eastAsia" w:ascii="宋体" w:hAnsi="宋体" w:eastAsia="宋体" w:cs="宋体"/>
          <w:snapToGrid w:val="0"/>
          <w:color w:val="auto"/>
          <w:kern w:val="0"/>
          <w:sz w:val="24"/>
          <w:highlight w:val="none"/>
        </w:rPr>
        <w:t>（1）承包人提交分段结算报告的时间：按承包人提交给发包人并经发包人审定的分段结算工作计划执行。</w:t>
      </w:r>
    </w:p>
    <w:p w14:paraId="02F954E2">
      <w:pPr>
        <w:adjustRightInd w:val="0"/>
        <w:snapToGrid w:val="0"/>
        <w:spacing w:line="360" w:lineRule="auto"/>
        <w:ind w:right="11" w:firstLine="463" w:firstLineChars="192"/>
        <w:rPr>
          <w:rFonts w:hint="eastAsia" w:ascii="宋体" w:hAnsi="宋体" w:eastAsia="宋体" w:cs="宋体"/>
          <w:snapToGrid w:val="0"/>
          <w:color w:val="auto"/>
          <w:kern w:val="0"/>
          <w:sz w:val="24"/>
          <w:highlight w:val="none"/>
        </w:rPr>
      </w:pPr>
      <w:r>
        <w:rPr>
          <w:rFonts w:ascii="Segoe UI Emoji" w:hAnsi="Segoe UI Emoji" w:eastAsia="宋体" w:cs="Segoe UI Emoji"/>
          <w:b/>
          <w:bCs/>
          <w:snapToGrid w:val="0"/>
          <w:color w:val="auto"/>
          <w:kern w:val="0"/>
          <w:sz w:val="24"/>
          <w:szCs w:val="24"/>
          <w:highlight w:val="none"/>
        </w:rPr>
        <w:t>☑</w:t>
      </w:r>
      <w:r>
        <w:rPr>
          <w:rFonts w:hint="eastAsia" w:ascii="宋体" w:hAnsi="宋体" w:eastAsia="宋体" w:cs="宋体"/>
          <w:snapToGrid w:val="0"/>
          <w:color w:val="auto"/>
          <w:kern w:val="0"/>
          <w:sz w:val="24"/>
          <w:highlight w:val="none"/>
        </w:rPr>
        <w:t>（2）承包人提交竣工结算报告的时间：竣工验收合格之日起90天内。</w:t>
      </w:r>
    </w:p>
    <w:p w14:paraId="23417669">
      <w:pPr>
        <w:adjustRightInd w:val="0"/>
        <w:snapToGrid w:val="0"/>
        <w:spacing w:line="360" w:lineRule="auto"/>
        <w:ind w:right="11" w:firstLine="460" w:firstLineChars="192"/>
        <w:rPr>
          <w:rFonts w:hint="eastAsia" w:ascii="宋体" w:hAnsi="宋体" w:eastAsia="宋体" w:cs="宋体"/>
          <w:b/>
          <w:snapToGrid w:val="0"/>
          <w:color w:val="auto"/>
          <w:kern w:val="0"/>
          <w:sz w:val="24"/>
          <w:highlight w:val="none"/>
        </w:rPr>
      </w:pPr>
      <w:r>
        <w:rPr>
          <w:rFonts w:hint="eastAsia" w:ascii="宋体" w:hAnsi="宋体" w:eastAsia="宋体" w:cs="宋体"/>
          <w:snapToGrid w:val="0"/>
          <w:color w:val="auto"/>
          <w:kern w:val="0"/>
          <w:sz w:val="24"/>
          <w:highlight w:val="none"/>
        </w:rPr>
        <w:t>36.3发包人审核结算报告的时间：发包人收到承包人提交的总结算报告后及时（其中含监理单位审核时间30天）出具初审意见，并及时报有关部门对结算进行终审，</w:t>
      </w:r>
      <w:r>
        <w:rPr>
          <w:rFonts w:hint="eastAsia" w:ascii="宋体" w:hAnsi="宋体" w:eastAsia="宋体" w:cs="宋体"/>
          <w:color w:val="auto"/>
          <w:sz w:val="24"/>
          <w:szCs w:val="24"/>
          <w:highlight w:val="none"/>
          <w:lang w:val="en-US" w:eastAsia="zh-CN"/>
        </w:rPr>
        <w:t>最终结算金额以甲方及甲方委托的第三方审核机构审定为准。</w:t>
      </w:r>
    </w:p>
    <w:p w14:paraId="2E2F58CD">
      <w:pPr>
        <w:suppressAutoHyphens/>
        <w:adjustRightInd w:val="0"/>
        <w:snapToGrid w:val="0"/>
        <w:spacing w:line="360" w:lineRule="auto"/>
        <w:ind w:firstLine="360" w:firstLineChars="150"/>
        <w:rPr>
          <w:rFonts w:hint="eastAsia" w:ascii="宋体" w:hAnsi="宋体" w:eastAsia="宋体" w:cs="宋体"/>
          <w:bCs/>
          <w:snapToGrid w:val="0"/>
          <w:color w:val="auto"/>
          <w:kern w:val="0"/>
          <w:sz w:val="24"/>
          <w:highlight w:val="none"/>
        </w:rPr>
      </w:pPr>
      <w:r>
        <w:rPr>
          <w:rFonts w:hint="eastAsia" w:ascii="宋体" w:hAnsi="宋体" w:eastAsia="宋体" w:cs="宋体"/>
          <w:iCs/>
          <w:snapToGrid w:val="0"/>
          <w:color w:val="auto"/>
          <w:kern w:val="0"/>
          <w:sz w:val="24"/>
          <w:highlight w:val="none"/>
        </w:rPr>
        <w:t>36.4</w:t>
      </w:r>
      <w:r>
        <w:rPr>
          <w:rFonts w:hint="eastAsia" w:ascii="宋体" w:hAnsi="宋体" w:eastAsia="宋体" w:cs="宋体"/>
          <w:snapToGrid w:val="0"/>
          <w:color w:val="auto"/>
          <w:kern w:val="0"/>
          <w:sz w:val="24"/>
          <w:highlight w:val="none"/>
        </w:rPr>
        <w:t>承包人应当向</w:t>
      </w:r>
      <w:r>
        <w:rPr>
          <w:rFonts w:hint="eastAsia" w:ascii="宋体" w:hAnsi="宋体" w:eastAsia="宋体" w:cs="宋体"/>
          <w:iCs/>
          <w:snapToGrid w:val="0"/>
          <w:color w:val="auto"/>
          <w:kern w:val="0"/>
          <w:sz w:val="24"/>
          <w:highlight w:val="none"/>
        </w:rPr>
        <w:t>发包人</w:t>
      </w:r>
      <w:r>
        <w:rPr>
          <w:rFonts w:hint="eastAsia" w:ascii="宋体" w:hAnsi="宋体" w:eastAsia="宋体" w:cs="宋体"/>
          <w:bCs/>
          <w:snapToGrid w:val="0"/>
          <w:color w:val="auto"/>
          <w:kern w:val="0"/>
          <w:sz w:val="24"/>
          <w:highlight w:val="none"/>
        </w:rPr>
        <w:t>提供如下竣工结算资料（包括但不限于以下）：</w:t>
      </w:r>
    </w:p>
    <w:p w14:paraId="11C00D6D">
      <w:pPr>
        <w:suppressAutoHyphens/>
        <w:adjustRightInd w:val="0"/>
        <w:snapToGrid w:val="0"/>
        <w:spacing w:line="360" w:lineRule="auto"/>
        <w:ind w:firstLine="360" w:firstLineChars="15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（1）工程结算书</w:t>
      </w:r>
      <w:r>
        <w:rPr>
          <w:rFonts w:hint="eastAsia" w:ascii="宋体" w:hAnsi="宋体" w:eastAsia="宋体" w:cs="宋体"/>
          <w:snapToGrid w:val="0"/>
          <w:color w:val="auto"/>
          <w:kern w:val="0"/>
          <w:sz w:val="24"/>
          <w:highlight w:val="none"/>
          <w:lang w:val="en-US" w:eastAsia="zh-CN"/>
        </w:rPr>
        <w:t>及结算资料目录</w:t>
      </w:r>
      <w:r>
        <w:rPr>
          <w:rFonts w:hint="eastAsia" w:ascii="宋体" w:hAnsi="宋体" w:eastAsia="宋体" w:cs="宋体"/>
          <w:snapToGrid w:val="0"/>
          <w:color w:val="auto"/>
          <w:kern w:val="0"/>
          <w:sz w:val="24"/>
          <w:highlight w:val="none"/>
        </w:rPr>
        <w:t>；</w:t>
      </w:r>
    </w:p>
    <w:p w14:paraId="7626C213">
      <w:pPr>
        <w:suppressAutoHyphens/>
        <w:adjustRightInd w:val="0"/>
        <w:snapToGrid w:val="0"/>
        <w:spacing w:line="360" w:lineRule="auto"/>
        <w:ind w:firstLine="360" w:firstLineChars="15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（2）工程量计算书（即计算底稿）；</w:t>
      </w:r>
    </w:p>
    <w:p w14:paraId="2ADCA5CD">
      <w:pPr>
        <w:suppressAutoHyphens/>
        <w:adjustRightInd w:val="0"/>
        <w:snapToGrid w:val="0"/>
        <w:spacing w:line="360" w:lineRule="auto"/>
        <w:ind w:firstLine="360" w:firstLineChars="15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（3）钢筋抽料表（建筑、市政、园林景观等工程适用）；</w:t>
      </w:r>
    </w:p>
    <w:p w14:paraId="4785845F">
      <w:pPr>
        <w:suppressAutoHyphens/>
        <w:adjustRightInd w:val="0"/>
        <w:snapToGrid w:val="0"/>
        <w:spacing w:line="360" w:lineRule="auto"/>
        <w:ind w:firstLine="360" w:firstLineChars="15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（4）合同文件；</w:t>
      </w:r>
    </w:p>
    <w:p w14:paraId="45218050">
      <w:pPr>
        <w:suppressAutoHyphens/>
        <w:adjustRightInd w:val="0"/>
        <w:snapToGrid w:val="0"/>
        <w:spacing w:line="360" w:lineRule="auto"/>
        <w:ind w:firstLine="360" w:firstLineChars="15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（5）工程竣工图（必要时提供电子版）；</w:t>
      </w:r>
    </w:p>
    <w:p w14:paraId="5298252F">
      <w:pPr>
        <w:suppressAutoHyphens/>
        <w:adjustRightInd w:val="0"/>
        <w:snapToGrid w:val="0"/>
        <w:spacing w:line="360" w:lineRule="auto"/>
        <w:ind w:firstLine="360" w:firstLineChars="15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（6）工程竣工资料（</w:t>
      </w:r>
      <w:r>
        <w:rPr>
          <w:rFonts w:hint="eastAsia" w:ascii="宋体" w:hAnsi="宋体" w:eastAsia="宋体" w:cs="宋体"/>
          <w:snapToGrid w:val="0"/>
          <w:color w:val="auto"/>
          <w:kern w:val="0"/>
          <w:sz w:val="24"/>
          <w:highlight w:val="none"/>
          <w:lang w:val="en-US" w:eastAsia="zh-CN"/>
        </w:rPr>
        <w:t>包括工程竣工验收证明书、移交档案室清单及签收确认等，</w:t>
      </w:r>
      <w:r>
        <w:rPr>
          <w:rFonts w:hint="eastAsia" w:ascii="宋体" w:hAnsi="宋体" w:eastAsia="宋体" w:cs="宋体"/>
          <w:snapToGrid w:val="0"/>
          <w:color w:val="auto"/>
          <w:kern w:val="0"/>
          <w:sz w:val="24"/>
          <w:highlight w:val="none"/>
        </w:rPr>
        <w:t>必要时提供电子版）；</w:t>
      </w:r>
    </w:p>
    <w:p w14:paraId="15A5D5DD">
      <w:pPr>
        <w:suppressAutoHyphens/>
        <w:adjustRightInd w:val="0"/>
        <w:snapToGrid w:val="0"/>
        <w:spacing w:line="360" w:lineRule="auto"/>
        <w:ind w:firstLine="360" w:firstLineChars="15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（7）图纸会审记录；</w:t>
      </w:r>
    </w:p>
    <w:p w14:paraId="72D4851B">
      <w:pPr>
        <w:suppressAutoHyphens/>
        <w:adjustRightInd w:val="0"/>
        <w:snapToGrid w:val="0"/>
        <w:spacing w:line="360" w:lineRule="auto"/>
        <w:ind w:firstLine="360" w:firstLineChars="15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（8）设计变更单</w:t>
      </w:r>
      <w:r>
        <w:rPr>
          <w:rFonts w:hint="eastAsia" w:ascii="宋体" w:hAnsi="宋体" w:eastAsia="宋体" w:cs="宋体"/>
          <w:snapToGrid w:val="0"/>
          <w:color w:val="auto"/>
          <w:kern w:val="0"/>
          <w:sz w:val="24"/>
          <w:highlight w:val="none"/>
          <w:lang w:val="en-US" w:eastAsia="zh-CN"/>
        </w:rPr>
        <w:t>及其明细表</w:t>
      </w:r>
      <w:r>
        <w:rPr>
          <w:rFonts w:hint="eastAsia" w:ascii="宋体" w:hAnsi="宋体" w:eastAsia="宋体" w:cs="宋体"/>
          <w:snapToGrid w:val="0"/>
          <w:color w:val="auto"/>
          <w:kern w:val="0"/>
          <w:sz w:val="24"/>
          <w:highlight w:val="none"/>
        </w:rPr>
        <w:t>；</w:t>
      </w:r>
    </w:p>
    <w:p w14:paraId="5DCEDDA3">
      <w:pPr>
        <w:suppressAutoHyphens/>
        <w:adjustRightInd w:val="0"/>
        <w:snapToGrid w:val="0"/>
        <w:spacing w:line="360" w:lineRule="auto"/>
        <w:ind w:firstLine="360" w:firstLineChars="15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（9）工程洽商记录；</w:t>
      </w:r>
    </w:p>
    <w:p w14:paraId="671DE57F">
      <w:pPr>
        <w:suppressAutoHyphens/>
        <w:adjustRightInd w:val="0"/>
        <w:snapToGrid w:val="0"/>
        <w:spacing w:line="360" w:lineRule="auto"/>
        <w:ind w:firstLine="360" w:firstLineChars="15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（10）总监理工程师通知或发包人施工指令；</w:t>
      </w:r>
    </w:p>
    <w:p w14:paraId="5D639ECF">
      <w:pPr>
        <w:suppressAutoHyphens/>
        <w:adjustRightInd w:val="0"/>
        <w:snapToGrid w:val="0"/>
        <w:spacing w:line="360" w:lineRule="auto"/>
        <w:ind w:firstLine="360" w:firstLineChars="15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（11）会议纪要；</w:t>
      </w:r>
    </w:p>
    <w:p w14:paraId="40F82F21">
      <w:pPr>
        <w:suppressAutoHyphens/>
        <w:adjustRightInd w:val="0"/>
        <w:snapToGrid w:val="0"/>
        <w:spacing w:line="360" w:lineRule="auto"/>
        <w:ind w:firstLine="360" w:firstLineChars="15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（12）工程签证</w:t>
      </w:r>
      <w:r>
        <w:rPr>
          <w:rFonts w:hint="eastAsia" w:ascii="宋体" w:hAnsi="宋体" w:eastAsia="宋体" w:cs="宋体"/>
          <w:snapToGrid w:val="0"/>
          <w:color w:val="auto"/>
          <w:kern w:val="0"/>
          <w:sz w:val="24"/>
          <w:highlight w:val="none"/>
          <w:lang w:val="en-US" w:eastAsia="zh-CN"/>
        </w:rPr>
        <w:t>及其明细表</w:t>
      </w:r>
      <w:r>
        <w:rPr>
          <w:rFonts w:hint="eastAsia" w:ascii="宋体" w:hAnsi="宋体" w:eastAsia="宋体" w:cs="宋体"/>
          <w:snapToGrid w:val="0"/>
          <w:color w:val="auto"/>
          <w:kern w:val="0"/>
          <w:sz w:val="24"/>
          <w:highlight w:val="none"/>
        </w:rPr>
        <w:t>；</w:t>
      </w:r>
    </w:p>
    <w:p w14:paraId="2172BEC2">
      <w:pPr>
        <w:suppressAutoHyphens/>
        <w:adjustRightInd w:val="0"/>
        <w:snapToGrid w:val="0"/>
        <w:spacing w:line="360" w:lineRule="auto"/>
        <w:ind w:firstLine="360" w:firstLineChars="15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（13）材料设备单价呈批审核单；</w:t>
      </w:r>
    </w:p>
    <w:p w14:paraId="06BA4C76">
      <w:pPr>
        <w:suppressAutoHyphens/>
        <w:adjustRightInd w:val="0"/>
        <w:snapToGrid w:val="0"/>
        <w:spacing w:line="360" w:lineRule="auto"/>
        <w:ind w:firstLine="360" w:firstLineChars="15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（14）综合单价呈批审核单；</w:t>
      </w:r>
    </w:p>
    <w:p w14:paraId="60E75778">
      <w:pPr>
        <w:suppressAutoHyphens/>
        <w:adjustRightInd w:val="0"/>
        <w:snapToGrid w:val="0"/>
        <w:spacing w:line="360" w:lineRule="auto"/>
        <w:ind w:firstLine="360" w:firstLineChars="15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（15）发包人供应材料收货验收签收单；</w:t>
      </w:r>
    </w:p>
    <w:p w14:paraId="677E783E">
      <w:pPr>
        <w:suppressAutoHyphens/>
        <w:adjustRightInd w:val="0"/>
        <w:snapToGrid w:val="0"/>
        <w:spacing w:line="360" w:lineRule="auto"/>
        <w:ind w:firstLine="360" w:firstLineChars="15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（16）其他结算资料；</w:t>
      </w:r>
    </w:p>
    <w:p w14:paraId="5D63BD5F">
      <w:pPr>
        <w:suppressAutoHyphens/>
        <w:adjustRightInd w:val="0"/>
        <w:snapToGrid w:val="0"/>
        <w:spacing w:line="360" w:lineRule="auto"/>
        <w:ind w:firstLine="360" w:firstLineChars="15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（17）移交资料签收表；</w:t>
      </w:r>
    </w:p>
    <w:p w14:paraId="110BEF08">
      <w:pPr>
        <w:suppressAutoHyphens/>
        <w:adjustRightInd w:val="0"/>
        <w:snapToGrid w:val="0"/>
        <w:spacing w:line="360" w:lineRule="auto"/>
        <w:ind w:firstLine="360" w:firstLineChars="150"/>
        <w:rPr>
          <w:rFonts w:hint="eastAsia"/>
          <w:color w:val="auto"/>
          <w:highlight w:val="none"/>
        </w:rPr>
      </w:pPr>
      <w:r>
        <w:rPr>
          <w:rFonts w:hint="eastAsia" w:ascii="宋体" w:hAnsi="宋体" w:eastAsia="宋体" w:cs="宋体"/>
          <w:snapToGrid w:val="0"/>
          <w:color w:val="auto"/>
          <w:kern w:val="0"/>
          <w:sz w:val="24"/>
          <w:highlight w:val="none"/>
        </w:rPr>
        <w:t>（1</w:t>
      </w:r>
      <w:r>
        <w:rPr>
          <w:rFonts w:ascii="宋体" w:hAnsi="宋体" w:eastAsia="宋体" w:cs="宋体"/>
          <w:snapToGrid w:val="0"/>
          <w:color w:val="auto"/>
          <w:kern w:val="0"/>
          <w:sz w:val="24"/>
          <w:highlight w:val="none"/>
        </w:rPr>
        <w:t>8</w:t>
      </w:r>
      <w:r>
        <w:rPr>
          <w:rFonts w:hint="eastAsia" w:ascii="宋体" w:hAnsi="宋体" w:eastAsia="宋体" w:cs="宋体"/>
          <w:snapToGrid w:val="0"/>
          <w:color w:val="auto"/>
          <w:kern w:val="0"/>
          <w:sz w:val="24"/>
          <w:highlight w:val="none"/>
        </w:rPr>
        <w:t>）其他依照法律、法规、政策、规范性文件等的要求应当提供的材料。</w:t>
      </w:r>
    </w:p>
    <w:p w14:paraId="76BAB86F">
      <w:pPr>
        <w:suppressAutoHyphens/>
        <w:adjustRightInd w:val="0"/>
        <w:snapToGrid w:val="0"/>
        <w:spacing w:line="360" w:lineRule="auto"/>
        <w:ind w:firstLine="480" w:firstLineChars="200"/>
        <w:rPr>
          <w:rFonts w:ascii="宋体" w:hAnsi="宋体" w:eastAsia="宋体" w:cs="宋体"/>
          <w:bCs/>
          <w:snapToGrid w:val="0"/>
          <w:color w:val="auto"/>
          <w:kern w:val="0"/>
          <w:sz w:val="24"/>
          <w:highlight w:val="none"/>
        </w:rPr>
      </w:pPr>
      <w:r>
        <w:rPr>
          <w:rFonts w:hint="eastAsia" w:ascii="宋体" w:hAnsi="宋体" w:eastAsia="宋体" w:cs="宋体"/>
          <w:iCs/>
          <w:snapToGrid w:val="0"/>
          <w:color w:val="auto"/>
          <w:kern w:val="0"/>
          <w:sz w:val="24"/>
          <w:highlight w:val="none"/>
        </w:rPr>
        <w:t>36.5</w:t>
      </w:r>
      <w:r>
        <w:rPr>
          <w:rFonts w:hint="eastAsia" w:ascii="宋体" w:hAnsi="宋体" w:eastAsia="宋体" w:cs="宋体"/>
          <w:bCs/>
          <w:snapToGrid w:val="0"/>
          <w:color w:val="auto"/>
          <w:kern w:val="0"/>
          <w:sz w:val="24"/>
          <w:highlight w:val="none"/>
        </w:rPr>
        <w:t>发包人对送审结算资料的具体要求：</w:t>
      </w:r>
    </w:p>
    <w:p w14:paraId="59CF7579">
      <w:pPr>
        <w:tabs>
          <w:tab w:val="left" w:pos="1875"/>
        </w:tabs>
        <w:suppressAutoHyphens/>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结算书：每项工程的结算书要求分两部分编制：第一部分以竣工图为依据编制，包括竣工图、图纸会审记录、设计变更等内容；第二部分为工程签证及其他有关费用等。上述两部分不应有重复列项的内容，结算书须提供相应的电子文件。</w:t>
      </w:r>
    </w:p>
    <w:p w14:paraId="3A701A06">
      <w:pPr>
        <w:tabs>
          <w:tab w:val="left" w:pos="1875"/>
        </w:tabs>
        <w:suppressAutoHyphens/>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（2）工程量计算书（即计算底稿）：工程量计算书由工程量汇总表和详细的工程量计算表达式组成，工程量计算书须提供相应的电子文件。</w:t>
      </w:r>
    </w:p>
    <w:p w14:paraId="530E9927">
      <w:pPr>
        <w:tabs>
          <w:tab w:val="left" w:pos="1875"/>
        </w:tabs>
        <w:suppressAutoHyphens/>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钢筋抽料表（建筑、市政、园林景观等工程适用）：用电脑抽料的钢筋用量表要求提供相应的拷贝磁盘，用手工抽料的钢筋用量表要求提供详细的抽料表和明细汇总表，详细的抽料表应注明钢筋所在构件名称、施工部位、钢筋编号等。</w:t>
      </w:r>
    </w:p>
    <w:p w14:paraId="515B278A">
      <w:pPr>
        <w:tabs>
          <w:tab w:val="left" w:pos="1875"/>
        </w:tabs>
        <w:suppressAutoHyphens/>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（4）合同文件：包括发包人与承包人签订的合同文件、经发包人确认的承包人与第三方签订的分包合同、各类补充合同、合同附件等，要求将上述合同文件列出总目录按顺序整理装订成册。</w:t>
      </w:r>
    </w:p>
    <w:p w14:paraId="719488A4">
      <w:pPr>
        <w:tabs>
          <w:tab w:val="left" w:pos="1875"/>
        </w:tabs>
        <w:suppressAutoHyphens/>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竣工图：用于结算的竣工图必须有承包人图纸专用章、设计院章及其相关人员签字，并须有监理单位盖章确认。经发包人、设计、监理等单位确认的图纸会审记录、设计变更、工程洽商记录等内容均应反映在相应的竣工图上。</w:t>
      </w:r>
    </w:p>
    <w:p w14:paraId="2E81556C">
      <w:pPr>
        <w:tabs>
          <w:tab w:val="left" w:pos="1875"/>
        </w:tabs>
        <w:suppressAutoHyphens/>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竣工资料：指在进行工程竣工验收和资料归档时所需的资料，具体包括开工报告、竣工报告、工程质量验收评定证书、材料检验报告、产品质量合格证、经发包人批准的施工组织设计或施工方案、隐蔽工程验收记录、安装工程的调试方案和调试记录等。整理装订成册的竣工资料需编制总目录，并在每一页的下方统一编号，以便于查找。以上资料以国家规范或竣工图编制指南为准。</w:t>
      </w:r>
    </w:p>
    <w:p w14:paraId="0D21E097">
      <w:pPr>
        <w:tabs>
          <w:tab w:val="left" w:pos="1875"/>
        </w:tabs>
        <w:suppressAutoHyphens/>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（7）图纸会审记录：要求按图纸会审的时间先后整理装订成册，图纸会审记录须有各单位参加会审人员签字及会审单位盖章确认。</w:t>
      </w:r>
    </w:p>
    <w:p w14:paraId="42FFEE57">
      <w:pPr>
        <w:tabs>
          <w:tab w:val="left" w:pos="1875"/>
        </w:tabs>
        <w:suppressAutoHyphens/>
        <w:adjustRightInd w:val="0"/>
        <w:snapToGrid w:val="0"/>
        <w:spacing w:line="360" w:lineRule="auto"/>
        <w:ind w:firstLine="480" w:firstLineChars="200"/>
        <w:rPr>
          <w:rFonts w:ascii="宋体" w:hAnsi="宋体" w:eastAsia="宋体" w:cs="宋体"/>
          <w:b/>
          <w:snapToGrid w:val="0"/>
          <w:color w:val="auto"/>
          <w:kern w:val="0"/>
          <w:sz w:val="24"/>
          <w:highlight w:val="none"/>
        </w:rPr>
      </w:pPr>
      <w:r>
        <w:rPr>
          <w:rFonts w:hint="eastAsia" w:ascii="宋体" w:hAnsi="宋体" w:eastAsia="宋体" w:cs="宋体"/>
          <w:snapToGrid w:val="0"/>
          <w:color w:val="auto"/>
          <w:kern w:val="0"/>
          <w:sz w:val="24"/>
          <w:highlight w:val="none"/>
        </w:rPr>
        <w:t>（8）设计变更单：要求按设计变更的时间先后整理（安装工程要分专业）装订成册。</w:t>
      </w:r>
    </w:p>
    <w:p w14:paraId="757F9701">
      <w:pPr>
        <w:tabs>
          <w:tab w:val="left" w:pos="1875"/>
        </w:tabs>
        <w:suppressAutoHyphens/>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（9）工程洽商记录：要求根据工程洽商记录的时间先后整理装订成册，然后在每一页的下方统一编号，以便于查找。工程洽商记录须符合发包人制定的有关规定。</w:t>
      </w:r>
    </w:p>
    <w:p w14:paraId="3E2DE06A">
      <w:pPr>
        <w:tabs>
          <w:tab w:val="left" w:pos="1875"/>
        </w:tabs>
        <w:suppressAutoHyphens/>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10）总监理工程师通知或发包人施工指令：要求根据总监理工程师通知或发包人施工指令的时间先后整理装订成册，然后在每一页的下方统一编号。总监理工程师通知或发包人施工指令须符合发包人制定的有关规定。</w:t>
      </w:r>
    </w:p>
    <w:p w14:paraId="4DB75C4A">
      <w:pPr>
        <w:tabs>
          <w:tab w:val="left" w:pos="1875"/>
        </w:tabs>
        <w:suppressAutoHyphens/>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（11）会议纪要：指工程质量、安全、技术、经济等现场协调会会议纪要等。要求根据会议纪要的时间先后整理装订成册，然后在每一页的下方统一编号。会议纪要须符合发包人制定的有关规定。</w:t>
      </w:r>
    </w:p>
    <w:p w14:paraId="3CC63B74">
      <w:pPr>
        <w:tabs>
          <w:tab w:val="left" w:pos="1875"/>
        </w:tabs>
        <w:suppressAutoHyphens/>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（12）工程签证：要求根据工程签证的时间先后整理装订成册，然后在每一页的下方统一编号，工程签证单上应有工程数量的计算过程和施工简图。</w:t>
      </w:r>
    </w:p>
    <w:p w14:paraId="12581088">
      <w:pPr>
        <w:tabs>
          <w:tab w:val="left" w:pos="1875"/>
        </w:tabs>
        <w:suppressAutoHyphens/>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13）材料设备单价呈批审核单：凡在工程招标文件或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要、材料发票、购买合同等有效材料设备价格凭证等。</w:t>
      </w:r>
    </w:p>
    <w:p w14:paraId="006EBA5D">
      <w:pPr>
        <w:tabs>
          <w:tab w:val="left" w:pos="1875"/>
        </w:tabs>
        <w:suppressAutoHyphens/>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14）综合单价呈批审核单：在招投标文件工程量清单中未列但在施工过程中发生的项目，应由承包人编制单价分析表，盖章确认后报监理单位和发包人审核综合单价。在结算资料送审时，要求按综合单价呈批审核单的编号顺序整理装订成册。每项审核单应附有相关的资料或注明相关资料在送审结算资料的哪一部分和哪一页位置上，如材料设备专题会议纪要、设计变更、工程洽商记录、总监理工程师通知等。每份综合单价呈批审核单手续必需完备，要求有监理单位和发包人相关人员的签字和单位盖章确认，并且有上述单位的造价工程师对综合单价进行审核的签字和盖章。</w:t>
      </w:r>
    </w:p>
    <w:p w14:paraId="0CAB8F1F">
      <w:pPr>
        <w:tabs>
          <w:tab w:val="left" w:pos="1875"/>
        </w:tabs>
        <w:suppressAutoHyphens/>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（15）发包人供应材料收货验收签收单：按发包人供应材料收货验收签收单的编号顺序及不同材料分类整理装订成册。</w:t>
      </w:r>
    </w:p>
    <w:p w14:paraId="16137438">
      <w:pPr>
        <w:tabs>
          <w:tab w:val="left" w:pos="1875"/>
        </w:tabs>
        <w:suppressAutoHyphens/>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16）其他结算资料：凡上述未提及而在结算时需要的资料均需提供，例如：施工日记、地质勘察报告、非常用的标准图集、应由承包人承担而由发包人代为支付的费用证明（如：发包人代缴的施工水电费票据、余泥排放费证明）等。</w:t>
      </w:r>
    </w:p>
    <w:p w14:paraId="16B76069">
      <w:pPr>
        <w:tabs>
          <w:tab w:val="left" w:pos="1378"/>
          <w:tab w:val="left" w:pos="1875"/>
        </w:tabs>
        <w:suppressAutoHyphens/>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17）资料签收表：按送审结算资料的内容列表，以便资料的移交和管理。资料签收表上应注明资料内容、份数和页数（标注页码），并且对所有复印资料的真实性进行确认。资料签收表一式两份，由资料移交人和接收人分别签名，必要时加盖单位的印章。</w:t>
      </w:r>
    </w:p>
    <w:p w14:paraId="101C7DF6">
      <w:pPr>
        <w:adjustRightInd w:val="0"/>
        <w:snapToGrid w:val="0"/>
        <w:spacing w:line="360" w:lineRule="auto"/>
        <w:ind w:right="11" w:firstLine="480" w:firstLineChars="200"/>
        <w:rPr>
          <w:rFonts w:hint="eastAsia" w:ascii="宋体" w:hAnsi="宋体" w:eastAsia="宋体" w:cs="宋体"/>
          <w:iCs/>
          <w:snapToGrid w:val="0"/>
          <w:color w:val="auto"/>
          <w:kern w:val="0"/>
          <w:sz w:val="24"/>
          <w:highlight w:val="none"/>
        </w:rPr>
      </w:pPr>
      <w:r>
        <w:rPr>
          <w:rFonts w:hint="eastAsia" w:ascii="宋体" w:hAnsi="宋体" w:eastAsia="宋体" w:cs="宋体"/>
          <w:iCs/>
          <w:snapToGrid w:val="0"/>
          <w:color w:val="auto"/>
          <w:kern w:val="0"/>
          <w:sz w:val="24"/>
          <w:highlight w:val="none"/>
        </w:rPr>
        <w:t>36.</w:t>
      </w:r>
      <w:r>
        <w:rPr>
          <w:rFonts w:ascii="宋体" w:hAnsi="宋体" w:eastAsia="宋体" w:cs="宋体"/>
          <w:iCs/>
          <w:snapToGrid w:val="0"/>
          <w:color w:val="auto"/>
          <w:kern w:val="0"/>
          <w:sz w:val="24"/>
          <w:highlight w:val="none"/>
        </w:rPr>
        <w:t>6</w:t>
      </w:r>
      <w:r>
        <w:rPr>
          <w:rFonts w:hint="eastAsia" w:ascii="宋体" w:hAnsi="宋体" w:eastAsia="宋体" w:cs="宋体"/>
          <w:iCs/>
          <w:snapToGrid w:val="0"/>
          <w:color w:val="auto"/>
          <w:kern w:val="0"/>
          <w:sz w:val="24"/>
          <w:highlight w:val="none"/>
        </w:rPr>
        <w:t>承包人迟延提交竣工</w:t>
      </w:r>
      <w:r>
        <w:rPr>
          <w:rFonts w:hint="eastAsia" w:ascii="宋体" w:hAnsi="宋体" w:eastAsia="宋体" w:cs="宋体"/>
          <w:snapToGrid w:val="0"/>
          <w:color w:val="auto"/>
          <w:kern w:val="0"/>
          <w:sz w:val="24"/>
          <w:highlight w:val="none"/>
        </w:rPr>
        <w:t>结算报告的，</w:t>
      </w:r>
      <w:r>
        <w:rPr>
          <w:rFonts w:hint="eastAsia" w:ascii="宋体" w:hAnsi="宋体" w:eastAsia="宋体" w:cs="宋体"/>
          <w:iCs/>
          <w:snapToGrid w:val="0"/>
          <w:color w:val="auto"/>
          <w:kern w:val="0"/>
          <w:sz w:val="24"/>
          <w:highlight w:val="none"/>
        </w:rPr>
        <w:t>发包人完成审核相应结算报告的时间相应顺延。由于</w:t>
      </w:r>
      <w:r>
        <w:rPr>
          <w:rFonts w:hint="eastAsia" w:ascii="宋体" w:hAnsi="宋体" w:eastAsia="宋体" w:cs="宋体"/>
          <w:snapToGrid w:val="0"/>
          <w:color w:val="auto"/>
          <w:kern w:val="0"/>
          <w:sz w:val="24"/>
          <w:highlight w:val="none"/>
        </w:rPr>
        <w:t>结算报告存在错误或不完整而退回承包人修改或补充的，</w:t>
      </w:r>
      <w:r>
        <w:rPr>
          <w:rFonts w:hint="eastAsia" w:ascii="宋体" w:hAnsi="宋体" w:eastAsia="宋体" w:cs="宋体"/>
          <w:iCs/>
          <w:snapToGrid w:val="0"/>
          <w:color w:val="auto"/>
          <w:kern w:val="0"/>
          <w:sz w:val="24"/>
          <w:highlight w:val="none"/>
        </w:rPr>
        <w:t>发包人完成审核相应结算报告的时间从收到</w:t>
      </w:r>
      <w:r>
        <w:rPr>
          <w:rFonts w:hint="eastAsia" w:ascii="宋体" w:hAnsi="宋体" w:eastAsia="宋体" w:cs="宋体"/>
          <w:snapToGrid w:val="0"/>
          <w:color w:val="auto"/>
          <w:kern w:val="0"/>
          <w:sz w:val="24"/>
          <w:highlight w:val="none"/>
        </w:rPr>
        <w:t>修改或补充的结算报告后重新计算。</w:t>
      </w:r>
    </w:p>
    <w:p w14:paraId="31240E5E">
      <w:pPr>
        <w:adjustRightInd w:val="0"/>
        <w:snapToGrid w:val="0"/>
        <w:spacing w:line="360" w:lineRule="auto"/>
        <w:ind w:right="11" w:firstLine="480" w:firstLineChars="200"/>
        <w:rPr>
          <w:rFonts w:hint="eastAsia" w:ascii="宋体" w:hAnsi="宋体" w:eastAsia="宋体" w:cs="宋体"/>
          <w:iCs/>
          <w:snapToGrid w:val="0"/>
          <w:color w:val="auto"/>
          <w:kern w:val="0"/>
          <w:sz w:val="24"/>
          <w:highlight w:val="none"/>
        </w:rPr>
      </w:pPr>
      <w:r>
        <w:rPr>
          <w:rFonts w:hint="eastAsia" w:ascii="宋体" w:hAnsi="宋体" w:eastAsia="宋体" w:cs="宋体"/>
          <w:iCs/>
          <w:snapToGrid w:val="0"/>
          <w:color w:val="auto"/>
          <w:kern w:val="0"/>
          <w:sz w:val="24"/>
          <w:highlight w:val="none"/>
        </w:rPr>
        <w:t>36.</w:t>
      </w:r>
      <w:r>
        <w:rPr>
          <w:rFonts w:ascii="宋体" w:hAnsi="宋体" w:eastAsia="宋体" w:cs="宋体"/>
          <w:iCs/>
          <w:snapToGrid w:val="0"/>
          <w:color w:val="auto"/>
          <w:kern w:val="0"/>
          <w:sz w:val="24"/>
          <w:highlight w:val="none"/>
        </w:rPr>
        <w:t>7</w:t>
      </w:r>
      <w:r>
        <w:rPr>
          <w:rFonts w:hint="eastAsia" w:ascii="宋体" w:hAnsi="宋体" w:eastAsia="宋体" w:cs="宋体"/>
          <w:iCs/>
          <w:snapToGrid w:val="0"/>
          <w:color w:val="auto"/>
          <w:kern w:val="0"/>
          <w:sz w:val="24"/>
          <w:highlight w:val="none"/>
        </w:rPr>
        <w:t>承包人提交的竣工</w:t>
      </w:r>
      <w:r>
        <w:rPr>
          <w:rFonts w:hint="eastAsia" w:ascii="宋体" w:hAnsi="宋体" w:eastAsia="宋体" w:cs="宋体"/>
          <w:snapToGrid w:val="0"/>
          <w:color w:val="auto"/>
          <w:kern w:val="0"/>
          <w:sz w:val="24"/>
          <w:highlight w:val="none"/>
        </w:rPr>
        <w:t>结算报告虽有错误或不完整，但其中有部分手续齐全并可以单独结算的，发包人可就该部分先行审核。</w:t>
      </w:r>
    </w:p>
    <w:p w14:paraId="728473CD">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iCs/>
          <w:snapToGrid w:val="0"/>
          <w:color w:val="auto"/>
          <w:kern w:val="0"/>
          <w:sz w:val="24"/>
          <w:highlight w:val="none"/>
        </w:rPr>
        <w:t>36.</w:t>
      </w:r>
      <w:r>
        <w:rPr>
          <w:rFonts w:ascii="宋体" w:hAnsi="宋体" w:eastAsia="宋体" w:cs="宋体"/>
          <w:iCs/>
          <w:snapToGrid w:val="0"/>
          <w:color w:val="auto"/>
          <w:kern w:val="0"/>
          <w:sz w:val="24"/>
          <w:highlight w:val="none"/>
        </w:rPr>
        <w:t>8</w:t>
      </w:r>
      <w:r>
        <w:rPr>
          <w:rFonts w:hint="eastAsia" w:ascii="宋体" w:hAnsi="宋体" w:eastAsia="宋体" w:cs="宋体"/>
          <w:snapToGrid w:val="0"/>
          <w:color w:val="auto"/>
          <w:kern w:val="0"/>
          <w:sz w:val="24"/>
          <w:highlight w:val="none"/>
        </w:rPr>
        <w:t>由于承包人未按发包人要求及时报送</w:t>
      </w:r>
      <w:r>
        <w:rPr>
          <w:rFonts w:hint="eastAsia" w:ascii="宋体" w:hAnsi="宋体" w:eastAsia="宋体" w:cs="宋体"/>
          <w:iCs/>
          <w:snapToGrid w:val="0"/>
          <w:color w:val="auto"/>
          <w:kern w:val="0"/>
          <w:sz w:val="24"/>
          <w:highlight w:val="none"/>
        </w:rPr>
        <w:t>竣工</w:t>
      </w:r>
      <w:r>
        <w:rPr>
          <w:rFonts w:hint="eastAsia" w:ascii="宋体" w:hAnsi="宋体" w:eastAsia="宋体" w:cs="宋体"/>
          <w:snapToGrid w:val="0"/>
          <w:color w:val="auto"/>
          <w:kern w:val="0"/>
          <w:sz w:val="24"/>
          <w:highlight w:val="none"/>
        </w:rPr>
        <w:t>结算资料或报送资料不齐全、不完整引起的相应结算滞后或影响支付，应由承包人负责，承包人所主张的材料款、人工工资等申请将不被接受，应由承包人承担责任。</w:t>
      </w:r>
    </w:p>
    <w:p w14:paraId="38717C58">
      <w:pPr>
        <w:pStyle w:val="10"/>
        <w:spacing w:line="440" w:lineRule="exact"/>
        <w:jc w:val="left"/>
        <w:rPr>
          <w:rFonts w:hint="eastAsia" w:ascii="宋体" w:hAnsi="宋体"/>
          <w:snapToGrid w:val="0"/>
          <w:color w:val="auto"/>
          <w:kern w:val="0"/>
          <w:highlight w:val="none"/>
        </w:rPr>
      </w:pPr>
      <w:bookmarkStart w:id="672" w:name="_Toc514681191"/>
      <w:bookmarkStart w:id="673" w:name="_Toc514665152"/>
      <w:bookmarkStart w:id="674" w:name="_Toc514665291"/>
      <w:bookmarkStart w:id="675" w:name="_Toc520901469"/>
      <w:bookmarkStart w:id="676" w:name="_Toc514664869"/>
      <w:bookmarkStart w:id="677" w:name="_Toc514666982"/>
      <w:bookmarkStart w:id="678" w:name="_Toc516495985"/>
      <w:bookmarkStart w:id="679" w:name="_Toc517954582"/>
      <w:bookmarkStart w:id="680" w:name="_Toc520902765"/>
      <w:bookmarkStart w:id="681" w:name="_Toc519503089"/>
      <w:bookmarkStart w:id="682" w:name="_Toc518481741"/>
      <w:bookmarkStart w:id="683" w:name="_Toc519502259"/>
      <w:bookmarkStart w:id="684" w:name="_Toc520902614"/>
      <w:bookmarkStart w:id="685" w:name="_Toc520358063"/>
      <w:bookmarkStart w:id="686" w:name="_Toc35083104"/>
      <w:bookmarkStart w:id="687" w:name="_Toc520358239"/>
      <w:bookmarkStart w:id="688" w:name="_Toc517774569"/>
      <w:bookmarkStart w:id="689" w:name="_Toc514681772"/>
      <w:bookmarkStart w:id="690" w:name="_Toc514663868"/>
      <w:bookmarkStart w:id="691" w:name="_Toc520902836"/>
      <w:r>
        <w:rPr>
          <w:rFonts w:hint="eastAsia" w:ascii="宋体" w:hAnsi="宋体"/>
          <w:snapToGrid w:val="0"/>
          <w:color w:val="auto"/>
          <w:kern w:val="0"/>
          <w:highlight w:val="none"/>
        </w:rPr>
        <w:t>十、违约、索赔和争议</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2663CE7A">
      <w:pPr>
        <w:adjustRightInd w:val="0"/>
        <w:snapToGrid w:val="0"/>
        <w:spacing w:line="440" w:lineRule="exact"/>
        <w:ind w:right="11" w:firstLine="463" w:firstLineChars="192"/>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38、违约</w:t>
      </w:r>
    </w:p>
    <w:p w14:paraId="30F7537A">
      <w:pPr>
        <w:adjustRightInd w:val="0"/>
        <w:snapToGrid w:val="0"/>
        <w:spacing w:line="440" w:lineRule="exact"/>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38.1发包人的违约责任：承包人和发包人一致同意该条款不适用。</w:t>
      </w:r>
    </w:p>
    <w:p w14:paraId="6F5570D6">
      <w:pPr>
        <w:adjustRightInd w:val="0"/>
        <w:snapToGrid w:val="0"/>
        <w:spacing w:line="440" w:lineRule="exact"/>
        <w:ind w:right="11" w:firstLine="463" w:firstLineChars="192"/>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承包人与发包人一致同意增加38.4至38.1</w:t>
      </w:r>
      <w:r>
        <w:rPr>
          <w:rFonts w:hint="eastAsia" w:ascii="宋体" w:hAnsi="宋体" w:eastAsia="宋体" w:cs="宋体"/>
          <w:b/>
          <w:snapToGrid w:val="0"/>
          <w:color w:val="auto"/>
          <w:kern w:val="0"/>
          <w:sz w:val="24"/>
          <w:highlight w:val="none"/>
          <w:lang w:val="en-US" w:eastAsia="zh-CN"/>
        </w:rPr>
        <w:t>5</w:t>
      </w:r>
      <w:r>
        <w:rPr>
          <w:rFonts w:hint="eastAsia" w:ascii="宋体" w:hAnsi="宋体" w:eastAsia="宋体" w:cs="宋体"/>
          <w:b/>
          <w:snapToGrid w:val="0"/>
          <w:color w:val="auto"/>
          <w:kern w:val="0"/>
          <w:sz w:val="24"/>
          <w:highlight w:val="none"/>
        </w:rPr>
        <w:t>：</w:t>
      </w:r>
    </w:p>
    <w:p w14:paraId="2000601C">
      <w:pPr>
        <w:adjustRightInd w:val="0"/>
        <w:snapToGrid w:val="0"/>
        <w:spacing w:line="440" w:lineRule="exact"/>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38.4工程组织管理方面的违约责任</w:t>
      </w:r>
    </w:p>
    <w:p w14:paraId="0C4D8006">
      <w:pPr>
        <w:adjustRightInd w:val="0"/>
        <w:snapToGrid w:val="0"/>
        <w:spacing w:line="440" w:lineRule="exact"/>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承包人违反专用条款总则第2条、第5条的约定，不服从发包人及监理单位的管理，对发包人、监理单位的指令和书面通知公开或变相拒不执行的，发包人有权要求承包人承担一般违约责任处罚/次。给发包人造成损失的，承包人应赔偿发包人的全部损失。</w:t>
      </w:r>
    </w:p>
    <w:p w14:paraId="701C7461">
      <w:pPr>
        <w:adjustRightInd w:val="0"/>
        <w:snapToGrid w:val="0"/>
        <w:spacing w:line="440" w:lineRule="exact"/>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承包人不遵守发包人所制订的各项制度、规定的，由承包人按所触犯制度、规定的有关规定承担违约责任。所触犯制度、规定没有明确规定的，发包人有权要求承包人承担一般违约责任处罚/次。给发包人造成损失的，承包人应赔偿发包人的全部损失。</w:t>
      </w:r>
    </w:p>
    <w:p w14:paraId="496A5E8D">
      <w:pPr>
        <w:adjustRightInd w:val="0"/>
        <w:snapToGrid w:val="0"/>
        <w:spacing w:line="44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bCs/>
          <w:snapToGrid w:val="0"/>
          <w:color w:val="auto"/>
          <w:kern w:val="0"/>
          <w:sz w:val="24"/>
          <w:highlight w:val="none"/>
        </w:rPr>
        <w:t>（3）承包人不按约定投入</w:t>
      </w:r>
      <w:r>
        <w:rPr>
          <w:rFonts w:hint="eastAsia" w:ascii="宋体" w:hAnsi="宋体" w:eastAsia="宋体" w:cs="宋体"/>
          <w:snapToGrid w:val="0"/>
          <w:color w:val="auto"/>
          <w:kern w:val="0"/>
          <w:sz w:val="24"/>
          <w:highlight w:val="none"/>
        </w:rPr>
        <w:t>现场组织管理人员、施工作业人员、施工机械设备，或者擅自变更资源投入计划或者擅自对已投入的资源进行调整的，承包人必须按照总监理工程师或者发包人的指令限期改正；承包人拒不限期改正的，发包人有权要求承包人承担一般违约责任处罚/次。给发包人造成损失的，承包人应赔偿发包人的全部损失。</w:t>
      </w:r>
    </w:p>
    <w:p w14:paraId="3E9D0BAA">
      <w:pPr>
        <w:adjustRightInd w:val="0"/>
        <w:snapToGrid w:val="0"/>
        <w:spacing w:line="440" w:lineRule="exact"/>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经发包人或总监理工程师考核，承包人投入的管理人员不能满足本工程建设要求的，承包人必须无条件按发包人的要求更换，直至满足本工程建设要求为止。而且，不能满足本工程建设要求的管理人员按缺勤处理。</w:t>
      </w:r>
    </w:p>
    <w:p w14:paraId="2D4A4E04">
      <w:pPr>
        <w:adjustRightInd w:val="0"/>
        <w:snapToGrid w:val="0"/>
        <w:spacing w:line="440" w:lineRule="exact"/>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snapToGrid w:val="0"/>
          <w:color w:val="auto"/>
          <w:kern w:val="0"/>
          <w:sz w:val="24"/>
          <w:highlight w:val="none"/>
        </w:rPr>
        <w:t>如承包人违背投标承诺，除按上述约定承担违约责任之外，还应按以下约定的金额向发包人支付违约金：</w:t>
      </w:r>
    </w:p>
    <w:p w14:paraId="30861D0C">
      <w:pPr>
        <w:pStyle w:val="515"/>
        <w:widowControl/>
        <w:numPr>
          <w:ilvl w:val="0"/>
          <w:numId w:val="4"/>
        </w:numPr>
        <w:spacing w:line="360" w:lineRule="auto"/>
        <w:ind w:left="0" w:firstLine="425" w:firstLineChars="0"/>
        <w:contextualSpacing/>
        <w:jc w:val="left"/>
        <w:rPr>
          <w:rFonts w:hint="eastAsia" w:ascii="宋体" w:hAnsi="宋体" w:cs="宋体"/>
          <w:bCs/>
          <w:snapToGrid w:val="0"/>
          <w:color w:val="auto"/>
          <w:kern w:val="0"/>
          <w:sz w:val="24"/>
          <w:szCs w:val="20"/>
          <w:highlight w:val="none"/>
        </w:rPr>
      </w:pPr>
      <w:r>
        <w:rPr>
          <w:rFonts w:hint="eastAsia" w:ascii="宋体" w:hAnsi="宋体" w:cs="宋体"/>
          <w:bCs/>
          <w:snapToGrid w:val="0"/>
          <w:color w:val="auto"/>
          <w:kern w:val="0"/>
          <w:sz w:val="24"/>
          <w:szCs w:val="20"/>
          <w:highlight w:val="none"/>
        </w:rPr>
        <w:t>未经发包人同意，承包人私自更换人员的，承包人须按下表支付违约金：</w:t>
      </w:r>
    </w:p>
    <w:tbl>
      <w:tblPr>
        <w:tblStyle w:val="77"/>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984"/>
        <w:gridCol w:w="3253"/>
        <w:gridCol w:w="1260"/>
        <w:gridCol w:w="1260"/>
        <w:gridCol w:w="1260"/>
      </w:tblGrid>
      <w:tr w14:paraId="6C33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03" w:type="dxa"/>
            <w:noWrap w:val="0"/>
            <w:vAlign w:val="center"/>
          </w:tcPr>
          <w:p w14:paraId="4D330D94">
            <w:pPr>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序号</w:t>
            </w:r>
          </w:p>
        </w:tc>
        <w:tc>
          <w:tcPr>
            <w:tcW w:w="1984" w:type="dxa"/>
            <w:noWrap w:val="0"/>
            <w:vAlign w:val="center"/>
          </w:tcPr>
          <w:p w14:paraId="472E3AF4">
            <w:pPr>
              <w:ind w:firstLine="420"/>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承诺项目</w:t>
            </w:r>
          </w:p>
        </w:tc>
        <w:tc>
          <w:tcPr>
            <w:tcW w:w="3253" w:type="dxa"/>
            <w:noWrap w:val="0"/>
            <w:vAlign w:val="center"/>
          </w:tcPr>
          <w:p w14:paraId="4EF33A16">
            <w:pPr>
              <w:ind w:firstLine="420"/>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违约说明</w:t>
            </w:r>
          </w:p>
        </w:tc>
        <w:tc>
          <w:tcPr>
            <w:tcW w:w="3780" w:type="dxa"/>
            <w:gridSpan w:val="3"/>
            <w:noWrap w:val="0"/>
            <w:vAlign w:val="center"/>
          </w:tcPr>
          <w:p w14:paraId="385B19AD">
            <w:pPr>
              <w:jc w:val="center"/>
              <w:rPr>
                <w:rFonts w:hint="eastAsia" w:ascii="宋体" w:hAnsi="宋体" w:eastAsia="宋体" w:cs="宋体"/>
                <w:b/>
                <w:snapToGrid w:val="0"/>
                <w:color w:val="auto"/>
                <w:szCs w:val="21"/>
                <w:highlight w:val="none"/>
              </w:rPr>
            </w:pPr>
            <w:r>
              <w:rPr>
                <w:rFonts w:hint="eastAsia" w:ascii="宋体" w:hAnsi="宋体" w:eastAsia="宋体" w:cs="宋体"/>
                <w:b/>
                <w:snapToGrid w:val="0"/>
                <w:color w:val="auto"/>
                <w:szCs w:val="21"/>
                <w:highlight w:val="none"/>
              </w:rPr>
              <w:t>承包人承诺的违约金额（元/人次）</w:t>
            </w:r>
          </w:p>
        </w:tc>
      </w:tr>
      <w:tr w14:paraId="07A4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3" w:type="dxa"/>
            <w:vMerge w:val="restart"/>
            <w:noWrap w:val="0"/>
            <w:vAlign w:val="center"/>
          </w:tcPr>
          <w:p w14:paraId="6C61B416">
            <w:pPr>
              <w:jc w:val="center"/>
              <w:rPr>
                <w:rFonts w:hint="eastAsia" w:ascii="宋体" w:hAnsi="宋体" w:eastAsia="宋体" w:cs="宋体"/>
                <w:snapToGrid w:val="0"/>
                <w:color w:val="auto"/>
                <w:szCs w:val="21"/>
                <w:highlight w:val="none"/>
                <w:lang w:eastAsia="zh-CN"/>
              </w:rPr>
            </w:pPr>
            <w:r>
              <w:rPr>
                <w:rFonts w:hint="eastAsia" w:ascii="宋体" w:hAnsi="宋体" w:eastAsia="宋体" w:cs="宋体"/>
                <w:snapToGrid w:val="0"/>
                <w:color w:val="auto"/>
                <w:szCs w:val="21"/>
                <w:highlight w:val="none"/>
                <w:lang w:val="en-US" w:eastAsia="zh-CN"/>
              </w:rPr>
              <w:t>1</w:t>
            </w:r>
          </w:p>
        </w:tc>
        <w:tc>
          <w:tcPr>
            <w:tcW w:w="1984" w:type="dxa"/>
            <w:vMerge w:val="restart"/>
            <w:noWrap w:val="0"/>
            <w:vAlign w:val="center"/>
          </w:tcPr>
          <w:p w14:paraId="418F2C9B">
            <w:pPr>
              <w:rPr>
                <w:rFonts w:hint="eastAsia" w:ascii="宋体" w:hAnsi="宋体" w:eastAsia="宋体" w:cs="宋体"/>
                <w:snapToGrid w:val="0"/>
                <w:color w:val="auto"/>
                <w:szCs w:val="21"/>
                <w:highlight w:val="none"/>
              </w:rPr>
            </w:pPr>
            <w:r>
              <w:rPr>
                <w:rFonts w:ascii="Segoe UI Emoji" w:hAnsi="Segoe UI Emoji" w:eastAsia="宋体" w:cs="Segoe UI Emoji"/>
                <w:b/>
                <w:bCs/>
                <w:snapToGrid w:val="0"/>
                <w:color w:val="auto"/>
                <w:highlight w:val="none"/>
              </w:rPr>
              <w:t>☑</w:t>
            </w:r>
            <w:r>
              <w:rPr>
                <w:rFonts w:hint="eastAsia" w:ascii="宋体" w:hAnsi="宋体" w:eastAsia="宋体" w:cs="宋体"/>
                <w:snapToGrid w:val="0"/>
                <w:color w:val="auto"/>
                <w:szCs w:val="21"/>
                <w:highlight w:val="none"/>
              </w:rPr>
              <w:t>施工项目部</w:t>
            </w:r>
          </w:p>
        </w:tc>
        <w:tc>
          <w:tcPr>
            <w:tcW w:w="3253" w:type="dxa"/>
            <w:noWrap w:val="0"/>
            <w:vAlign w:val="center"/>
          </w:tcPr>
          <w:p w14:paraId="76BF7B52">
            <w:pPr>
              <w:jc w:val="center"/>
              <w:rPr>
                <w:rFonts w:hint="eastAsia" w:ascii="宋体" w:hAnsi="宋体" w:eastAsia="宋体" w:cs="宋体"/>
                <w:dstrike/>
                <w:snapToGrid w:val="0"/>
                <w:color w:val="auto"/>
                <w:szCs w:val="21"/>
                <w:highlight w:val="none"/>
              </w:rPr>
            </w:pPr>
            <w:r>
              <w:rPr>
                <w:rFonts w:hint="eastAsia" w:ascii="宋体" w:hAnsi="宋体" w:eastAsia="宋体" w:cs="宋体"/>
                <w:snapToGrid w:val="0"/>
                <w:color w:val="auto"/>
                <w:szCs w:val="21"/>
                <w:highlight w:val="none"/>
              </w:rPr>
              <w:t>更换施工负责人或空缺</w:t>
            </w:r>
          </w:p>
        </w:tc>
        <w:tc>
          <w:tcPr>
            <w:tcW w:w="1260" w:type="dxa"/>
            <w:noWrap w:val="0"/>
            <w:vAlign w:val="center"/>
          </w:tcPr>
          <w:p w14:paraId="71871861">
            <w:pPr>
              <w:rPr>
                <w:rFonts w:hint="eastAsia" w:ascii="宋体" w:hAnsi="宋体" w:eastAsia="宋体" w:cs="宋体"/>
                <w:dstrike/>
                <w:snapToGrid w:val="0"/>
                <w:color w:val="auto"/>
                <w:szCs w:val="21"/>
                <w:highlight w:val="none"/>
              </w:rPr>
            </w:pPr>
            <w:r>
              <w:rPr>
                <w:rFonts w:ascii="Segoe UI Emoji" w:hAnsi="Segoe UI Emoji" w:eastAsia="宋体" w:cs="Segoe UI Emoji"/>
                <w:b/>
                <w:bCs/>
                <w:snapToGrid w:val="0"/>
                <w:color w:val="auto"/>
                <w:highlight w:val="none"/>
              </w:rPr>
              <w:t>☑</w:t>
            </w:r>
            <w:r>
              <w:rPr>
                <w:rFonts w:hint="eastAsia" w:ascii="宋体" w:hAnsi="宋体" w:eastAsia="宋体" w:cs="宋体"/>
                <w:snapToGrid w:val="0"/>
                <w:color w:val="auto"/>
                <w:szCs w:val="21"/>
                <w:highlight w:val="none"/>
              </w:rPr>
              <w:t>200000</w:t>
            </w:r>
          </w:p>
        </w:tc>
        <w:tc>
          <w:tcPr>
            <w:tcW w:w="1260" w:type="dxa"/>
            <w:noWrap w:val="0"/>
            <w:vAlign w:val="center"/>
          </w:tcPr>
          <w:p w14:paraId="24E7DC41">
            <w:pPr>
              <w:rPr>
                <w:rFonts w:hint="eastAsia" w:ascii="宋体" w:hAnsi="宋体" w:eastAsia="宋体" w:cs="宋体"/>
                <w:dstrike/>
                <w:snapToGrid w:val="0"/>
                <w:color w:val="auto"/>
                <w:szCs w:val="21"/>
                <w:highlight w:val="none"/>
              </w:rPr>
            </w:pPr>
            <w:r>
              <w:rPr>
                <w:rFonts w:hint="eastAsia" w:ascii="宋体" w:hAnsi="宋体" w:eastAsia="宋体" w:cs="宋体"/>
                <w:snapToGrid w:val="0"/>
                <w:color w:val="auto"/>
                <w:szCs w:val="21"/>
                <w:highlight w:val="none"/>
              </w:rPr>
              <w:t>□300000</w:t>
            </w:r>
          </w:p>
        </w:tc>
        <w:tc>
          <w:tcPr>
            <w:tcW w:w="1260" w:type="dxa"/>
            <w:noWrap w:val="0"/>
            <w:vAlign w:val="center"/>
          </w:tcPr>
          <w:p w14:paraId="5D36B2CE">
            <w:pPr>
              <w:rPr>
                <w:rFonts w:hint="eastAsia" w:ascii="宋体" w:hAnsi="宋体" w:eastAsia="宋体" w:cs="宋体"/>
                <w:dstrike/>
                <w:snapToGrid w:val="0"/>
                <w:color w:val="auto"/>
                <w:szCs w:val="21"/>
                <w:highlight w:val="none"/>
              </w:rPr>
            </w:pPr>
            <w:r>
              <w:rPr>
                <w:rFonts w:hint="eastAsia" w:ascii="宋体" w:hAnsi="宋体" w:eastAsia="宋体" w:cs="宋体"/>
                <w:snapToGrid w:val="0"/>
                <w:color w:val="auto"/>
                <w:szCs w:val="21"/>
                <w:highlight w:val="none"/>
              </w:rPr>
              <w:t>□500000</w:t>
            </w:r>
          </w:p>
        </w:tc>
      </w:tr>
      <w:tr w14:paraId="3E9A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3" w:type="dxa"/>
            <w:vMerge w:val="continue"/>
            <w:noWrap w:val="0"/>
            <w:vAlign w:val="center"/>
          </w:tcPr>
          <w:p w14:paraId="464171FB">
            <w:pPr>
              <w:ind w:firstLine="420"/>
              <w:jc w:val="center"/>
              <w:rPr>
                <w:rFonts w:hint="eastAsia" w:ascii="宋体" w:hAnsi="宋体" w:eastAsia="宋体" w:cs="宋体"/>
                <w:snapToGrid w:val="0"/>
                <w:color w:val="auto"/>
                <w:szCs w:val="21"/>
                <w:highlight w:val="none"/>
              </w:rPr>
            </w:pPr>
          </w:p>
        </w:tc>
        <w:tc>
          <w:tcPr>
            <w:tcW w:w="1984" w:type="dxa"/>
            <w:vMerge w:val="continue"/>
            <w:noWrap w:val="0"/>
            <w:vAlign w:val="center"/>
          </w:tcPr>
          <w:p w14:paraId="3F65D64B">
            <w:pPr>
              <w:ind w:firstLine="420"/>
              <w:rPr>
                <w:rFonts w:hint="eastAsia" w:ascii="宋体" w:hAnsi="宋体" w:eastAsia="宋体" w:cs="宋体"/>
                <w:snapToGrid w:val="0"/>
                <w:color w:val="auto"/>
                <w:szCs w:val="21"/>
                <w:highlight w:val="none"/>
              </w:rPr>
            </w:pPr>
          </w:p>
        </w:tc>
        <w:tc>
          <w:tcPr>
            <w:tcW w:w="3253" w:type="dxa"/>
            <w:noWrap w:val="0"/>
            <w:vAlign w:val="center"/>
          </w:tcPr>
          <w:p w14:paraId="634DC0CF">
            <w:pPr>
              <w:jc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更换项目副经理或空缺</w:t>
            </w:r>
          </w:p>
        </w:tc>
        <w:tc>
          <w:tcPr>
            <w:tcW w:w="1260" w:type="dxa"/>
            <w:noWrap w:val="0"/>
            <w:vAlign w:val="center"/>
          </w:tcPr>
          <w:p w14:paraId="41B8D5F4">
            <w:pPr>
              <w:rPr>
                <w:rFonts w:hint="eastAsia" w:ascii="宋体" w:hAnsi="宋体" w:eastAsia="宋体" w:cs="宋体"/>
                <w:snapToGrid w:val="0"/>
                <w:color w:val="auto"/>
                <w:szCs w:val="21"/>
                <w:highlight w:val="none"/>
              </w:rPr>
            </w:pPr>
            <w:r>
              <w:rPr>
                <w:rFonts w:ascii="Segoe UI Emoji" w:hAnsi="Segoe UI Emoji" w:eastAsia="宋体" w:cs="Segoe UI Emoji"/>
                <w:b/>
                <w:bCs/>
                <w:snapToGrid w:val="0"/>
                <w:color w:val="auto"/>
                <w:highlight w:val="none"/>
              </w:rPr>
              <w:t>☑</w:t>
            </w:r>
            <w:r>
              <w:rPr>
                <w:rFonts w:hint="eastAsia" w:ascii="宋体" w:hAnsi="宋体" w:eastAsia="宋体" w:cs="宋体"/>
                <w:snapToGrid w:val="0"/>
                <w:color w:val="auto"/>
                <w:szCs w:val="21"/>
                <w:highlight w:val="none"/>
              </w:rPr>
              <w:t>150000</w:t>
            </w:r>
          </w:p>
        </w:tc>
        <w:tc>
          <w:tcPr>
            <w:tcW w:w="1260" w:type="dxa"/>
            <w:noWrap w:val="0"/>
            <w:vAlign w:val="center"/>
          </w:tcPr>
          <w:p w14:paraId="025BFEDD">
            <w:pP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□250000</w:t>
            </w:r>
          </w:p>
        </w:tc>
        <w:tc>
          <w:tcPr>
            <w:tcW w:w="1260" w:type="dxa"/>
            <w:noWrap w:val="0"/>
            <w:vAlign w:val="center"/>
          </w:tcPr>
          <w:p w14:paraId="1368E6F9">
            <w:pP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□350000</w:t>
            </w:r>
          </w:p>
        </w:tc>
      </w:tr>
      <w:tr w14:paraId="2F076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3" w:type="dxa"/>
            <w:vMerge w:val="continue"/>
            <w:noWrap w:val="0"/>
            <w:vAlign w:val="center"/>
          </w:tcPr>
          <w:p w14:paraId="3CEBFA3B">
            <w:pPr>
              <w:ind w:firstLine="420"/>
              <w:jc w:val="center"/>
              <w:rPr>
                <w:rFonts w:hint="eastAsia" w:ascii="宋体" w:hAnsi="宋体" w:eastAsia="宋体" w:cs="宋体"/>
                <w:snapToGrid w:val="0"/>
                <w:color w:val="auto"/>
                <w:szCs w:val="21"/>
                <w:highlight w:val="none"/>
              </w:rPr>
            </w:pPr>
          </w:p>
        </w:tc>
        <w:tc>
          <w:tcPr>
            <w:tcW w:w="1984" w:type="dxa"/>
            <w:vMerge w:val="continue"/>
            <w:noWrap w:val="0"/>
            <w:vAlign w:val="center"/>
          </w:tcPr>
          <w:p w14:paraId="4E247182">
            <w:pPr>
              <w:ind w:firstLine="420"/>
              <w:rPr>
                <w:rFonts w:hint="eastAsia" w:ascii="宋体" w:hAnsi="宋体" w:eastAsia="宋体" w:cs="宋体"/>
                <w:snapToGrid w:val="0"/>
                <w:color w:val="auto"/>
                <w:szCs w:val="21"/>
                <w:highlight w:val="none"/>
              </w:rPr>
            </w:pPr>
          </w:p>
        </w:tc>
        <w:tc>
          <w:tcPr>
            <w:tcW w:w="3253" w:type="dxa"/>
            <w:noWrap w:val="0"/>
            <w:vAlign w:val="center"/>
          </w:tcPr>
          <w:p w14:paraId="2B3F392A">
            <w:pPr>
              <w:jc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更换安全员或其他人或空缺</w:t>
            </w:r>
          </w:p>
        </w:tc>
        <w:tc>
          <w:tcPr>
            <w:tcW w:w="1260" w:type="dxa"/>
            <w:noWrap w:val="0"/>
            <w:vAlign w:val="center"/>
          </w:tcPr>
          <w:p w14:paraId="7160BFD4">
            <w:pPr>
              <w:rPr>
                <w:rFonts w:hint="eastAsia" w:ascii="宋体" w:hAnsi="宋体" w:eastAsia="宋体" w:cs="宋体"/>
                <w:snapToGrid w:val="0"/>
                <w:color w:val="auto"/>
                <w:szCs w:val="21"/>
                <w:highlight w:val="none"/>
              </w:rPr>
            </w:pPr>
            <w:r>
              <w:rPr>
                <w:rFonts w:ascii="Segoe UI Emoji" w:hAnsi="Segoe UI Emoji" w:eastAsia="宋体" w:cs="Segoe UI Emoji"/>
                <w:b/>
                <w:bCs/>
                <w:snapToGrid w:val="0"/>
                <w:color w:val="auto"/>
                <w:highlight w:val="none"/>
              </w:rPr>
              <w:t>☑</w:t>
            </w:r>
            <w:r>
              <w:rPr>
                <w:rFonts w:hint="eastAsia" w:ascii="宋体" w:hAnsi="宋体" w:eastAsia="宋体" w:cs="宋体"/>
                <w:snapToGrid w:val="0"/>
                <w:color w:val="auto"/>
                <w:szCs w:val="21"/>
                <w:highlight w:val="none"/>
              </w:rPr>
              <w:t xml:space="preserve"> 50000</w:t>
            </w:r>
          </w:p>
        </w:tc>
        <w:tc>
          <w:tcPr>
            <w:tcW w:w="1260" w:type="dxa"/>
            <w:noWrap w:val="0"/>
            <w:vAlign w:val="center"/>
          </w:tcPr>
          <w:p w14:paraId="35BB1EFC">
            <w:pP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□100000</w:t>
            </w:r>
          </w:p>
        </w:tc>
        <w:tc>
          <w:tcPr>
            <w:tcW w:w="1260" w:type="dxa"/>
            <w:noWrap w:val="0"/>
            <w:vAlign w:val="center"/>
          </w:tcPr>
          <w:p w14:paraId="13B8ACEB">
            <w:pP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□200000</w:t>
            </w:r>
          </w:p>
        </w:tc>
      </w:tr>
      <w:tr w14:paraId="49A9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3" w:type="dxa"/>
            <w:vMerge w:val="restart"/>
            <w:noWrap w:val="0"/>
            <w:vAlign w:val="center"/>
          </w:tcPr>
          <w:p w14:paraId="31BE1BCA">
            <w:pPr>
              <w:jc w:val="center"/>
              <w:rPr>
                <w:rFonts w:hint="eastAsia" w:ascii="宋体" w:hAnsi="宋体" w:eastAsia="宋体" w:cs="宋体"/>
                <w:snapToGrid w:val="0"/>
                <w:color w:val="auto"/>
                <w:szCs w:val="21"/>
                <w:highlight w:val="none"/>
                <w:lang w:eastAsia="zh-CN"/>
              </w:rPr>
            </w:pPr>
            <w:r>
              <w:rPr>
                <w:rFonts w:hint="eastAsia" w:ascii="宋体" w:hAnsi="宋体" w:eastAsia="宋体" w:cs="宋体"/>
                <w:snapToGrid w:val="0"/>
                <w:color w:val="auto"/>
                <w:szCs w:val="21"/>
                <w:highlight w:val="none"/>
                <w:lang w:val="en-US" w:eastAsia="zh-CN"/>
              </w:rPr>
              <w:t>2</w:t>
            </w:r>
          </w:p>
        </w:tc>
        <w:tc>
          <w:tcPr>
            <w:tcW w:w="1984" w:type="dxa"/>
            <w:vMerge w:val="restart"/>
            <w:noWrap w:val="0"/>
            <w:vAlign w:val="center"/>
          </w:tcPr>
          <w:p w14:paraId="43296113">
            <w:pPr>
              <w:rPr>
                <w:rFonts w:hint="eastAsia" w:ascii="宋体" w:hAnsi="宋体" w:eastAsia="宋体" w:cs="宋体"/>
                <w:snapToGrid w:val="0"/>
                <w:color w:val="auto"/>
                <w:szCs w:val="21"/>
                <w:highlight w:val="none"/>
              </w:rPr>
            </w:pPr>
            <w:r>
              <w:rPr>
                <w:rFonts w:ascii="Segoe UI Emoji" w:hAnsi="Segoe UI Emoji" w:eastAsia="宋体" w:cs="Segoe UI Emoji"/>
                <w:b/>
                <w:bCs/>
                <w:snapToGrid w:val="0"/>
                <w:color w:val="auto"/>
                <w:highlight w:val="none"/>
              </w:rPr>
              <w:t>☑</w:t>
            </w:r>
            <w:r>
              <w:rPr>
                <w:rFonts w:hint="eastAsia" w:ascii="宋体" w:hAnsi="宋体" w:eastAsia="宋体" w:cs="宋体"/>
                <w:snapToGrid w:val="0"/>
                <w:color w:val="auto"/>
                <w:szCs w:val="21"/>
                <w:highlight w:val="none"/>
              </w:rPr>
              <w:t>材料管理部</w:t>
            </w:r>
          </w:p>
        </w:tc>
        <w:tc>
          <w:tcPr>
            <w:tcW w:w="3253" w:type="dxa"/>
            <w:noWrap w:val="0"/>
            <w:vAlign w:val="center"/>
          </w:tcPr>
          <w:p w14:paraId="209E548E">
            <w:pPr>
              <w:jc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更换部门经理或空缺</w:t>
            </w:r>
          </w:p>
        </w:tc>
        <w:tc>
          <w:tcPr>
            <w:tcW w:w="1260" w:type="dxa"/>
            <w:noWrap w:val="0"/>
            <w:vAlign w:val="center"/>
          </w:tcPr>
          <w:p w14:paraId="28FA05C1">
            <w:pPr>
              <w:rPr>
                <w:rFonts w:hint="eastAsia" w:ascii="宋体" w:hAnsi="宋体" w:eastAsia="宋体" w:cs="宋体"/>
                <w:snapToGrid w:val="0"/>
                <w:color w:val="auto"/>
                <w:szCs w:val="21"/>
                <w:highlight w:val="none"/>
              </w:rPr>
            </w:pPr>
            <w:r>
              <w:rPr>
                <w:rFonts w:ascii="Segoe UI Emoji" w:hAnsi="Segoe UI Emoji" w:eastAsia="宋体" w:cs="Segoe UI Emoji"/>
                <w:b/>
                <w:bCs/>
                <w:snapToGrid w:val="0"/>
                <w:color w:val="auto"/>
                <w:highlight w:val="none"/>
              </w:rPr>
              <w:t>☑</w:t>
            </w:r>
            <w:r>
              <w:rPr>
                <w:rFonts w:hint="eastAsia" w:ascii="宋体" w:hAnsi="宋体" w:eastAsia="宋体" w:cs="宋体"/>
                <w:snapToGrid w:val="0"/>
                <w:color w:val="auto"/>
                <w:szCs w:val="21"/>
                <w:highlight w:val="none"/>
              </w:rPr>
              <w:t>150000</w:t>
            </w:r>
          </w:p>
        </w:tc>
        <w:tc>
          <w:tcPr>
            <w:tcW w:w="1260" w:type="dxa"/>
            <w:noWrap w:val="0"/>
            <w:vAlign w:val="center"/>
          </w:tcPr>
          <w:p w14:paraId="35E36D64">
            <w:pP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□250000</w:t>
            </w:r>
          </w:p>
        </w:tc>
        <w:tc>
          <w:tcPr>
            <w:tcW w:w="1260" w:type="dxa"/>
            <w:noWrap w:val="0"/>
            <w:vAlign w:val="center"/>
          </w:tcPr>
          <w:p w14:paraId="2BCA3F00">
            <w:pP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□350000</w:t>
            </w:r>
          </w:p>
        </w:tc>
      </w:tr>
      <w:tr w14:paraId="5F33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3" w:type="dxa"/>
            <w:vMerge w:val="continue"/>
            <w:noWrap w:val="0"/>
            <w:vAlign w:val="center"/>
          </w:tcPr>
          <w:p w14:paraId="04FB2974">
            <w:pPr>
              <w:ind w:firstLine="420"/>
              <w:jc w:val="center"/>
              <w:rPr>
                <w:rFonts w:hint="eastAsia" w:ascii="宋体" w:hAnsi="宋体" w:eastAsia="宋体" w:cs="宋体"/>
                <w:snapToGrid w:val="0"/>
                <w:color w:val="auto"/>
                <w:szCs w:val="21"/>
                <w:highlight w:val="none"/>
              </w:rPr>
            </w:pPr>
          </w:p>
        </w:tc>
        <w:tc>
          <w:tcPr>
            <w:tcW w:w="1984" w:type="dxa"/>
            <w:vMerge w:val="continue"/>
            <w:noWrap w:val="0"/>
            <w:vAlign w:val="center"/>
          </w:tcPr>
          <w:p w14:paraId="661D2065">
            <w:pPr>
              <w:ind w:firstLine="420"/>
              <w:rPr>
                <w:rFonts w:hint="eastAsia" w:ascii="宋体" w:hAnsi="宋体" w:eastAsia="宋体" w:cs="宋体"/>
                <w:snapToGrid w:val="0"/>
                <w:color w:val="auto"/>
                <w:szCs w:val="21"/>
                <w:highlight w:val="none"/>
              </w:rPr>
            </w:pPr>
          </w:p>
        </w:tc>
        <w:tc>
          <w:tcPr>
            <w:tcW w:w="3253" w:type="dxa"/>
            <w:noWrap w:val="0"/>
            <w:vAlign w:val="center"/>
          </w:tcPr>
          <w:p w14:paraId="49F4053A">
            <w:pPr>
              <w:jc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更换其他人或空缺</w:t>
            </w:r>
          </w:p>
        </w:tc>
        <w:tc>
          <w:tcPr>
            <w:tcW w:w="1260" w:type="dxa"/>
            <w:noWrap w:val="0"/>
            <w:vAlign w:val="center"/>
          </w:tcPr>
          <w:p w14:paraId="363B3C46">
            <w:pPr>
              <w:rPr>
                <w:rFonts w:hint="eastAsia" w:ascii="宋体" w:hAnsi="宋体" w:eastAsia="宋体" w:cs="宋体"/>
                <w:snapToGrid w:val="0"/>
                <w:color w:val="auto"/>
                <w:szCs w:val="21"/>
                <w:highlight w:val="none"/>
              </w:rPr>
            </w:pPr>
            <w:r>
              <w:rPr>
                <w:rFonts w:ascii="Segoe UI Emoji" w:hAnsi="Segoe UI Emoji" w:eastAsia="宋体" w:cs="Segoe UI Emoji"/>
                <w:b/>
                <w:bCs/>
                <w:snapToGrid w:val="0"/>
                <w:color w:val="auto"/>
                <w:highlight w:val="none"/>
              </w:rPr>
              <w:t>☑</w:t>
            </w:r>
            <w:r>
              <w:rPr>
                <w:rFonts w:hint="eastAsia" w:ascii="宋体" w:hAnsi="宋体" w:eastAsia="宋体" w:cs="宋体"/>
                <w:snapToGrid w:val="0"/>
                <w:color w:val="auto"/>
                <w:szCs w:val="21"/>
                <w:highlight w:val="none"/>
              </w:rPr>
              <w:t>50000</w:t>
            </w:r>
          </w:p>
        </w:tc>
        <w:tc>
          <w:tcPr>
            <w:tcW w:w="1260" w:type="dxa"/>
            <w:noWrap w:val="0"/>
            <w:vAlign w:val="center"/>
          </w:tcPr>
          <w:p w14:paraId="6C7275FD">
            <w:pP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□100000</w:t>
            </w:r>
          </w:p>
        </w:tc>
        <w:tc>
          <w:tcPr>
            <w:tcW w:w="1260" w:type="dxa"/>
            <w:noWrap w:val="0"/>
            <w:vAlign w:val="center"/>
          </w:tcPr>
          <w:p w14:paraId="437F0AD5">
            <w:pP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□200000</w:t>
            </w:r>
          </w:p>
        </w:tc>
      </w:tr>
    </w:tbl>
    <w:p w14:paraId="26117BF8">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lang w:val="en-US" w:eastAsia="zh-CN"/>
        </w:rPr>
        <w:t>2</w:t>
      </w:r>
      <w:r>
        <w:rPr>
          <w:rFonts w:hint="eastAsia" w:ascii="宋体" w:hAnsi="宋体" w:eastAsia="宋体" w:cs="宋体"/>
          <w:snapToGrid w:val="0"/>
          <w:color w:val="auto"/>
          <w:kern w:val="0"/>
          <w:sz w:val="24"/>
          <w:highlight w:val="none"/>
        </w:rPr>
        <w:t>）经发包人或监理单位抽查发现承包人未按规定办理用工实名制的,发包人有权要求承包人承担一般违约责任处罚/次。</w:t>
      </w:r>
    </w:p>
    <w:p w14:paraId="3D93DD9E">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lang w:val="en-US" w:eastAsia="zh-CN"/>
        </w:rPr>
        <w:t>3</w:t>
      </w:r>
      <w:r>
        <w:rPr>
          <w:rFonts w:hint="eastAsia" w:ascii="宋体" w:hAnsi="宋体" w:eastAsia="宋体" w:cs="宋体"/>
          <w:snapToGrid w:val="0"/>
          <w:color w:val="auto"/>
          <w:kern w:val="0"/>
          <w:sz w:val="24"/>
          <w:highlight w:val="none"/>
        </w:rPr>
        <w:t>）承包人在发包人组织的考评中不合格的，必须按照考评通报的要求限期改正，发包人有权要求承包人承担1次一般违约责任处罚。</w:t>
      </w:r>
    </w:p>
    <w:p w14:paraId="7AEFED7B">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lang w:val="en-US" w:eastAsia="zh-CN"/>
        </w:rPr>
        <w:t>4</w:t>
      </w:r>
      <w:r>
        <w:rPr>
          <w:rFonts w:hint="eastAsia" w:ascii="宋体" w:hAnsi="宋体" w:eastAsia="宋体" w:cs="宋体"/>
          <w:snapToGrid w:val="0"/>
          <w:color w:val="auto"/>
          <w:kern w:val="0"/>
          <w:sz w:val="24"/>
          <w:highlight w:val="none"/>
        </w:rPr>
        <w:t>）若经发包人审查所投入的施工班组人员未能满足本工程的要求，发包人有权提出调整施工班组以满足本工程的需要，承包人在收到书面通知后，5天内未整改并征得发包人批复同意，发包人有权要求承包人承担一般违约责任处罚/次。</w:t>
      </w:r>
    </w:p>
    <w:p w14:paraId="5A4CFEEF">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w:t>
      </w:r>
      <w:r>
        <w:rPr>
          <w:rFonts w:hint="eastAsia" w:ascii="宋体" w:hAnsi="宋体" w:eastAsia="宋体" w:cs="宋体"/>
          <w:bCs/>
          <w:snapToGrid w:val="0"/>
          <w:color w:val="auto"/>
          <w:kern w:val="0"/>
          <w:sz w:val="24"/>
          <w:highlight w:val="none"/>
          <w:lang w:val="en-US" w:eastAsia="zh-CN"/>
        </w:rPr>
        <w:t>5</w:t>
      </w:r>
      <w:r>
        <w:rPr>
          <w:rFonts w:hint="eastAsia" w:ascii="宋体" w:hAnsi="宋体" w:eastAsia="宋体" w:cs="宋体"/>
          <w:bCs/>
          <w:snapToGrid w:val="0"/>
          <w:color w:val="auto"/>
          <w:kern w:val="0"/>
          <w:sz w:val="24"/>
          <w:highlight w:val="none"/>
        </w:rPr>
        <w:t>）承包人在履行合同过程中贿赂发包人人员的，视为不正当竞争，发包人有权要求承包人承担较大违约责任处罚1次；情节严重的，发包人有权要求承包人承担严重违约责任处罚1次；情节特别严重的，发包人有权要求承包人承担根本违约责任处罚；涉嫌犯罪的，移交司法部门处理。</w:t>
      </w:r>
    </w:p>
    <w:p w14:paraId="0B3B7B08">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w:t>
      </w:r>
      <w:r>
        <w:rPr>
          <w:rFonts w:hint="eastAsia" w:ascii="宋体" w:hAnsi="宋体" w:eastAsia="宋体" w:cs="宋体"/>
          <w:bCs/>
          <w:snapToGrid w:val="0"/>
          <w:color w:val="auto"/>
          <w:kern w:val="0"/>
          <w:sz w:val="24"/>
          <w:highlight w:val="none"/>
          <w:lang w:val="en-US" w:eastAsia="zh-CN"/>
        </w:rPr>
        <w:t>6</w:t>
      </w:r>
      <w:r>
        <w:rPr>
          <w:rFonts w:hint="eastAsia" w:ascii="宋体" w:hAnsi="宋体" w:eastAsia="宋体" w:cs="宋体"/>
          <w:bCs/>
          <w:snapToGrid w:val="0"/>
          <w:color w:val="auto"/>
          <w:kern w:val="0"/>
          <w:sz w:val="24"/>
          <w:highlight w:val="none"/>
        </w:rPr>
        <w:t>）承包人单方面终止或解除本合同的，应参照合同专用条款1.20款承担违约责任并向发包人赔偿损失。</w:t>
      </w:r>
    </w:p>
    <w:p w14:paraId="69F48BF7">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w:t>
      </w:r>
      <w:r>
        <w:rPr>
          <w:rFonts w:hint="eastAsia" w:ascii="宋体" w:hAnsi="宋体" w:eastAsia="宋体" w:cs="宋体"/>
          <w:bCs/>
          <w:snapToGrid w:val="0"/>
          <w:color w:val="auto"/>
          <w:kern w:val="0"/>
          <w:sz w:val="24"/>
          <w:highlight w:val="none"/>
          <w:lang w:val="en-US" w:eastAsia="zh-CN"/>
        </w:rPr>
        <w:t>7</w:t>
      </w:r>
      <w:r>
        <w:rPr>
          <w:rFonts w:hint="eastAsia" w:ascii="宋体" w:hAnsi="宋体" w:eastAsia="宋体" w:cs="宋体"/>
          <w:bCs/>
          <w:snapToGrid w:val="0"/>
          <w:color w:val="auto"/>
          <w:kern w:val="0"/>
          <w:sz w:val="24"/>
          <w:highlight w:val="none"/>
        </w:rPr>
        <w:t>）对于发包人通知承包人（包括承包人分包单位）参加的会议，应参会人员未经发包人同意自行缺席的，发包人进行警告，警告3人次后仍缺席的，承包人承担1次一般违约责任处罚。</w:t>
      </w:r>
    </w:p>
    <w:p w14:paraId="3072DE5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38.5工期延误方面的违约责任</w:t>
      </w:r>
    </w:p>
    <w:p w14:paraId="19678A7B">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（1）因承包人原因导致未按合同协议书第三条约定而延期开工、关键工期节点/竣工交付延期的，每逾期10天承包人须承担1次较大违约责任处罚。逾期30天以上的，发包人有权要求承包人承担根本违约责任。</w:t>
      </w:r>
    </w:p>
    <w:p w14:paraId="7B26DD1C">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snapToGrid w:val="0"/>
          <w:color w:val="auto"/>
          <w:kern w:val="0"/>
          <w:sz w:val="24"/>
          <w:highlight w:val="none"/>
        </w:rPr>
        <w:t>（2）承包人违反通用及专用条款第10.1款的约定，延期交付工程进度计划，延期3天以内的（含3天），发包人给予书面警告；延期4～7天的，承包人应承担1次一般违约责任处罚；延期8～10天的，承包人应承担1次较大违约责任处罚；延期11天以上的（含11天），承包人应承担1次严重违约责任处罚。</w:t>
      </w:r>
    </w:p>
    <w:p w14:paraId="4C0D0D7C">
      <w:pPr>
        <w:adjustRightInd w:val="0"/>
        <w:snapToGrid w:val="0"/>
        <w:spacing w:line="360" w:lineRule="auto"/>
        <w:ind w:right="11"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38.6材料设备管理方面的违约责任</w:t>
      </w:r>
    </w:p>
    <w:p w14:paraId="28C3E03B">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发包人（包括发包人委托的材料设备检验机构）或总监理工程师抽查承包人的工程材料设备，发现所检查的材料与合同约定标准的任何一项不符合时，承包人除必须全部退货、返工，并赔偿发包人由此遭受的实际损失外，还应当根据该批次材料的价值，按照如下约定承担违约责任：</w:t>
      </w:r>
    </w:p>
    <w:p w14:paraId="3CD109F6">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1）单宗或批次价值不到5万元的材料设备抽检不合格的，每发生3例，发包人有权要求承包人承担1次一般违约责任处罚。</w:t>
      </w:r>
    </w:p>
    <w:p w14:paraId="6F925B14">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2）单宗或批次价值达到5万元不到10万元的材料设备抽检不合格的，每发生1例，发包人有权要求承包人承担1次一般违约责任处罚。</w:t>
      </w:r>
    </w:p>
    <w:p w14:paraId="0F0C3945">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3）单宗或批次价值达到10万元不到50万元的材料设备抽检不合格的，每发生1例，发包人有权要求承包人承担1次较大违约责任处罚。</w:t>
      </w:r>
    </w:p>
    <w:p w14:paraId="0A8ED286">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4）单宗或批次价值达到50万元以上的材料设备抽检不合格的，每发生1例。发包人有权要求承包人承担1次严重违约责任处罚。</w:t>
      </w:r>
    </w:p>
    <w:p w14:paraId="1F3616FD">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承包人必须保证用于本工程所有的材料设备的品牌、型号、规格、质量等符合本合同及招投标文件或公开择优竞价文件的要求。如发生不符合上述要求的情况（属于不可抗力或不可归责于承包人事由造成的除外），承包人必须无条件在发包人限定的时间内全部更换为符合要求的产品，并且发包人有权要求承包人承担一般违约责任处罚/次。因此给发包人造成损失的，由承包人负责赔偿；同时，发包人有权将承包人的上述行为通过媒体公开披露，并移送有关主管部门依法处理。</w:t>
      </w:r>
    </w:p>
    <w:p w14:paraId="00235467">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承包人不按专用条款约定对用于本工程的材料设备进行管理的，视同不服从发包人及监理单位管理；发包人有权要求承包人承担一般违约责任处罚/次。给发包人造成损失的，承包人应赔偿发包人的全部损失。同时发包人有权暂停支付本工程进度款，直到承包人完成相关工作为止。</w:t>
      </w:r>
    </w:p>
    <w:p w14:paraId="780DE4B6">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承包人使用的设备材料应充分了解到本工程全面开工所需的设备投入要求，且在选定后经发包人审查同意方可进场。若承包人的材料设备未按约定的时间投入或发包人要求时间投入，在收到书面通知后，5天内未整改完成并征得发包人批复同意，发包人有权要求承包人承担较大违约责任处罚/次。</w:t>
      </w:r>
    </w:p>
    <w:p w14:paraId="18E0C9B9">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承包人采购进场的建筑材料和设备应确保质量合格，若承包人采购进场的建筑材料和设备检测结果为不合格（或无效）造成复检、扩检或采用其他检测手段检测仍然不合格的，承包人除应承担复检的费用外，发包人有权要求承包人承担一般违约责任处罚/次。</w:t>
      </w:r>
    </w:p>
    <w:p w14:paraId="6DD72558">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若经发包人审查所投入的主要机械及材料未能满足本工程的要求，发包人有权提出调整设备投入以满足本工程的需要，在收到书面通知后，若承包人5天内未整改完成并征得发包人批复同意，发包人有权要求承包人承担一般违约责任处罚/次。</w:t>
      </w:r>
    </w:p>
    <w:p w14:paraId="22555788">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38.7工程质量方面的违约责任</w:t>
      </w:r>
    </w:p>
    <w:p w14:paraId="454BA358">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承包人必须对各工序报验核查质量控制点。承包人申请报验后，经总监理工程师或发包人检查发现存在较大质量问题（存在质量问题的部分超过检查部分工程的10%）的，则该工序质量为不合格，承包人必须对不合格部分进行返工，返工后经检查合格才准进入下一工序，工期不予顺延。复检的结果，按每一分项工程计算，总计发现3次或连续发现2次质量控制点不合格的，发包人有权要求承包人承担1次一般违约责任处罚；总计发现3次以上（不含本数）或连续发现2次以上（不含本数）质量控制点不合格的，发包人有权要求承包人承担1次较大违约责任处罚；承包人采取整改措施后效果仍不明显的，发包人有权要求承包人承担1次严重违约责任处罚，且发包人有权将该分项工程另行发包，且不免除承包人应承担的违约赔偿责任。</w:t>
      </w:r>
    </w:p>
    <w:p w14:paraId="24564DBB">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工程竣工验收不符合国家强制性标准及规范要求或者未能实现一次验收合格的，发包人有权要求承包人承担1次严重违约责任处罚，并无偿采取补救措施及赔偿发包人的直接损失及间接损失，还应承担由此引起的一切责任。</w:t>
      </w:r>
    </w:p>
    <w:p w14:paraId="4C8231FE">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在本工程质量保修期内发现有重大质量问题的（该重大质量问题应界定为达不到要求的质量标准，属质量保修的问题除外），承包人必须在规定的期限内返工达到合同约定的质量等级并赔偿由此给发包人造成的损失，同时承担1次严重违约责任处罚。</w:t>
      </w:r>
    </w:p>
    <w:p w14:paraId="4ED13C33">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（4）由于承包人的原因发生工程质量事故的，承担一次严重违约责任处罚1次，承包人应全额赔偿发包人的损失并承担相关法律责任。</w:t>
      </w:r>
    </w:p>
    <w:p w14:paraId="0DD99084">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除上述约定之外，发包人、监理单位在施工过程中检查发现质量隐患、质量问题，或承包人未按发包人的要求及时整改、整改不到位，发包人有权要求承包人承担一般违约责任/次，给发包人造成损失的，承包人应赔偿发包人的全部损失。</w:t>
      </w:r>
    </w:p>
    <w:p w14:paraId="61E627FC">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承包人防水工程质量符合设计图纸及现行验收规范要求，若在施工期间发现渗水、漏水等情况，承包人在收到书面通知后，5天内未整改完成并征得发包人批复同意，发包人有权要求承包人承担较大违约责任处罚/次。</w:t>
      </w:r>
    </w:p>
    <w:p w14:paraId="1639125C">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snapToGrid w:val="0"/>
          <w:color w:val="auto"/>
          <w:kern w:val="0"/>
          <w:sz w:val="24"/>
          <w:highlight w:val="none"/>
        </w:rPr>
        <w:t>承包人防水工程质量符合设计图纸及现行验收规范要求，若在质保期内出现渗水、漏水等影响正常办公、生活的情况，承包人在收到通知后24小时内必须赶到现场并及时进行维修，并赔偿由此引起的所有损失。若承包人未在约定期限内整改完成，发包人有权要求承包人承担严重违约责任处罚/次。若发包人拒不整改的或多次整改仍不到位的，发包人有权指定其他人员维修，费用按实际发生费用从承包人质保金中扣除，并赔偿由此引起的所有损失。</w:t>
      </w:r>
    </w:p>
    <w:p w14:paraId="5504E7AB">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38.8安全生产方面的违约责任</w:t>
      </w:r>
    </w:p>
    <w:p w14:paraId="3BDB2B6C">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承包人在发包人、总监理工程师进行的日常安全生产检查中，被发现存在安全隐患的，承包人应限期改正。若同样问题被发现2次或累计类似问题被发现3次的，承包人必须承担1次一般违约责任处罚。此类问题的认定，以发包人、总监理工程师书面通知、指令、通报或会议纪要为准。</w:t>
      </w:r>
    </w:p>
    <w:p w14:paraId="67858AB4">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（2）承包人因自身原因造成安全事故的，除按国家规定由主管部门处罚外，承包人必须依照下列约定承担违约责任：</w:t>
      </w:r>
    </w:p>
    <w:p w14:paraId="7CB4467B">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1）发生特别重大事故，发包人有权要求承包人承担根本违约责任处罚，给发包人造成损失的，承包人应赔偿发包人的全部损失。</w:t>
      </w:r>
    </w:p>
    <w:p w14:paraId="7505CE52">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2）发生重大事故，发包人有权要求承包人承担根本违约责任处罚，给发包人造成损失的，承包人应赔偿发包人的全部损失。</w:t>
      </w:r>
    </w:p>
    <w:p w14:paraId="01CC273F">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3）发生较大事故，发包人有权要求承包人承担严重违约责任处罚，给发包人造成损失的，承包人应赔偿发包人的全部损失。</w:t>
      </w:r>
    </w:p>
    <w:p w14:paraId="337BB34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4）发生一般事故，发包人有权要求承包人承担严重违约责任处罚，给发包人造成损失的，承包人应赔偿发包人的全部损失。</w:t>
      </w:r>
    </w:p>
    <w:p w14:paraId="2F3E5657">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除上述约定之外，发包人、监理单位在施工过程中检查发现安全隐患、违规操作问题，或承包人未按发包人的要求及时整改、整改不到位，发包人有权要求承包人承担一般违约责任处罚/次，给发包人造成损失的，承包人应赔偿发包人的全部损失。</w:t>
      </w:r>
    </w:p>
    <w:p w14:paraId="375CB11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38.9文明施工、环境保护方面的违约责任</w:t>
      </w:r>
    </w:p>
    <w:p w14:paraId="445A720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（1）发包人、监理工程师，对承包人文明施工措施进行对照检查。经检查发现承包人因自身原因未能落实的，发包人有权要求承包人承担1次一般违约责任处罚，并限期改正；</w:t>
      </w:r>
    </w:p>
    <w:p w14:paraId="1F80947E">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承包人在施工过程中因其自身原因造成周围环境卫生状况较差，被其他施工单位或周围居民投诉的，承包人必须在当天内完成整改。若故意拖延或类似问题累计被投诉2次以上且经查实的，承包人必须承担1次严重违约责任。</w:t>
      </w:r>
    </w:p>
    <w:p w14:paraId="3F1F94B4">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（3）本工程竣工验收后如未获合同约定的安全文明施工管理目标及创优要求，承包人须承担一次严重违约责任处罚</w:t>
      </w:r>
    </w:p>
    <w:p w14:paraId="27DCEBA9">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在工程整体交付使用前，承包人应充分考虑现场周边管线及地下管线等情况，并承诺采取有效的保护措施，若出现保护措施落实不到位的情况，在收到书面通知后，5天内未整改完成并征得发包人批复同意，发包人有权要求承包人承担一般违约责任处罚/次。</w:t>
      </w:r>
    </w:p>
    <w:p w14:paraId="71C11244">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在工程整体交付使用前，承包人须负责成品保护及项目红线范围内卫生保洁工作、精开荒（不限次数）。若出现成品保护及卫生保洁措施、精开荒（不限次数）落实不到位的情况，在收到书面通知后，5天内未整改完成并征得发包人批复同意，发包人有权要求承包人承担较大违约责任处罚/次。</w:t>
      </w:r>
    </w:p>
    <w:p w14:paraId="7E2F19C0">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（6）未按照合同相关规定执行，出现文明施工和环境保护落实不到位的情况，在收到书面通知后，2天内未整改完成并征得发包人批复同意的，承包人须承担一般违约责任处罚/次。</w:t>
      </w:r>
    </w:p>
    <w:p w14:paraId="32E5F609">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38.10工程转包、分包方面的违约责任</w:t>
      </w:r>
    </w:p>
    <w:p w14:paraId="750AC5F5">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（1）违法分包，是指在分包过程中的违法行为，包括以下几种情形：</w:t>
      </w:r>
    </w:p>
    <w:p w14:paraId="22240909">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1）承包人将建设工程分包给不具备相应资质条件的单位的；</w:t>
      </w:r>
    </w:p>
    <w:p w14:paraId="55C63107">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2）合同中未有约定，又未经发包人认可，承包人将其承包的部分建设工程交由其他单位完成的；</w:t>
      </w:r>
    </w:p>
    <w:p w14:paraId="51D997CE">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3）承包人将建设工程主体结构的施工分包给其他单位的；</w:t>
      </w:r>
    </w:p>
    <w:p w14:paraId="2AEFC8F0">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4）分包单位将其承包的建设工程再分包的。</w:t>
      </w:r>
    </w:p>
    <w:p w14:paraId="06649679">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2</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工程转包，是指</w:t>
      </w:r>
      <w:r>
        <w:rPr>
          <w:rFonts w:hint="eastAsia" w:ascii="宋体" w:hAnsi="宋体" w:eastAsia="宋体" w:cs="宋体"/>
          <w:snapToGrid w:val="0"/>
          <w:color w:val="auto"/>
          <w:kern w:val="0"/>
          <w:sz w:val="24"/>
          <w:highlight w:val="none"/>
        </w:rPr>
        <w:t>承包单位承包建设工程后，不履行合同约定的责任和义务，将其承包的全部建设工程转给第三人或者将其承包的全部工程肢解以后以分包的名义分别转给第三人承包的行为</w:t>
      </w:r>
      <w:r>
        <w:rPr>
          <w:rFonts w:hint="eastAsia" w:ascii="宋体" w:hAnsi="宋体" w:eastAsia="宋体" w:cs="宋体"/>
          <w:snapToGrid w:val="0"/>
          <w:color w:val="auto"/>
          <w:kern w:val="0"/>
          <w:sz w:val="24"/>
          <w:highlight w:val="none"/>
          <w:lang w:eastAsia="zh-CN"/>
        </w:rPr>
        <w:t>。</w:t>
      </w:r>
    </w:p>
    <w:p w14:paraId="34208B09">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lang w:val="en-US" w:eastAsia="zh-CN"/>
        </w:rPr>
        <w:t>3</w:t>
      </w:r>
      <w:r>
        <w:rPr>
          <w:rFonts w:hint="eastAsia" w:ascii="宋体" w:hAnsi="宋体" w:eastAsia="宋体" w:cs="宋体"/>
          <w:snapToGrid w:val="0"/>
          <w:color w:val="auto"/>
          <w:kern w:val="0"/>
          <w:sz w:val="24"/>
          <w:highlight w:val="none"/>
        </w:rPr>
        <w:t>）承包人转包工程或者违法分包工程，发包人有权要求承包人承担根本违约责任，经建设行政主管部门调查核实并作出处理决定的，发包人将严格服从建设行政主管部门的处理决定。因承包人转包工程或者违法分包工程给发包人造成损失的，发包人有权要求赔偿。</w:t>
      </w:r>
    </w:p>
    <w:p w14:paraId="5AA71E01">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lang w:val="en-US" w:eastAsia="zh-CN"/>
        </w:rPr>
        <w:t>4</w:t>
      </w:r>
      <w:r>
        <w:rPr>
          <w:rFonts w:hint="eastAsia" w:ascii="宋体" w:hAnsi="宋体" w:eastAsia="宋体" w:cs="宋体"/>
          <w:snapToGrid w:val="0"/>
          <w:color w:val="auto"/>
          <w:kern w:val="0"/>
          <w:sz w:val="24"/>
          <w:highlight w:val="none"/>
        </w:rPr>
        <w:t>）承包人擅自更换投标时填报或经发包人审核后认可的专业分包单位，发包人有权要求承包人承担1次严重违约责任处罚，给发包人造成损失的，承包人应赔偿发包人的全部损失。如果承包人投标时填报的专业分包单位不能满足合同约定的要求，必须另择符合要求的专业分包单位，经发包人审核确认后承担专业工程任务（发包人的审核确认并不免除承包人的相关责任及义务）。</w:t>
      </w:r>
    </w:p>
    <w:p w14:paraId="11CD21AD">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38.11施工人员工资支付方面的违约责任</w:t>
      </w:r>
    </w:p>
    <w:p w14:paraId="1DA187DD">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（1）承包人违反约定，被农民工投诉或上访属实的，承包人必须在 3 天内发放拖欠的款项。若继续拖延被投诉 2 次及以上，经查实，承包人必须承担 1 次较大违约责任处罚。若仍然不予整改并发放拖欠的款项，使农民工采取停工、集聚围阻发包人办公地点甚至政府办公部门、阻塞交通要道、围堵或破坏、拆除己移交发包人的工程等过激行动的，承包人必须承担1次严重违约责任处罚，并立即采取切实有效措施予以整改；拒不采取切实有效措施整改的，或整改效果不明显的，发包人有权部分或全部解除合同。</w:t>
      </w:r>
    </w:p>
    <w:p w14:paraId="61C74AAB">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（2）由于承包人或其管理的分包单位（包括施工专业分包、供货分包及劳务分包单位等）拖欠农民工工资致使发包人被投诉或起诉并被判令先行垫付农民工工资的，承包人承担1次较大违约责任处罚。</w:t>
      </w:r>
    </w:p>
    <w:p w14:paraId="215F6DE5">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（3）因承包人违约导致发包人暂停支付工程款时，承包人不得以此为理由拖欠农民工工资，在发包人和承包人就暂停支付工程款问题解决之前，承包人有义务先行支付其所属工人工资。 </w:t>
      </w:r>
    </w:p>
    <w:p w14:paraId="3BF4117F">
      <w:pPr>
        <w:adjustRightInd w:val="0"/>
        <w:snapToGrid w:val="0"/>
        <w:spacing w:line="360" w:lineRule="auto"/>
        <w:ind w:right="11"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承包人不按合同及有关规定按时、足额支付分包单位合同价款及民工工资致使民工集体上访、集聚围阻而造成社会不良影响的，发包人将有权终止与承包人的合同，并上报省、市主管部门建议取消其参加广州地区省、市重大项目的投标资格，并由发包人予以公告。如属恶意煽动并造成社会不良影响的，发包人将提请司法部门追究其法律责任。</w:t>
      </w:r>
    </w:p>
    <w:p w14:paraId="403A9D09">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ascii="宋体" w:hAnsi="宋体" w:eastAsia="宋体" w:cs="宋体"/>
          <w:snapToGrid w:val="0"/>
          <w:color w:val="auto"/>
          <w:kern w:val="0"/>
          <w:sz w:val="24"/>
          <w:highlight w:val="none"/>
        </w:rPr>
        <w:t>38.</w:t>
      </w:r>
      <w:r>
        <w:rPr>
          <w:rFonts w:hint="eastAsia" w:ascii="宋体" w:hAnsi="宋体" w:eastAsia="宋体" w:cs="宋体"/>
          <w:snapToGrid w:val="0"/>
          <w:color w:val="auto"/>
          <w:kern w:val="0"/>
          <w:sz w:val="24"/>
          <w:highlight w:val="none"/>
        </w:rPr>
        <w:t>1</w:t>
      </w:r>
      <w:r>
        <w:rPr>
          <w:rFonts w:ascii="宋体" w:hAnsi="宋体" w:eastAsia="宋体" w:cs="宋体"/>
          <w:snapToGrid w:val="0"/>
          <w:color w:val="auto"/>
          <w:kern w:val="0"/>
          <w:sz w:val="24"/>
          <w:highlight w:val="none"/>
        </w:rPr>
        <w:t>2</w:t>
      </w:r>
      <w:r>
        <w:rPr>
          <w:rFonts w:hint="eastAsia" w:ascii="宋体" w:hAnsi="宋体" w:eastAsia="宋体" w:cs="宋体"/>
          <w:snapToGrid w:val="0"/>
          <w:color w:val="auto"/>
          <w:kern w:val="0"/>
          <w:sz w:val="24"/>
          <w:highlight w:val="none"/>
        </w:rPr>
        <w:t>承包人提供的施工图预算经过发包人或造价咨询单位审核后确定误差超过±10%（不含±10%）的，发包人有权要求承包人承担严重违约责任处罚1次。</w:t>
      </w:r>
    </w:p>
    <w:p w14:paraId="1DF15F89">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38.</w:t>
      </w:r>
      <w:r>
        <w:rPr>
          <w:rFonts w:ascii="宋体" w:hAnsi="宋体" w:eastAsia="宋体" w:cs="宋体"/>
          <w:snapToGrid w:val="0"/>
          <w:color w:val="auto"/>
          <w:kern w:val="0"/>
          <w:sz w:val="24"/>
          <w:highlight w:val="none"/>
        </w:rPr>
        <w:t>1</w:t>
      </w:r>
      <w:r>
        <w:rPr>
          <w:rFonts w:hint="eastAsia" w:ascii="宋体" w:hAnsi="宋体" w:eastAsia="宋体" w:cs="宋体"/>
          <w:snapToGrid w:val="0"/>
          <w:color w:val="auto"/>
          <w:kern w:val="0"/>
          <w:sz w:val="24"/>
          <w:highlight w:val="none"/>
          <w:lang w:val="en-US" w:eastAsia="zh-CN"/>
        </w:rPr>
        <w:t>3</w:t>
      </w:r>
      <w:r>
        <w:rPr>
          <w:rFonts w:hint="eastAsia" w:ascii="宋体" w:hAnsi="宋体" w:eastAsia="宋体" w:cs="宋体"/>
          <w:snapToGrid w:val="0"/>
          <w:color w:val="auto"/>
          <w:kern w:val="0"/>
          <w:sz w:val="24"/>
          <w:highlight w:val="none"/>
        </w:rPr>
        <w:t>除上述约定之外，承包人工程管理组织不力、未按发包人商定的要求投入资源或完成产值、材料设备管理不力、违反发包人颁布的相关制度，未严格落实发包人、监理单位的要求（口头、书面）或落实不力，发包人有权要求承包人承担一般违约责任/次，给发包人造成损失的，承包人应赔偿发包人的全部损失。</w:t>
      </w:r>
    </w:p>
    <w:p w14:paraId="4F7E4AB5">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38.</w:t>
      </w:r>
      <w:r>
        <w:rPr>
          <w:rFonts w:ascii="宋体" w:hAnsi="宋体" w:eastAsia="宋体" w:cs="宋体"/>
          <w:snapToGrid w:val="0"/>
          <w:color w:val="auto"/>
          <w:kern w:val="0"/>
          <w:sz w:val="24"/>
          <w:highlight w:val="none"/>
        </w:rPr>
        <w:t>1</w:t>
      </w:r>
      <w:r>
        <w:rPr>
          <w:rFonts w:hint="eastAsia" w:ascii="宋体" w:hAnsi="宋体" w:eastAsia="宋体" w:cs="宋体"/>
          <w:snapToGrid w:val="0"/>
          <w:color w:val="auto"/>
          <w:kern w:val="0"/>
          <w:sz w:val="24"/>
          <w:highlight w:val="none"/>
          <w:lang w:val="en-US" w:eastAsia="zh-CN"/>
        </w:rPr>
        <w:t>4</w:t>
      </w:r>
      <w:r>
        <w:rPr>
          <w:rFonts w:hint="eastAsia" w:ascii="宋体" w:hAnsi="宋体" w:eastAsia="宋体" w:cs="宋体"/>
          <w:snapToGrid w:val="0"/>
          <w:color w:val="auto"/>
          <w:kern w:val="0"/>
          <w:sz w:val="24"/>
          <w:highlight w:val="none"/>
        </w:rPr>
        <w:t>承包人违约责任的认定方式、送达程序及违约金的处理</w:t>
      </w:r>
    </w:p>
    <w:p w14:paraId="6DBEF652">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（1）认定方式：以发包人发出的通知、通报、会议纪要等书面文件确定的内容为准。</w:t>
      </w:r>
    </w:p>
    <w:p w14:paraId="5D3BEA0B">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（2）送达程序：发包人以下列方式之一将书面违约处理决定送达承包人：</w:t>
      </w:r>
    </w:p>
    <w:p w14:paraId="101D146B">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1）承包人现场管理机构工作人员签收。</w:t>
      </w:r>
    </w:p>
    <w:p w14:paraId="211E2F2A">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2）承包人其他工作人员签收。</w:t>
      </w:r>
    </w:p>
    <w:p w14:paraId="082E6C89">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3）发包人邮寄或电子邮件送达。</w:t>
      </w:r>
    </w:p>
    <w:p w14:paraId="5E51343C">
      <w:pPr>
        <w:adjustRightInd w:val="0"/>
        <w:snapToGrid w:val="0"/>
        <w:spacing w:line="360" w:lineRule="auto"/>
        <w:ind w:right="11"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发包人以书面形式作出的违约处理决定一经送达承包人立即生效。承包人如有足够证据证明不应由其承担违约责任的，属不需支付违约金的，应在收到违约处理决定之日起3天内以书面形式向发包人提出异议并附上有关证据，否则视为无异议；属需要支付违约金的，应在工程结算报告送达监理单位前以书面形式向发包人提出异议并附上有关证据。发包人在收到承包人的异议后15个工作日内审核完毕且作出书面决定并通知承包人。在异议审核期间，承包人须正常开展工作，不得以审核未确定为由拖延或者中止工程设计或施工。</w:t>
      </w:r>
    </w:p>
    <w:p w14:paraId="3C2F2FD2">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38.</w:t>
      </w:r>
      <w:r>
        <w:rPr>
          <w:rFonts w:ascii="宋体" w:hAnsi="宋体" w:eastAsia="宋体" w:cs="宋体"/>
          <w:snapToGrid w:val="0"/>
          <w:color w:val="auto"/>
          <w:kern w:val="0"/>
          <w:sz w:val="24"/>
          <w:highlight w:val="none"/>
        </w:rPr>
        <w:t>1</w:t>
      </w:r>
      <w:r>
        <w:rPr>
          <w:rFonts w:hint="eastAsia" w:ascii="宋体" w:hAnsi="宋体" w:eastAsia="宋体" w:cs="宋体"/>
          <w:snapToGrid w:val="0"/>
          <w:color w:val="auto"/>
          <w:kern w:val="0"/>
          <w:sz w:val="24"/>
          <w:highlight w:val="none"/>
          <w:lang w:val="en-US" w:eastAsia="zh-CN"/>
        </w:rPr>
        <w:t>5</w:t>
      </w:r>
      <w:r>
        <w:rPr>
          <w:rFonts w:hint="eastAsia" w:ascii="宋体" w:hAnsi="宋体" w:eastAsia="宋体" w:cs="宋体"/>
          <w:snapToGrid w:val="0"/>
          <w:color w:val="auto"/>
          <w:kern w:val="0"/>
          <w:sz w:val="24"/>
          <w:highlight w:val="none"/>
        </w:rPr>
        <w:t>除上述约定之外，承包人不履行或不完全履行合同其他义务的，均构成违约，应当承担1次一般违约责任。情节较轻的，可给予书面警告；情节较重的，应当承担1次严重违约责任。违约扣减的费用总额不超过本合同价的30%，如非承包人原因造成的费用扣减，经发包人审批同意后，可免责扣罚，最终以有权审核部门审核结果为准。</w:t>
      </w:r>
    </w:p>
    <w:p w14:paraId="7F4661ED">
      <w:pPr>
        <w:adjustRightInd w:val="0"/>
        <w:snapToGrid w:val="0"/>
        <w:spacing w:line="360" w:lineRule="auto"/>
        <w:ind w:right="11" w:firstLine="463" w:firstLineChars="192"/>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39、索赔</w:t>
      </w:r>
    </w:p>
    <w:p w14:paraId="2A6476D2">
      <w:pPr>
        <w:adjustRightInd w:val="0"/>
        <w:snapToGrid w:val="0"/>
        <w:spacing w:line="360" w:lineRule="auto"/>
        <w:ind w:right="11" w:firstLine="463" w:firstLineChars="192"/>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承包人与发包人一致同意不适用合同通用条款第39.2、39.3款的约定，代之以：</w:t>
      </w:r>
    </w:p>
    <w:p w14:paraId="1D51698B">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39.2承包人向发包人索赔的程序</w:t>
      </w:r>
    </w:p>
    <w:p w14:paraId="51C638E4">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当索赔事件首次发生之日起14天内，承包人将自己的索赔意向书面通知监理单位，并呈交给发包人一份副本。若索赔事件首次发生之日起14天内，承包人未提出索赔意向书，则从第15天起，监理单位及发包人有权拒绝承包人的索赔要求。</w:t>
      </w:r>
    </w:p>
    <w:p w14:paraId="7D3C5C37">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snapToGrid w:val="0"/>
          <w:color w:val="auto"/>
          <w:kern w:val="0"/>
          <w:sz w:val="24"/>
          <w:highlight w:val="none"/>
        </w:rPr>
        <w:t>（2）承包人应保持索赔事件同期记录，以便合理地证明承包人后来要申请的索赔。监理单位在收到承包人的索赔意向通知时，应先检查这些同期记录，并可指定承包人进一步做好同期记录，承包人应允许监理单位检查全部记录，并在监理单位发出指令时提供记录的副本。</w:t>
      </w:r>
    </w:p>
    <w:p w14:paraId="29A8968A">
      <w:pPr>
        <w:adjustRightInd w:val="0"/>
        <w:snapToGrid w:val="0"/>
        <w:spacing w:line="360" w:lineRule="auto"/>
        <w:ind w:right="11" w:firstLine="460" w:firstLineChars="192"/>
        <w:rPr>
          <w:rFonts w:hint="eastAsia" w:ascii="宋体" w:hAnsi="宋体" w:eastAsia="宋体" w:cs="宋体"/>
          <w:bCs/>
          <w:snapToGrid w:val="0"/>
          <w:color w:val="auto"/>
          <w:kern w:val="0"/>
          <w:sz w:val="24"/>
          <w:highlight w:val="none"/>
        </w:rPr>
      </w:pPr>
      <w:r>
        <w:rPr>
          <w:rFonts w:hint="eastAsia" w:ascii="宋体" w:hAnsi="宋体" w:eastAsia="宋体" w:cs="宋体"/>
          <w:snapToGrid w:val="0"/>
          <w:color w:val="auto"/>
          <w:kern w:val="0"/>
          <w:sz w:val="24"/>
          <w:highlight w:val="none"/>
        </w:rPr>
        <w:t>（3）承包人应在发出索赔意向通知之日起14天内，向监理单位报送一份说明索赔所依据的理由和索赔款额的具体细节帐目的索赔报告。如果索赔事件尚未结束，承包人在索赔事件结束后的14天内，再报一份最终索赔报告给监理单位。</w:t>
      </w:r>
    </w:p>
    <w:p w14:paraId="03B79577">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监理单位在收到承包人索赔报告或最终索赔报告后14天内，将处理意见书面通知发包人、承包人双方。若双方接受，此索赔事件结束；若任何一方不接受，经再次协商仍达不成一致的，则按合同专用条款第40条的约定处理。</w:t>
      </w:r>
    </w:p>
    <w:p w14:paraId="62B6EFBC">
      <w:pPr>
        <w:adjustRightInd w:val="0"/>
        <w:snapToGrid w:val="0"/>
        <w:spacing w:line="360" w:lineRule="auto"/>
        <w:ind w:firstLine="470" w:firstLineChars="196"/>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lang w:val="zh-CN"/>
        </w:rPr>
        <w:t>39.3承包人未能按合同约定履行自己的各项义务或发生错误，发包人按</w:t>
      </w:r>
      <w:r>
        <w:rPr>
          <w:rFonts w:hint="eastAsia" w:ascii="宋体" w:hAnsi="宋体" w:eastAsia="宋体" w:cs="宋体"/>
          <w:snapToGrid w:val="0"/>
          <w:color w:val="auto"/>
          <w:kern w:val="0"/>
          <w:sz w:val="24"/>
          <w:highlight w:val="none"/>
        </w:rPr>
        <w:t>如下约定向承包人索赔：</w:t>
      </w:r>
    </w:p>
    <w:p w14:paraId="53DE46DE">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（1）发包人将自己的索赔意向书面通知承包人（同时抄送其担保银行），要求承包人在限期内纠正其违约行为，否则发包人将考虑按合同约定作出相关处理决定。</w:t>
      </w:r>
    </w:p>
    <w:p w14:paraId="7CACC9EF">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限期届满，承包人没有用实际行动纠正自己的违约行为或者纠正行为不能使发包人满意或者纠正行为无法弥补发包人的损失的，则发包人直接按合同约定作出相关处理决定并向担保银行发出正式书面索赔通知。</w:t>
      </w:r>
    </w:p>
    <w:p w14:paraId="0F6B8B79">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（3）如果通过向担保索赔的方式依然不能完全弥补发包人的损失，则发包人有权在应支付给承包人的工程款中直接扣取。同时发包人有权要求承包人在规定时间内按合同专用条款第44</w:t>
      </w:r>
      <w:r>
        <w:rPr>
          <w:rFonts w:hint="eastAsia" w:ascii="宋体" w:hAnsi="宋体" w:eastAsia="宋体" w:cs="宋体"/>
          <w:snapToGrid w:val="0"/>
          <w:color w:val="auto"/>
          <w:kern w:val="0"/>
          <w:sz w:val="24"/>
          <w:highlight w:val="none"/>
          <w:lang w:val="zh-CN"/>
        </w:rPr>
        <w:t>.</w:t>
      </w:r>
      <w:r>
        <w:rPr>
          <w:rFonts w:hint="eastAsia" w:ascii="宋体" w:hAnsi="宋体" w:eastAsia="宋体" w:cs="宋体"/>
          <w:snapToGrid w:val="0"/>
          <w:color w:val="auto"/>
          <w:kern w:val="0"/>
          <w:sz w:val="24"/>
          <w:highlight w:val="none"/>
          <w:lang w:val="en-US" w:eastAsia="zh-CN"/>
        </w:rPr>
        <w:t>6</w:t>
      </w:r>
      <w:r>
        <w:rPr>
          <w:rFonts w:hint="eastAsia" w:ascii="宋体" w:hAnsi="宋体" w:eastAsia="宋体" w:cs="宋体"/>
          <w:snapToGrid w:val="0"/>
          <w:color w:val="auto"/>
          <w:kern w:val="0"/>
          <w:sz w:val="24"/>
          <w:highlight w:val="none"/>
        </w:rPr>
        <w:t>款的约定向发包人补充提交履约</w:t>
      </w:r>
      <w:r>
        <w:rPr>
          <w:rFonts w:hint="eastAsia" w:ascii="宋体" w:hAnsi="宋体" w:eastAsia="宋体" w:cs="宋体"/>
          <w:snapToGrid w:val="0"/>
          <w:color w:val="auto"/>
          <w:kern w:val="0"/>
          <w:sz w:val="24"/>
          <w:highlight w:val="none"/>
          <w:lang w:val="en-US" w:eastAsia="zh-CN"/>
        </w:rPr>
        <w:t>担保</w:t>
      </w:r>
      <w:r>
        <w:rPr>
          <w:rFonts w:hint="eastAsia" w:ascii="宋体" w:hAnsi="宋体" w:eastAsia="宋体" w:cs="宋体"/>
          <w:snapToGrid w:val="0"/>
          <w:color w:val="auto"/>
          <w:kern w:val="0"/>
          <w:sz w:val="24"/>
          <w:highlight w:val="none"/>
        </w:rPr>
        <w:t>。</w:t>
      </w:r>
    </w:p>
    <w:p w14:paraId="610E587A">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（4）如果通过向担保索赔以及直接扣取工程款等方式依然不能完全弥补发包人损失的，承包人必须在发包人规定的时间内以现金形式支付剩余索赔额，否则发包人将按合同专用条款第40条的约定处理。</w:t>
      </w:r>
    </w:p>
    <w:p w14:paraId="51D24483">
      <w:pPr>
        <w:adjustRightInd w:val="0"/>
        <w:snapToGrid w:val="0"/>
        <w:spacing w:line="360" w:lineRule="auto"/>
        <w:ind w:right="11" w:firstLine="463" w:firstLineChars="192"/>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承包人与发包人一致同意增加39.4：</w:t>
      </w:r>
    </w:p>
    <w:p w14:paraId="2D990325">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39.4在任何索赔期间，不论索赔是否有据，均不能免除承包人按合同约定履行合同义务。承包人不得以此为借口，拒不履行或拖延合同的履行，否则发包人有权单方面终止或解除合同，并要求承包人赔偿由此导致的发包人的损失。</w:t>
      </w:r>
    </w:p>
    <w:p w14:paraId="5E2B78E2">
      <w:pPr>
        <w:adjustRightInd w:val="0"/>
        <w:snapToGrid w:val="0"/>
        <w:spacing w:line="360" w:lineRule="auto"/>
        <w:ind w:right="11" w:firstLine="463" w:firstLineChars="192"/>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40、争议</w:t>
      </w:r>
    </w:p>
    <w:p w14:paraId="7A030B8A">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40.1因本合同而起或者与本合同有关的任何争议，由发包人与承包人双方协商解决，经协商达成一致意见的，应签订书面协议；协商不成的，可向工程所在地有关主管部门申请调解；调解不成的，任何一方均有权向工程所在地有管辖权的人民法院提起诉讼。</w:t>
      </w:r>
    </w:p>
    <w:p w14:paraId="4AF76F1E">
      <w:pPr>
        <w:adjustRightInd w:val="0"/>
        <w:snapToGrid w:val="0"/>
        <w:spacing w:line="360" w:lineRule="auto"/>
        <w:ind w:right="11" w:firstLine="463" w:firstLineChars="192"/>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承包人与发包人一致同意增加40.3：</w:t>
      </w:r>
    </w:p>
    <w:p w14:paraId="10DB32F4">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40.3承包人无条件承诺：争议发生后，承包人必须在做好现场证据保全后继续按照合同要求施工，不得以解决争议为由单方面停工，或者以争议解决需要时日为由拖延施工。</w:t>
      </w:r>
    </w:p>
    <w:p w14:paraId="3148570B">
      <w:pPr>
        <w:pStyle w:val="10"/>
        <w:jc w:val="left"/>
        <w:rPr>
          <w:rFonts w:hint="eastAsia" w:ascii="宋体" w:hAnsi="宋体"/>
          <w:snapToGrid w:val="0"/>
          <w:color w:val="auto"/>
          <w:kern w:val="0"/>
          <w:highlight w:val="none"/>
        </w:rPr>
      </w:pPr>
      <w:bookmarkStart w:id="692" w:name="_Toc520902615"/>
      <w:bookmarkStart w:id="693" w:name="_Toc519503090"/>
      <w:bookmarkStart w:id="694" w:name="_Toc514663869"/>
      <w:bookmarkStart w:id="695" w:name="_Toc517774570"/>
      <w:bookmarkStart w:id="696" w:name="_Toc519502260"/>
      <w:bookmarkStart w:id="697" w:name="_Toc514681773"/>
      <w:bookmarkStart w:id="698" w:name="_Toc516495986"/>
      <w:bookmarkStart w:id="699" w:name="_Toc518481742"/>
      <w:bookmarkStart w:id="700" w:name="_Toc520902766"/>
      <w:bookmarkStart w:id="701" w:name="_Toc520358240"/>
      <w:bookmarkStart w:id="702" w:name="_Toc514681192"/>
      <w:bookmarkStart w:id="703" w:name="_Toc520901470"/>
      <w:bookmarkStart w:id="704" w:name="_Toc520358064"/>
      <w:bookmarkStart w:id="705" w:name="_Toc514665153"/>
      <w:bookmarkStart w:id="706" w:name="_Toc35083105"/>
      <w:bookmarkStart w:id="707" w:name="_Toc514664870"/>
      <w:bookmarkStart w:id="708" w:name="_Toc514666983"/>
      <w:bookmarkStart w:id="709" w:name="_Toc514665292"/>
      <w:bookmarkStart w:id="710" w:name="_Toc520902837"/>
      <w:bookmarkStart w:id="711" w:name="_Toc517954583"/>
      <w:r>
        <w:rPr>
          <w:rFonts w:hint="eastAsia" w:ascii="宋体" w:hAnsi="宋体"/>
          <w:snapToGrid w:val="0"/>
          <w:color w:val="auto"/>
          <w:kern w:val="0"/>
          <w:highlight w:val="none"/>
        </w:rPr>
        <w:t>十一、其他</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02132F41">
      <w:pPr>
        <w:adjustRightInd w:val="0"/>
        <w:snapToGrid w:val="0"/>
        <w:spacing w:line="360" w:lineRule="auto"/>
        <w:ind w:right="11" w:firstLine="463" w:firstLineChars="192"/>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41、工程分包</w:t>
      </w:r>
    </w:p>
    <w:p w14:paraId="4BFD9DF6">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41.1</w:t>
      </w:r>
      <w:bookmarkStart w:id="712" w:name="_Hlk134460566"/>
      <w:r>
        <w:rPr>
          <w:rFonts w:hint="eastAsia" w:ascii="宋体" w:hAnsi="宋体" w:eastAsia="宋体" w:cs="宋体"/>
          <w:snapToGrid w:val="0"/>
          <w:color w:val="auto"/>
          <w:kern w:val="0"/>
          <w:sz w:val="24"/>
          <w:highlight w:val="none"/>
        </w:rPr>
        <w:t>本工程的主体必须由承包人自行完成，不得分包。非主体工作的分包应当在投标文件中载明或者经发包人书面同意，承包人应严格按照招投标文件的约定或发包人限定的时间与分包单位签订分包合同。</w:t>
      </w:r>
    </w:p>
    <w:p w14:paraId="41AC55E9">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41.2承包人应严格按照《房屋建筑和市政基础设施工程施工分包管理办法》（建设部令第124号、住房和城乡建设部令第19号、住房和城乡建设部令第47号）和本合同的约定做好分包管理工作，禁止将承包的工程进行转包或违法分包，禁止转让、出借企业资质证书或者以其他方式允许他人以本企业名义承揽工程，严禁个人承揽分包工程业务。</w:t>
      </w:r>
      <w:bookmarkEnd w:id="712"/>
    </w:p>
    <w:p w14:paraId="77472724">
      <w:pPr>
        <w:adjustRightInd w:val="0"/>
        <w:snapToGrid w:val="0"/>
        <w:spacing w:line="360" w:lineRule="auto"/>
        <w:ind w:right="11" w:firstLine="463" w:firstLineChars="192"/>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承包人与发包人一致同意增加41.5至41.10：</w:t>
      </w:r>
    </w:p>
    <w:p w14:paraId="3060B238">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41.5承包人不履行合同约定，将其承包的全部工程发包给他人，或者将其承包的全部工程肢解后以分包的名义分别发包给他人的，属于转包行为；将工程分包后，未在施工现场设立项目管理机构和派驻相应人员，未对该工程的施工活动进行组织管理的，视同转包行为。</w:t>
      </w:r>
    </w:p>
    <w:p w14:paraId="59BD130B">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41.6下列行为，属于违法分包：</w:t>
      </w:r>
    </w:p>
    <w:p w14:paraId="65F3F2F5">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（1）承包人将专业工程或者劳务作业分包给不具备相应资质条件的分包人的；</w:t>
      </w:r>
    </w:p>
    <w:p w14:paraId="432E3CBA">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（2）本合同中未有约定，又未经发包人书面认可，承包人将承包工程中的部分专业工程分包给他人的。</w:t>
      </w:r>
    </w:p>
    <w:p w14:paraId="2EB2E316">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41.7承包人虽然没有将其承包的工程进行分包，但在施工现场所设项目管理机构的项目经理、技术管理人员、核算管理人员、质量管理人员、安全管理人员不是承包人本单位人员的，视同允许他人以本企业名义承揽工程。</w:t>
      </w:r>
    </w:p>
    <w:p w14:paraId="3DD595F7">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41.8承包人应参照合同专用条款第7条、第9条的有关约定，在发包人书面批准分包之日起5天内将分包单位工程现场组织管理人员名单及劳动力、施工机械设备投入计划报送发包人且负责落实到位，并接受总监理工程师和发包人代表的查验。</w:t>
      </w:r>
    </w:p>
    <w:p w14:paraId="4D0A115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41.9分包工程价款由承包人与发包人结算。承包人应按本合同及分包合同的有关约定及时审核、申请支付各种工程、劳务及材料设备款项，并向发包人提交下列资料：</w:t>
      </w:r>
    </w:p>
    <w:p w14:paraId="6E3F5BF0">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（1）属专业工程分包的，应向发包人提交分包人提交给承包人的履约担保文件复印件（应同时携带原件供发包人复核），具体按招标文件或发包人要求执行。</w:t>
      </w:r>
    </w:p>
    <w:p w14:paraId="1DB64306">
      <w:pPr>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（2）属材料设备供货的，应向发包人提交供货商提交给承包人的履约担保文件复印件（应同时携带原件供发包人复核），具体按招标文件或发包人要求执行。</w:t>
      </w:r>
    </w:p>
    <w:p w14:paraId="400ACA5F">
      <w:pPr>
        <w:adjustRightInd w:val="0"/>
        <w:snapToGrid w:val="0"/>
        <w:spacing w:line="360" w:lineRule="auto"/>
        <w:ind w:right="11" w:firstLine="480" w:firstLineChars="200"/>
        <w:rPr>
          <w:rFonts w:hint="eastAsia" w:ascii="宋体" w:hAnsi="宋体" w:eastAsia="宋体" w:cs="宋体"/>
          <w:bCs/>
          <w:iCs/>
          <w:snapToGrid w:val="0"/>
          <w:color w:val="auto"/>
          <w:kern w:val="0"/>
          <w:sz w:val="24"/>
          <w:highlight w:val="none"/>
        </w:rPr>
      </w:pPr>
      <w:r>
        <w:rPr>
          <w:rFonts w:hint="eastAsia" w:ascii="宋体" w:hAnsi="宋体" w:eastAsia="宋体" w:cs="宋体"/>
          <w:snapToGrid w:val="0"/>
          <w:color w:val="auto"/>
          <w:kern w:val="0"/>
          <w:sz w:val="24"/>
          <w:highlight w:val="none"/>
        </w:rPr>
        <w:t>41.10承包人与发包人一致同意，本工程的所有分包单位（含材料设备供货单位）全部纳入发包人统一组织的考评</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如有</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，并按合同约定和发包人的有关管理规定承担相应义务，享有相应权利。考评结果中涉及对本合同价款的转付或扣取的，承包人承诺无条件服从。</w:t>
      </w:r>
    </w:p>
    <w:p w14:paraId="2C6655FB">
      <w:pPr>
        <w:adjustRightInd w:val="0"/>
        <w:snapToGrid w:val="0"/>
        <w:spacing w:line="360" w:lineRule="auto"/>
        <w:ind w:firstLine="480"/>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42、不可抗力</w:t>
      </w:r>
    </w:p>
    <w:p w14:paraId="61D91032">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42.1不可抗力，是指不能预见、不能避免且不能克服的，对本工程的施工造成重大实质性影响的自然灾害和战争、动乱（不包括承包人内部的任何纠纷和纷争）等事件。政府对本工程的政策变化、计划的调整，导致本工程不能如期进行，也属不可抗力的范围。</w:t>
      </w:r>
    </w:p>
    <w:p w14:paraId="4AA030BC">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自然灾害的范围及其认定方式，按如下约定执行：</w:t>
      </w:r>
    </w:p>
    <w:p w14:paraId="6A930E21">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异常天气：仅指50年（含50年）一遇以上的洪水或10级（含10级）以上的台风。因异常天气袭击工地为确保安全而停工的，承包人应于台风、洪水天气结束之日起七日内，向当地气象部门索取工程所在地台风、暴雨天气资料或报告（含气象实况及对此分析的内容），连同</w:t>
      </w:r>
      <w:r>
        <w:rPr>
          <w:rFonts w:hint="eastAsia" w:ascii="宋体" w:hAnsi="宋体" w:eastAsia="宋体" w:cs="宋体"/>
          <w:snapToGrid w:val="0"/>
          <w:color w:val="auto"/>
          <w:kern w:val="0"/>
          <w:sz w:val="24"/>
          <w:highlight w:val="none"/>
        </w:rPr>
        <w:t>施工</w:t>
      </w:r>
      <w:r>
        <w:rPr>
          <w:rFonts w:hint="eastAsia" w:ascii="宋体" w:hAnsi="宋体" w:eastAsia="宋体" w:cs="宋体"/>
          <w:bCs/>
          <w:snapToGrid w:val="0"/>
          <w:color w:val="auto"/>
          <w:kern w:val="0"/>
          <w:sz w:val="24"/>
          <w:highlight w:val="none"/>
        </w:rPr>
        <w:t>日志、现场照片办理证据保全公证，方可认定为是不可抗力。</w:t>
      </w:r>
    </w:p>
    <w:p w14:paraId="74D43049">
      <w:pPr>
        <w:adjustRightInd w:val="0"/>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（2）里氏5级（含5级）以上的地震。</w:t>
      </w:r>
    </w:p>
    <w:p w14:paraId="56C8F6F4">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42.3因不可抗力引起工程停工的，工期按合同专用条款第13条的有关约定执行，费用承担按如下约定执行：</w:t>
      </w:r>
    </w:p>
    <w:p w14:paraId="73DD068C">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（1）工程本身的损害，由发包人承担。</w:t>
      </w:r>
    </w:p>
    <w:p w14:paraId="225E232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（2）因工程损害导致第三方人员伤亡和财产损失，如系在工程竣工验收合格移交给发包人使用前造成的，费用由承包人承担；如系在工程竣工验收合格移交给发包人使用后发生的，费用由发包人承担。</w:t>
      </w:r>
    </w:p>
    <w:p w14:paraId="68BF2629">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（3）运至施工场地用于施工的材料和待安装的设备的损害，属发包人供应的由发包人承担；属承包人采购的由承包人承担。</w:t>
      </w:r>
    </w:p>
    <w:p w14:paraId="0BDD22B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（4）发包人、承包人的人员伤亡由其所在单位负责，并承担相应费用。</w:t>
      </w:r>
    </w:p>
    <w:p w14:paraId="1ACF98C8">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（5）承包人机械设备损坏及停工损失，由承包人承担。</w:t>
      </w:r>
    </w:p>
    <w:p w14:paraId="78D6DE75">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（6）停工期间，承包人应总监理工程师要求留在施工场地的必要的管理人员及保卫人员的费用由承包人承担。</w:t>
      </w:r>
    </w:p>
    <w:p w14:paraId="100564D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（7）工程所需清理费用由承包人承担，修复费用由发包人承担。</w:t>
      </w:r>
    </w:p>
    <w:p w14:paraId="51EAB41F">
      <w:pPr>
        <w:adjustRightInd w:val="0"/>
        <w:snapToGrid w:val="0"/>
        <w:spacing w:line="360" w:lineRule="auto"/>
        <w:ind w:right="11" w:firstLine="463" w:firstLineChars="192"/>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43、保险</w:t>
      </w:r>
    </w:p>
    <w:p w14:paraId="1A7E548F">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43.6双方同意按照以下约定购买工程保险：</w:t>
      </w:r>
    </w:p>
    <w:p w14:paraId="656D2751">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（1）承包人应当购买的保险包括：</w:t>
      </w:r>
    </w:p>
    <w:p w14:paraId="3A6A5A9F">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1）建筑职工意外伤害险（足额购买）；</w:t>
      </w:r>
    </w:p>
    <w:p w14:paraId="77C985B4">
      <w:pPr>
        <w:adjustRightInd w:val="0"/>
        <w:snapToGrid w:val="0"/>
        <w:spacing w:line="360" w:lineRule="auto"/>
        <w:ind w:right="11" w:firstLine="460" w:firstLineChars="192"/>
        <w:rPr>
          <w:rFonts w:hint="eastAsia" w:ascii="宋体" w:hAnsi="宋体" w:eastAsia="宋体" w:cs="宋体"/>
          <w:b/>
          <w:bCs/>
          <w:snapToGrid w:val="0"/>
          <w:color w:val="auto"/>
          <w:kern w:val="0"/>
          <w:sz w:val="24"/>
          <w:highlight w:val="none"/>
        </w:rPr>
      </w:pPr>
      <w:r>
        <w:rPr>
          <w:rFonts w:hint="eastAsia" w:ascii="宋体" w:hAnsi="宋体" w:eastAsia="宋体" w:cs="宋体"/>
          <w:snapToGrid w:val="0"/>
          <w:color w:val="auto"/>
          <w:kern w:val="0"/>
          <w:sz w:val="24"/>
          <w:highlight w:val="none"/>
        </w:rPr>
        <w:t>2）承包人雇主责任险；</w:t>
      </w:r>
    </w:p>
    <w:p w14:paraId="4DDB0AA4">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3）施工机械设备保险；</w:t>
      </w:r>
    </w:p>
    <w:p w14:paraId="1FBB4C7F">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4）《关于进一步做好我省建筑业工伤保险工作的实施意见》（粤人社规</w:t>
      </w:r>
      <w:r>
        <w:rPr>
          <w:rFonts w:hint="eastAsia" w:ascii="宋体" w:hAnsi="宋体" w:eastAsia="宋体" w:cs="微软雅黑"/>
          <w:snapToGrid w:val="0"/>
          <w:color w:val="auto"/>
          <w:kern w:val="0"/>
          <w:sz w:val="24"/>
          <w:highlight w:val="none"/>
        </w:rPr>
        <w:t>﹝</w:t>
      </w:r>
      <w:r>
        <w:rPr>
          <w:rFonts w:hint="eastAsia" w:ascii="宋体" w:hAnsi="宋体" w:eastAsia="宋体" w:cs="宋体"/>
          <w:snapToGrid w:val="0"/>
          <w:color w:val="auto"/>
          <w:kern w:val="0"/>
          <w:sz w:val="24"/>
          <w:highlight w:val="none"/>
        </w:rPr>
        <w:t>2015</w:t>
      </w:r>
      <w:r>
        <w:rPr>
          <w:rFonts w:hint="eastAsia" w:ascii="宋体" w:hAnsi="宋体" w:eastAsia="宋体" w:cs="微软雅黑"/>
          <w:snapToGrid w:val="0"/>
          <w:color w:val="auto"/>
          <w:kern w:val="0"/>
          <w:sz w:val="24"/>
          <w:highlight w:val="none"/>
        </w:rPr>
        <w:t>﹞</w:t>
      </w:r>
      <w:r>
        <w:rPr>
          <w:rFonts w:hint="eastAsia" w:ascii="宋体" w:hAnsi="宋体" w:eastAsia="宋体" w:cs="宋体"/>
          <w:snapToGrid w:val="0"/>
          <w:color w:val="auto"/>
          <w:kern w:val="0"/>
          <w:sz w:val="24"/>
          <w:highlight w:val="none"/>
        </w:rPr>
        <w:t>5号）规定应缴纳的工伤保险费；</w:t>
      </w:r>
    </w:p>
    <w:p w14:paraId="6B4F3908">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5）运至施工场地内用于工程的材料和待安装设备，由承包人办理保险，并支付保险费用；</w:t>
      </w:r>
    </w:p>
    <w:p w14:paraId="431E825E">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6）安全生产责任保险。</w:t>
      </w:r>
    </w:p>
    <w:p w14:paraId="590DE1BD">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（2）承包人不按上述约定购买保险所产生的一切损失及责任，全部由承包人承担。</w:t>
      </w:r>
    </w:p>
    <w:p w14:paraId="622602F7">
      <w:pPr>
        <w:adjustRightInd w:val="0"/>
        <w:snapToGrid w:val="0"/>
        <w:spacing w:line="360" w:lineRule="auto"/>
        <w:ind w:right="11" w:firstLine="463" w:firstLineChars="192"/>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44、担保</w:t>
      </w:r>
    </w:p>
    <w:p w14:paraId="2021858A">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44.3</w:t>
      </w:r>
      <w:r>
        <w:rPr>
          <w:rFonts w:hint="eastAsia" w:ascii="宋体" w:hAnsi="宋体" w:eastAsia="宋体" w:cs="宋体"/>
          <w:snapToGrid w:val="0"/>
          <w:color w:val="auto"/>
          <w:kern w:val="0"/>
          <w:sz w:val="24"/>
          <w:highlight w:val="none"/>
          <w:lang w:val="en-US" w:eastAsia="zh-CN"/>
        </w:rPr>
        <w:t>如未经发包人同意，</w:t>
      </w:r>
      <w:r>
        <w:rPr>
          <w:rFonts w:hint="eastAsia" w:ascii="宋体" w:hAnsi="宋体" w:eastAsia="宋体" w:cs="宋体"/>
          <w:snapToGrid w:val="0"/>
          <w:color w:val="auto"/>
          <w:kern w:val="0"/>
          <w:sz w:val="24"/>
          <w:highlight w:val="none"/>
        </w:rPr>
        <w:t>承包人未能在</w:t>
      </w:r>
      <w:r>
        <w:rPr>
          <w:rFonts w:hint="eastAsia" w:ascii="宋体" w:hAnsi="宋体" w:eastAsia="宋体" w:cs="宋体"/>
          <w:snapToGrid w:val="0"/>
          <w:color w:val="auto"/>
          <w:kern w:val="0"/>
          <w:sz w:val="24"/>
          <w:highlight w:val="none"/>
          <w:lang w:val="en-US" w:eastAsia="zh-CN"/>
        </w:rPr>
        <w:t>合同签订之日起30天</w:t>
      </w:r>
      <w:r>
        <w:rPr>
          <w:rFonts w:hint="eastAsia" w:ascii="宋体" w:hAnsi="宋体" w:eastAsia="宋体" w:cs="宋体"/>
          <w:snapToGrid w:val="0"/>
          <w:color w:val="auto"/>
          <w:kern w:val="0"/>
          <w:sz w:val="24"/>
          <w:highlight w:val="none"/>
        </w:rPr>
        <w:t>内提交履约</w:t>
      </w:r>
      <w:r>
        <w:rPr>
          <w:rFonts w:hint="eastAsia" w:ascii="宋体" w:hAnsi="宋体" w:eastAsia="宋体" w:cs="宋体"/>
          <w:snapToGrid w:val="0"/>
          <w:color w:val="auto"/>
          <w:kern w:val="0"/>
          <w:sz w:val="24"/>
          <w:highlight w:val="none"/>
          <w:lang w:val="en-US" w:eastAsia="zh-CN"/>
        </w:rPr>
        <w:t>担保</w:t>
      </w:r>
      <w:r>
        <w:rPr>
          <w:rFonts w:hint="eastAsia" w:ascii="宋体" w:hAnsi="宋体" w:eastAsia="宋体" w:cs="宋体"/>
          <w:snapToGrid w:val="0"/>
          <w:color w:val="auto"/>
          <w:kern w:val="0"/>
          <w:sz w:val="24"/>
          <w:highlight w:val="none"/>
        </w:rPr>
        <w:t>的，</w:t>
      </w:r>
      <w:r>
        <w:rPr>
          <w:rFonts w:hint="eastAsia" w:ascii="宋体" w:hAnsi="宋体" w:eastAsia="宋体" w:cs="宋体"/>
          <w:snapToGrid w:val="0"/>
          <w:color w:val="auto"/>
          <w:kern w:val="0"/>
          <w:sz w:val="24"/>
          <w:highlight w:val="none"/>
          <w:lang w:val="en-US" w:eastAsia="zh-CN"/>
        </w:rPr>
        <w:t>发包人有权将承包人</w:t>
      </w:r>
      <w:r>
        <w:rPr>
          <w:rFonts w:hint="eastAsia" w:ascii="宋体" w:hAnsi="宋体" w:eastAsia="宋体" w:cs="宋体"/>
          <w:snapToGrid w:val="0"/>
          <w:color w:val="auto"/>
          <w:kern w:val="0"/>
          <w:sz w:val="24"/>
          <w:highlight w:val="none"/>
        </w:rPr>
        <w:t>视为自动放弃中标资格，其所提交的投标保证金不予退还。</w:t>
      </w:r>
    </w:p>
    <w:p w14:paraId="1A7857B4">
      <w:pPr>
        <w:adjustRightInd w:val="0"/>
        <w:snapToGrid w:val="0"/>
        <w:spacing w:line="360" w:lineRule="auto"/>
        <w:ind w:right="11" w:firstLine="463" w:firstLineChars="192"/>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承包人与发包人一致同意增加44.4至44.7：</w:t>
      </w:r>
    </w:p>
    <w:p w14:paraId="161A57C6">
      <w:pPr>
        <w:spacing w:line="360" w:lineRule="auto"/>
        <w:ind w:firstLine="480" w:firstLineChars="200"/>
        <w:rPr>
          <w:rFonts w:hint="eastAsia" w:ascii="宋体" w:hAnsi="宋体" w:eastAsia="宋体"/>
          <w:color w:val="auto"/>
          <w:highlight w:val="none"/>
        </w:rPr>
      </w:pPr>
      <w:r>
        <w:rPr>
          <w:rFonts w:hint="eastAsia" w:ascii="宋体" w:hAnsi="宋体" w:eastAsia="宋体" w:cs="宋体"/>
          <w:snapToGrid w:val="0"/>
          <w:color w:val="auto"/>
          <w:kern w:val="0"/>
          <w:sz w:val="24"/>
          <w:highlight w:val="none"/>
          <w:lang w:val="en-US" w:eastAsia="zh-CN"/>
        </w:rPr>
        <w:t>44.4</w:t>
      </w:r>
      <w:r>
        <w:rPr>
          <w:rFonts w:hint="eastAsia" w:ascii="宋体" w:hAnsi="宋体" w:eastAsia="宋体" w:cs="宋体"/>
          <w:snapToGrid w:val="0"/>
          <w:color w:val="auto"/>
          <w:kern w:val="0"/>
          <w:sz w:val="24"/>
          <w:highlight w:val="none"/>
        </w:rPr>
        <w:t>承包人</w:t>
      </w:r>
      <w:r>
        <w:rPr>
          <w:rFonts w:hint="eastAsia" w:ascii="宋体" w:hAnsi="宋体" w:eastAsia="宋体" w:cs="宋体"/>
          <w:snapToGrid w:val="0"/>
          <w:color w:val="auto"/>
          <w:kern w:val="0"/>
          <w:sz w:val="24"/>
          <w:highlight w:val="none"/>
          <w:lang w:val="en-US" w:eastAsia="zh-CN"/>
        </w:rPr>
        <w:t>如采用银行履约保函方式</w:t>
      </w:r>
      <w:r>
        <w:rPr>
          <w:rFonts w:hint="eastAsia" w:ascii="宋体" w:hAnsi="宋体" w:eastAsia="宋体" w:cs="宋体"/>
          <w:snapToGrid w:val="0"/>
          <w:color w:val="auto"/>
          <w:kern w:val="0"/>
          <w:sz w:val="24"/>
          <w:highlight w:val="none"/>
        </w:rPr>
        <w:t>向发包人提供履约担保</w:t>
      </w:r>
      <w:r>
        <w:rPr>
          <w:rFonts w:hint="eastAsia" w:ascii="宋体" w:hAnsi="宋体" w:eastAsia="宋体" w:cs="宋体"/>
          <w:snapToGrid w:val="0"/>
          <w:color w:val="auto"/>
          <w:kern w:val="0"/>
          <w:sz w:val="24"/>
          <w:highlight w:val="none"/>
          <w:lang w:eastAsia="zh-CN"/>
        </w:rPr>
        <w:t>的，</w:t>
      </w:r>
      <w:r>
        <w:rPr>
          <w:rFonts w:hint="eastAsia" w:ascii="宋体" w:hAnsi="宋体" w:eastAsia="宋体" w:cs="宋体"/>
          <w:snapToGrid w:val="0"/>
          <w:color w:val="auto"/>
          <w:kern w:val="0"/>
          <w:sz w:val="24"/>
          <w:highlight w:val="none"/>
          <w:lang w:val="en-US" w:eastAsia="zh-CN"/>
        </w:rPr>
        <w:t>应</w:t>
      </w:r>
      <w:r>
        <w:rPr>
          <w:rFonts w:hint="eastAsia" w:ascii="宋体" w:hAnsi="宋体" w:eastAsia="宋体" w:cs="宋体"/>
          <w:snapToGrid w:val="0"/>
          <w:color w:val="auto"/>
          <w:kern w:val="0"/>
          <w:sz w:val="24"/>
          <w:highlight w:val="none"/>
        </w:rPr>
        <w:t>参照住房和城乡建设部印发的履约保函示范文本（独立保函）格式向发包人提交由在中华人民共和国注册的银行开出的《履约银行保函》原件</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原则上应选择营业地点在项目所在地市辖区内的大型商业银行开具银行履约保函</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，担保金额为本合同价款总价的10%。银行出具的保函应根据合同约定工期加2年作为银行履约保函的暂定时限。如履约银行保函到期时本工程还未达到退还保函条件，承包人应于保函有效期前 30 日内无条件完成续保手续。未完成合同履约的过期保函，承包人应及时办理银行履约保函展期工作，如因保函未能及时续保而导致工程款拨付延误的，承包人应加紧办理保函续保，并不得以此作为拖延工期的理由及延误支付工人工资。最终以竣工验收合格且承包人提交完整符合要求的竣工档案和完整的结算资料28天后作为保函失效时间。</w:t>
      </w:r>
    </w:p>
    <w:p w14:paraId="6E798A8E">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44.</w:t>
      </w:r>
      <w:r>
        <w:rPr>
          <w:rFonts w:hint="eastAsia" w:ascii="宋体" w:hAnsi="宋体" w:eastAsia="宋体" w:cs="宋体"/>
          <w:snapToGrid w:val="0"/>
          <w:color w:val="auto"/>
          <w:kern w:val="0"/>
          <w:sz w:val="24"/>
          <w:highlight w:val="none"/>
          <w:lang w:val="en-US" w:eastAsia="zh-CN"/>
        </w:rPr>
        <w:t>5</w:t>
      </w:r>
      <w:r>
        <w:rPr>
          <w:rFonts w:hint="eastAsia" w:ascii="宋体" w:hAnsi="宋体" w:eastAsia="宋体" w:cs="宋体"/>
          <w:snapToGrid w:val="0"/>
          <w:color w:val="auto"/>
          <w:kern w:val="0"/>
          <w:sz w:val="24"/>
          <w:highlight w:val="none"/>
        </w:rPr>
        <w:t>承包人提交的履约</w:t>
      </w:r>
      <w:r>
        <w:rPr>
          <w:rFonts w:hint="eastAsia" w:ascii="宋体" w:hAnsi="宋体" w:eastAsia="宋体" w:cs="宋体"/>
          <w:snapToGrid w:val="0"/>
          <w:color w:val="auto"/>
          <w:kern w:val="0"/>
          <w:sz w:val="24"/>
          <w:highlight w:val="none"/>
          <w:lang w:val="en-US" w:eastAsia="zh-CN"/>
        </w:rPr>
        <w:t>担保</w:t>
      </w:r>
      <w:r>
        <w:rPr>
          <w:rFonts w:hint="eastAsia" w:ascii="宋体" w:hAnsi="宋体" w:eastAsia="宋体" w:cs="宋体"/>
          <w:snapToGrid w:val="0"/>
          <w:color w:val="auto"/>
          <w:kern w:val="0"/>
          <w:sz w:val="24"/>
          <w:highlight w:val="none"/>
        </w:rPr>
        <w:t>是对本合同约定的承包人的全部义务（包括但不限于承包人违约后应支付的违约金和赔偿金）的担保，承包人的任何一次不履行或不完全履行合同义务的行为，发包人均有权扣除保证金或</w:t>
      </w:r>
      <w:r>
        <w:rPr>
          <w:rFonts w:hint="eastAsia" w:ascii="宋体" w:hAnsi="宋体" w:eastAsia="宋体" w:cs="宋体"/>
          <w:snapToGrid w:val="0"/>
          <w:color w:val="auto"/>
          <w:kern w:val="0"/>
          <w:sz w:val="24"/>
          <w:highlight w:val="none"/>
          <w:lang w:val="en-US" w:eastAsia="zh-CN"/>
        </w:rPr>
        <w:t>按履约担保提出索赔</w:t>
      </w:r>
      <w:r>
        <w:rPr>
          <w:rFonts w:hint="eastAsia" w:ascii="宋体" w:hAnsi="宋体" w:eastAsia="宋体" w:cs="宋体"/>
          <w:snapToGrid w:val="0"/>
          <w:color w:val="auto"/>
          <w:kern w:val="0"/>
          <w:sz w:val="24"/>
          <w:highlight w:val="none"/>
        </w:rPr>
        <w:t>。</w:t>
      </w:r>
    </w:p>
    <w:p w14:paraId="69FE15CD">
      <w:pPr>
        <w:adjustRightInd w:val="0"/>
        <w:snapToGrid w:val="0"/>
        <w:spacing w:line="360" w:lineRule="auto"/>
        <w:ind w:right="11" w:firstLine="460" w:firstLineChars="192"/>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44.</w:t>
      </w:r>
      <w:r>
        <w:rPr>
          <w:rFonts w:hint="eastAsia" w:ascii="宋体" w:hAnsi="宋体" w:eastAsia="宋体" w:cs="宋体"/>
          <w:snapToGrid w:val="0"/>
          <w:color w:val="auto"/>
          <w:kern w:val="0"/>
          <w:sz w:val="24"/>
          <w:highlight w:val="none"/>
          <w:lang w:val="en-US" w:eastAsia="zh-CN"/>
        </w:rPr>
        <w:t>6</w:t>
      </w:r>
      <w:r>
        <w:rPr>
          <w:rFonts w:hint="eastAsia" w:ascii="宋体" w:hAnsi="宋体" w:eastAsia="宋体" w:cs="宋体"/>
          <w:snapToGrid w:val="0"/>
          <w:color w:val="auto"/>
          <w:kern w:val="0"/>
          <w:sz w:val="24"/>
          <w:highlight w:val="none"/>
        </w:rPr>
        <w:t>承包人不履行或不完全履行合同义务的行为导致发包人依据履约</w:t>
      </w:r>
      <w:r>
        <w:rPr>
          <w:rFonts w:hint="eastAsia" w:ascii="宋体" w:hAnsi="宋体" w:eastAsia="宋体" w:cs="宋体"/>
          <w:snapToGrid w:val="0"/>
          <w:color w:val="auto"/>
          <w:kern w:val="0"/>
          <w:sz w:val="24"/>
          <w:highlight w:val="none"/>
          <w:lang w:val="en-US" w:eastAsia="zh-CN"/>
        </w:rPr>
        <w:t>担保</w:t>
      </w:r>
      <w:r>
        <w:rPr>
          <w:rFonts w:hint="eastAsia" w:ascii="宋体" w:hAnsi="宋体" w:eastAsia="宋体" w:cs="宋体"/>
          <w:snapToGrid w:val="0"/>
          <w:color w:val="auto"/>
          <w:kern w:val="0"/>
          <w:sz w:val="24"/>
          <w:highlight w:val="none"/>
        </w:rPr>
        <w:t>索赔履约</w:t>
      </w:r>
      <w:r>
        <w:rPr>
          <w:rFonts w:hint="eastAsia" w:ascii="宋体" w:hAnsi="宋体" w:eastAsia="宋体" w:cs="宋体"/>
          <w:snapToGrid w:val="0"/>
          <w:color w:val="auto"/>
          <w:kern w:val="0"/>
          <w:sz w:val="24"/>
          <w:highlight w:val="none"/>
          <w:lang w:val="en-US" w:eastAsia="zh-CN"/>
        </w:rPr>
        <w:t>担保</w:t>
      </w:r>
      <w:r>
        <w:rPr>
          <w:rFonts w:hint="eastAsia" w:ascii="宋体" w:hAnsi="宋体" w:eastAsia="宋体" w:cs="宋体"/>
          <w:snapToGrid w:val="0"/>
          <w:color w:val="auto"/>
          <w:kern w:val="0"/>
          <w:sz w:val="24"/>
          <w:highlight w:val="none"/>
        </w:rPr>
        <w:t>金额的一部分或者全部的，承包人必须在发包人规定的时间内补充提交履约</w:t>
      </w:r>
      <w:r>
        <w:rPr>
          <w:rFonts w:hint="eastAsia" w:ascii="宋体" w:hAnsi="宋体" w:eastAsia="宋体" w:cs="宋体"/>
          <w:snapToGrid w:val="0"/>
          <w:color w:val="auto"/>
          <w:kern w:val="0"/>
          <w:sz w:val="24"/>
          <w:highlight w:val="none"/>
          <w:lang w:val="en-US" w:eastAsia="zh-CN"/>
        </w:rPr>
        <w:t>担保</w:t>
      </w:r>
      <w:r>
        <w:rPr>
          <w:rFonts w:hint="eastAsia" w:ascii="宋体" w:hAnsi="宋体" w:eastAsia="宋体" w:cs="宋体"/>
          <w:snapToGrid w:val="0"/>
          <w:color w:val="auto"/>
          <w:kern w:val="0"/>
          <w:sz w:val="24"/>
          <w:highlight w:val="none"/>
        </w:rPr>
        <w:t>，使得本合同履行期间有效的履约</w:t>
      </w:r>
      <w:r>
        <w:rPr>
          <w:rFonts w:hint="eastAsia" w:ascii="宋体" w:hAnsi="宋体" w:eastAsia="宋体" w:cs="宋体"/>
          <w:snapToGrid w:val="0"/>
          <w:color w:val="auto"/>
          <w:kern w:val="0"/>
          <w:sz w:val="24"/>
          <w:highlight w:val="none"/>
          <w:lang w:val="en-US" w:eastAsia="zh-CN"/>
        </w:rPr>
        <w:t>担保</w:t>
      </w:r>
      <w:r>
        <w:rPr>
          <w:rFonts w:hint="eastAsia" w:ascii="宋体" w:hAnsi="宋体" w:eastAsia="宋体" w:cs="宋体"/>
          <w:snapToGrid w:val="0"/>
          <w:color w:val="auto"/>
          <w:kern w:val="0"/>
          <w:sz w:val="24"/>
          <w:highlight w:val="none"/>
        </w:rPr>
        <w:t>金额等于承包人第一次提交的履约</w:t>
      </w:r>
      <w:r>
        <w:rPr>
          <w:rFonts w:hint="eastAsia" w:ascii="宋体" w:hAnsi="宋体" w:eastAsia="宋体" w:cs="宋体"/>
          <w:snapToGrid w:val="0"/>
          <w:color w:val="auto"/>
          <w:kern w:val="0"/>
          <w:sz w:val="24"/>
          <w:highlight w:val="none"/>
          <w:lang w:val="en-US" w:eastAsia="zh-CN"/>
        </w:rPr>
        <w:t>担保</w:t>
      </w:r>
      <w:r>
        <w:rPr>
          <w:rFonts w:hint="eastAsia" w:ascii="宋体" w:hAnsi="宋体" w:eastAsia="宋体" w:cs="宋体"/>
          <w:snapToGrid w:val="0"/>
          <w:color w:val="auto"/>
          <w:kern w:val="0"/>
          <w:sz w:val="24"/>
          <w:highlight w:val="none"/>
        </w:rPr>
        <w:t>金额。</w:t>
      </w:r>
    </w:p>
    <w:p w14:paraId="5CE71647">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44.</w:t>
      </w:r>
      <w:r>
        <w:rPr>
          <w:rFonts w:hint="eastAsia" w:ascii="宋体" w:hAnsi="宋体" w:eastAsia="宋体" w:cs="宋体"/>
          <w:snapToGrid w:val="0"/>
          <w:color w:val="auto"/>
          <w:kern w:val="0"/>
          <w:sz w:val="24"/>
          <w:highlight w:val="none"/>
          <w:lang w:val="en-US" w:eastAsia="zh-CN"/>
        </w:rPr>
        <w:t>7</w:t>
      </w:r>
      <w:r>
        <w:rPr>
          <w:rFonts w:hint="eastAsia" w:ascii="宋体" w:hAnsi="宋体" w:eastAsia="宋体" w:cs="宋体"/>
          <w:snapToGrid w:val="0"/>
          <w:color w:val="auto"/>
          <w:kern w:val="0"/>
          <w:sz w:val="24"/>
          <w:highlight w:val="none"/>
        </w:rPr>
        <w:t>如果承包人不按发包人的要求及时补充提交履约</w:t>
      </w:r>
      <w:r>
        <w:rPr>
          <w:rFonts w:hint="eastAsia" w:ascii="宋体" w:hAnsi="宋体" w:eastAsia="宋体" w:cs="宋体"/>
          <w:snapToGrid w:val="0"/>
          <w:color w:val="auto"/>
          <w:kern w:val="0"/>
          <w:sz w:val="24"/>
          <w:highlight w:val="none"/>
          <w:lang w:val="en-US" w:eastAsia="zh-CN"/>
        </w:rPr>
        <w:t>担保</w:t>
      </w:r>
      <w:r>
        <w:rPr>
          <w:rFonts w:hint="eastAsia" w:ascii="宋体" w:hAnsi="宋体" w:eastAsia="宋体" w:cs="宋体"/>
          <w:snapToGrid w:val="0"/>
          <w:color w:val="auto"/>
          <w:kern w:val="0"/>
          <w:sz w:val="24"/>
          <w:highlight w:val="none"/>
        </w:rPr>
        <w:t>，则发包人有权单方面部分解除或解除本合同，并按合同专用条款第47.9</w:t>
      </w:r>
      <w:r>
        <w:rPr>
          <w:rFonts w:hint="eastAsia" w:ascii="宋体" w:hAnsi="宋体" w:eastAsia="宋体" w:cs="宋体"/>
          <w:snapToGrid w:val="0"/>
          <w:color w:val="auto"/>
          <w:kern w:val="0"/>
          <w:sz w:val="24"/>
          <w:highlight w:val="none"/>
          <w:lang w:val="en-US" w:eastAsia="zh-CN"/>
        </w:rPr>
        <w:t>至</w:t>
      </w:r>
      <w:r>
        <w:rPr>
          <w:rFonts w:hint="eastAsia" w:ascii="宋体" w:hAnsi="宋体" w:eastAsia="宋体" w:cs="宋体"/>
          <w:snapToGrid w:val="0"/>
          <w:color w:val="auto"/>
          <w:kern w:val="0"/>
          <w:sz w:val="24"/>
          <w:highlight w:val="none"/>
        </w:rPr>
        <w:t>47.11款的有关约定执行。</w:t>
      </w:r>
    </w:p>
    <w:p w14:paraId="06901AAE">
      <w:pPr>
        <w:adjustRightInd w:val="0"/>
        <w:snapToGrid w:val="0"/>
        <w:spacing w:after="240" w:line="430" w:lineRule="exact"/>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44.</w:t>
      </w:r>
      <w:r>
        <w:rPr>
          <w:rFonts w:hint="eastAsia" w:ascii="宋体" w:hAnsi="宋体" w:eastAsia="宋体" w:cs="宋体"/>
          <w:snapToGrid w:val="0"/>
          <w:color w:val="auto"/>
          <w:kern w:val="0"/>
          <w:sz w:val="24"/>
          <w:highlight w:val="none"/>
          <w:lang w:val="en-US" w:eastAsia="zh-CN"/>
        </w:rPr>
        <w:t>8</w:t>
      </w:r>
      <w:r>
        <w:rPr>
          <w:rFonts w:hint="eastAsia" w:ascii="宋体" w:hAnsi="宋体" w:eastAsia="宋体" w:cs="宋体"/>
          <w:snapToGrid w:val="0"/>
          <w:color w:val="auto"/>
          <w:kern w:val="0"/>
          <w:sz w:val="24"/>
          <w:highlight w:val="none"/>
        </w:rPr>
        <w:t>本工程以竣工验收合格且承包人提交完整符合要求的竣工档案和完整的结算资料28天后，经发包人同意，承包人可向发包人申请退还</w:t>
      </w:r>
      <w:r>
        <w:rPr>
          <w:rFonts w:hint="eastAsia" w:ascii="宋体" w:hAnsi="宋体" w:eastAsia="宋体" w:cs="宋体"/>
          <w:snapToGrid w:val="0"/>
          <w:color w:val="auto"/>
          <w:kern w:val="0"/>
          <w:sz w:val="24"/>
          <w:highlight w:val="none"/>
          <w:lang w:val="en-US" w:eastAsia="zh-CN"/>
        </w:rPr>
        <w:t>担保</w:t>
      </w:r>
      <w:r>
        <w:rPr>
          <w:rFonts w:hint="eastAsia" w:ascii="宋体" w:hAnsi="宋体" w:eastAsia="宋体" w:cs="宋体"/>
          <w:snapToGrid w:val="0"/>
          <w:color w:val="auto"/>
          <w:kern w:val="0"/>
          <w:sz w:val="24"/>
          <w:highlight w:val="none"/>
        </w:rPr>
        <w:t>。</w:t>
      </w:r>
    </w:p>
    <w:p w14:paraId="2909C57E">
      <w:pPr>
        <w:adjustRightInd w:val="0"/>
        <w:snapToGrid w:val="0"/>
        <w:spacing w:line="360" w:lineRule="auto"/>
        <w:ind w:right="11" w:firstLine="463" w:firstLineChars="192"/>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47、合同解除</w:t>
      </w:r>
    </w:p>
    <w:p w14:paraId="5520E703">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47.7合同解除后，不影响双方在合同中约定的结算、清理和保密条款及其他适用条款的效力，亦不能免除承包人对已完工项目的保修责任。</w:t>
      </w:r>
    </w:p>
    <w:p w14:paraId="5DEAB7EF">
      <w:pPr>
        <w:adjustRightInd w:val="0"/>
        <w:snapToGrid w:val="0"/>
        <w:spacing w:line="360" w:lineRule="auto"/>
        <w:ind w:right="11" w:firstLine="463" w:firstLineChars="192"/>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承包人与发包人一致同意增加47.8至47.11：</w:t>
      </w:r>
    </w:p>
    <w:p w14:paraId="1C523947">
      <w:pPr>
        <w:adjustRightInd w:val="0"/>
        <w:snapToGrid w:val="0"/>
        <w:spacing w:line="360" w:lineRule="auto"/>
        <w:ind w:right="11" w:firstLine="460" w:firstLineChars="192"/>
        <w:rPr>
          <w:rFonts w:hint="eastAsia" w:ascii="宋体" w:hAnsi="宋体" w:eastAsia="宋体" w:cs="宋体"/>
          <w:b/>
          <w:bCs/>
          <w:snapToGrid w:val="0"/>
          <w:color w:val="auto"/>
          <w:kern w:val="0"/>
          <w:sz w:val="24"/>
          <w:highlight w:val="none"/>
        </w:rPr>
      </w:pPr>
      <w:r>
        <w:rPr>
          <w:rFonts w:hint="eastAsia" w:ascii="宋体" w:hAnsi="宋体" w:eastAsia="宋体" w:cs="宋体"/>
          <w:snapToGrid w:val="0"/>
          <w:color w:val="auto"/>
          <w:kern w:val="0"/>
          <w:sz w:val="24"/>
          <w:highlight w:val="none"/>
        </w:rPr>
        <w:t>47.8发包人有权依据本合同有关条款的约定部分解除合同或解除合同。</w:t>
      </w:r>
    </w:p>
    <w:p w14:paraId="7560AB28">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47.9部分解除合同</w:t>
      </w:r>
    </w:p>
    <w:p w14:paraId="4205B7A8">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承包人违约致部分解除合同的条件成就时，承包人在此承诺：</w:t>
      </w:r>
    </w:p>
    <w:p w14:paraId="132E775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（1）因承包人违约致部分解除合同的条件成就时，发包人有权向承包人发出部分解除合同的通知，该通知送达承包人时部分解除合同即生效。</w:t>
      </w:r>
    </w:p>
    <w:p w14:paraId="584C271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（2）承包人在接到部分解除合同的通知后，在2天内停止该部分工程的施工，并将机械、材料、物件、人员从该部分工程的施工场地完成撤离。</w:t>
      </w:r>
    </w:p>
    <w:p w14:paraId="6E88AC9F">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承包人在接到部分解除合同的通知后，停工的3天内，发包人、监理单位会同承包人对已完成工程量进行清点。发包人只承认已发生且符合质量验收标准的部分工程，对于已订货而未到现场或在现场未使用的材料、设备等均不予承认，由承包人自行处理。对于承包人已开工但经检验不合格的工程，承包人在总监理工程师发出通知的限期内拆除，并清运出工地，由此带来的损失由承包人自行承担。</w:t>
      </w:r>
    </w:p>
    <w:p w14:paraId="37C02F21">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（4）承包人在收到部分解除合同的通知后，若不按上述约定执行，发包人有权自行处理承包人滞留在施工现场的物品，处理费用及因此所造成的损失由承包人承担。</w:t>
      </w:r>
    </w:p>
    <w:p w14:paraId="56A76955">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（5）部分解除合同的通知送达承包人后，发包人就该部分解除合同的工程即可另行与其他单位签订施工合同，承包人不得阻碍新的单位进场施工。</w:t>
      </w:r>
    </w:p>
    <w:p w14:paraId="2BB51ADC">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（6）当部分解除合同的工程额达到本合同价款的50%时，发包人有权解除合同。</w:t>
      </w:r>
    </w:p>
    <w:p w14:paraId="41D71C63">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47.10解除合同</w:t>
      </w:r>
    </w:p>
    <w:p w14:paraId="1A083B92">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承包人违约致解除合同的条件成就时，承包人在此承诺：</w:t>
      </w:r>
    </w:p>
    <w:p w14:paraId="55A0F212">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（1）因承包人违约致解除合同的条件成</w:t>
      </w:r>
      <w:r>
        <w:rPr>
          <w:rFonts w:hint="eastAsia" w:ascii="宋体" w:hAnsi="宋体" w:eastAsia="宋体" w:cs="宋体"/>
          <w:snapToGrid w:val="0"/>
          <w:color w:val="auto"/>
          <w:kern w:val="0"/>
          <w:sz w:val="24"/>
          <w:highlight w:val="none"/>
          <w:lang w:val="en-US" w:eastAsia="zh-CN"/>
        </w:rPr>
        <w:t>立</w:t>
      </w:r>
      <w:r>
        <w:rPr>
          <w:rFonts w:hint="eastAsia" w:ascii="宋体" w:hAnsi="宋体" w:eastAsia="宋体" w:cs="宋体"/>
          <w:snapToGrid w:val="0"/>
          <w:color w:val="auto"/>
          <w:kern w:val="0"/>
          <w:sz w:val="24"/>
          <w:highlight w:val="none"/>
        </w:rPr>
        <w:t>时，发包人有权向承包人发出解除合同的通知，该通知送达承包人时解除合同即生效，并立即按照合同专用条款第38.4</w:t>
      </w:r>
      <w:r>
        <w:rPr>
          <w:rFonts w:hint="eastAsia" w:ascii="宋体" w:hAnsi="宋体" w:eastAsia="宋体" w:cs="宋体"/>
          <w:snapToGrid w:val="0"/>
          <w:color w:val="auto"/>
          <w:kern w:val="0"/>
          <w:sz w:val="24"/>
          <w:highlight w:val="none"/>
          <w:lang w:val="en-US" w:eastAsia="zh-CN"/>
        </w:rPr>
        <w:t>条</w:t>
      </w:r>
      <w:r>
        <w:rPr>
          <w:rFonts w:hint="eastAsia" w:ascii="宋体" w:hAnsi="宋体" w:eastAsia="宋体" w:cs="宋体"/>
          <w:snapToGrid w:val="0"/>
          <w:color w:val="auto"/>
          <w:kern w:val="0"/>
          <w:sz w:val="24"/>
          <w:highlight w:val="none"/>
        </w:rPr>
        <w:t>的约定执行。</w:t>
      </w:r>
    </w:p>
    <w:p w14:paraId="2480D81D">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承包人接到解除合同的通知后，必须在2天内停止工程施工，并在10天内将机械、材料、物件、人员从施工现场完成撤离。停工的3天内，发包人、监理单位将会同承包人对已完成工程量进行清点，清点规则比照部分解除合同的情形处理。</w:t>
      </w:r>
    </w:p>
    <w:p w14:paraId="5707F789">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承包人未在规定期限内完成离场的，发包人有权将其留在现场的材料、设备和其他物件临时转运到其他堆放处，由此产生的搬运、保管费用由承包人负责，在此过程中出现的任何非发包人主观故意引起的损坏、遗失及因此所造成的其他损失全部由承包人自行负责，处理费用由承包人承担。</w:t>
      </w:r>
    </w:p>
    <w:p w14:paraId="4E1547C8">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（4）解除合同的通知送达承包人后，发包人就该解除合同的工程即可另行与其他单位签订施工合同，承包人不得阻碍新的单位进场施工。</w:t>
      </w:r>
    </w:p>
    <w:p w14:paraId="5508EDD2">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47.11承包人在部分解除合同或解除合同后，还必须在规定期限内作好已施工项目技术资料和实物的交底、移交工作。承包人因未履行上述义务而给发包人带来工期延误和其他损失的，应赔偿发包人的实际损失。</w:t>
      </w:r>
      <w:bookmarkStart w:id="713" w:name="_Toc115711031"/>
      <w:bookmarkStart w:id="714" w:name="_Toc122759216"/>
    </w:p>
    <w:p w14:paraId="6C778BDB">
      <w:pPr>
        <w:adjustRightInd w:val="0"/>
        <w:snapToGrid w:val="0"/>
        <w:spacing w:line="360" w:lineRule="auto"/>
        <w:ind w:right="11" w:firstLine="463" w:firstLineChars="192"/>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50、补充条款</w:t>
      </w:r>
    </w:p>
    <w:p w14:paraId="0EF49193">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50.1施工水电费（包括承包人管理范围内的专业单位、分包单位的水电费）由承包人向有关部门</w:t>
      </w:r>
      <w:r>
        <w:rPr>
          <w:rFonts w:hint="eastAsia" w:ascii="宋体" w:hAnsi="宋体" w:eastAsia="宋体" w:cs="宋体"/>
          <w:snapToGrid w:val="0"/>
          <w:color w:val="auto"/>
          <w:kern w:val="0"/>
          <w:sz w:val="24"/>
          <w:highlight w:val="none"/>
          <w:lang w:val="en-US" w:eastAsia="zh-CN"/>
        </w:rPr>
        <w:t>或单位</w:t>
      </w:r>
      <w:r>
        <w:rPr>
          <w:rFonts w:hint="eastAsia" w:ascii="宋体" w:hAnsi="宋体" w:eastAsia="宋体" w:cs="宋体"/>
          <w:snapToGrid w:val="0"/>
          <w:color w:val="auto"/>
          <w:kern w:val="0"/>
          <w:sz w:val="24"/>
          <w:highlight w:val="none"/>
        </w:rPr>
        <w:t>缴纳，发包人协助办理相关手续。</w:t>
      </w:r>
    </w:p>
    <w:p w14:paraId="0FE5492E">
      <w:pPr>
        <w:adjustRightInd w:val="0"/>
        <w:snapToGrid w:val="0"/>
        <w:spacing w:line="360" w:lineRule="auto"/>
        <w:ind w:right="11" w:firstLine="460" w:firstLineChars="192"/>
        <w:rPr>
          <w:rFonts w:hint="eastAsia" w:ascii="宋体" w:hAnsi="宋体" w:eastAsia="宋体" w:cs="宋体"/>
          <w:dstrike/>
          <w:snapToGrid w:val="0"/>
          <w:color w:val="auto"/>
          <w:kern w:val="0"/>
          <w:sz w:val="24"/>
          <w:highlight w:val="none"/>
        </w:rPr>
      </w:pPr>
      <w:r>
        <w:rPr>
          <w:rFonts w:hint="eastAsia" w:ascii="宋体" w:hAnsi="宋体" w:eastAsia="宋体" w:cs="宋体"/>
          <w:snapToGrid w:val="0"/>
          <w:color w:val="auto"/>
          <w:kern w:val="0"/>
          <w:sz w:val="24"/>
          <w:highlight w:val="none"/>
        </w:rPr>
        <w:t>50.2承包人承诺：严格按照合同和招投标文件规定履行义务，并同意发包人将其执行国家强制性规范、标准和履行合同、招投标文件义务的情况（包括但不限于由发包人组织的考核、考评通报、违约处理决定等）在发包人网站或其他媒体上公开披露，并且不向发包人提出任何赔偿或补偿要求。</w:t>
      </w:r>
    </w:p>
    <w:p w14:paraId="7B97EA63">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50.3双方一致同意，在工程未竣工验收移交前所有工程资料均归发包人所有，并必须在现场存放保管，发包人委托监理单位负责看管，在未得到发包人同意前，上述资料不得移出工地现场。</w:t>
      </w:r>
    </w:p>
    <w:p w14:paraId="7E573875">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50.4当发生下列情况之一时，双方应在事件发生后三个月内签订补充合同（协议），双方另有约定的除外：</w:t>
      </w:r>
    </w:p>
    <w:p w14:paraId="4A353802">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（1）发包人根据合同协议书第3.2款的约定调整合同工期；</w:t>
      </w:r>
    </w:p>
    <w:p w14:paraId="12F46DF1">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（2）发包人根据合同协议书第2.3款的约定调整承包范围、或发生设计变更、工程签证等情况导致</w:t>
      </w:r>
      <w:r>
        <w:rPr>
          <w:rFonts w:hint="eastAsia" w:ascii="宋体" w:hAnsi="宋体" w:eastAsia="宋体" w:cs="宋体"/>
          <w:bCs/>
          <w:snapToGrid w:val="0"/>
          <w:color w:val="auto"/>
          <w:kern w:val="0"/>
          <w:sz w:val="24"/>
          <w:highlight w:val="none"/>
          <w:lang w:val="zh-CN"/>
        </w:rPr>
        <w:t>本合同承包范围内的总金额</w:t>
      </w:r>
      <w:r>
        <w:rPr>
          <w:rFonts w:hint="eastAsia" w:ascii="宋体" w:hAnsi="宋体" w:eastAsia="宋体" w:cs="宋体"/>
          <w:snapToGrid w:val="0"/>
          <w:color w:val="auto"/>
          <w:kern w:val="0"/>
          <w:sz w:val="24"/>
          <w:highlight w:val="none"/>
        </w:rPr>
        <w:t>超过本合同价款；</w:t>
      </w:r>
    </w:p>
    <w:p w14:paraId="66450B27">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（3）发包人根据合同专用条款总则第6条约定制订的制度、规定涉及双方经济利益变动；</w:t>
      </w:r>
    </w:p>
    <w:p w14:paraId="3567BEC6">
      <w:pPr>
        <w:adjustRightInd w:val="0"/>
        <w:snapToGrid w:val="0"/>
        <w:spacing w:line="360" w:lineRule="auto"/>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（4）原合同条款欠完善或存在歧义；</w:t>
      </w:r>
    </w:p>
    <w:p w14:paraId="6976B6A4">
      <w:pPr>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（5）发包人、承包人双方协商一致认为需要签订补充合同（协议）的其他情形。</w:t>
      </w:r>
    </w:p>
    <w:p w14:paraId="6689829A">
      <w:pPr>
        <w:autoSpaceDE w:val="0"/>
        <w:autoSpaceDN w:val="0"/>
        <w:adjustRightInd w:val="0"/>
        <w:snapToGrid w:val="0"/>
        <w:spacing w:line="360" w:lineRule="auto"/>
        <w:ind w:firstLine="48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50.5承包人必须接受政府有关部门对本工程的监督，并无条件配合政府指定的审计机构的审计，提供必要的工作场所、条件及有关资料，对审计意见和合理建议应无条件予以采纳并进行整改。</w:t>
      </w:r>
    </w:p>
    <w:p w14:paraId="25F81866">
      <w:pPr>
        <w:autoSpaceDE w:val="0"/>
        <w:autoSpaceDN w:val="0"/>
        <w:adjustRightInd w:val="0"/>
        <w:snapToGrid w:val="0"/>
        <w:spacing w:line="360" w:lineRule="auto"/>
        <w:ind w:firstLine="480"/>
        <w:rPr>
          <w:rFonts w:hint="default"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rPr>
        <w:t>50.6其他约定事项</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w:t>
      </w:r>
    </w:p>
    <w:p w14:paraId="604857F7">
      <w:pPr>
        <w:autoSpaceDE w:val="0"/>
        <w:autoSpaceDN w:val="0"/>
        <w:adjustRightInd w:val="0"/>
        <w:snapToGrid w:val="0"/>
        <w:spacing w:line="360" w:lineRule="auto"/>
        <w:ind w:firstLine="480"/>
        <w:rPr>
          <w:rFonts w:hint="default" w:ascii="宋体" w:hAnsi="宋体" w:eastAsia="宋体" w:cs="宋体"/>
          <w:b/>
          <w:bCs/>
          <w:color w:val="auto"/>
          <w:kern w:val="0"/>
          <w:sz w:val="24"/>
          <w:szCs w:val="24"/>
          <w:highlight w:val="none"/>
          <w:u w:val="single"/>
          <w:lang w:val="en-US" w:eastAsia="zh-CN"/>
        </w:rPr>
      </w:pPr>
    </w:p>
    <w:p w14:paraId="65FE6C0F">
      <w:pPr>
        <w:pStyle w:val="6"/>
        <w:rPr>
          <w:rFonts w:hint="eastAsia" w:ascii="宋体" w:hAnsi="宋体"/>
          <w:snapToGrid w:val="0"/>
          <w:color w:val="auto"/>
          <w:kern w:val="0"/>
          <w:highlight w:val="none"/>
        </w:rPr>
      </w:pPr>
      <w:bookmarkStart w:id="715" w:name="_Toc514666984"/>
      <w:bookmarkStart w:id="716" w:name="_Toc520902838"/>
      <w:bookmarkStart w:id="717" w:name="_Toc514665293"/>
      <w:bookmarkStart w:id="718" w:name="_Toc514681193"/>
      <w:bookmarkStart w:id="719" w:name="_Toc517954584"/>
      <w:bookmarkStart w:id="720" w:name="_Toc520358241"/>
      <w:bookmarkStart w:id="721" w:name="_Toc514664871"/>
      <w:bookmarkStart w:id="722" w:name="_Toc519502261"/>
      <w:bookmarkStart w:id="723" w:name="_Toc514665154"/>
      <w:bookmarkStart w:id="724" w:name="_Toc517774571"/>
      <w:bookmarkStart w:id="725" w:name="_Toc520902616"/>
      <w:bookmarkStart w:id="726" w:name="_Toc514663870"/>
      <w:bookmarkStart w:id="727" w:name="_Toc518481743"/>
      <w:bookmarkStart w:id="728" w:name="_Toc514681774"/>
      <w:bookmarkStart w:id="729" w:name="_Toc519503091"/>
      <w:bookmarkStart w:id="730" w:name="_Toc520901471"/>
      <w:bookmarkStart w:id="731" w:name="_Toc520902767"/>
      <w:bookmarkStart w:id="732" w:name="_Toc520358065"/>
      <w:bookmarkStart w:id="733" w:name="_Toc516495987"/>
      <w:r>
        <w:rPr>
          <w:rFonts w:hint="eastAsia" w:ascii="宋体" w:hAnsi="宋体"/>
          <w:snapToGrid w:val="0"/>
          <w:color w:val="auto"/>
          <w:kern w:val="0"/>
          <w:highlight w:val="none"/>
        </w:rPr>
        <w:br w:type="page"/>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Start w:id="734" w:name="_Toc514663882"/>
      <w:bookmarkStart w:id="735" w:name="_Toc520902850"/>
      <w:bookmarkStart w:id="736" w:name="_Toc514665166"/>
      <w:bookmarkStart w:id="737" w:name="_Toc520358253"/>
      <w:bookmarkStart w:id="738" w:name="_Toc520901483"/>
      <w:bookmarkStart w:id="739" w:name="_Toc517774583"/>
      <w:bookmarkStart w:id="740" w:name="_Toc519503103"/>
      <w:bookmarkStart w:id="741" w:name="_Toc514664883"/>
      <w:bookmarkStart w:id="742" w:name="_Toc520902628"/>
      <w:bookmarkStart w:id="743" w:name="_Toc518481755"/>
      <w:bookmarkStart w:id="744" w:name="_Toc35083118"/>
      <w:bookmarkStart w:id="745" w:name="_Toc519502273"/>
      <w:bookmarkStart w:id="746" w:name="_Toc514681205"/>
      <w:bookmarkStart w:id="747" w:name="_Toc516495999"/>
      <w:bookmarkStart w:id="748" w:name="_Toc520358077"/>
      <w:bookmarkStart w:id="749" w:name="_Toc514665305"/>
      <w:bookmarkStart w:id="750" w:name="_Toc514666996"/>
      <w:bookmarkStart w:id="751" w:name="_Toc520902779"/>
      <w:bookmarkStart w:id="752" w:name="_Toc517954596"/>
      <w:bookmarkStart w:id="753" w:name="_Toc114651586"/>
      <w:bookmarkStart w:id="754" w:name="_Toc514681786"/>
      <w:r>
        <w:rPr>
          <w:rFonts w:hint="eastAsia" w:ascii="宋体" w:hAnsi="宋体"/>
          <w:snapToGrid w:val="0"/>
          <w:color w:val="auto"/>
          <w:kern w:val="0"/>
          <w:highlight w:val="none"/>
        </w:rPr>
        <w:t>第四篇  合同附件</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45BA88BA">
      <w:pPr>
        <w:pStyle w:val="10"/>
        <w:ind w:left="0" w:firstLine="0"/>
        <w:jc w:val="both"/>
        <w:rPr>
          <w:rFonts w:hint="eastAsia" w:ascii="宋体" w:hAnsi="宋体"/>
          <w:color w:val="auto"/>
          <w:highlight w:val="none"/>
          <w:lang w:val="zh-CN"/>
        </w:rPr>
      </w:pPr>
      <w:bookmarkStart w:id="755" w:name="_Toc35083119"/>
      <w:bookmarkStart w:id="756" w:name="_Toc514665167"/>
      <w:bookmarkStart w:id="757" w:name="_Toc517954597"/>
      <w:bookmarkStart w:id="758" w:name="_Toc132199654"/>
      <w:bookmarkStart w:id="759" w:name="_Toc514664884"/>
      <w:bookmarkStart w:id="760" w:name="_Toc516496000"/>
      <w:bookmarkStart w:id="761" w:name="_Toc520358078"/>
      <w:bookmarkStart w:id="762" w:name="_Toc517774584"/>
      <w:bookmarkStart w:id="763" w:name="_Toc518481756"/>
      <w:bookmarkStart w:id="764" w:name="_Toc514665306"/>
      <w:bookmarkStart w:id="765" w:name="_Toc519503104"/>
      <w:bookmarkStart w:id="766" w:name="_Toc520902780"/>
      <w:bookmarkStart w:id="767" w:name="_Toc520902851"/>
      <w:bookmarkStart w:id="768" w:name="_Toc514681206"/>
      <w:bookmarkStart w:id="769" w:name="_Toc514663883"/>
      <w:bookmarkStart w:id="770" w:name="_Toc514666997"/>
      <w:bookmarkStart w:id="771" w:name="_Toc520358254"/>
      <w:bookmarkStart w:id="772" w:name="_Toc520902629"/>
      <w:bookmarkStart w:id="773" w:name="_Toc520901484"/>
      <w:bookmarkStart w:id="774" w:name="_Toc514681787"/>
      <w:bookmarkStart w:id="775" w:name="_Toc519502274"/>
      <w:r>
        <w:rPr>
          <w:rFonts w:hint="eastAsia" w:ascii="宋体" w:hAnsi="宋体"/>
          <w:color w:val="auto"/>
          <w:highlight w:val="none"/>
          <w:lang w:val="zh-CN"/>
        </w:rPr>
        <w:t>附件1：</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14:paraId="7877A9B0">
      <w:pPr>
        <w:pStyle w:val="12"/>
        <w:spacing w:after="240"/>
        <w:ind w:firstLine="0"/>
        <w:jc w:val="center"/>
        <w:rPr>
          <w:rFonts w:hint="eastAsia" w:ascii="宋体" w:hAnsi="宋体" w:cs="宋体"/>
          <w:b/>
          <w:snapToGrid w:val="0"/>
          <w:color w:val="auto"/>
          <w:kern w:val="0"/>
          <w:sz w:val="44"/>
          <w:szCs w:val="44"/>
          <w:highlight w:val="none"/>
        </w:rPr>
      </w:pPr>
      <w:r>
        <w:rPr>
          <w:rFonts w:hint="eastAsia" w:ascii="宋体" w:hAnsi="宋体" w:cs="宋体"/>
          <w:b/>
          <w:snapToGrid w:val="0"/>
          <w:color w:val="auto"/>
          <w:kern w:val="0"/>
          <w:sz w:val="44"/>
          <w:szCs w:val="44"/>
          <w:highlight w:val="none"/>
        </w:rPr>
        <w:t>工程质量保修书</w:t>
      </w:r>
    </w:p>
    <w:p w14:paraId="09CFFA76">
      <w:pPr>
        <w:wordWrap w:val="0"/>
        <w:adjustRightInd w:val="0"/>
        <w:snapToGrid w:val="0"/>
        <w:spacing w:line="360" w:lineRule="auto"/>
        <w:jc w:val="left"/>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rPr>
        <w:t>发包人：</w:t>
      </w:r>
      <w:r>
        <w:rPr>
          <w:rFonts w:hint="eastAsia" w:ascii="宋体" w:hAnsi="宋体" w:eastAsia="宋体" w:cs="宋体"/>
          <w:b/>
          <w:color w:val="auto"/>
          <w:sz w:val="24"/>
          <w:szCs w:val="24"/>
          <w:highlight w:val="none"/>
          <w:u w:val="single"/>
          <w:lang w:eastAsia="zh-CN"/>
        </w:rPr>
        <w:t>广州机场新能源有限公司</w:t>
      </w:r>
    </w:p>
    <w:p w14:paraId="4A2C056F">
      <w:pPr>
        <w:wordWrap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承包人：</w:t>
      </w:r>
      <w:r>
        <w:rPr>
          <w:rFonts w:hint="eastAsia" w:ascii="宋体" w:hAnsi="宋体" w:eastAsia="宋体" w:cs="宋体"/>
          <w:b/>
          <w:color w:val="auto"/>
          <w:sz w:val="24"/>
          <w:szCs w:val="24"/>
          <w:highlight w:val="none"/>
          <w:u w:val="single"/>
        </w:rPr>
        <w:t xml:space="preserve">                            </w:t>
      </w:r>
    </w:p>
    <w:p w14:paraId="1DF15FB2">
      <w:pPr>
        <w:adjustRightInd w:val="0"/>
        <w:snapToGrid w:val="0"/>
        <w:spacing w:line="360" w:lineRule="auto"/>
        <w:ind w:right="11" w:firstLine="480" w:firstLineChars="200"/>
        <w:rPr>
          <w:rFonts w:hint="eastAsia" w:ascii="宋体" w:hAnsi="宋体" w:eastAsia="宋体" w:cs="宋体"/>
          <w:snapToGrid w:val="0"/>
          <w:color w:val="auto"/>
          <w:kern w:val="0"/>
          <w:sz w:val="24"/>
          <w:szCs w:val="24"/>
          <w:highlight w:val="none"/>
        </w:rPr>
      </w:pPr>
    </w:p>
    <w:p w14:paraId="03877A54">
      <w:pPr>
        <w:adjustRightInd w:val="0"/>
        <w:snapToGrid w:val="0"/>
        <w:spacing w:line="360" w:lineRule="auto"/>
        <w:ind w:right="11"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发包人、承包人根据《中华人民共和国建筑法》《建设工程质量管理条例》和《房屋建筑工程质量保修办法》，经协商一致，对</w:t>
      </w:r>
      <w:r>
        <w:rPr>
          <w:rFonts w:hint="eastAsia" w:ascii="宋体" w:hAnsi="宋体" w:eastAsia="宋体" w:cs="宋体"/>
          <w:b/>
          <w:bCs/>
          <w:snapToGrid w:val="0"/>
          <w:color w:val="auto"/>
          <w:kern w:val="0"/>
          <w:sz w:val="24"/>
          <w:highlight w:val="none"/>
          <w:u w:val="single"/>
        </w:rPr>
        <w:t>【】</w:t>
      </w:r>
      <w:r>
        <w:rPr>
          <w:rFonts w:hint="eastAsia" w:ascii="宋体" w:hAnsi="宋体" w:eastAsia="宋体" w:cs="宋体"/>
          <w:snapToGrid w:val="0"/>
          <w:color w:val="auto"/>
          <w:kern w:val="0"/>
          <w:sz w:val="24"/>
          <w:szCs w:val="24"/>
          <w:highlight w:val="none"/>
        </w:rPr>
        <w:t>签订工程质量保修书。</w:t>
      </w:r>
    </w:p>
    <w:p w14:paraId="3A59E504">
      <w:pPr>
        <w:adjustRightInd w:val="0"/>
        <w:snapToGrid w:val="0"/>
        <w:spacing w:line="360" w:lineRule="auto"/>
        <w:ind w:right="11"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一、工程质量保修范围和内容</w:t>
      </w:r>
    </w:p>
    <w:p w14:paraId="6F1FE465">
      <w:pPr>
        <w:adjustRightInd w:val="0"/>
        <w:snapToGrid w:val="0"/>
        <w:spacing w:line="360" w:lineRule="auto"/>
        <w:ind w:right="11"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承包人在质量保修期内，按照有关法律、法规、规章的管理规定和双方约定，承担本工程质量保修责任。</w:t>
      </w:r>
    </w:p>
    <w:p w14:paraId="580B9EDD">
      <w:pPr>
        <w:adjustRightInd w:val="0"/>
        <w:snapToGrid w:val="0"/>
        <w:spacing w:line="360" w:lineRule="auto"/>
        <w:ind w:right="11"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质量保修范围</w:t>
      </w:r>
      <w:r>
        <w:rPr>
          <w:rFonts w:hint="eastAsia" w:ascii="宋体" w:hAnsi="宋体" w:eastAsia="宋体" w:cs="宋体"/>
          <w:snapToGrid w:val="0"/>
          <w:color w:val="auto"/>
          <w:kern w:val="0"/>
          <w:sz w:val="24"/>
          <w:highlight w:val="none"/>
        </w:rPr>
        <w:t>包括基础工程、主体结构工程，屋面防水工程、有防水要求的外墙面的防渗漏，电气管线、</w:t>
      </w:r>
      <w:r>
        <w:rPr>
          <w:rFonts w:hint="eastAsia" w:ascii="宋体" w:hAnsi="宋体" w:eastAsia="宋体" w:cs="宋体"/>
          <w:snapToGrid w:val="0"/>
          <w:color w:val="auto"/>
          <w:kern w:val="0"/>
          <w:sz w:val="24"/>
          <w:highlight w:val="none"/>
          <w:lang w:val="en-US" w:eastAsia="zh-CN"/>
        </w:rPr>
        <w:t>光伏组件</w:t>
      </w:r>
      <w:r>
        <w:rPr>
          <w:rFonts w:hint="eastAsia" w:ascii="宋体" w:hAnsi="宋体" w:eastAsia="宋体" w:cs="宋体"/>
          <w:snapToGrid w:val="0"/>
          <w:color w:val="auto"/>
          <w:kern w:val="0"/>
          <w:sz w:val="24"/>
          <w:highlight w:val="none"/>
        </w:rPr>
        <w:t>设备安装和装修工程</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各相关系统运行等</w:t>
      </w:r>
      <w:r>
        <w:rPr>
          <w:rFonts w:hint="eastAsia" w:ascii="宋体" w:hAnsi="宋体" w:eastAsia="宋体" w:cs="宋体"/>
          <w:snapToGrid w:val="0"/>
          <w:color w:val="auto"/>
          <w:kern w:val="0"/>
          <w:sz w:val="24"/>
          <w:szCs w:val="24"/>
          <w:highlight w:val="none"/>
        </w:rPr>
        <w:t>，以及双方约定的其他项目。</w:t>
      </w:r>
    </w:p>
    <w:p w14:paraId="018B1975">
      <w:pPr>
        <w:adjustRightInd w:val="0"/>
        <w:snapToGrid w:val="0"/>
        <w:spacing w:line="360" w:lineRule="auto"/>
        <w:ind w:right="11"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二、质量保修期</w:t>
      </w:r>
    </w:p>
    <w:p w14:paraId="36DDC685">
      <w:pPr>
        <w:adjustRightInd w:val="0"/>
        <w:snapToGrid w:val="0"/>
        <w:spacing w:line="360" w:lineRule="auto"/>
        <w:ind w:right="11"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双方根据《建设工程质量管理条例》及有关规定，约定本工程的质量保修期如下：</w:t>
      </w:r>
    </w:p>
    <w:p w14:paraId="302D6B74">
      <w:pPr>
        <w:adjustRightInd w:val="0"/>
        <w:snapToGrid w:val="0"/>
        <w:spacing w:line="440" w:lineRule="exact"/>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1．地基基础工程和主体结构工程，为设计文件规定的该工程的合理使用年限；</w:t>
      </w:r>
    </w:p>
    <w:p w14:paraId="7BD9B5DD">
      <w:pPr>
        <w:adjustRightInd w:val="0"/>
        <w:snapToGrid w:val="0"/>
        <w:spacing w:line="440" w:lineRule="exact"/>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2．屋面防水工程、有防水要求的卫生间、房间和外墙面的防渗漏，为5年；</w:t>
      </w:r>
    </w:p>
    <w:p w14:paraId="7C0912A5">
      <w:pPr>
        <w:adjustRightInd w:val="0"/>
        <w:snapToGrid w:val="0"/>
        <w:spacing w:line="440" w:lineRule="exact"/>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3．供热与供冷系统，为2个采暖期、供冷期；</w:t>
      </w:r>
    </w:p>
    <w:p w14:paraId="0CEA401C">
      <w:pPr>
        <w:adjustRightInd w:val="0"/>
        <w:snapToGrid w:val="0"/>
        <w:spacing w:line="440" w:lineRule="exact"/>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4．电气管线、给排水管道、设备安装为2年；</w:t>
      </w:r>
    </w:p>
    <w:p w14:paraId="04F14474">
      <w:pPr>
        <w:adjustRightInd w:val="0"/>
        <w:snapToGrid w:val="0"/>
        <w:spacing w:line="440" w:lineRule="exact"/>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5．装修工程为2年；</w:t>
      </w:r>
    </w:p>
    <w:p w14:paraId="614A1FE4">
      <w:pPr>
        <w:adjustRightInd w:val="0"/>
        <w:snapToGrid w:val="0"/>
        <w:spacing w:line="440" w:lineRule="exact"/>
        <w:ind w:right="11" w:firstLine="480" w:firstLineChars="200"/>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rPr>
        <w:t>6．</w:t>
      </w:r>
      <w:r>
        <w:rPr>
          <w:rFonts w:hint="eastAsia" w:ascii="宋体" w:hAnsi="宋体" w:eastAsia="宋体" w:cs="宋体"/>
          <w:snapToGrid w:val="0"/>
          <w:color w:val="auto"/>
          <w:kern w:val="0"/>
          <w:sz w:val="24"/>
          <w:highlight w:val="none"/>
          <w:lang w:val="en-US" w:eastAsia="zh-CN"/>
        </w:rPr>
        <w:t>光伏组件</w:t>
      </w:r>
      <w:r>
        <w:rPr>
          <w:rFonts w:hint="eastAsia" w:ascii="宋体" w:hAnsi="宋体" w:eastAsia="宋体" w:cs="宋体"/>
          <w:snapToGrid w:val="0"/>
          <w:color w:val="auto"/>
          <w:kern w:val="0"/>
          <w:sz w:val="24"/>
          <w:highlight w:val="none"/>
        </w:rPr>
        <w:t>的保修期限为</w:t>
      </w:r>
      <w:r>
        <w:rPr>
          <w:rFonts w:hint="eastAsia" w:ascii="宋体" w:hAnsi="宋体" w:eastAsia="宋体" w:cs="宋体"/>
          <w:snapToGrid w:val="0"/>
          <w:color w:val="auto"/>
          <w:kern w:val="0"/>
          <w:sz w:val="24"/>
          <w:highlight w:val="none"/>
          <w:lang w:val="en-US" w:eastAsia="zh-CN"/>
        </w:rPr>
        <w:t>15</w:t>
      </w:r>
      <w:r>
        <w:rPr>
          <w:rFonts w:hint="eastAsia" w:ascii="宋体" w:hAnsi="宋体" w:eastAsia="宋体" w:cs="宋体"/>
          <w:snapToGrid w:val="0"/>
          <w:color w:val="auto"/>
          <w:kern w:val="0"/>
          <w:sz w:val="24"/>
          <w:highlight w:val="none"/>
        </w:rPr>
        <w:t>年</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产品质保），</w:t>
      </w:r>
      <w:r>
        <w:rPr>
          <w:rFonts w:hint="eastAsia" w:ascii="宋体" w:hAnsi="宋体" w:eastAsia="宋体" w:cs="宋体"/>
          <w:i w:val="0"/>
          <w:iCs w:val="0"/>
          <w:caps w:val="0"/>
          <w:snapToGrid w:val="0"/>
          <w:color w:val="auto"/>
          <w:spacing w:val="0"/>
          <w:kern w:val="0"/>
          <w:sz w:val="24"/>
          <w:szCs w:val="20"/>
          <w:highlight w:val="none"/>
          <w:shd w:val="clear" w:fill="auto"/>
        </w:rPr>
        <w:t>覆盖设计、材料或工艺缺陷</w:t>
      </w:r>
      <w:r>
        <w:rPr>
          <w:rFonts w:hint="eastAsia" w:ascii="宋体" w:hAnsi="宋体" w:eastAsia="宋体" w:cs="宋体"/>
          <w:i w:val="0"/>
          <w:iCs w:val="0"/>
          <w:caps w:val="0"/>
          <w:snapToGrid w:val="0"/>
          <w:color w:val="auto"/>
          <w:spacing w:val="0"/>
          <w:kern w:val="0"/>
          <w:sz w:val="24"/>
          <w:szCs w:val="20"/>
          <w:highlight w:val="none"/>
          <w:shd w:val="clear" w:fill="auto"/>
          <w:lang w:val="en-US" w:eastAsia="zh-CN"/>
        </w:rPr>
        <w:t>等；</w:t>
      </w:r>
    </w:p>
    <w:p w14:paraId="3D73B162">
      <w:pPr>
        <w:adjustRightInd w:val="0"/>
        <w:snapToGrid w:val="0"/>
        <w:spacing w:line="440" w:lineRule="exact"/>
        <w:ind w:right="11"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lang w:val="en-US" w:eastAsia="zh-CN"/>
        </w:rPr>
        <w:t>7、发电性能质保25年（发电性能质保），</w:t>
      </w:r>
      <w:r>
        <w:rPr>
          <w:rFonts w:hint="eastAsia" w:ascii="宋体" w:hAnsi="宋体" w:eastAsia="宋体" w:cs="宋体"/>
          <w:i w:val="0"/>
          <w:iCs w:val="0"/>
          <w:caps w:val="0"/>
          <w:snapToGrid w:val="0"/>
          <w:color w:val="auto"/>
          <w:spacing w:val="0"/>
          <w:kern w:val="0"/>
          <w:sz w:val="24"/>
          <w:szCs w:val="20"/>
          <w:highlight w:val="none"/>
          <w:shd w:val="clear" w:fill="auto"/>
        </w:rPr>
        <w:t>保障最大输出功率的线性衰减</w:t>
      </w:r>
      <w:r>
        <w:rPr>
          <w:rFonts w:hint="eastAsia" w:ascii="宋体" w:hAnsi="宋体" w:eastAsia="宋体" w:cs="宋体"/>
          <w:snapToGrid w:val="0"/>
          <w:color w:val="auto"/>
          <w:kern w:val="0"/>
          <w:sz w:val="24"/>
          <w:highlight w:val="none"/>
        </w:rPr>
        <w:t>。</w:t>
      </w:r>
    </w:p>
    <w:p w14:paraId="07D1C5EA">
      <w:pPr>
        <w:adjustRightInd w:val="0"/>
        <w:snapToGrid w:val="0"/>
        <w:spacing w:line="440" w:lineRule="exact"/>
        <w:ind w:right="11" w:firstLine="480" w:firstLineChars="200"/>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质量保修期自工程竣工验收合格之日起计算（如有国家或工程所在地政府相关规范性文件中规定的保修期与前款约定不一致的，按较长期限执行）。</w:t>
      </w:r>
    </w:p>
    <w:p w14:paraId="5419A1FA">
      <w:pPr>
        <w:adjustRightInd w:val="0"/>
        <w:snapToGrid w:val="0"/>
        <w:spacing w:line="360" w:lineRule="auto"/>
        <w:ind w:right="11"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三、质量保修责任</w:t>
      </w:r>
    </w:p>
    <w:p w14:paraId="0EA9C479">
      <w:pPr>
        <w:adjustRightInd w:val="0"/>
        <w:snapToGrid w:val="0"/>
        <w:spacing w:line="360" w:lineRule="auto"/>
        <w:ind w:right="11"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属于保修范围、内容的项目，承包人应当在接到保修通知之日起7天内派人保修并完成保修工作。承包人应配合实际工作需求派足额人数以确保按时完成保修工作，承包人不在约定期限内按要求完成保修工作的，发包人可以委托他人修理，所发生费用从预留质保金中扣除。</w:t>
      </w:r>
    </w:p>
    <w:p w14:paraId="03CC8B15">
      <w:pPr>
        <w:adjustRightInd w:val="0"/>
        <w:snapToGrid w:val="0"/>
        <w:spacing w:line="360" w:lineRule="auto"/>
        <w:ind w:right="11"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2．发生紧急抢修事故的，承包人在接到事故通知后，应当立即到达事故现场抢修。</w:t>
      </w:r>
    </w:p>
    <w:p w14:paraId="46CFC044">
      <w:pPr>
        <w:adjustRightInd w:val="0"/>
        <w:snapToGrid w:val="0"/>
        <w:spacing w:line="360" w:lineRule="auto"/>
        <w:ind w:right="11"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7EC7B7B3">
      <w:pPr>
        <w:adjustRightInd w:val="0"/>
        <w:snapToGrid w:val="0"/>
        <w:spacing w:line="360" w:lineRule="auto"/>
        <w:ind w:right="11"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4．质量保修完成后，由发包人组织验收。</w:t>
      </w:r>
    </w:p>
    <w:p w14:paraId="33B0FF19">
      <w:pPr>
        <w:adjustRightInd w:val="0"/>
        <w:snapToGrid w:val="0"/>
        <w:spacing w:line="360" w:lineRule="auto"/>
        <w:ind w:right="11"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四、保修费用</w:t>
      </w:r>
    </w:p>
    <w:p w14:paraId="32D312CD">
      <w:pPr>
        <w:adjustRightInd w:val="0"/>
        <w:snapToGrid w:val="0"/>
        <w:spacing w:line="360" w:lineRule="auto"/>
        <w:ind w:right="11"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保修费用由造成质量缺陷的责任方承担。</w:t>
      </w:r>
    </w:p>
    <w:p w14:paraId="4974E266">
      <w:pPr>
        <w:adjustRightInd w:val="0"/>
        <w:snapToGrid w:val="0"/>
        <w:spacing w:line="360" w:lineRule="auto"/>
        <w:ind w:right="11"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五、其他</w:t>
      </w:r>
    </w:p>
    <w:p w14:paraId="44A9B65F">
      <w:pPr>
        <w:adjustRightInd w:val="0"/>
        <w:snapToGrid w:val="0"/>
        <w:spacing w:line="360" w:lineRule="auto"/>
        <w:ind w:right="11"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双方约定的其他工程质量保修事项：</w:t>
      </w:r>
      <w:r>
        <w:rPr>
          <w:rFonts w:hint="eastAsia" w:ascii="宋体" w:hAnsi="宋体" w:eastAsia="宋体" w:cs="宋体"/>
          <w:snapToGrid w:val="0"/>
          <w:color w:val="auto"/>
          <w:kern w:val="0"/>
          <w:sz w:val="24"/>
          <w:szCs w:val="24"/>
          <w:highlight w:val="none"/>
          <w:u w:val="single"/>
        </w:rPr>
        <w:t xml:space="preserve"> / </w:t>
      </w:r>
      <w:r>
        <w:rPr>
          <w:rFonts w:hint="eastAsia" w:ascii="宋体" w:hAnsi="宋体" w:eastAsia="宋体" w:cs="宋体"/>
          <w:snapToGrid w:val="0"/>
          <w:color w:val="auto"/>
          <w:kern w:val="0"/>
          <w:sz w:val="24"/>
          <w:szCs w:val="24"/>
          <w:highlight w:val="none"/>
        </w:rPr>
        <w:t xml:space="preserve"> 。本工程质量保修书，由施工合同发包人、承包人双方在竣工验收前共同签署，作为施工合同附件其有效期限至保修期满。</w:t>
      </w:r>
    </w:p>
    <w:p w14:paraId="1D09346F">
      <w:pPr>
        <w:adjustRightInd w:val="0"/>
        <w:snapToGrid w:val="0"/>
        <w:spacing w:line="360" w:lineRule="auto"/>
        <w:rPr>
          <w:rFonts w:hint="eastAsia" w:ascii="宋体" w:hAnsi="宋体" w:eastAsia="宋体" w:cs="宋体"/>
          <w:snapToGrid w:val="0"/>
          <w:color w:val="auto"/>
          <w:kern w:val="0"/>
          <w:sz w:val="24"/>
          <w:szCs w:val="24"/>
          <w:highlight w:val="none"/>
        </w:rPr>
      </w:pPr>
    </w:p>
    <w:p w14:paraId="2A7CDC0C">
      <w:pPr>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发包人：</w:t>
      </w:r>
      <w:r>
        <w:rPr>
          <w:rFonts w:hint="eastAsia" w:ascii="宋体" w:hAnsi="宋体" w:eastAsia="宋体" w:cs="宋体"/>
          <w:snapToGrid w:val="0"/>
          <w:color w:val="auto"/>
          <w:kern w:val="0"/>
          <w:sz w:val="24"/>
          <w:szCs w:val="24"/>
          <w:highlight w:val="none"/>
          <w:lang w:eastAsia="zh-CN"/>
        </w:rPr>
        <w:t>广州机场新能源有限公司</w:t>
      </w:r>
      <w:r>
        <w:rPr>
          <w:rFonts w:hint="eastAsia" w:ascii="宋体" w:hAnsi="宋体" w:eastAsia="宋体" w:cs="宋体"/>
          <w:snapToGrid w:val="0"/>
          <w:color w:val="auto"/>
          <w:kern w:val="0"/>
          <w:sz w:val="24"/>
          <w:szCs w:val="24"/>
          <w:highlight w:val="none"/>
        </w:rPr>
        <w:t xml:space="preserve">  </w:t>
      </w:r>
    </w:p>
    <w:p w14:paraId="08129B21">
      <w:pPr>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法定代表人：                          </w:t>
      </w:r>
    </w:p>
    <w:p w14:paraId="7F2E6543">
      <w:pPr>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其授权的代理人：                      </w:t>
      </w:r>
    </w:p>
    <w:p w14:paraId="7D016D0C">
      <w:pPr>
        <w:adjustRightInd w:val="0"/>
        <w:snapToGrid w:val="0"/>
        <w:spacing w:line="360" w:lineRule="auto"/>
        <w:rPr>
          <w:rFonts w:ascii="宋体" w:hAnsi="宋体" w:eastAsia="宋体" w:cs="宋体"/>
          <w:snapToGrid w:val="0"/>
          <w:color w:val="auto"/>
          <w:kern w:val="0"/>
          <w:sz w:val="24"/>
          <w:szCs w:val="24"/>
          <w:highlight w:val="none"/>
        </w:rPr>
      </w:pPr>
    </w:p>
    <w:p w14:paraId="2F10D194">
      <w:pPr>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承包人： </w:t>
      </w:r>
    </w:p>
    <w:p w14:paraId="2646C4E1">
      <w:pPr>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w:t>
      </w:r>
    </w:p>
    <w:p w14:paraId="58B5ECDE">
      <w:pPr>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其授权的代理人：</w:t>
      </w:r>
    </w:p>
    <w:p w14:paraId="4B1412FF">
      <w:pPr>
        <w:adjustRightInd w:val="0"/>
        <w:snapToGrid w:val="0"/>
        <w:spacing w:line="360" w:lineRule="auto"/>
        <w:rPr>
          <w:rFonts w:hint="eastAsia" w:ascii="宋体" w:hAnsi="宋体" w:eastAsia="宋体" w:cs="宋体"/>
          <w:snapToGrid w:val="0"/>
          <w:color w:val="auto"/>
          <w:kern w:val="0"/>
          <w:sz w:val="24"/>
          <w:szCs w:val="24"/>
          <w:highlight w:val="none"/>
        </w:rPr>
      </w:pPr>
    </w:p>
    <w:p w14:paraId="28E4AA91">
      <w:pPr>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日期：202  年   月   日</w:t>
      </w:r>
    </w:p>
    <w:p w14:paraId="14E0B294">
      <w:pPr>
        <w:pStyle w:val="10"/>
        <w:ind w:left="0" w:firstLine="0"/>
        <w:jc w:val="both"/>
        <w:rPr>
          <w:rFonts w:hint="eastAsia" w:ascii="宋体" w:hAnsi="宋体"/>
          <w:color w:val="auto"/>
          <w:highlight w:val="none"/>
          <w:lang w:val="zh-CN"/>
        </w:rPr>
      </w:pPr>
      <w:bookmarkStart w:id="776" w:name="_Toc520358079"/>
      <w:bookmarkStart w:id="777" w:name="_Toc519503105"/>
      <w:bookmarkStart w:id="778" w:name="_Toc514664885"/>
      <w:bookmarkStart w:id="779" w:name="_Toc520902630"/>
      <w:bookmarkStart w:id="780" w:name="_Toc520902852"/>
      <w:bookmarkStart w:id="781" w:name="_Toc520358255"/>
      <w:bookmarkStart w:id="782" w:name="_Toc516496001"/>
      <w:bookmarkStart w:id="783" w:name="_Toc520902781"/>
      <w:bookmarkStart w:id="784" w:name="_Toc514665168"/>
      <w:bookmarkStart w:id="785" w:name="_Toc35083120"/>
      <w:bookmarkStart w:id="786" w:name="_Toc514665307"/>
      <w:bookmarkStart w:id="787" w:name="_Toc514681788"/>
      <w:bookmarkStart w:id="788" w:name="_Toc514663884"/>
      <w:bookmarkStart w:id="789" w:name="_Toc514681207"/>
      <w:bookmarkStart w:id="790" w:name="_Toc519502275"/>
      <w:bookmarkStart w:id="791" w:name="_Toc514666998"/>
      <w:bookmarkStart w:id="792" w:name="_Toc517774585"/>
      <w:bookmarkStart w:id="793" w:name="_Toc518481757"/>
      <w:bookmarkStart w:id="794" w:name="_Toc520901485"/>
      <w:bookmarkStart w:id="795" w:name="_Toc517954598"/>
      <w:bookmarkStart w:id="796" w:name="_Toc132199656"/>
      <w:bookmarkStart w:id="797" w:name="_Toc132199655"/>
      <w:r>
        <w:rPr>
          <w:rFonts w:hint="eastAsia" w:ascii="宋体" w:hAnsi="宋体" w:cs="宋体"/>
          <w:snapToGrid w:val="0"/>
          <w:color w:val="auto"/>
          <w:kern w:val="0"/>
          <w:sz w:val="24"/>
          <w:szCs w:val="24"/>
          <w:highlight w:val="none"/>
        </w:rPr>
        <w:br w:type="page"/>
      </w:r>
      <w:r>
        <w:rPr>
          <w:rFonts w:hint="eastAsia" w:ascii="宋体" w:hAnsi="宋体"/>
          <w:color w:val="auto"/>
          <w:highlight w:val="none"/>
          <w:lang w:val="zh-CN"/>
        </w:rPr>
        <w:t>附件2：工程质量终身责任承诺书（含法定代表人授权书）</w:t>
      </w:r>
    </w:p>
    <w:p w14:paraId="141412B8">
      <w:pPr>
        <w:spacing w:line="400" w:lineRule="exact"/>
        <w:jc w:val="center"/>
        <w:rPr>
          <w:rFonts w:hint="eastAsia" w:ascii="宋体" w:hAnsi="宋体" w:eastAsia="宋体"/>
          <w:b/>
          <w:color w:val="auto"/>
          <w:sz w:val="32"/>
          <w:szCs w:val="32"/>
          <w:highlight w:val="none"/>
        </w:rPr>
      </w:pPr>
    </w:p>
    <w:p w14:paraId="2BCA7EC5">
      <w:pPr>
        <w:spacing w:line="400" w:lineRule="exact"/>
        <w:jc w:val="center"/>
        <w:rPr>
          <w:rFonts w:hint="eastAsia" w:ascii="宋体" w:hAnsi="宋体" w:eastAsia="宋体"/>
          <w:b/>
          <w:color w:val="auto"/>
          <w:szCs w:val="21"/>
          <w:highlight w:val="none"/>
        </w:rPr>
      </w:pPr>
      <w:r>
        <w:rPr>
          <w:rFonts w:hint="eastAsia" w:ascii="宋体" w:hAnsi="宋体" w:eastAsia="宋体"/>
          <w:b/>
          <w:color w:val="auto"/>
          <w:sz w:val="32"/>
          <w:szCs w:val="32"/>
          <w:highlight w:val="none"/>
        </w:rPr>
        <w:t>法定代表人授权书</w:t>
      </w:r>
    </w:p>
    <w:p w14:paraId="1C0C72B8">
      <w:pPr>
        <w:spacing w:line="400" w:lineRule="exact"/>
        <w:jc w:val="center"/>
        <w:rPr>
          <w:rFonts w:hint="eastAsia" w:ascii="宋体" w:hAnsi="宋体" w:eastAsia="宋体"/>
          <w:b/>
          <w:color w:val="auto"/>
          <w:szCs w:val="21"/>
          <w:highlight w:val="none"/>
        </w:rPr>
      </w:pPr>
    </w:p>
    <w:p w14:paraId="336FD9F2">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兹授权我单位</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担任</w:t>
      </w:r>
      <w:r>
        <w:rPr>
          <w:rFonts w:hint="eastAsia" w:ascii="宋体" w:hAnsi="宋体" w:eastAsia="宋体"/>
          <w:color w:val="auto"/>
          <w:sz w:val="24"/>
          <w:highlight w:val="none"/>
          <w:u w:val="single"/>
        </w:rPr>
        <w:t>【】</w:t>
      </w:r>
      <w:r>
        <w:rPr>
          <w:rFonts w:hint="eastAsia" w:ascii="宋体" w:hAnsi="宋体" w:eastAsia="宋体"/>
          <w:color w:val="auto"/>
          <w:sz w:val="24"/>
          <w:highlight w:val="none"/>
        </w:rPr>
        <w:t>工程项目的施工项目负责人，对该工程项目的施工工作实施组织管理，依据国家有关法律法规及标准规范履行职责，并依法对设计使用年限内的工程质量承担相应终身责任。</w:t>
      </w:r>
    </w:p>
    <w:p w14:paraId="108E9F1A">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本授权书自授权之日起生效。</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011"/>
        <w:gridCol w:w="1779"/>
        <w:gridCol w:w="2602"/>
      </w:tblGrid>
      <w:tr w14:paraId="366C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top"/>
          </w:tcPr>
          <w:p w14:paraId="2B194A89">
            <w:pPr>
              <w:spacing w:line="360" w:lineRule="auto"/>
              <w:jc w:val="center"/>
              <w:rPr>
                <w:rFonts w:hint="eastAsia" w:ascii="宋体" w:hAnsi="宋体" w:eastAsia="宋体"/>
                <w:color w:val="auto"/>
                <w:sz w:val="24"/>
                <w:highlight w:val="none"/>
              </w:rPr>
            </w:pPr>
            <w:r>
              <w:rPr>
                <w:rFonts w:hint="eastAsia" w:ascii="宋体" w:hAnsi="宋体" w:eastAsia="宋体"/>
                <w:b/>
                <w:bCs/>
                <w:color w:val="auto"/>
                <w:sz w:val="24"/>
                <w:highlight w:val="none"/>
              </w:rPr>
              <w:t>被授权人基本情况</w:t>
            </w:r>
          </w:p>
        </w:tc>
      </w:tr>
      <w:tr w14:paraId="54A1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7843748E">
            <w:pPr>
              <w:spacing w:line="360" w:lineRule="auto"/>
              <w:jc w:val="center"/>
              <w:rPr>
                <w:rFonts w:hint="eastAsia" w:ascii="宋体" w:hAnsi="宋体" w:eastAsia="宋体"/>
                <w:color w:val="auto"/>
                <w:sz w:val="24"/>
                <w:highlight w:val="none"/>
              </w:rPr>
            </w:pPr>
            <w:r>
              <w:rPr>
                <w:rFonts w:hint="eastAsia" w:ascii="宋体" w:hAnsi="宋体" w:eastAsia="宋体"/>
                <w:color w:val="auto"/>
                <w:sz w:val="24"/>
                <w:highlight w:val="none"/>
              </w:rPr>
              <w:t>姓  名</w:t>
            </w:r>
          </w:p>
        </w:tc>
        <w:tc>
          <w:tcPr>
            <w:tcW w:w="2011" w:type="dxa"/>
            <w:noWrap w:val="0"/>
            <w:vAlign w:val="top"/>
          </w:tcPr>
          <w:p w14:paraId="7A262D94">
            <w:pPr>
              <w:spacing w:line="360" w:lineRule="auto"/>
              <w:jc w:val="center"/>
              <w:rPr>
                <w:rFonts w:hint="eastAsia" w:ascii="宋体" w:hAnsi="宋体" w:eastAsia="宋体"/>
                <w:color w:val="auto"/>
                <w:sz w:val="24"/>
                <w:highlight w:val="none"/>
              </w:rPr>
            </w:pPr>
          </w:p>
        </w:tc>
        <w:tc>
          <w:tcPr>
            <w:tcW w:w="1779" w:type="dxa"/>
            <w:noWrap w:val="0"/>
            <w:vAlign w:val="top"/>
          </w:tcPr>
          <w:p w14:paraId="739D9EA1">
            <w:pPr>
              <w:spacing w:line="360" w:lineRule="auto"/>
              <w:jc w:val="center"/>
              <w:rPr>
                <w:rFonts w:hint="eastAsia" w:ascii="宋体" w:hAnsi="宋体" w:eastAsia="宋体"/>
                <w:color w:val="auto"/>
                <w:sz w:val="24"/>
                <w:highlight w:val="none"/>
              </w:rPr>
            </w:pPr>
            <w:r>
              <w:rPr>
                <w:rFonts w:hint="eastAsia" w:ascii="宋体" w:hAnsi="宋体" w:eastAsia="宋体"/>
                <w:color w:val="auto"/>
                <w:sz w:val="24"/>
                <w:highlight w:val="none"/>
              </w:rPr>
              <w:t>身份证号</w:t>
            </w:r>
          </w:p>
        </w:tc>
        <w:tc>
          <w:tcPr>
            <w:tcW w:w="2602" w:type="dxa"/>
            <w:noWrap w:val="0"/>
            <w:vAlign w:val="top"/>
          </w:tcPr>
          <w:p w14:paraId="129F37A0">
            <w:pPr>
              <w:spacing w:line="360" w:lineRule="auto"/>
              <w:rPr>
                <w:rFonts w:hint="eastAsia" w:ascii="宋体" w:hAnsi="宋体" w:eastAsia="宋体"/>
                <w:color w:val="auto"/>
                <w:sz w:val="24"/>
                <w:highlight w:val="none"/>
                <w:u w:val="single"/>
              </w:rPr>
            </w:pPr>
            <w:r>
              <w:rPr>
                <w:rFonts w:hint="eastAsia" w:ascii="宋体" w:hAnsi="宋体" w:eastAsia="宋体"/>
                <w:color w:val="auto"/>
                <w:sz w:val="24"/>
                <w:highlight w:val="none"/>
                <w:u w:val="single"/>
              </w:rPr>
              <w:t xml:space="preserve">                   </w:t>
            </w:r>
          </w:p>
        </w:tc>
      </w:tr>
      <w:tr w14:paraId="676A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0E3246D3">
            <w:pPr>
              <w:spacing w:line="360" w:lineRule="auto"/>
              <w:jc w:val="center"/>
              <w:rPr>
                <w:rFonts w:hint="eastAsia" w:ascii="宋体" w:hAnsi="宋体" w:eastAsia="宋体"/>
                <w:color w:val="auto"/>
                <w:sz w:val="24"/>
                <w:highlight w:val="none"/>
              </w:rPr>
            </w:pPr>
            <w:r>
              <w:rPr>
                <w:rFonts w:hint="eastAsia" w:ascii="宋体" w:hAnsi="宋体" w:eastAsia="宋体"/>
                <w:color w:val="auto"/>
                <w:sz w:val="24"/>
                <w:highlight w:val="none"/>
              </w:rPr>
              <w:t>注册执业资格</w:t>
            </w:r>
          </w:p>
        </w:tc>
        <w:tc>
          <w:tcPr>
            <w:tcW w:w="2011" w:type="dxa"/>
            <w:noWrap w:val="0"/>
            <w:vAlign w:val="top"/>
          </w:tcPr>
          <w:p w14:paraId="5943A1F2">
            <w:pPr>
              <w:spacing w:line="360" w:lineRule="auto"/>
              <w:jc w:val="center"/>
              <w:rPr>
                <w:rFonts w:hint="eastAsia" w:ascii="宋体" w:hAnsi="宋体" w:eastAsia="宋体"/>
                <w:color w:val="auto"/>
                <w:sz w:val="24"/>
                <w:highlight w:val="none"/>
              </w:rPr>
            </w:pPr>
          </w:p>
        </w:tc>
        <w:tc>
          <w:tcPr>
            <w:tcW w:w="1779" w:type="dxa"/>
            <w:noWrap w:val="0"/>
            <w:vAlign w:val="top"/>
          </w:tcPr>
          <w:p w14:paraId="233123FA">
            <w:pPr>
              <w:spacing w:line="360" w:lineRule="auto"/>
              <w:jc w:val="center"/>
              <w:rPr>
                <w:rFonts w:hint="eastAsia" w:ascii="宋体" w:hAnsi="宋体" w:eastAsia="宋体"/>
                <w:color w:val="auto"/>
                <w:sz w:val="24"/>
                <w:highlight w:val="none"/>
              </w:rPr>
            </w:pPr>
            <w:r>
              <w:rPr>
                <w:rFonts w:hint="eastAsia" w:ascii="宋体" w:hAnsi="宋体" w:eastAsia="宋体"/>
                <w:color w:val="auto"/>
                <w:sz w:val="24"/>
                <w:highlight w:val="none"/>
              </w:rPr>
              <w:t>注册执业证号</w:t>
            </w:r>
          </w:p>
        </w:tc>
        <w:tc>
          <w:tcPr>
            <w:tcW w:w="2602" w:type="dxa"/>
            <w:noWrap w:val="0"/>
            <w:vAlign w:val="top"/>
          </w:tcPr>
          <w:p w14:paraId="4E2B9893">
            <w:pPr>
              <w:spacing w:line="360" w:lineRule="auto"/>
              <w:rPr>
                <w:rFonts w:hint="eastAsia" w:ascii="宋体" w:hAnsi="宋体" w:eastAsia="宋体"/>
                <w:color w:val="auto"/>
                <w:sz w:val="24"/>
                <w:highlight w:val="none"/>
                <w:u w:val="single"/>
              </w:rPr>
            </w:pPr>
            <w:r>
              <w:rPr>
                <w:rFonts w:hint="eastAsia" w:ascii="宋体" w:hAnsi="宋体" w:eastAsia="宋体"/>
                <w:color w:val="auto"/>
                <w:sz w:val="24"/>
                <w:highlight w:val="none"/>
                <w:u w:val="single"/>
              </w:rPr>
              <w:t xml:space="preserve">                  </w:t>
            </w:r>
          </w:p>
        </w:tc>
      </w:tr>
      <w:tr w14:paraId="1D06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top"/>
          </w:tcPr>
          <w:p w14:paraId="040FD3A2">
            <w:pPr>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 xml:space="preserve">                              被授权人签字：</w:t>
            </w:r>
          </w:p>
        </w:tc>
      </w:tr>
    </w:tbl>
    <w:p w14:paraId="5E5705E7">
      <w:pPr>
        <w:spacing w:line="360" w:lineRule="auto"/>
        <w:ind w:firstLine="560" w:firstLineChars="200"/>
        <w:rPr>
          <w:rFonts w:hint="eastAsia" w:ascii="宋体" w:hAnsi="宋体" w:eastAsia="宋体"/>
          <w:color w:val="auto"/>
          <w:sz w:val="24"/>
          <w:highlight w:val="none"/>
          <w:u w:val="single"/>
        </w:rPr>
      </w:pPr>
      <w:r>
        <w:rPr>
          <w:rFonts w:hint="eastAsia" w:ascii="宋体" w:hAnsi="宋体" w:eastAsia="宋体"/>
          <w:color w:val="auto"/>
          <w:sz w:val="28"/>
          <w:szCs w:val="28"/>
          <w:highlight w:val="none"/>
        </w:rPr>
        <w:t xml:space="preserve">                        </w:t>
      </w:r>
      <w:r>
        <w:rPr>
          <w:rFonts w:hint="eastAsia" w:ascii="宋体" w:hAnsi="宋体" w:eastAsia="宋体"/>
          <w:color w:val="auto"/>
          <w:spacing w:val="21"/>
          <w:sz w:val="24"/>
          <w:highlight w:val="none"/>
        </w:rPr>
        <w:t>授权单位（盖章）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3FA578D6">
      <w:pPr>
        <w:spacing w:line="360" w:lineRule="auto"/>
        <w:ind w:firstLine="3960" w:firstLineChars="1650"/>
        <w:rPr>
          <w:rFonts w:hint="eastAsia" w:ascii="宋体" w:hAnsi="宋体" w:eastAsia="宋体"/>
          <w:color w:val="auto"/>
          <w:sz w:val="24"/>
          <w:highlight w:val="none"/>
          <w:u w:val="single"/>
        </w:rPr>
      </w:pPr>
      <w:r>
        <w:rPr>
          <w:rFonts w:hint="eastAsia" w:ascii="宋体" w:hAnsi="宋体" w:eastAsia="宋体"/>
          <w:color w:val="auto"/>
          <w:sz w:val="24"/>
          <w:highlight w:val="none"/>
        </w:rPr>
        <w:t>法定代表人（签字）：</w:t>
      </w:r>
      <w:r>
        <w:rPr>
          <w:rFonts w:hint="eastAsia" w:ascii="宋体" w:hAnsi="宋体" w:eastAsia="宋体"/>
          <w:color w:val="auto"/>
          <w:sz w:val="24"/>
          <w:highlight w:val="none"/>
          <w:u w:val="single"/>
        </w:rPr>
        <w:t xml:space="preserve">            </w:t>
      </w:r>
    </w:p>
    <w:p w14:paraId="35A8A251">
      <w:pPr>
        <w:spacing w:line="360" w:lineRule="auto"/>
        <w:ind w:firstLine="3960" w:firstLineChars="1650"/>
        <w:rPr>
          <w:rFonts w:hint="eastAsia" w:ascii="宋体" w:hAnsi="宋体" w:eastAsia="宋体"/>
          <w:color w:val="auto"/>
          <w:sz w:val="24"/>
          <w:highlight w:val="none"/>
        </w:rPr>
      </w:pPr>
      <w:r>
        <w:rPr>
          <w:rFonts w:hint="eastAsia" w:ascii="宋体" w:hAnsi="宋体" w:eastAsia="宋体"/>
          <w:color w:val="auto"/>
          <w:sz w:val="24"/>
          <w:highlight w:val="none"/>
        </w:rPr>
        <w:t>授权日期：    年   月   日</w:t>
      </w:r>
    </w:p>
    <w:p w14:paraId="06CA33E1">
      <w:pPr>
        <w:spacing w:before="312" w:beforeLines="100" w:after="312" w:afterLines="100" w:line="400" w:lineRule="exact"/>
        <w:jc w:val="center"/>
        <w:rPr>
          <w:rFonts w:hint="eastAsia" w:ascii="宋体" w:hAnsi="宋体" w:eastAsia="宋体"/>
          <w:b/>
          <w:color w:val="auto"/>
          <w:sz w:val="32"/>
          <w:szCs w:val="32"/>
          <w:highlight w:val="none"/>
        </w:rPr>
      </w:pPr>
      <w:r>
        <w:rPr>
          <w:rFonts w:hint="eastAsia" w:ascii="宋体" w:hAnsi="宋体" w:eastAsia="宋体"/>
          <w:color w:val="auto"/>
          <w:sz w:val="24"/>
          <w:highlight w:val="none"/>
        </w:rPr>
        <w:br w:type="page"/>
      </w:r>
      <w:bookmarkStart w:id="798" w:name="_Toc35083121"/>
      <w:r>
        <w:rPr>
          <w:rFonts w:hint="eastAsia" w:ascii="宋体" w:hAnsi="宋体" w:eastAsia="宋体"/>
          <w:b/>
          <w:color w:val="auto"/>
          <w:sz w:val="32"/>
          <w:szCs w:val="32"/>
          <w:highlight w:val="none"/>
        </w:rPr>
        <w:t>工程质量终身责任承诺书</w:t>
      </w:r>
    </w:p>
    <w:p w14:paraId="2008AB3F">
      <w:pPr>
        <w:spacing w:before="312" w:beforeLines="100" w:after="312" w:afterLines="10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本人受</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（法定代表人</w:t>
      </w:r>
      <w:r>
        <w:rPr>
          <w:rFonts w:hint="eastAsia" w:ascii="宋体" w:hAnsi="宋体" w:eastAsia="宋体" w:cs="仿宋"/>
          <w:color w:val="auto"/>
          <w:sz w:val="24"/>
          <w:highlight w:val="none"/>
          <w:u w:val="single"/>
        </w:rPr>
        <w:t xml:space="preserve">    </w:t>
      </w:r>
      <w:r>
        <w:rPr>
          <w:rFonts w:hint="eastAsia" w:ascii="宋体" w:hAnsi="宋体" w:eastAsia="宋体"/>
          <w:color w:val="auto"/>
          <w:sz w:val="24"/>
          <w:highlight w:val="none"/>
        </w:rPr>
        <w:t>）授权，担任</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工程项目的施工项目负责人，对该工程项目的施工工作实施组织管理。本人承诺严格依据国家有关法律法规及标准规范履行职责，并对设计使用年限内的工程质量承担相应终身责任。</w:t>
      </w:r>
    </w:p>
    <w:p w14:paraId="61AB97EB">
      <w:pPr>
        <w:spacing w:line="360" w:lineRule="auto"/>
        <w:rPr>
          <w:rFonts w:hint="eastAsia" w:ascii="宋体" w:hAnsi="宋体" w:eastAsia="宋体"/>
          <w:color w:val="auto"/>
          <w:sz w:val="24"/>
          <w:highlight w:val="none"/>
        </w:rPr>
      </w:pPr>
    </w:p>
    <w:p w14:paraId="538971FF">
      <w:pPr>
        <w:spacing w:line="360" w:lineRule="auto"/>
        <w:rPr>
          <w:rFonts w:hint="eastAsia" w:ascii="宋体" w:hAnsi="宋体" w:eastAsia="宋体"/>
          <w:color w:val="auto"/>
          <w:sz w:val="24"/>
          <w:highlight w:val="none"/>
        </w:rPr>
      </w:pPr>
    </w:p>
    <w:p w14:paraId="198B5F4D">
      <w:pPr>
        <w:spacing w:line="360" w:lineRule="auto"/>
        <w:ind w:firstLine="480" w:firstLineChars="200"/>
        <w:rPr>
          <w:rFonts w:hint="eastAsia" w:ascii="宋体" w:hAnsi="宋体" w:eastAsia="宋体"/>
          <w:color w:val="auto"/>
          <w:sz w:val="24"/>
          <w:highlight w:val="none"/>
          <w:u w:val="single"/>
        </w:rPr>
      </w:pPr>
      <w:r>
        <w:rPr>
          <w:rFonts w:hint="eastAsia" w:ascii="宋体" w:hAnsi="宋体" w:eastAsia="宋体"/>
          <w:color w:val="auto"/>
          <w:sz w:val="24"/>
          <w:highlight w:val="none"/>
        </w:rPr>
        <w:t xml:space="preserve">                           </w:t>
      </w:r>
      <w:r>
        <w:rPr>
          <w:rFonts w:hint="eastAsia" w:ascii="宋体" w:hAnsi="宋体" w:eastAsia="宋体"/>
          <w:color w:val="auto"/>
          <w:spacing w:val="30"/>
          <w:sz w:val="24"/>
          <w:highlight w:val="none"/>
        </w:rPr>
        <w:t>承诺人签字</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0EE0B7BC">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                           </w:t>
      </w:r>
      <w:r>
        <w:rPr>
          <w:rFonts w:hint="eastAsia" w:ascii="宋体" w:hAnsi="宋体" w:eastAsia="宋体"/>
          <w:color w:val="auto"/>
          <w:spacing w:val="28"/>
          <w:sz w:val="24"/>
          <w:highlight w:val="none"/>
        </w:rPr>
        <w:t>身份证号</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7DD8C14C">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 xml:space="preserve">                           注册执业资格：</w:t>
      </w:r>
      <w:r>
        <w:rPr>
          <w:rFonts w:hint="eastAsia" w:ascii="宋体" w:hAnsi="宋体" w:eastAsia="宋体" w:cs="仿宋"/>
          <w:color w:val="auto"/>
          <w:sz w:val="24"/>
          <w:highlight w:val="none"/>
          <w:u w:val="single"/>
        </w:rPr>
        <w:t xml:space="preserve">             </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w:t>
      </w:r>
    </w:p>
    <w:p w14:paraId="4DE4480C">
      <w:pPr>
        <w:spacing w:line="360" w:lineRule="auto"/>
        <w:ind w:firstLine="480" w:firstLineChars="200"/>
        <w:rPr>
          <w:rFonts w:hint="eastAsia" w:ascii="宋体" w:hAnsi="宋体" w:eastAsia="宋体"/>
          <w:color w:val="auto"/>
          <w:sz w:val="24"/>
          <w:highlight w:val="none"/>
          <w:u w:val="single"/>
        </w:rPr>
      </w:pPr>
      <w:r>
        <w:rPr>
          <w:rFonts w:hint="eastAsia" w:ascii="宋体" w:hAnsi="宋体" w:eastAsia="宋体"/>
          <w:color w:val="auto"/>
          <w:sz w:val="24"/>
          <w:highlight w:val="none"/>
        </w:rPr>
        <w:t xml:space="preserve">                           注册执业证号：</w:t>
      </w:r>
      <w:r>
        <w:rPr>
          <w:rFonts w:hint="eastAsia" w:ascii="宋体" w:hAnsi="宋体" w:eastAsia="宋体" w:cs="仿宋"/>
          <w:color w:val="auto"/>
          <w:sz w:val="24"/>
          <w:highlight w:val="none"/>
          <w:u w:val="single"/>
        </w:rPr>
        <w:t xml:space="preserve">                 </w:t>
      </w:r>
    </w:p>
    <w:p w14:paraId="48BBBA36">
      <w:pPr>
        <w:pStyle w:val="10"/>
        <w:ind w:left="0" w:firstLine="0"/>
        <w:jc w:val="both"/>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pacing w:val="28"/>
          <w:sz w:val="24"/>
          <w:highlight w:val="none"/>
        </w:rPr>
        <w:t>签字日期</w:t>
      </w:r>
      <w:r>
        <w:rPr>
          <w:rFonts w:hint="eastAsia" w:ascii="宋体" w:hAnsi="宋体"/>
          <w:color w:val="auto"/>
          <w:sz w:val="24"/>
          <w:highlight w:val="none"/>
        </w:rPr>
        <w:t>：    年  月  日</w:t>
      </w:r>
    </w:p>
    <w:p w14:paraId="61E0B29E">
      <w:pPr>
        <w:pStyle w:val="10"/>
        <w:ind w:left="0" w:firstLine="0"/>
        <w:jc w:val="both"/>
        <w:rPr>
          <w:rFonts w:hint="eastAsia" w:ascii="宋体" w:hAnsi="宋体"/>
          <w:color w:val="auto"/>
          <w:highlight w:val="none"/>
          <w:lang w:val="zh-CN"/>
        </w:rPr>
      </w:pPr>
      <w:r>
        <w:rPr>
          <w:rFonts w:hint="eastAsia" w:ascii="宋体" w:hAnsi="宋体"/>
          <w:color w:val="auto"/>
          <w:highlight w:val="none"/>
          <w:lang w:val="zh-CN"/>
        </w:rPr>
        <w:br w:type="page"/>
      </w:r>
      <w:r>
        <w:rPr>
          <w:rFonts w:hint="eastAsia" w:ascii="宋体" w:hAnsi="宋体"/>
          <w:color w:val="auto"/>
          <w:highlight w:val="none"/>
          <w:lang w:val="zh-CN"/>
        </w:rPr>
        <w:t>附件3：</w:t>
      </w:r>
      <w:bookmarkEnd w:id="798"/>
    </w:p>
    <w:p w14:paraId="74FCE01F">
      <w:pPr>
        <w:pStyle w:val="12"/>
        <w:spacing w:after="240"/>
        <w:jc w:val="center"/>
        <w:rPr>
          <w:rFonts w:hint="eastAsia" w:ascii="宋体" w:hAnsi="宋体" w:cs="宋体"/>
          <w:b/>
          <w:snapToGrid w:val="0"/>
          <w:color w:val="auto"/>
          <w:kern w:val="0"/>
          <w:sz w:val="44"/>
          <w:szCs w:val="44"/>
          <w:highlight w:val="none"/>
        </w:rPr>
      </w:pPr>
      <w:r>
        <w:rPr>
          <w:rFonts w:hint="eastAsia" w:ascii="宋体" w:hAnsi="宋体" w:cs="宋体"/>
          <w:b/>
          <w:snapToGrid w:val="0"/>
          <w:color w:val="auto"/>
          <w:kern w:val="0"/>
          <w:sz w:val="44"/>
          <w:szCs w:val="44"/>
          <w:highlight w:val="none"/>
        </w:rPr>
        <w:t>安全生产合同</w:t>
      </w:r>
    </w:p>
    <w:p w14:paraId="08D4A48A">
      <w:pPr>
        <w:wordWrap w:val="0"/>
        <w:adjustRightInd w:val="0"/>
        <w:snapToGrid w:val="0"/>
        <w:spacing w:line="360" w:lineRule="auto"/>
        <w:jc w:val="left"/>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rPr>
        <w:t>发包人：</w:t>
      </w:r>
      <w:r>
        <w:rPr>
          <w:rFonts w:hint="eastAsia" w:ascii="宋体" w:hAnsi="宋体" w:eastAsia="宋体" w:cs="宋体"/>
          <w:b/>
          <w:color w:val="auto"/>
          <w:sz w:val="24"/>
          <w:szCs w:val="24"/>
          <w:highlight w:val="none"/>
          <w:u w:val="single"/>
          <w:lang w:eastAsia="zh-CN"/>
        </w:rPr>
        <w:t>广州机场新能源有限公司</w:t>
      </w:r>
    </w:p>
    <w:p w14:paraId="00C999DC">
      <w:pPr>
        <w:wordWrap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承包人：</w:t>
      </w:r>
      <w:r>
        <w:rPr>
          <w:rFonts w:hint="eastAsia" w:ascii="宋体" w:hAnsi="宋体" w:eastAsia="宋体" w:cs="宋体"/>
          <w:b/>
          <w:color w:val="auto"/>
          <w:sz w:val="24"/>
          <w:szCs w:val="24"/>
          <w:highlight w:val="none"/>
          <w:u w:val="single"/>
        </w:rPr>
        <w:t xml:space="preserve">                            </w:t>
      </w:r>
    </w:p>
    <w:p w14:paraId="1984F77E">
      <w:pPr>
        <w:autoSpaceDE w:val="0"/>
        <w:autoSpaceDN w:val="0"/>
        <w:adjustRightInd w:val="0"/>
        <w:snapToGrid w:val="0"/>
        <w:spacing w:line="360" w:lineRule="auto"/>
        <w:ind w:right="11" w:firstLine="480" w:firstLineChars="200"/>
        <w:rPr>
          <w:rFonts w:hint="eastAsia" w:ascii="宋体" w:hAnsi="宋体" w:eastAsia="宋体" w:cs="宋体"/>
          <w:snapToGrid w:val="0"/>
          <w:color w:val="auto"/>
          <w:kern w:val="0"/>
          <w:sz w:val="24"/>
          <w:highlight w:val="none"/>
          <w:lang w:val="zh-CN"/>
        </w:rPr>
      </w:pPr>
    </w:p>
    <w:p w14:paraId="31497274">
      <w:pPr>
        <w:autoSpaceDE w:val="0"/>
        <w:autoSpaceDN w:val="0"/>
        <w:adjustRightInd w:val="0"/>
        <w:snapToGrid w:val="0"/>
        <w:spacing w:line="360" w:lineRule="auto"/>
        <w:ind w:right="11" w:firstLine="480" w:firstLineChars="200"/>
        <w:rPr>
          <w:rFonts w:hint="eastAsia"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lang w:val="zh-CN"/>
        </w:rPr>
        <w:t>为确保</w:t>
      </w:r>
      <w:r>
        <w:rPr>
          <w:rFonts w:hint="eastAsia" w:ascii="宋体" w:hAnsi="宋体" w:eastAsia="宋体" w:cs="宋体"/>
          <w:snapToGrid w:val="0"/>
          <w:color w:val="auto"/>
          <w:kern w:val="0"/>
          <w:sz w:val="24"/>
          <w:highlight w:val="none"/>
          <w:u w:val="single"/>
          <w:lang w:val="zh-CN"/>
        </w:rPr>
        <w:t>【</w:t>
      </w:r>
      <w:r>
        <w:rPr>
          <w:rFonts w:hint="eastAsia" w:ascii="宋体" w:hAnsi="宋体" w:eastAsia="宋体" w:cs="宋体"/>
          <w:b w:val="0"/>
          <w:snapToGrid w:val="0"/>
          <w:color w:val="auto"/>
          <w:kern w:val="0"/>
          <w:sz w:val="24"/>
          <w:szCs w:val="20"/>
          <w:highlight w:val="none"/>
          <w:lang w:val="zh-CN"/>
        </w:rPr>
        <w:t>广州机场二期噪音安置区光充互联项目二期施工总承包</w:t>
      </w:r>
      <w:r>
        <w:rPr>
          <w:rFonts w:hint="eastAsia" w:ascii="宋体" w:hAnsi="宋体" w:eastAsia="宋体" w:cs="宋体"/>
          <w:b w:val="0"/>
          <w:snapToGrid w:val="0"/>
          <w:color w:val="auto"/>
          <w:kern w:val="0"/>
          <w:sz w:val="24"/>
          <w:szCs w:val="20"/>
          <w:highlight w:val="none"/>
          <w:lang w:val="zh-CN" w:eastAsia="zh-CN"/>
        </w:rPr>
        <w:t>工程</w:t>
      </w:r>
      <w:r>
        <w:rPr>
          <w:rFonts w:hint="eastAsia" w:ascii="宋体" w:hAnsi="宋体" w:eastAsia="宋体" w:cs="宋体"/>
          <w:snapToGrid w:val="0"/>
          <w:color w:val="auto"/>
          <w:kern w:val="0"/>
          <w:sz w:val="24"/>
          <w:highlight w:val="none"/>
          <w:u w:val="single"/>
          <w:lang w:val="zh-CN"/>
        </w:rPr>
        <w:t>】</w:t>
      </w:r>
      <w:r>
        <w:rPr>
          <w:rFonts w:hint="eastAsia" w:ascii="宋体" w:hAnsi="宋体" w:eastAsia="宋体" w:cs="宋体"/>
          <w:snapToGrid w:val="0"/>
          <w:color w:val="auto"/>
          <w:kern w:val="0"/>
          <w:sz w:val="24"/>
          <w:highlight w:val="none"/>
          <w:lang w:val="zh-CN"/>
        </w:rPr>
        <w:t>实施过程中的安全，发包人</w:t>
      </w:r>
      <w:r>
        <w:rPr>
          <w:rFonts w:hint="eastAsia" w:ascii="宋体" w:hAnsi="宋体" w:eastAsia="宋体" w:cs="宋体"/>
          <w:b/>
          <w:snapToGrid w:val="0"/>
          <w:color w:val="auto"/>
          <w:kern w:val="0"/>
          <w:sz w:val="24"/>
          <w:szCs w:val="21"/>
          <w:highlight w:val="none"/>
          <w:u w:val="single"/>
          <w:lang w:eastAsia="zh-CN"/>
        </w:rPr>
        <w:t>广州机场新能源有限公司</w:t>
      </w:r>
      <w:r>
        <w:rPr>
          <w:rFonts w:hint="eastAsia" w:ascii="宋体" w:hAnsi="宋体" w:eastAsia="宋体" w:cs="宋体"/>
          <w:snapToGrid w:val="0"/>
          <w:color w:val="auto"/>
          <w:kern w:val="0"/>
          <w:sz w:val="24"/>
          <w:highlight w:val="none"/>
          <w:lang w:val="zh-CN"/>
        </w:rPr>
        <w:t>（以下称发包人）与承包人</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lang w:val="zh-CN"/>
        </w:rPr>
        <w:t>（以下称承包人），特签订本安全生产合同，明确双方职责。</w:t>
      </w:r>
    </w:p>
    <w:p w14:paraId="5659671B">
      <w:pPr>
        <w:tabs>
          <w:tab w:val="left" w:pos="480"/>
        </w:tabs>
        <w:autoSpaceDE w:val="0"/>
        <w:autoSpaceDN w:val="0"/>
        <w:adjustRightInd w:val="0"/>
        <w:snapToGrid w:val="0"/>
        <w:spacing w:line="360" w:lineRule="auto"/>
        <w:rPr>
          <w:rFonts w:hint="eastAsia" w:ascii="宋体" w:hAnsi="宋体" w:eastAsia="宋体" w:cs="宋体"/>
          <w:b/>
          <w:snapToGrid w:val="0"/>
          <w:color w:val="auto"/>
          <w:kern w:val="0"/>
          <w:sz w:val="24"/>
          <w:highlight w:val="none"/>
          <w:lang w:val="zh-CN"/>
        </w:rPr>
      </w:pPr>
      <w:r>
        <w:rPr>
          <w:rFonts w:hint="eastAsia" w:ascii="宋体" w:hAnsi="宋体" w:eastAsia="宋体" w:cs="宋体"/>
          <w:b/>
          <w:snapToGrid w:val="0"/>
          <w:color w:val="auto"/>
          <w:kern w:val="0"/>
          <w:sz w:val="24"/>
          <w:highlight w:val="none"/>
          <w:lang w:val="zh-CN"/>
        </w:rPr>
        <w:t>一、发包人职责</w:t>
      </w:r>
    </w:p>
    <w:p w14:paraId="19AEBE57">
      <w:pPr>
        <w:autoSpaceDE w:val="0"/>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lang w:val="zh-CN"/>
        </w:rPr>
        <w:t>（一）认真履行《建设工程安全生产管理条例》规定的安全责任及执行工程承包合同中的有关安全条款。</w:t>
      </w:r>
    </w:p>
    <w:p w14:paraId="5F1C0521">
      <w:pPr>
        <w:autoSpaceDE w:val="0"/>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lang w:val="zh-CN"/>
        </w:rPr>
        <w:t>（二）重要的安全设施必须坚持与主体工程“三同时”的原则，即：同时设计、审批；同时施工；同时验收，投入使用。</w:t>
      </w:r>
    </w:p>
    <w:p w14:paraId="750D874D">
      <w:pPr>
        <w:autoSpaceDE w:val="0"/>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lang w:val="zh-CN"/>
        </w:rPr>
        <w:t>（三）定期召开安全生产会议，指出施工现场存在的安全隐患，及时传达上级关于安全文明施工的要求。</w:t>
      </w:r>
    </w:p>
    <w:p w14:paraId="705F2FB6">
      <w:pPr>
        <w:autoSpaceDE w:val="0"/>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lang w:val="zh-CN"/>
        </w:rPr>
        <w:t>（四）组织对承包人施工现场安全生产检查，监督承包人及时排除各种安全隐患。</w:t>
      </w:r>
    </w:p>
    <w:p w14:paraId="6022A4EB">
      <w:pPr>
        <w:autoSpaceDE w:val="0"/>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lang w:val="zh-CN"/>
        </w:rPr>
        <w:t>（五）协助与促进承包人创建“广州市安全文明施工样板工地”。</w:t>
      </w:r>
    </w:p>
    <w:p w14:paraId="23DAABCF">
      <w:pPr>
        <w:autoSpaceDE w:val="0"/>
        <w:autoSpaceDN w:val="0"/>
        <w:adjustRightInd w:val="0"/>
        <w:snapToGrid w:val="0"/>
        <w:spacing w:line="360" w:lineRule="auto"/>
        <w:rPr>
          <w:rFonts w:hint="eastAsia" w:ascii="宋体" w:hAnsi="宋体" w:eastAsia="宋体" w:cs="宋体"/>
          <w:b/>
          <w:snapToGrid w:val="0"/>
          <w:color w:val="auto"/>
          <w:kern w:val="0"/>
          <w:sz w:val="24"/>
          <w:highlight w:val="none"/>
          <w:lang w:val="zh-CN"/>
        </w:rPr>
      </w:pPr>
      <w:r>
        <w:rPr>
          <w:rFonts w:hint="eastAsia" w:ascii="宋体" w:hAnsi="宋体" w:eastAsia="宋体" w:cs="宋体"/>
          <w:b/>
          <w:snapToGrid w:val="0"/>
          <w:color w:val="auto"/>
          <w:kern w:val="0"/>
          <w:sz w:val="24"/>
          <w:highlight w:val="none"/>
          <w:lang w:val="zh-CN"/>
        </w:rPr>
        <w:t>二、承包人职责</w:t>
      </w:r>
    </w:p>
    <w:p w14:paraId="07D9E019">
      <w:pPr>
        <w:autoSpaceDE w:val="0"/>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lang w:val="zh-CN"/>
        </w:rPr>
        <w:t>（一）认真履行《建设工程安全生产管理条例》规定的安全责任及执行工程承包合同中的有关安全条款。</w:t>
      </w:r>
    </w:p>
    <w:p w14:paraId="3ABC6120">
      <w:pPr>
        <w:autoSpaceDE w:val="0"/>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lang w:val="zh-CN"/>
        </w:rPr>
        <w:t>（二）坚持</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lang w:val="zh-CN"/>
        </w:rPr>
        <w:t>安全</w:t>
      </w:r>
      <w:r>
        <w:rPr>
          <w:rFonts w:hint="eastAsia" w:ascii="宋体" w:hAnsi="宋体" w:eastAsia="宋体" w:cs="宋体"/>
          <w:snapToGrid w:val="0"/>
          <w:color w:val="auto"/>
          <w:kern w:val="0"/>
          <w:sz w:val="24"/>
          <w:highlight w:val="none"/>
        </w:rPr>
        <w:t>第一</w:t>
      </w:r>
      <w:r>
        <w:rPr>
          <w:rFonts w:hint="eastAsia" w:ascii="宋体" w:hAnsi="宋体" w:eastAsia="宋体" w:cs="宋体"/>
          <w:snapToGrid w:val="0"/>
          <w:color w:val="auto"/>
          <w:kern w:val="0"/>
          <w:sz w:val="24"/>
          <w:highlight w:val="none"/>
          <w:lang w:val="zh-CN"/>
        </w:rPr>
        <w:t>、预防为主</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lang w:val="zh-CN"/>
        </w:rPr>
        <w:t>和</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lang w:val="zh-CN"/>
        </w:rPr>
        <w:t>管生产必须管安全</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lang w:val="zh-CN"/>
        </w:rPr>
        <w:t>的原则，加强安全生产宣传教育，增强全员安全生产意识，建立健全各项安全生产管理制度，配备专职安全管理人员，有组织有领导地开展安全生产活动。项目经理、工程技术人员、生产管理人员和具体操作人员，必须熟悉和遵守安全生产的各项规定，做到生产与安全工作同时计划、布置、检查、总结和评比。</w:t>
      </w:r>
    </w:p>
    <w:p w14:paraId="1A1A6EB0">
      <w:pPr>
        <w:autoSpaceDE w:val="0"/>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lang w:val="zh-CN"/>
        </w:rPr>
        <w:t>（三）建立</w:t>
      </w:r>
      <w:r>
        <w:rPr>
          <w:rFonts w:hint="eastAsia" w:ascii="宋体" w:hAnsi="宋体" w:eastAsia="宋体" w:cs="宋体"/>
          <w:snapToGrid w:val="0"/>
          <w:color w:val="auto"/>
          <w:kern w:val="0"/>
          <w:sz w:val="24"/>
          <w:highlight w:val="none"/>
        </w:rPr>
        <w:t>安全生产</w:t>
      </w:r>
      <w:r>
        <w:rPr>
          <w:rFonts w:hint="eastAsia" w:ascii="宋体" w:hAnsi="宋体" w:eastAsia="宋体" w:cs="宋体"/>
          <w:snapToGrid w:val="0"/>
          <w:color w:val="auto"/>
          <w:kern w:val="0"/>
          <w:sz w:val="24"/>
          <w:highlight w:val="none"/>
          <w:lang w:val="zh-CN"/>
        </w:rPr>
        <w:t>保证体系，健全安全生产责任制，从派驻项目的项目经理到生产工人（包括临时雇请的施工人员）及各职能部门都必须有明确的安全责任，项目经理是安全生产的第一责任人。现场设置安全管理机构：应按规定配备足够的专职安全员，专职负责所有的安全和治安保卫工作及预防事故的发生。安全机构人员，有权按有关规定发布指令，并采取保护性措施防止事故发生。</w:t>
      </w:r>
    </w:p>
    <w:p w14:paraId="78A752DF">
      <w:pPr>
        <w:autoSpaceDE w:val="0"/>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lang w:val="zh-CN"/>
        </w:rPr>
        <w:t>（四）</w:t>
      </w:r>
      <w:r>
        <w:rPr>
          <w:rFonts w:hint="eastAsia" w:ascii="宋体" w:hAnsi="宋体" w:eastAsia="宋体" w:cs="宋体"/>
          <w:snapToGrid w:val="0"/>
          <w:color w:val="auto"/>
          <w:kern w:val="0"/>
          <w:sz w:val="24"/>
          <w:highlight w:val="none"/>
        </w:rPr>
        <w:t>有责任采取各种合理的预防措施，防止其员工发生各种违法、违禁、暴力或妨碍治安的行为。</w:t>
      </w:r>
    </w:p>
    <w:p w14:paraId="7AAAD42F">
      <w:pPr>
        <w:autoSpaceDE w:val="0"/>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rPr>
        <w:t>（五）参加施工的人员，必须接受安全技术教育，熟知和遵守所在岗位（工种）的各项安全技术操作规程，定期进行安全技术考核。对于从事电气、</w:t>
      </w:r>
      <w:r>
        <w:rPr>
          <w:rFonts w:hint="eastAsia" w:ascii="宋体" w:hAnsi="宋体" w:eastAsia="宋体" w:cs="宋体"/>
          <w:snapToGrid w:val="0"/>
          <w:color w:val="auto"/>
          <w:kern w:val="0"/>
          <w:sz w:val="24"/>
          <w:highlight w:val="none"/>
          <w:lang w:val="zh-CN"/>
        </w:rPr>
        <w:t>起重、登高作业、焊接等特殊工种的人员，须经过专业培训，获得《安全操作合格证》后，方准上岗。施工现场如出现特种行业无证上岗时，项目经理必须承担责任。</w:t>
      </w:r>
    </w:p>
    <w:p w14:paraId="5B7C5C7E">
      <w:pPr>
        <w:autoSpaceDE w:val="0"/>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lang w:val="zh-CN"/>
        </w:rPr>
        <w:t>（六）对于</w:t>
      </w:r>
      <w:r>
        <w:rPr>
          <w:rFonts w:hint="eastAsia" w:ascii="宋体" w:hAnsi="宋体" w:eastAsia="宋体" w:cs="宋体"/>
          <w:snapToGrid w:val="0"/>
          <w:color w:val="auto"/>
          <w:kern w:val="0"/>
          <w:sz w:val="24"/>
          <w:highlight w:val="none"/>
        </w:rPr>
        <w:t>易燃易爆</w:t>
      </w:r>
      <w:r>
        <w:rPr>
          <w:rFonts w:hint="eastAsia" w:ascii="宋体" w:hAnsi="宋体" w:eastAsia="宋体" w:cs="宋体"/>
          <w:snapToGrid w:val="0"/>
          <w:color w:val="auto"/>
          <w:kern w:val="0"/>
          <w:sz w:val="24"/>
          <w:highlight w:val="none"/>
          <w:lang w:val="zh-CN"/>
        </w:rPr>
        <w:t>的材料除应专门妥善保管之外，还应配备足够的消防设施，所有施工人员都应熟悉消防设备的性能和使用方法；承包人不能将任何种类的爆炸物给予、易货或以其他方式转让给任何其他人，或允许、容忍上述同样行为。</w:t>
      </w:r>
    </w:p>
    <w:p w14:paraId="171E6900">
      <w:pPr>
        <w:autoSpaceDE w:val="0"/>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lang w:val="zh-CN"/>
        </w:rPr>
        <w:t>（七）</w:t>
      </w:r>
      <w:r>
        <w:rPr>
          <w:rFonts w:hint="eastAsia" w:ascii="宋体" w:hAnsi="宋体" w:eastAsia="宋体" w:cs="宋体"/>
          <w:snapToGrid w:val="0"/>
          <w:color w:val="auto"/>
          <w:kern w:val="0"/>
          <w:sz w:val="24"/>
          <w:highlight w:val="none"/>
        </w:rPr>
        <w:t>操作</w:t>
      </w:r>
      <w:r>
        <w:rPr>
          <w:rFonts w:hint="eastAsia" w:ascii="宋体" w:hAnsi="宋体" w:eastAsia="宋体" w:cs="宋体"/>
          <w:snapToGrid w:val="0"/>
          <w:color w:val="auto"/>
          <w:kern w:val="0"/>
          <w:sz w:val="24"/>
          <w:highlight w:val="none"/>
          <w:lang w:val="zh-CN"/>
        </w:rPr>
        <w:t>人员上岗，必须按规定穿戴安全帽等防护用品。项目经理和专职安全员应随时检查劳动防护用品的穿戴情况，不按规定穿戴防护用品的人员不得上岗。</w:t>
      </w:r>
    </w:p>
    <w:p w14:paraId="2CE6553F">
      <w:pPr>
        <w:autoSpaceDE w:val="0"/>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lang w:val="zh-CN"/>
        </w:rPr>
        <w:t>（八）所有施工</w:t>
      </w:r>
      <w:r>
        <w:rPr>
          <w:rFonts w:hint="eastAsia" w:ascii="宋体" w:hAnsi="宋体" w:eastAsia="宋体" w:cs="宋体"/>
          <w:snapToGrid w:val="0"/>
          <w:color w:val="auto"/>
          <w:kern w:val="0"/>
          <w:sz w:val="24"/>
          <w:highlight w:val="none"/>
        </w:rPr>
        <w:t>机具</w:t>
      </w:r>
      <w:r>
        <w:rPr>
          <w:rFonts w:hint="eastAsia" w:ascii="宋体" w:hAnsi="宋体" w:eastAsia="宋体" w:cs="宋体"/>
          <w:snapToGrid w:val="0"/>
          <w:color w:val="auto"/>
          <w:kern w:val="0"/>
          <w:sz w:val="24"/>
          <w:highlight w:val="none"/>
          <w:lang w:val="zh-CN"/>
        </w:rPr>
        <w:t>设备和高处作业的设备均应定期检查，并有安全员的签名记录，保证其经常处于完好状态，不合格的机具、设备和劳动保护用品严禁使用。</w:t>
      </w:r>
    </w:p>
    <w:p w14:paraId="593C49A1">
      <w:pPr>
        <w:autoSpaceDE w:val="0"/>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lang w:val="zh-CN"/>
        </w:rPr>
        <w:t>（九）施工中采用新技术、新工艺、新设备、新材料，必须制定相应的安全技术措施。施工现场必须按规定有针对性地悬挂安全标志牌。</w:t>
      </w:r>
    </w:p>
    <w:p w14:paraId="1798C8A2">
      <w:pPr>
        <w:autoSpaceDE w:val="0"/>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lang w:val="zh-CN"/>
        </w:rPr>
        <w:t>（十）承包人</w:t>
      </w:r>
      <w:r>
        <w:rPr>
          <w:rFonts w:hint="eastAsia" w:ascii="宋体" w:hAnsi="宋体" w:eastAsia="宋体" w:cs="宋体"/>
          <w:snapToGrid w:val="0"/>
          <w:color w:val="auto"/>
          <w:kern w:val="0"/>
          <w:sz w:val="24"/>
          <w:highlight w:val="none"/>
        </w:rPr>
        <w:t>必须</w:t>
      </w:r>
      <w:r>
        <w:rPr>
          <w:rFonts w:hint="eastAsia" w:ascii="宋体" w:hAnsi="宋体" w:eastAsia="宋体" w:cs="宋体"/>
          <w:snapToGrid w:val="0"/>
          <w:color w:val="auto"/>
          <w:kern w:val="0"/>
          <w:sz w:val="24"/>
          <w:highlight w:val="none"/>
          <w:lang w:val="zh-CN"/>
        </w:rPr>
        <w:t>按照本工程项目特点，制定安全事故应急救援预案；如果发生安全事故，应按照《建设工程安全管理条例》的有关规定上报有关部门，并按照</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lang w:val="zh-CN"/>
        </w:rPr>
        <w:t>四不放过</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lang w:val="zh-CN"/>
        </w:rPr>
        <w:t>的原则调查处理。</w:t>
      </w:r>
    </w:p>
    <w:p w14:paraId="2A45AEFC">
      <w:pPr>
        <w:autoSpaceDE w:val="0"/>
        <w:autoSpaceDN w:val="0"/>
        <w:adjustRightInd w:val="0"/>
        <w:snapToGrid w:val="0"/>
        <w:spacing w:line="276" w:lineRule="auto"/>
        <w:rPr>
          <w:rFonts w:hint="eastAsia" w:ascii="宋体" w:hAnsi="宋体" w:eastAsia="宋体" w:cs="宋体"/>
          <w:b/>
          <w:snapToGrid w:val="0"/>
          <w:color w:val="auto"/>
          <w:kern w:val="0"/>
          <w:sz w:val="24"/>
          <w:highlight w:val="none"/>
          <w:lang w:val="zh-CN"/>
        </w:rPr>
      </w:pPr>
      <w:r>
        <w:rPr>
          <w:rFonts w:hint="eastAsia" w:ascii="宋体" w:hAnsi="宋体" w:eastAsia="宋体" w:cs="宋体"/>
          <w:b/>
          <w:snapToGrid w:val="0"/>
          <w:color w:val="auto"/>
          <w:kern w:val="0"/>
          <w:sz w:val="24"/>
          <w:highlight w:val="none"/>
          <w:lang w:val="zh-CN"/>
        </w:rPr>
        <w:t>三、违约责任</w:t>
      </w:r>
    </w:p>
    <w:p w14:paraId="2567A850">
      <w:pPr>
        <w:autoSpaceDE w:val="0"/>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lang w:val="zh-CN"/>
        </w:rPr>
        <w:t>如因发包人或承包人失职违约，将依据《建设工程安全管理条例》、合同及有关规定追究责任。</w:t>
      </w:r>
    </w:p>
    <w:p w14:paraId="7314121B">
      <w:pPr>
        <w:autoSpaceDE w:val="0"/>
        <w:autoSpaceDN w:val="0"/>
        <w:adjustRightInd w:val="0"/>
        <w:snapToGrid w:val="0"/>
        <w:spacing w:line="276" w:lineRule="auto"/>
        <w:rPr>
          <w:rFonts w:hint="eastAsia" w:ascii="宋体" w:hAnsi="宋体" w:eastAsia="宋体" w:cs="宋体"/>
          <w:b/>
          <w:snapToGrid w:val="0"/>
          <w:color w:val="auto"/>
          <w:kern w:val="0"/>
          <w:sz w:val="24"/>
          <w:highlight w:val="none"/>
          <w:lang w:val="zh-CN"/>
        </w:rPr>
      </w:pPr>
      <w:r>
        <w:rPr>
          <w:rFonts w:hint="eastAsia" w:ascii="宋体" w:hAnsi="宋体" w:eastAsia="宋体" w:cs="宋体"/>
          <w:b/>
          <w:snapToGrid w:val="0"/>
          <w:color w:val="auto"/>
          <w:kern w:val="0"/>
          <w:sz w:val="24"/>
          <w:highlight w:val="none"/>
          <w:lang w:val="zh-CN"/>
        </w:rPr>
        <w:t>四、合同效力</w:t>
      </w:r>
    </w:p>
    <w:p w14:paraId="7D3D8FF7">
      <w:pPr>
        <w:autoSpaceDE w:val="0"/>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lang w:val="zh-CN"/>
        </w:rPr>
        <w:t>本安全生产合同由双方法定代表人（或委托代理人）签字或加盖公章后生效。工程竣工验收合格后失效。</w:t>
      </w:r>
    </w:p>
    <w:p w14:paraId="0FF952B3">
      <w:pPr>
        <w:adjustRightInd w:val="0"/>
        <w:snapToGrid w:val="0"/>
        <w:spacing w:line="360" w:lineRule="auto"/>
        <w:rPr>
          <w:rFonts w:hint="eastAsia" w:ascii="宋体" w:hAnsi="宋体" w:eastAsia="宋体" w:cs="宋体"/>
          <w:snapToGrid w:val="0"/>
          <w:color w:val="auto"/>
          <w:kern w:val="0"/>
          <w:sz w:val="24"/>
          <w:szCs w:val="24"/>
          <w:highlight w:val="none"/>
        </w:rPr>
      </w:pPr>
    </w:p>
    <w:p w14:paraId="621425F5">
      <w:pPr>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发包人：</w:t>
      </w:r>
      <w:r>
        <w:rPr>
          <w:rFonts w:hint="eastAsia" w:ascii="宋体" w:hAnsi="宋体" w:eastAsia="宋体" w:cs="宋体"/>
          <w:snapToGrid w:val="0"/>
          <w:color w:val="auto"/>
          <w:kern w:val="0"/>
          <w:sz w:val="24"/>
          <w:szCs w:val="24"/>
          <w:highlight w:val="none"/>
          <w:lang w:eastAsia="zh-CN"/>
        </w:rPr>
        <w:t>广州机场新能源有限公司</w:t>
      </w:r>
      <w:r>
        <w:rPr>
          <w:rFonts w:hint="eastAsia" w:ascii="宋体" w:hAnsi="宋体" w:eastAsia="宋体" w:cs="宋体"/>
          <w:snapToGrid w:val="0"/>
          <w:color w:val="auto"/>
          <w:kern w:val="0"/>
          <w:sz w:val="24"/>
          <w:szCs w:val="24"/>
          <w:highlight w:val="none"/>
        </w:rPr>
        <w:t xml:space="preserve">  </w:t>
      </w:r>
    </w:p>
    <w:p w14:paraId="5A854FF3">
      <w:pPr>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法定代表人：                          </w:t>
      </w:r>
    </w:p>
    <w:p w14:paraId="42A53D0A">
      <w:pPr>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其授权的代理人：                     </w:t>
      </w:r>
    </w:p>
    <w:p w14:paraId="625C9B75">
      <w:pPr>
        <w:adjustRightInd w:val="0"/>
        <w:snapToGrid w:val="0"/>
        <w:spacing w:line="360" w:lineRule="auto"/>
        <w:rPr>
          <w:rFonts w:ascii="宋体" w:hAnsi="宋体" w:eastAsia="宋体" w:cs="宋体"/>
          <w:snapToGrid w:val="0"/>
          <w:color w:val="auto"/>
          <w:kern w:val="0"/>
          <w:sz w:val="24"/>
          <w:szCs w:val="24"/>
          <w:highlight w:val="none"/>
        </w:rPr>
      </w:pPr>
    </w:p>
    <w:p w14:paraId="3BAB149D">
      <w:pPr>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承包人：</w:t>
      </w:r>
    </w:p>
    <w:p w14:paraId="055320C9">
      <w:pPr>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w:t>
      </w:r>
    </w:p>
    <w:p w14:paraId="46D5FC85">
      <w:pPr>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其授权的代理人：</w:t>
      </w:r>
    </w:p>
    <w:p w14:paraId="001D0C44">
      <w:pPr>
        <w:adjustRightInd w:val="0"/>
        <w:snapToGrid w:val="0"/>
        <w:spacing w:line="360" w:lineRule="auto"/>
        <w:rPr>
          <w:rFonts w:hint="eastAsia" w:ascii="宋体" w:hAnsi="宋体" w:eastAsia="宋体" w:cs="宋体"/>
          <w:snapToGrid w:val="0"/>
          <w:color w:val="auto"/>
          <w:kern w:val="0"/>
          <w:sz w:val="24"/>
          <w:szCs w:val="24"/>
          <w:highlight w:val="none"/>
        </w:rPr>
      </w:pPr>
    </w:p>
    <w:p w14:paraId="2338174D">
      <w:pPr>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日期：202  年   月   日</w:t>
      </w:r>
    </w:p>
    <w:p w14:paraId="7F52B776">
      <w:pPr>
        <w:pStyle w:val="10"/>
        <w:ind w:left="0" w:firstLine="0"/>
        <w:jc w:val="both"/>
        <w:rPr>
          <w:rFonts w:hint="eastAsia" w:ascii="宋体" w:hAnsi="宋体"/>
          <w:color w:val="auto"/>
          <w:highlight w:val="none"/>
          <w:lang w:val="zh-CN"/>
        </w:rPr>
      </w:pPr>
      <w:r>
        <w:rPr>
          <w:rFonts w:hint="eastAsia" w:ascii="宋体" w:hAnsi="宋体"/>
          <w:snapToGrid w:val="0"/>
          <w:color w:val="auto"/>
          <w:kern w:val="0"/>
          <w:sz w:val="32"/>
          <w:szCs w:val="32"/>
          <w:highlight w:val="none"/>
        </w:rPr>
        <w:br w:type="page"/>
      </w:r>
      <w:r>
        <w:rPr>
          <w:rFonts w:hint="eastAsia" w:ascii="宋体" w:hAnsi="宋体"/>
          <w:color w:val="auto"/>
          <w:highlight w:val="none"/>
          <w:lang w:val="zh-CN"/>
        </w:rPr>
        <w:t>附件4：</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718D3550">
      <w:pPr>
        <w:adjustRightInd w:val="0"/>
        <w:snapToGrid w:val="0"/>
        <w:spacing w:line="360" w:lineRule="auto"/>
        <w:jc w:val="center"/>
        <w:rPr>
          <w:rFonts w:hint="eastAsia" w:ascii="宋体" w:hAnsi="宋体" w:eastAsia="宋体"/>
          <w:b/>
          <w:color w:val="auto"/>
          <w:sz w:val="36"/>
          <w:szCs w:val="36"/>
          <w:highlight w:val="none"/>
        </w:rPr>
      </w:pPr>
      <w:r>
        <w:rPr>
          <w:rFonts w:hint="eastAsia" w:ascii="宋体" w:hAnsi="宋体" w:eastAsia="宋体"/>
          <w:b/>
          <w:color w:val="auto"/>
          <w:sz w:val="36"/>
          <w:szCs w:val="36"/>
          <w:highlight w:val="none"/>
        </w:rPr>
        <w:t>工程建设廉洁协议书</w:t>
      </w:r>
    </w:p>
    <w:p w14:paraId="09FA3D58">
      <w:pPr>
        <w:adjustRightInd w:val="0"/>
        <w:snapToGrid w:val="0"/>
        <w:spacing w:line="360" w:lineRule="auto"/>
        <w:rPr>
          <w:rFonts w:hint="eastAsia" w:ascii="宋体" w:hAnsi="宋体" w:eastAsia="宋体"/>
          <w:bCs/>
          <w:snapToGrid w:val="0"/>
          <w:color w:val="auto"/>
          <w:sz w:val="24"/>
          <w:highlight w:val="none"/>
        </w:rPr>
      </w:pPr>
    </w:p>
    <w:p w14:paraId="2667FDAB">
      <w:pPr>
        <w:adjustRightInd w:val="0"/>
        <w:snapToGrid w:val="0"/>
        <w:spacing w:line="360" w:lineRule="auto"/>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项目名称：</w:t>
      </w:r>
      <w:r>
        <w:rPr>
          <w:rFonts w:hint="eastAsia" w:ascii="宋体" w:hAnsi="宋体" w:eastAsia="宋体" w:cs="Times New Roman"/>
          <w:bCs/>
          <w:snapToGrid w:val="0"/>
          <w:color w:val="auto"/>
          <w:kern w:val="2"/>
          <w:sz w:val="24"/>
          <w:szCs w:val="20"/>
          <w:highlight w:val="none"/>
          <w:u w:val="none"/>
        </w:rPr>
        <w:t>广州机场二期噪音安置区光充互联项目二期施工总承包</w:t>
      </w:r>
      <w:r>
        <w:rPr>
          <w:rFonts w:hint="eastAsia" w:ascii="宋体" w:hAnsi="宋体" w:eastAsia="宋体" w:cs="Times New Roman"/>
          <w:bCs/>
          <w:snapToGrid w:val="0"/>
          <w:color w:val="auto"/>
          <w:kern w:val="2"/>
          <w:sz w:val="24"/>
          <w:szCs w:val="20"/>
          <w:highlight w:val="none"/>
          <w:u w:val="none"/>
          <w:lang w:val="en-US" w:eastAsia="zh-CN"/>
        </w:rPr>
        <w:t>工程</w:t>
      </w:r>
    </w:p>
    <w:p w14:paraId="102BA094">
      <w:pPr>
        <w:adjustRightInd w:val="0"/>
        <w:snapToGrid w:val="0"/>
        <w:spacing w:line="360" w:lineRule="auto"/>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项目地址：</w:t>
      </w:r>
      <w:r>
        <w:rPr>
          <w:rFonts w:hint="eastAsia" w:ascii="宋体" w:hAnsi="宋体" w:eastAsia="宋体" w:cs="Times New Roman"/>
          <w:bCs/>
          <w:snapToGrid w:val="0"/>
          <w:color w:val="auto"/>
          <w:kern w:val="2"/>
          <w:sz w:val="24"/>
          <w:szCs w:val="20"/>
          <w:highlight w:val="none"/>
          <w:u w:val="none"/>
        </w:rPr>
        <w:t>广州市白云区</w:t>
      </w:r>
    </w:p>
    <w:p w14:paraId="27D86437">
      <w:pPr>
        <w:adjustRightInd w:val="0"/>
        <w:snapToGrid w:val="0"/>
        <w:spacing w:line="360" w:lineRule="auto"/>
        <w:rPr>
          <w:rFonts w:hint="eastAsia" w:ascii="宋体" w:hAnsi="宋体" w:eastAsia="宋体"/>
          <w:bCs/>
          <w:snapToGrid w:val="0"/>
          <w:color w:val="auto"/>
          <w:sz w:val="24"/>
          <w:highlight w:val="none"/>
          <w:lang w:eastAsia="zh-CN"/>
        </w:rPr>
      </w:pPr>
      <w:r>
        <w:rPr>
          <w:rFonts w:hint="eastAsia" w:ascii="宋体" w:hAnsi="宋体" w:eastAsia="宋体"/>
          <w:bCs/>
          <w:snapToGrid w:val="0"/>
          <w:color w:val="auto"/>
          <w:sz w:val="24"/>
          <w:highlight w:val="none"/>
        </w:rPr>
        <w:t>发包人：</w:t>
      </w:r>
      <w:r>
        <w:rPr>
          <w:rFonts w:hint="eastAsia" w:ascii="宋体" w:hAnsi="宋体" w:eastAsia="宋体"/>
          <w:bCs/>
          <w:snapToGrid w:val="0"/>
          <w:color w:val="auto"/>
          <w:sz w:val="24"/>
          <w:highlight w:val="none"/>
          <w:lang w:eastAsia="zh-CN"/>
        </w:rPr>
        <w:t>广州机场新能源有限公司</w:t>
      </w:r>
    </w:p>
    <w:p w14:paraId="3827E590">
      <w:pPr>
        <w:adjustRightInd w:val="0"/>
        <w:snapToGrid w:val="0"/>
        <w:spacing w:line="360" w:lineRule="auto"/>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承包人：</w:t>
      </w:r>
    </w:p>
    <w:p w14:paraId="49C92AF2">
      <w:pPr>
        <w:adjustRightInd w:val="0"/>
        <w:snapToGrid w:val="0"/>
        <w:spacing w:line="360" w:lineRule="auto"/>
        <w:rPr>
          <w:rFonts w:hint="eastAsia" w:ascii="宋体" w:hAnsi="宋体" w:eastAsia="宋体"/>
          <w:bCs/>
          <w:snapToGrid w:val="0"/>
          <w:color w:val="auto"/>
          <w:sz w:val="24"/>
          <w:highlight w:val="none"/>
        </w:rPr>
      </w:pPr>
    </w:p>
    <w:p w14:paraId="782DCA10">
      <w:pPr>
        <w:adjustRightInd w:val="0"/>
        <w:snapToGrid w:val="0"/>
        <w:spacing w:line="360" w:lineRule="auto"/>
        <w:ind w:firstLine="480" w:firstLineChars="200"/>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为切实加强廉洁工程建设，规范甲乙双方的各项建筑活动，预防本工程违法违纪等腐败现象的发生，保障工程建设优质、安全和廉洁，根据《广州市建筑市场廉洁准入规定（试行）》及相关法律法规的规定，特订立本协议书。</w:t>
      </w:r>
    </w:p>
    <w:p w14:paraId="34D18CF7">
      <w:pPr>
        <w:adjustRightInd w:val="0"/>
        <w:snapToGrid w:val="0"/>
        <w:spacing w:line="360" w:lineRule="auto"/>
        <w:ind w:firstLine="482" w:firstLineChars="200"/>
        <w:rPr>
          <w:rFonts w:hint="eastAsia" w:ascii="宋体" w:hAnsi="宋体" w:eastAsia="宋体"/>
          <w:b/>
          <w:bCs/>
          <w:snapToGrid w:val="0"/>
          <w:color w:val="auto"/>
          <w:sz w:val="24"/>
          <w:highlight w:val="none"/>
        </w:rPr>
      </w:pPr>
      <w:r>
        <w:rPr>
          <w:rFonts w:hint="eastAsia" w:ascii="宋体" w:hAnsi="宋体" w:eastAsia="宋体"/>
          <w:b/>
          <w:bCs/>
          <w:snapToGrid w:val="0"/>
          <w:color w:val="auto"/>
          <w:sz w:val="24"/>
          <w:highlight w:val="none"/>
        </w:rPr>
        <w:t>第一条 双方责任</w:t>
      </w:r>
    </w:p>
    <w:p w14:paraId="29181600">
      <w:pPr>
        <w:adjustRightInd w:val="0"/>
        <w:snapToGrid w:val="0"/>
        <w:spacing w:line="360" w:lineRule="auto"/>
        <w:ind w:firstLine="480" w:firstLineChars="200"/>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（一）严格遵守国家有关法律法规和政策规定，以及廉政建设的各项规定。</w:t>
      </w:r>
    </w:p>
    <w:p w14:paraId="154990AF">
      <w:pPr>
        <w:adjustRightInd w:val="0"/>
        <w:snapToGrid w:val="0"/>
        <w:spacing w:line="360" w:lineRule="auto"/>
        <w:ind w:firstLine="480" w:firstLineChars="200"/>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（二）严格执行建设工程项目合同文件，自觉按合同办事。</w:t>
      </w:r>
    </w:p>
    <w:p w14:paraId="26939DF4">
      <w:pPr>
        <w:adjustRightInd w:val="0"/>
        <w:snapToGrid w:val="0"/>
        <w:spacing w:line="360" w:lineRule="auto"/>
        <w:ind w:firstLine="480" w:firstLineChars="200"/>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三）建设活动必须坚持公开、公平、公正、诚信、透明的原则（法律法规另有规定的除外），不得为获取不正当的利益，损害国家、集体和对方利益，不得违反国家、省、市和发包人有关工程建设管理的规章制度。</w:t>
      </w:r>
    </w:p>
    <w:p w14:paraId="77753DE7">
      <w:pPr>
        <w:adjustRightInd w:val="0"/>
        <w:snapToGrid w:val="0"/>
        <w:spacing w:line="360" w:lineRule="auto"/>
        <w:ind w:firstLine="480" w:firstLineChars="200"/>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（四）发现对方在建筑活动中存在违规、违纪、违法行为的，有权向其上级主管部门或纪检监察、检察等有关机关举报。</w:t>
      </w:r>
    </w:p>
    <w:p w14:paraId="39F99681">
      <w:pPr>
        <w:adjustRightInd w:val="0"/>
        <w:snapToGrid w:val="0"/>
        <w:spacing w:line="360" w:lineRule="auto"/>
        <w:ind w:firstLine="480" w:firstLineChars="200"/>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（五）双方应充分发挥各自职能作用，积极互动形成纵向监督合力，依照本协议书约定，对本工程项目合同履行情况实施监督，及时制止不廉洁行为的发生。</w:t>
      </w:r>
    </w:p>
    <w:p w14:paraId="0DBD9149">
      <w:pPr>
        <w:adjustRightInd w:val="0"/>
        <w:snapToGrid w:val="0"/>
        <w:spacing w:line="360" w:lineRule="auto"/>
        <w:ind w:firstLine="482" w:firstLineChars="200"/>
        <w:rPr>
          <w:rFonts w:hint="eastAsia" w:ascii="宋体" w:hAnsi="宋体" w:eastAsia="宋体"/>
          <w:b/>
          <w:bCs/>
          <w:snapToGrid w:val="0"/>
          <w:color w:val="auto"/>
          <w:sz w:val="24"/>
          <w:highlight w:val="none"/>
        </w:rPr>
      </w:pPr>
      <w:r>
        <w:rPr>
          <w:rFonts w:hint="eastAsia" w:ascii="宋体" w:hAnsi="宋体" w:eastAsia="宋体"/>
          <w:b/>
          <w:bCs/>
          <w:snapToGrid w:val="0"/>
          <w:color w:val="auto"/>
          <w:sz w:val="24"/>
          <w:highlight w:val="none"/>
        </w:rPr>
        <w:t>第二条 发包人责任</w:t>
      </w:r>
    </w:p>
    <w:p w14:paraId="6E7DCBD4">
      <w:pPr>
        <w:adjustRightInd w:val="0"/>
        <w:snapToGrid w:val="0"/>
        <w:spacing w:line="360" w:lineRule="auto"/>
        <w:ind w:firstLine="480" w:firstLineChars="200"/>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（一）发包人领导干部和从事该工程建设的管理人员，在建筑活动中须严格遵守以下廉洁从业规定：</w:t>
      </w:r>
    </w:p>
    <w:p w14:paraId="55B3EEE9">
      <w:pPr>
        <w:adjustRightInd w:val="0"/>
        <w:snapToGrid w:val="0"/>
        <w:spacing w:line="360" w:lineRule="auto"/>
        <w:ind w:firstLine="480" w:firstLineChars="200"/>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1.不准向承包人和相关单位或个人索取钱物或接受回扣、礼金、各种有价证券、信用卡和好处费、感谢费以及其他支付凭证等。</w:t>
      </w:r>
    </w:p>
    <w:p w14:paraId="2F84CDDD">
      <w:pPr>
        <w:adjustRightInd w:val="0"/>
        <w:snapToGrid w:val="0"/>
        <w:spacing w:line="360" w:lineRule="auto"/>
        <w:ind w:firstLine="480" w:firstLineChars="200"/>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2.不准接受可能影响公正执行公务的承包人和相关单位或个人的礼物馈赠、宴请、各种形式俱乐部会员资格、高消费娱乐活动。</w:t>
      </w:r>
    </w:p>
    <w:p w14:paraId="66278F1A">
      <w:pPr>
        <w:adjustRightInd w:val="0"/>
        <w:snapToGrid w:val="0"/>
        <w:spacing w:line="360" w:lineRule="auto"/>
        <w:ind w:firstLine="480" w:firstLineChars="200"/>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3.不准在承包人和相关单位报销任何应由发包人或个人负担的费用。</w:t>
      </w:r>
    </w:p>
    <w:p w14:paraId="3B71A4A5">
      <w:pPr>
        <w:adjustRightInd w:val="0"/>
        <w:snapToGrid w:val="0"/>
        <w:spacing w:line="360" w:lineRule="auto"/>
        <w:ind w:firstLine="480" w:firstLineChars="200"/>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4.不准要求、暗示或接受承包人和相关单位或个人为自己、配偶、子女、其他亲属朋友及身边工作人员的装修住房、婚丧嫁娶、工作安排、学习培训、经商办企业以及出国（境）、旅游、度假等支付费用。</w:t>
      </w:r>
    </w:p>
    <w:p w14:paraId="7B4B1731">
      <w:pPr>
        <w:adjustRightInd w:val="0"/>
        <w:snapToGrid w:val="0"/>
        <w:spacing w:line="360" w:lineRule="auto"/>
        <w:ind w:firstLine="480" w:firstLineChars="200"/>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5.不准向承包人介绍配偶、子女、其他亲属朋友及身边工作人员参与同发包人项目工程合同有关的设备、材料、工程分包、劳务等经济活动。</w:t>
      </w:r>
    </w:p>
    <w:p w14:paraId="577C0422">
      <w:pPr>
        <w:adjustRightInd w:val="0"/>
        <w:snapToGrid w:val="0"/>
        <w:spacing w:line="360" w:lineRule="auto"/>
        <w:ind w:firstLine="480" w:firstLineChars="200"/>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6.不得以任何理由向承包人和相关单位推荐分包单位和要求或暗示承包人购买项目工程合同</w:t>
      </w:r>
      <w:r>
        <w:rPr>
          <w:rFonts w:hint="eastAsia" w:ascii="宋体" w:hAnsi="宋体" w:eastAsia="宋体"/>
          <w:color w:val="auto"/>
          <w:sz w:val="24"/>
          <w:highlight w:val="none"/>
        </w:rPr>
        <w:t>约定</w:t>
      </w:r>
      <w:r>
        <w:rPr>
          <w:rFonts w:hint="eastAsia" w:ascii="宋体" w:hAnsi="宋体" w:eastAsia="宋体"/>
          <w:bCs/>
          <w:snapToGrid w:val="0"/>
          <w:color w:val="auto"/>
          <w:sz w:val="24"/>
          <w:highlight w:val="none"/>
        </w:rPr>
        <w:t>之外的材料、设备等。</w:t>
      </w:r>
    </w:p>
    <w:p w14:paraId="023CB8A3">
      <w:pPr>
        <w:adjustRightInd w:val="0"/>
        <w:snapToGrid w:val="0"/>
        <w:spacing w:line="360" w:lineRule="auto"/>
        <w:ind w:firstLine="480" w:firstLineChars="200"/>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（二）合同签订后组织与承包人相关廉洁责任人见面会，进行廉洁工程建设交底，明确廉洁工程建设责任和目标任务、举报方式。</w:t>
      </w:r>
    </w:p>
    <w:p w14:paraId="5FC39EC0">
      <w:pPr>
        <w:adjustRightInd w:val="0"/>
        <w:snapToGrid w:val="0"/>
        <w:spacing w:line="360" w:lineRule="auto"/>
        <w:ind w:firstLine="480" w:firstLineChars="200"/>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（三）加强对合同支付、合同结算等建设管理环节的监督管理，特别是审批效能方面的监督检查，提高建设管理服务水平。</w:t>
      </w:r>
    </w:p>
    <w:p w14:paraId="1112DDE0">
      <w:pPr>
        <w:adjustRightInd w:val="0"/>
        <w:snapToGrid w:val="0"/>
        <w:spacing w:line="360" w:lineRule="auto"/>
        <w:ind w:firstLine="480" w:firstLineChars="200"/>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（四）组织开展图片展览、法制讲座、参观监狱等活动，加强对员工的法律法规、廉洁和职业道德教育。</w:t>
      </w:r>
    </w:p>
    <w:p w14:paraId="02EF9051">
      <w:pPr>
        <w:adjustRightInd w:val="0"/>
        <w:snapToGrid w:val="0"/>
        <w:spacing w:line="360" w:lineRule="auto"/>
        <w:ind w:firstLine="480" w:firstLineChars="200"/>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（五）成立监督工作机构，不定期对合同履行情况开展监督检查，对发现的有关问题，及时协调给予解决。</w:t>
      </w:r>
    </w:p>
    <w:p w14:paraId="61935C73">
      <w:pPr>
        <w:adjustRightInd w:val="0"/>
        <w:snapToGrid w:val="0"/>
        <w:spacing w:line="360" w:lineRule="auto"/>
        <w:ind w:firstLine="482" w:firstLineChars="200"/>
        <w:rPr>
          <w:rFonts w:hint="eastAsia" w:ascii="宋体" w:hAnsi="宋体" w:eastAsia="宋体"/>
          <w:b/>
          <w:bCs/>
          <w:snapToGrid w:val="0"/>
          <w:color w:val="auto"/>
          <w:sz w:val="24"/>
          <w:highlight w:val="none"/>
        </w:rPr>
      </w:pPr>
      <w:r>
        <w:rPr>
          <w:rFonts w:hint="eastAsia" w:ascii="宋体" w:hAnsi="宋体" w:eastAsia="宋体"/>
          <w:b/>
          <w:bCs/>
          <w:snapToGrid w:val="0"/>
          <w:color w:val="auto"/>
          <w:sz w:val="24"/>
          <w:highlight w:val="none"/>
        </w:rPr>
        <w:t>第三条 承包人责任</w:t>
      </w:r>
    </w:p>
    <w:p w14:paraId="5A7ED29B">
      <w:pPr>
        <w:adjustRightInd w:val="0"/>
        <w:snapToGrid w:val="0"/>
        <w:spacing w:line="360" w:lineRule="auto"/>
        <w:ind w:firstLine="480" w:firstLineChars="200"/>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（一）与发包人保持正常的业务交往，遵守以下规定：</w:t>
      </w:r>
    </w:p>
    <w:p w14:paraId="2FFF26B0">
      <w:pPr>
        <w:adjustRightInd w:val="0"/>
        <w:snapToGrid w:val="0"/>
        <w:spacing w:line="360" w:lineRule="auto"/>
        <w:ind w:firstLine="480" w:firstLineChars="200"/>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1.不准以任何理由向发包人人员行贿或赠送回扣、礼金、各种有价证券、信用卡和好处费、感谢费及其他支付凭证等。</w:t>
      </w:r>
    </w:p>
    <w:p w14:paraId="4B9EF0BE">
      <w:pPr>
        <w:adjustRightInd w:val="0"/>
        <w:snapToGrid w:val="0"/>
        <w:spacing w:line="360" w:lineRule="auto"/>
        <w:ind w:firstLine="480" w:firstLineChars="200"/>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2.不准以任何理由为发包人人员组织有可能影响公正执行公务的宴请、各种形式俱乐部及高消费娱乐等活动。</w:t>
      </w:r>
    </w:p>
    <w:p w14:paraId="1D285637">
      <w:pPr>
        <w:adjustRightInd w:val="0"/>
        <w:snapToGrid w:val="0"/>
        <w:spacing w:line="360" w:lineRule="auto"/>
        <w:ind w:firstLine="480" w:firstLineChars="200"/>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3.不准以任何理由为发包人或个人报销应由对方或个人支付的费用。</w:t>
      </w:r>
    </w:p>
    <w:p w14:paraId="24A05F16">
      <w:pPr>
        <w:adjustRightInd w:val="0"/>
        <w:snapToGrid w:val="0"/>
        <w:spacing w:line="360" w:lineRule="auto"/>
        <w:ind w:firstLine="480" w:firstLineChars="200"/>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4.不准暗示或要求为发包人人员及其配偶、子女、其他亲属朋友及身边工作人员的装修住房、婚丧嫁娶、工作安排、学习培训、经商办企业以及出国（境）、旅游、度假提供方便和支付费用。</w:t>
      </w:r>
    </w:p>
    <w:p w14:paraId="5F52C449">
      <w:pPr>
        <w:adjustRightInd w:val="0"/>
        <w:snapToGrid w:val="0"/>
        <w:spacing w:line="360" w:lineRule="auto"/>
        <w:ind w:firstLine="480" w:firstLineChars="200"/>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5.不准介绍和安排发包人人员及其配偶、子女、其他亲属朋友及身边工作人员参与同发包人工程项目有关的设备、材料、工程分包、劳务等经济活动。</w:t>
      </w:r>
    </w:p>
    <w:p w14:paraId="567FDA83">
      <w:pPr>
        <w:adjustRightInd w:val="0"/>
        <w:snapToGrid w:val="0"/>
        <w:spacing w:line="360" w:lineRule="auto"/>
        <w:ind w:firstLine="480" w:firstLineChars="200"/>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（二）组织项目负责人及相关管理人员层层签订廉洁从业责任状，明确廉洁责任，形成有效的内部监督管理机制。</w:t>
      </w:r>
    </w:p>
    <w:p w14:paraId="7A75F75A">
      <w:pPr>
        <w:adjustRightInd w:val="0"/>
        <w:snapToGrid w:val="0"/>
        <w:spacing w:line="360" w:lineRule="auto"/>
        <w:ind w:firstLine="480" w:firstLineChars="200"/>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（三）按发包人要求参加廉政座谈、法制讲座、参观监狱等活动，加强对项目负责人及相关管理人员的法律法规、廉洁和职业道德教育，共同筑牢防腐防线。</w:t>
      </w:r>
    </w:p>
    <w:p w14:paraId="4AC5702B">
      <w:pPr>
        <w:adjustRightInd w:val="0"/>
        <w:snapToGrid w:val="0"/>
        <w:spacing w:line="360" w:lineRule="auto"/>
        <w:ind w:firstLine="482" w:firstLineChars="200"/>
        <w:rPr>
          <w:rFonts w:hint="eastAsia" w:ascii="宋体" w:hAnsi="宋体" w:eastAsia="宋体"/>
          <w:b/>
          <w:bCs/>
          <w:snapToGrid w:val="0"/>
          <w:color w:val="auto"/>
          <w:sz w:val="24"/>
          <w:highlight w:val="none"/>
        </w:rPr>
      </w:pPr>
      <w:r>
        <w:rPr>
          <w:rFonts w:hint="eastAsia" w:ascii="宋体" w:hAnsi="宋体" w:eastAsia="宋体"/>
          <w:b/>
          <w:bCs/>
          <w:snapToGrid w:val="0"/>
          <w:color w:val="auto"/>
          <w:sz w:val="24"/>
          <w:highlight w:val="none"/>
        </w:rPr>
        <w:t>第四条 违约责任</w:t>
      </w:r>
    </w:p>
    <w:p w14:paraId="0D74395F">
      <w:pPr>
        <w:adjustRightInd w:val="0"/>
        <w:snapToGrid w:val="0"/>
        <w:spacing w:line="360" w:lineRule="auto"/>
        <w:ind w:firstLine="480" w:firstLineChars="200"/>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（一）发包人的违约责任</w:t>
      </w:r>
    </w:p>
    <w:p w14:paraId="3A5F9EF2">
      <w:pPr>
        <w:adjustRightInd w:val="0"/>
        <w:snapToGrid w:val="0"/>
        <w:spacing w:line="360" w:lineRule="auto"/>
        <w:ind w:firstLine="480" w:firstLineChars="200"/>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1.发包人不履行或不完全履行本协议书有关责任义务给承包人造成损失的，在承包人提交足够证据并经查证属实的情况下，发包人应赔偿其直接经济损失。</w:t>
      </w:r>
    </w:p>
    <w:p w14:paraId="5600CA52">
      <w:pPr>
        <w:adjustRightInd w:val="0"/>
        <w:snapToGrid w:val="0"/>
        <w:spacing w:line="360" w:lineRule="auto"/>
        <w:ind w:firstLine="480" w:firstLineChars="200"/>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2.发包人人员出现受贿等严重违法违纪违规行为的，按照管理权限，依据有关法律法规和规定给予党纪、政纪处分或组织处理；涉嫌犯罪的，移交司法机关查处。</w:t>
      </w:r>
    </w:p>
    <w:p w14:paraId="41546EA6">
      <w:pPr>
        <w:adjustRightInd w:val="0"/>
        <w:snapToGrid w:val="0"/>
        <w:spacing w:line="360" w:lineRule="auto"/>
        <w:ind w:firstLine="480" w:firstLineChars="200"/>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（二）承包人的违约责任</w:t>
      </w:r>
    </w:p>
    <w:p w14:paraId="5640DA48">
      <w:pPr>
        <w:adjustRightInd w:val="0"/>
        <w:snapToGrid w:val="0"/>
        <w:spacing w:line="360" w:lineRule="auto"/>
        <w:ind w:firstLine="480" w:firstLineChars="200"/>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1.承包人不履行或不完全履行本廉洁协议书有关责任义务的，须承担本合同约定的一般违约责任一次；情节较轻的，可给予书面警告；情节较重的，须承担一次严重违约责任；给发包人造成损失的，应依法予以赔偿。</w:t>
      </w:r>
    </w:p>
    <w:p w14:paraId="36758AD8">
      <w:pPr>
        <w:adjustRightInd w:val="0"/>
        <w:snapToGrid w:val="0"/>
        <w:spacing w:line="360" w:lineRule="auto"/>
        <w:ind w:firstLine="480" w:firstLineChars="200"/>
        <w:rPr>
          <w:rFonts w:hint="eastAsia" w:ascii="宋体" w:hAnsi="宋体" w:eastAsia="宋体"/>
          <w:bCs/>
          <w:snapToGrid w:val="0"/>
          <w:color w:val="auto"/>
          <w:sz w:val="24"/>
          <w:highlight w:val="none"/>
        </w:rPr>
      </w:pPr>
      <w:r>
        <w:rPr>
          <w:rFonts w:hint="eastAsia" w:ascii="宋体" w:hAnsi="宋体" w:eastAsia="宋体"/>
          <w:bCs/>
          <w:snapToGrid w:val="0"/>
          <w:color w:val="auto"/>
          <w:sz w:val="24"/>
          <w:highlight w:val="none"/>
        </w:rPr>
        <w:t>2.承包人出现严重违法违纪违规行为的，发包人将移送检察或监察机关依法查处，并提请建设行政主管部门根据《广州市建筑市场廉洁准入规定（试行）》进行处理。</w:t>
      </w:r>
    </w:p>
    <w:p w14:paraId="51C141B2">
      <w:pPr>
        <w:adjustRightInd w:val="0"/>
        <w:snapToGrid w:val="0"/>
        <w:spacing w:line="360" w:lineRule="auto"/>
        <w:ind w:firstLine="482" w:firstLineChars="200"/>
        <w:rPr>
          <w:rFonts w:hint="eastAsia" w:ascii="宋体" w:hAnsi="宋体" w:eastAsia="宋体"/>
          <w:bCs/>
          <w:snapToGrid w:val="0"/>
          <w:color w:val="auto"/>
          <w:sz w:val="24"/>
          <w:highlight w:val="none"/>
        </w:rPr>
      </w:pPr>
      <w:r>
        <w:rPr>
          <w:rFonts w:hint="eastAsia" w:ascii="宋体" w:hAnsi="宋体" w:eastAsia="宋体"/>
          <w:b/>
          <w:bCs/>
          <w:snapToGrid w:val="0"/>
          <w:color w:val="auto"/>
          <w:sz w:val="24"/>
          <w:highlight w:val="none"/>
        </w:rPr>
        <w:t xml:space="preserve">第五条 </w:t>
      </w:r>
      <w:r>
        <w:rPr>
          <w:rFonts w:hint="eastAsia" w:ascii="宋体" w:hAnsi="宋体" w:eastAsia="宋体"/>
          <w:bCs/>
          <w:snapToGrid w:val="0"/>
          <w:color w:val="auto"/>
          <w:sz w:val="24"/>
          <w:highlight w:val="none"/>
        </w:rPr>
        <w:t>本协议书作为合同的附件，与合同具有同等法律效力。经双方签字盖章后生效，至所属工程项目合同履行完毕时终止。</w:t>
      </w:r>
    </w:p>
    <w:p w14:paraId="19015542">
      <w:pPr>
        <w:adjustRightInd w:val="0"/>
        <w:snapToGrid w:val="0"/>
        <w:spacing w:line="360" w:lineRule="auto"/>
        <w:ind w:firstLine="482" w:firstLineChars="200"/>
        <w:rPr>
          <w:rFonts w:hint="eastAsia" w:ascii="宋体" w:hAnsi="宋体" w:eastAsia="宋体"/>
          <w:bCs/>
          <w:snapToGrid w:val="0"/>
          <w:color w:val="auto"/>
          <w:sz w:val="24"/>
          <w:highlight w:val="none"/>
        </w:rPr>
      </w:pPr>
      <w:r>
        <w:rPr>
          <w:rFonts w:hint="eastAsia" w:ascii="宋体" w:hAnsi="宋体" w:eastAsia="宋体"/>
          <w:b/>
          <w:bCs/>
          <w:snapToGrid w:val="0"/>
          <w:color w:val="auto"/>
          <w:sz w:val="24"/>
          <w:highlight w:val="none"/>
        </w:rPr>
        <w:t xml:space="preserve">第六条 </w:t>
      </w:r>
      <w:r>
        <w:rPr>
          <w:rFonts w:hint="eastAsia" w:ascii="宋体" w:hAnsi="宋体" w:eastAsia="宋体"/>
          <w:bCs/>
          <w:snapToGrid w:val="0"/>
          <w:color w:val="auto"/>
          <w:sz w:val="24"/>
          <w:highlight w:val="none"/>
        </w:rPr>
        <w:t>未尽事宜，由双方协商解决。</w:t>
      </w:r>
    </w:p>
    <w:p w14:paraId="52A6B474">
      <w:pPr>
        <w:adjustRightInd w:val="0"/>
        <w:snapToGrid w:val="0"/>
        <w:spacing w:line="360" w:lineRule="auto"/>
        <w:rPr>
          <w:rFonts w:hint="eastAsia" w:ascii="宋体" w:hAnsi="宋体" w:eastAsia="宋体" w:cs="宋体"/>
          <w:snapToGrid w:val="0"/>
          <w:color w:val="auto"/>
          <w:kern w:val="0"/>
          <w:sz w:val="24"/>
          <w:szCs w:val="24"/>
          <w:highlight w:val="none"/>
        </w:rPr>
      </w:pPr>
    </w:p>
    <w:bookmarkEnd w:id="796"/>
    <w:p w14:paraId="05632C9D">
      <w:pPr>
        <w:adjustRightInd w:val="0"/>
        <w:snapToGrid w:val="0"/>
        <w:spacing w:line="360" w:lineRule="auto"/>
        <w:rPr>
          <w:rFonts w:hint="eastAsia" w:ascii="宋体" w:hAnsi="宋体" w:eastAsia="宋体" w:cs="宋体"/>
          <w:snapToGrid w:val="0"/>
          <w:color w:val="auto"/>
          <w:kern w:val="0"/>
          <w:sz w:val="24"/>
          <w:szCs w:val="24"/>
          <w:highlight w:val="none"/>
        </w:rPr>
      </w:pPr>
      <w:bookmarkStart w:id="799" w:name="_Toc520902631"/>
      <w:bookmarkStart w:id="800" w:name="_Toc520902853"/>
      <w:bookmarkStart w:id="801" w:name="_Toc517774586"/>
      <w:bookmarkStart w:id="802" w:name="_Toc514666999"/>
      <w:bookmarkStart w:id="803" w:name="_Toc514681208"/>
      <w:bookmarkStart w:id="804" w:name="_Toc516496002"/>
      <w:bookmarkStart w:id="805" w:name="_Toc518481758"/>
      <w:bookmarkStart w:id="806" w:name="_Toc519503106"/>
      <w:bookmarkStart w:id="807" w:name="_Toc520358256"/>
      <w:bookmarkStart w:id="808" w:name="_Toc519502276"/>
      <w:bookmarkStart w:id="809" w:name="_Toc514665308"/>
      <w:bookmarkStart w:id="810" w:name="_Toc514681789"/>
      <w:bookmarkStart w:id="811" w:name="_Toc520901486"/>
      <w:bookmarkStart w:id="812" w:name="_Toc514663885"/>
      <w:bookmarkStart w:id="813" w:name="_Toc517954599"/>
      <w:bookmarkStart w:id="814" w:name="_Toc520358080"/>
      <w:bookmarkStart w:id="815" w:name="_Toc514664886"/>
      <w:bookmarkStart w:id="816" w:name="_Toc520902782"/>
      <w:bookmarkStart w:id="817" w:name="_Toc514665169"/>
      <w:r>
        <w:rPr>
          <w:rFonts w:hint="eastAsia" w:ascii="宋体" w:hAnsi="宋体" w:eastAsia="宋体" w:cs="宋体"/>
          <w:snapToGrid w:val="0"/>
          <w:color w:val="auto"/>
          <w:kern w:val="0"/>
          <w:sz w:val="24"/>
          <w:szCs w:val="24"/>
          <w:highlight w:val="none"/>
        </w:rPr>
        <w:t>发包人：</w:t>
      </w:r>
      <w:r>
        <w:rPr>
          <w:rFonts w:hint="eastAsia" w:ascii="宋体" w:hAnsi="宋体" w:eastAsia="宋体" w:cs="宋体"/>
          <w:snapToGrid w:val="0"/>
          <w:color w:val="auto"/>
          <w:kern w:val="0"/>
          <w:sz w:val="24"/>
          <w:szCs w:val="24"/>
          <w:highlight w:val="none"/>
          <w:lang w:eastAsia="zh-CN"/>
        </w:rPr>
        <w:t>广州机场新能源有限公司</w:t>
      </w:r>
    </w:p>
    <w:p w14:paraId="417A52D5">
      <w:pPr>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法定代表人：                          </w:t>
      </w:r>
    </w:p>
    <w:p w14:paraId="6457CB3C">
      <w:pPr>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其授权的代理人：                      </w:t>
      </w:r>
    </w:p>
    <w:p w14:paraId="1B156645">
      <w:pPr>
        <w:adjustRightInd w:val="0"/>
        <w:snapToGrid w:val="0"/>
        <w:spacing w:line="360" w:lineRule="auto"/>
        <w:rPr>
          <w:rFonts w:ascii="宋体" w:hAnsi="宋体" w:eastAsia="宋体" w:cs="宋体"/>
          <w:snapToGrid w:val="0"/>
          <w:color w:val="auto"/>
          <w:kern w:val="0"/>
          <w:sz w:val="24"/>
          <w:szCs w:val="24"/>
          <w:highlight w:val="none"/>
        </w:rPr>
      </w:pPr>
    </w:p>
    <w:p w14:paraId="704D3258">
      <w:pPr>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承包人： </w:t>
      </w:r>
    </w:p>
    <w:p w14:paraId="6DD61725">
      <w:pPr>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w:t>
      </w:r>
    </w:p>
    <w:p w14:paraId="08420FB8">
      <w:pPr>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其授权的代理人：</w:t>
      </w:r>
    </w:p>
    <w:p w14:paraId="3094DDC9">
      <w:pPr>
        <w:adjustRightInd w:val="0"/>
        <w:snapToGrid w:val="0"/>
        <w:spacing w:line="360" w:lineRule="auto"/>
        <w:rPr>
          <w:rFonts w:hint="eastAsia" w:ascii="宋体" w:hAnsi="宋体" w:eastAsia="宋体" w:cs="宋体"/>
          <w:snapToGrid w:val="0"/>
          <w:color w:val="auto"/>
          <w:kern w:val="0"/>
          <w:sz w:val="24"/>
          <w:szCs w:val="24"/>
          <w:highlight w:val="none"/>
        </w:rPr>
      </w:pPr>
    </w:p>
    <w:p w14:paraId="2B3D3FCF">
      <w:pPr>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日期：202  年   月   日</w:t>
      </w:r>
    </w:p>
    <w:bookmarkEnd w:id="797"/>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14:paraId="016F7F02">
      <w:pPr>
        <w:pStyle w:val="10"/>
        <w:ind w:left="0" w:firstLine="0"/>
        <w:jc w:val="both"/>
        <w:rPr>
          <w:rFonts w:hint="eastAsia" w:ascii="宋体" w:hAnsi="宋体"/>
          <w:color w:val="auto"/>
          <w:highlight w:val="none"/>
          <w:lang w:val="zh-CN"/>
        </w:rPr>
      </w:pPr>
      <w:r>
        <w:rPr>
          <w:rFonts w:hint="eastAsia" w:ascii="宋体" w:hAnsi="宋体"/>
          <w:color w:val="auto"/>
          <w:highlight w:val="none"/>
          <w:lang w:val="zh-CN"/>
        </w:rPr>
        <w:t>附件5：中标通知书</w:t>
      </w:r>
      <w:r>
        <w:rPr>
          <w:rFonts w:hint="eastAsia" w:ascii="宋体" w:hAnsi="宋体"/>
          <w:color w:val="auto"/>
          <w:highlight w:val="none"/>
          <w:lang w:val="zh-CN"/>
        </w:rPr>
        <w:br w:type="page"/>
      </w:r>
      <w:r>
        <w:rPr>
          <w:rFonts w:hint="eastAsia" w:ascii="宋体" w:hAnsi="宋体"/>
          <w:color w:val="auto"/>
          <w:highlight w:val="none"/>
          <w:lang w:val="zh-CN"/>
        </w:rPr>
        <w:t>附件6：发包人要求</w:t>
      </w:r>
    </w:p>
    <w:p w14:paraId="598E131B">
      <w:pPr>
        <w:pStyle w:val="10"/>
        <w:ind w:left="0" w:firstLine="0"/>
        <w:jc w:val="center"/>
        <w:rPr>
          <w:rFonts w:hint="eastAsia" w:ascii="宋体" w:hAnsi="宋体"/>
          <w:color w:val="auto"/>
          <w:highlight w:val="none"/>
          <w:lang w:val="zh-CN"/>
        </w:rPr>
      </w:pPr>
      <w:r>
        <w:rPr>
          <w:rFonts w:hint="eastAsia" w:ascii="宋体" w:hAnsi="宋体"/>
          <w:color w:val="auto"/>
          <w:highlight w:val="none"/>
          <w:lang w:val="zh-CN"/>
        </w:rPr>
        <w:t>（另册，取自招标文件《发包人要求》）</w:t>
      </w:r>
    </w:p>
    <w:p w14:paraId="06ACF735">
      <w:pPr>
        <w:rPr>
          <w:rFonts w:hint="eastAsia" w:ascii="宋体" w:hAnsi="宋体" w:eastAsia="宋体"/>
          <w:b/>
          <w:color w:val="auto"/>
          <w:sz w:val="30"/>
          <w:szCs w:val="30"/>
          <w:highlight w:val="none"/>
          <w:lang w:val="en-US" w:eastAsia="zh-CN"/>
        </w:rPr>
      </w:pPr>
      <w:r>
        <w:rPr>
          <w:rFonts w:hint="eastAsia" w:ascii="宋体" w:hAnsi="宋体" w:eastAsia="宋体"/>
          <w:color w:val="auto"/>
          <w:highlight w:val="none"/>
          <w:lang w:val="zh-CN"/>
        </w:rPr>
        <w:br w:type="page"/>
      </w:r>
      <w:r>
        <w:rPr>
          <w:rFonts w:hint="eastAsia" w:ascii="宋体" w:hAnsi="宋体" w:eastAsia="宋体"/>
          <w:b/>
          <w:color w:val="auto"/>
          <w:sz w:val="30"/>
          <w:szCs w:val="30"/>
          <w:highlight w:val="none"/>
          <w:lang w:val="zh-CN"/>
        </w:rPr>
        <w:t>附件</w:t>
      </w:r>
      <w:r>
        <w:rPr>
          <w:rFonts w:hint="eastAsia" w:ascii="宋体" w:hAnsi="宋体" w:eastAsia="宋体"/>
          <w:b/>
          <w:color w:val="auto"/>
          <w:sz w:val="30"/>
          <w:szCs w:val="30"/>
          <w:highlight w:val="none"/>
          <w:lang w:val="en-US" w:eastAsia="zh-CN"/>
        </w:rPr>
        <w:t>7</w:t>
      </w:r>
      <w:r>
        <w:rPr>
          <w:rFonts w:hint="eastAsia" w:ascii="宋体" w:hAnsi="宋体" w:eastAsia="宋体"/>
          <w:b/>
          <w:color w:val="auto"/>
          <w:sz w:val="30"/>
          <w:szCs w:val="30"/>
          <w:highlight w:val="none"/>
          <w:lang w:val="zh-CN"/>
        </w:rPr>
        <w:t>：</w:t>
      </w:r>
      <w:r>
        <w:rPr>
          <w:rFonts w:hint="eastAsia" w:ascii="宋体" w:hAnsi="宋体" w:eastAsia="宋体"/>
          <w:b/>
          <w:color w:val="auto"/>
          <w:sz w:val="30"/>
          <w:szCs w:val="30"/>
          <w:highlight w:val="none"/>
          <w:lang w:val="en-US" w:eastAsia="zh-CN"/>
        </w:rPr>
        <w:t>投标报价各分项价格</w:t>
      </w:r>
    </w:p>
    <w:p w14:paraId="569E3D8E">
      <w:pPr>
        <w:jc w:val="center"/>
        <w:rPr>
          <w:rFonts w:hint="eastAsia" w:ascii="宋体" w:hAnsi="宋体" w:eastAsia="宋体"/>
          <w:b/>
          <w:color w:val="auto"/>
          <w:sz w:val="30"/>
          <w:szCs w:val="30"/>
          <w:highlight w:val="none"/>
          <w:lang w:val="en-US" w:eastAsia="zh-CN"/>
        </w:rPr>
      </w:pPr>
      <w:r>
        <w:rPr>
          <w:rFonts w:hint="eastAsia" w:ascii="宋体" w:hAnsi="宋体" w:eastAsia="宋体"/>
          <w:b/>
          <w:color w:val="auto"/>
          <w:sz w:val="30"/>
          <w:szCs w:val="30"/>
          <w:highlight w:val="none"/>
          <w:lang w:val="en-US" w:eastAsia="zh-CN"/>
        </w:rPr>
        <w:t>（另附，取自投标文件）</w:t>
      </w:r>
    </w:p>
    <w:p w14:paraId="7E2786C7">
      <w:pPr>
        <w:rPr>
          <w:rFonts w:hint="default"/>
          <w:color w:val="auto"/>
          <w:highlight w:val="none"/>
          <w:lang w:val="en-US" w:eastAsia="zh-CN"/>
        </w:rPr>
      </w:pPr>
      <w:r>
        <w:rPr>
          <w:rFonts w:hint="default"/>
          <w:color w:val="auto"/>
          <w:highlight w:val="none"/>
          <w:lang w:val="en-US" w:eastAsia="zh-CN"/>
        </w:rPr>
        <w:br w:type="page"/>
      </w:r>
    </w:p>
    <w:p w14:paraId="50266FAE">
      <w:pPr>
        <w:wordWrap w:val="0"/>
        <w:spacing w:line="416" w:lineRule="auto"/>
        <w:outlineLvl w:val="0"/>
        <w:rPr>
          <w:rFonts w:cs="宋体" w:asciiTheme="minorEastAsia" w:hAnsiTheme="minorEastAsia" w:eastAsiaTheme="minorEastAsia"/>
          <w:color w:val="auto"/>
          <w:sz w:val="24"/>
          <w:highlight w:val="none"/>
        </w:rPr>
      </w:pPr>
      <w:r>
        <w:rPr>
          <w:rFonts w:hint="eastAsia" w:ascii="宋体" w:hAnsi="宋体" w:eastAsia="宋体"/>
          <w:b/>
          <w:color w:val="auto"/>
          <w:sz w:val="30"/>
          <w:szCs w:val="30"/>
          <w:highlight w:val="none"/>
          <w:lang w:val="zh-CN"/>
        </w:rPr>
        <w:t>附件</w:t>
      </w:r>
      <w:r>
        <w:rPr>
          <w:rFonts w:hint="eastAsia" w:ascii="宋体" w:hAnsi="宋体" w:eastAsia="宋体"/>
          <w:b/>
          <w:color w:val="auto"/>
          <w:sz w:val="30"/>
          <w:szCs w:val="30"/>
          <w:highlight w:val="none"/>
          <w:lang w:val="en-US" w:eastAsia="zh-CN"/>
        </w:rPr>
        <w:t>8</w:t>
      </w:r>
      <w:r>
        <w:rPr>
          <w:rFonts w:hint="eastAsia" w:ascii="宋体" w:hAnsi="宋体" w:eastAsia="宋体"/>
          <w:b/>
          <w:color w:val="auto"/>
          <w:sz w:val="30"/>
          <w:szCs w:val="30"/>
          <w:highlight w:val="none"/>
          <w:lang w:val="zh-CN"/>
        </w:rPr>
        <w:t>：</w:t>
      </w:r>
    </w:p>
    <w:p w14:paraId="5A2093D4">
      <w:pPr>
        <w:spacing w:line="360" w:lineRule="auto"/>
        <w:jc w:val="center"/>
        <w:rPr>
          <w:rFonts w:ascii="宋体" w:hAnsi="宋体" w:cs="宋体"/>
          <w:b/>
          <w:color w:val="auto"/>
          <w:sz w:val="36"/>
          <w:szCs w:val="36"/>
          <w:highlight w:val="none"/>
        </w:rPr>
      </w:pPr>
      <w:r>
        <w:rPr>
          <w:rFonts w:hint="eastAsia" w:ascii="宋体" w:hAnsi="宋体" w:cs="Batang"/>
          <w:b/>
          <w:color w:val="auto"/>
          <w:sz w:val="36"/>
          <w:szCs w:val="36"/>
          <w:highlight w:val="none"/>
        </w:rPr>
        <w:t>安健环管理</w:t>
      </w:r>
      <w:r>
        <w:rPr>
          <w:rFonts w:hint="eastAsia" w:ascii="宋体" w:hAnsi="宋体" w:cs="宋体"/>
          <w:b/>
          <w:color w:val="auto"/>
          <w:sz w:val="36"/>
          <w:szCs w:val="36"/>
          <w:highlight w:val="none"/>
        </w:rPr>
        <w:t>协议</w:t>
      </w:r>
    </w:p>
    <w:p w14:paraId="55839F54">
      <w:pPr>
        <w:pStyle w:val="7"/>
        <w:outlineLvl w:val="9"/>
        <w:rPr>
          <w:color w:val="auto"/>
          <w:highlight w:val="none"/>
        </w:rPr>
      </w:pPr>
    </w:p>
    <w:p w14:paraId="3A398081">
      <w:pPr>
        <w:spacing w:line="360" w:lineRule="auto"/>
        <w:ind w:left="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b w:val="0"/>
          <w:bCs w:val="0"/>
          <w:color w:val="auto"/>
          <w:sz w:val="24"/>
          <w:szCs w:val="24"/>
          <w:highlight w:val="none"/>
          <w:u w:val="single"/>
        </w:rPr>
        <w:t>广州机场</w:t>
      </w:r>
      <w:r>
        <w:rPr>
          <w:rFonts w:hint="eastAsia" w:ascii="宋体" w:hAnsi="宋体" w:eastAsia="宋体" w:cs="宋体"/>
          <w:b w:val="0"/>
          <w:bCs w:val="0"/>
          <w:color w:val="auto"/>
          <w:sz w:val="24"/>
          <w:szCs w:val="24"/>
          <w:highlight w:val="none"/>
          <w:u w:val="single"/>
          <w:lang w:val="en-US" w:eastAsia="zh-CN"/>
        </w:rPr>
        <w:t>新能源</w:t>
      </w:r>
      <w:r>
        <w:rPr>
          <w:rFonts w:hint="eastAsia" w:ascii="宋体" w:hAnsi="宋体" w:eastAsia="宋体" w:cs="宋体"/>
          <w:b w:val="0"/>
          <w:bCs w:val="0"/>
          <w:color w:val="auto"/>
          <w:sz w:val="24"/>
          <w:szCs w:val="24"/>
          <w:highlight w:val="none"/>
          <w:u w:val="single"/>
        </w:rPr>
        <w:t>有限公司</w:t>
      </w:r>
    </w:p>
    <w:p w14:paraId="4D301FC7">
      <w:pPr>
        <w:spacing w:line="360" w:lineRule="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p>
    <w:p w14:paraId="7D0143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贯彻“安全第一、预防为主、综合治理”的安全生产方针，明确甲、乙双方的安全责任，保障施工安全和施工人员的安全与健康，根据《安全生产法》等法律法规和甲方建设工程安健环管理规定，经甲、乙双方共同协商，就</w:t>
      </w:r>
      <w:r>
        <w:rPr>
          <w:rFonts w:hint="eastAsia" w:ascii="宋体" w:hAnsi="宋体" w:eastAsia="宋体" w:cs="宋体"/>
          <w:color w:val="auto"/>
          <w:sz w:val="24"/>
          <w:szCs w:val="24"/>
          <w:highlight w:val="none"/>
          <w:u w:val="single"/>
          <w:lang w:eastAsia="zh"/>
        </w:rPr>
        <w:t>广州机场二期噪音安置区光充互联项目一期</w:t>
      </w:r>
      <w:r>
        <w:rPr>
          <w:rFonts w:hint="eastAsia" w:ascii="宋体" w:hAnsi="宋体" w:eastAsia="宋体" w:cs="宋体"/>
          <w:color w:val="auto"/>
          <w:sz w:val="24"/>
          <w:szCs w:val="24"/>
          <w:highlight w:val="none"/>
        </w:rPr>
        <w:t>项目达成如下协议，甲、乙双方必须共同遵守。</w:t>
      </w:r>
    </w:p>
    <w:p w14:paraId="0EE067F0">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一、安健环管理目标</w:t>
      </w:r>
    </w:p>
    <w:p w14:paraId="3670217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1.不发生人身死亡、责任性人身重伤及群伤事故，人身轻伤控制在 </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人次以下。</w:t>
      </w:r>
    </w:p>
    <w:p w14:paraId="04197B5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2.不发生一般及以上生产安全事故。</w:t>
      </w:r>
    </w:p>
    <w:p w14:paraId="7CFF7B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3.不发生火灾和环境污染事故。</w:t>
      </w:r>
    </w:p>
    <w:p w14:paraId="595F83A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4.不发生设备损坏事故。</w:t>
      </w:r>
    </w:p>
    <w:p w14:paraId="27A9094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5.不新增职业病例。</w:t>
      </w:r>
    </w:p>
    <w:p w14:paraId="4779359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6.满足甲方提出的现场安全文明施工要求。</w:t>
      </w:r>
    </w:p>
    <w:p w14:paraId="55658B6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7.不发生综治维稳等群体性事件。</w:t>
      </w:r>
    </w:p>
    <w:p w14:paraId="60DB90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8.在施工现场范围内不发生交通安全事故（件）。</w:t>
      </w:r>
    </w:p>
    <w:p w14:paraId="7AD40FC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9.不发生扰民及影响周边社会环境的事件。</w:t>
      </w:r>
    </w:p>
    <w:p w14:paraId="256C4A1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10.不发生因安全监管不到位导致的不安全事件</w:t>
      </w:r>
    </w:p>
    <w:p w14:paraId="62FBB900">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二、甲、乙双方安健环职责</w:t>
      </w:r>
    </w:p>
    <w:p w14:paraId="6502DCA5">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（一）甲方安健环职责</w:t>
      </w:r>
    </w:p>
    <w:p w14:paraId="52D80AD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审核乙方安全资质、乙方项目经理及特种作业人员资质、乙方安全管理机构和安全管理人员配备及资质；审核乙方施工人员健康体检报告，无职业禁忌方可入场施工；督促检查在场工作超过一年的施工人员每年至少进行一次健康体检，体检合格方可继续工作。</w:t>
      </w:r>
    </w:p>
    <w:p w14:paraId="68488AF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2.对乙方施工人员进行施工前安全教育或安全交底，如需进入甲方生产运营区域施工，应经考核合格后办理入场手续。</w:t>
      </w:r>
    </w:p>
    <w:p w14:paraId="7D66F30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3.审核乙方施工组织设计或施工方案中的安全保障措施符合安全施工要求；审核乙方入场的施工机械、工器具验收合格，符合安全要求；审核施工人员安全和职业健康保护用品配备符合规范要求，并正确使用。</w:t>
      </w:r>
    </w:p>
    <w:p w14:paraId="757E24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4.项目开工前，负责审核现场安全措施满足施工要求，按规定办理开工手续。 </w:t>
      </w:r>
    </w:p>
    <w:p w14:paraId="1E7E6D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5.负责组织同一区域交叉施工各承包方签订安全协议，明确各方安全职责和保障措施。 </w:t>
      </w:r>
    </w:p>
    <w:p w14:paraId="3B6F0BC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6.定期组织召开安全工作例会和安全专题会议，通报现场安全情况，协调解决安全问题。 </w:t>
      </w:r>
    </w:p>
    <w:p w14:paraId="6092883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7.组织施工现场安全检查，及时纠正违章；情节严重或未按期整改的，按照考核标准进行考核。 </w:t>
      </w:r>
    </w:p>
    <w:p w14:paraId="595942A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8.负责审核乙方高风险作业项目或专项施工方案中的安全保障措施满足施工要求。 </w:t>
      </w:r>
    </w:p>
    <w:p w14:paraId="7E873CD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9.审核乙方绿色施工安全防护措施费使用情况。</w:t>
      </w:r>
    </w:p>
    <w:p w14:paraId="67B2C5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11.负责向乙方项目经理、安全管理人员及工程技术人员进行安全技术交底，明确安全管理要求。</w:t>
      </w:r>
    </w:p>
    <w:p w14:paraId="10A72B4D">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（二）乙方安健环职责</w:t>
      </w:r>
    </w:p>
    <w:p w14:paraId="226558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项目经理是本项目安全第一责任人，全面负责本项目安健环管理工作，切实履行安健环职责。负责依规建立安全管理机构并配备专职安全管理人员，制定安全生产责任制度、应急预案、安全检查和隐患排查、安全教育培训等规章制度，并严格执行。</w:t>
      </w:r>
    </w:p>
    <w:p w14:paraId="6410705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入场施工人员进行三级安全教育，告知现场职业危害因素、危险点及防范措施，每天作业前进行安全技术交底，并做好记录；按规范为施工人员配备合格的劳动保护用品并督促正确使用；提供施工人员90天内有效的职业健康体检证明和工伤保险凭证，具有职业病危害因素岗位的施工人员应提供90天内有效的职业健康体检证明，禁止有职业禁忌人员进场施工；在场施工超过一年的，应每年至少进行一次健康或职业健康体检，并报甲方备案；不使用未成年工和不符合现场安全作业条件要求的施工人员。</w:t>
      </w:r>
    </w:p>
    <w:p w14:paraId="58E096E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取得甲方开工许可前，乙方禁止以任何理由进场施工；在甲方（或者项目场地业主方）生产运营区域施工应严格执行甲方（或者项目场地业主方）安全管理相关规定、工作票和操作票管理制度、建设工程施工安全监管方案。</w:t>
      </w:r>
    </w:p>
    <w:p w14:paraId="2BD3CB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照甲方总平面布置要求，规范施工现场定置管理，设置“五牌一图”（即：工程概况牌、管理人员名单及监督电话牌、消防保卫牌、安全生产牌、文明施工牌和施工现场平面图），制定安全文明施工保障措施并认真实施，确保施工场地规范有序。乙方在施工区域须完善各类安全管理标识，完善必要的间隔措施。否则造成的一切后果，由乙方负责。</w:t>
      </w:r>
    </w:p>
    <w:p w14:paraId="25D1465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5.遵守施工现场安全管理制度，按政府规定购买安全生产责任保险；在现场安全文明施工、环境保护等方面，甲方和监理提出的正确的整改意见，应及时落实整改措施并反馈整改完成情况。</w:t>
      </w:r>
    </w:p>
    <w:p w14:paraId="1F65C8E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6.特种作业人员必须持证上岗，特种设备必须检验合格，开工前将特种设备检验合格证和特种作业人员资质报甲方备案。</w:t>
      </w:r>
    </w:p>
    <w:p w14:paraId="4AE8C31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监督检查施工现场安全措施检验合格后方可使用，大型机械设备安装或拆除、大型脚手架、高支模、深基坑等高风险施工项目，应严格按照住建部相关规定，包括且不限于《危险性较大的分部分项工程安全管理规定》（</w:t>
      </w:r>
      <w:r>
        <w:rPr>
          <w:rStyle w:val="80"/>
          <w:rFonts w:hint="eastAsia" w:ascii="宋体" w:hAnsi="宋体" w:cs="宋体"/>
          <w:b w:val="0"/>
          <w:bCs w:val="0"/>
          <w:color w:val="auto"/>
          <w:sz w:val="24"/>
          <w:szCs w:val="24"/>
          <w:highlight w:val="none"/>
        </w:rPr>
        <w:t>住建部</w:t>
      </w:r>
      <w:r>
        <w:rPr>
          <w:rFonts w:hint="eastAsia" w:ascii="宋体" w:hAnsi="宋体" w:eastAsia="宋体" w:cs="宋体"/>
          <w:color w:val="auto"/>
          <w:sz w:val="24"/>
          <w:szCs w:val="24"/>
          <w:highlight w:val="none"/>
        </w:rPr>
        <w:t>〔2018〕</w:t>
      </w:r>
      <w:r>
        <w:rPr>
          <w:rStyle w:val="80"/>
          <w:rFonts w:hint="eastAsia" w:ascii="宋体" w:hAnsi="宋体" w:cs="宋体"/>
          <w:b w:val="0"/>
          <w:bCs w:val="0"/>
          <w:color w:val="auto"/>
          <w:sz w:val="24"/>
          <w:szCs w:val="24"/>
          <w:highlight w:val="none"/>
        </w:rPr>
        <w:t>37号令</w:t>
      </w:r>
      <w:r>
        <w:rPr>
          <w:rFonts w:hint="eastAsia" w:ascii="宋体" w:hAnsi="宋体" w:eastAsia="宋体" w:cs="宋体"/>
          <w:color w:val="auto"/>
          <w:sz w:val="24"/>
          <w:szCs w:val="24"/>
          <w:highlight w:val="none"/>
        </w:rPr>
        <w:t>）及《危险性较大的分部分项工程安全管理规定》（建办质〔2018〕</w:t>
      </w:r>
      <w:r>
        <w:rPr>
          <w:rStyle w:val="80"/>
          <w:rFonts w:hint="eastAsia" w:ascii="宋体" w:hAnsi="宋体" w:cs="宋体"/>
          <w:b w:val="0"/>
          <w:bCs w:val="0"/>
          <w:color w:val="auto"/>
          <w:sz w:val="24"/>
          <w:szCs w:val="24"/>
          <w:highlight w:val="none"/>
        </w:rPr>
        <w:t>31号文</w:t>
      </w:r>
      <w:r>
        <w:rPr>
          <w:rFonts w:hint="eastAsia" w:ascii="宋体" w:hAnsi="宋体" w:eastAsia="宋体" w:cs="宋体"/>
          <w:color w:val="auto"/>
          <w:sz w:val="24"/>
          <w:szCs w:val="24"/>
          <w:highlight w:val="none"/>
        </w:rPr>
        <w:t>）的相关要求，编制专项施工方案，经评审、签章后方可实施。</w:t>
      </w:r>
    </w:p>
    <w:p w14:paraId="116D80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8.每天安排专职或兼职安全管理人员对施工现场和施工人员进行安全监督和管理，认真落实各项安全保障措施和各级安全管理职责，做到“不安全不施工”。 </w:t>
      </w:r>
    </w:p>
    <w:p w14:paraId="25F6FB5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对施工现场每日进行安全检查和隐患排查，发现问题及时处理。存在人身伤害或严重影响施工安全的隐患，应立即停工整改；对施工安全影响较小，不能立即整改的隐患，按照隐患整改“五落实”的要求限期整改。施工材料设备或废料杂物严禁占用安全通道或未经许可占用主要通道。施工材料设备必须堆放整齐。人员离开作业现场时，应及时断开作业电源。施工结束，要清理所有施工废弃物，撤走施工人员，做好隔离、警示措施，做到“工完料尽场地清”。 </w:t>
      </w:r>
    </w:p>
    <w:p w14:paraId="6ADB3EB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10.杜绝违章指挥，及时对施工现场违章行为给予纠正和考核。</w:t>
      </w:r>
    </w:p>
    <w:p w14:paraId="0E5563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11.在施工过程中，存在交叉作业的要完善安全防护措施；与其他施工单位存在交叉作业的作业面，要签订安全协议，明确各自责任范围和具体安全防护措施。</w:t>
      </w:r>
    </w:p>
    <w:p w14:paraId="62CAD16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12.针对施工现场实际情况，制定应急处置方案并予以公布，明确应急管理职责和应急处置程序，并定期组织演练。</w:t>
      </w:r>
    </w:p>
    <w:p w14:paraId="349B13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乙方如确需对部分施工作业进行劳务分包，应严格对劳务分包单位进行安全资质审查，履行报批手续，报监理和甲方审核批准后，方可签订劳务分包合同和安全协议，明确安全责任，并将分包单位纳入乙方的安全管理责任范围。 </w:t>
      </w:r>
    </w:p>
    <w:p w14:paraId="357711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14.乙方必须按规定使用绿色施工安全防护措施费，不得挪用、虚开绿色施工安全防护措施费；因安全措施不到位导致不安全事件发生，造成的经济损失和工期延误等由乙方负全责。</w:t>
      </w:r>
    </w:p>
    <w:p w14:paraId="18D9921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15.施工过程中发生不安全事件或影响甲方正常生产经营的事件，应及时、如实向甲方报告。</w:t>
      </w:r>
    </w:p>
    <w:p w14:paraId="5DFA09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乙方必须接受甲方的监督、管理和指导。乙方对甲方提出的意见必须及时整改，并接受甲方安全管理部门和工程技术管理部门的监督。发生人身事故或危及生产运行的不安全情况或人身安全受到威胁，乙方有责任立即处理并立即报告甲方和场地业主方。杜绝违章指挥，及时对施工现场违章行为给予纠正和考核。</w:t>
      </w:r>
    </w:p>
    <w:p w14:paraId="0EE1FA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17.乙方要根据季节变化，采取相应的安全防范措施，如防台、防汛、防雷、防暑降温、防火、防潮防静电、防小动物等，并加强建设工程的安健环管理，确保建设工程不发生安全事件和安全事故。</w:t>
      </w:r>
    </w:p>
    <w:p w14:paraId="08AC683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18.不能乱砍树，砍树需要先办理报批手续。</w:t>
      </w:r>
    </w:p>
    <w:p w14:paraId="0089CA4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高空作业及临空边缘（距离边缘不足1.5米）作业时必须使用双扣安全带，禁止将工具及杂物向下投掷，禁止违规踩踏设备设施，注意保持作业区域各种警示牌的原有状态。同时注意做好屋面排水系统的畅通。尽量避免在照明不足如晚上时段进行作业，若要晚上作业须保证有充足照明，且工作票上必须要注明和落实好相应的安全措施。</w:t>
      </w:r>
    </w:p>
    <w:p w14:paraId="747EEB9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21.现场垃圾、废料必须实行定点分类回收，不得向指定的垃圾、废料回收区域外排放废水、废料，因乙方工作造成的环境污染损失由乙方负全部责任。</w:t>
      </w:r>
    </w:p>
    <w:p w14:paraId="7675D62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在现场工作中，必须严格执行甲方及场地方业主方安全、文明生产（施工）、治安保卫等规定的有关要求。进入生产区域内施工，必须遵守业主的门卫安检登记和交通管理等制度。乙方进场施工所带来的车辆、物资、工具、物品，均须在门岗登记，需带出时，须凭入门登记，经检查核对后方能带出。施工期间，乙方人员不得随意进入非施工场地（施工中必须通过的场地通道除外），同时不能碰触现场生产设备或按钮等。</w:t>
      </w:r>
    </w:p>
    <w:p w14:paraId="79996A9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23.严禁在雷雨大风的气象条件下从事户外高空作业及吊装作业。</w:t>
      </w:r>
    </w:p>
    <w:p w14:paraId="3441B61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乙方应在甲方指定的地方取用施工电源、水源，严禁不经甲方同意，私自驳接电源和水源。作业用电动工器具必须符合有关电气安全规定要求并经检验合格，施工照明用电必须符合安全电压等级，做好绝缘措施。发现有人触电，应立即切断电源，使触电人脱离电源，并进行急救；遇有电气设备着火时，应立即将有关设备的电源切断，然后进行救火，并及时通知现场管理人员或110、119电话报警。</w:t>
      </w:r>
    </w:p>
    <w:p w14:paraId="295F851D">
      <w:pPr>
        <w:spacing w:line="400" w:lineRule="exact"/>
        <w:ind w:firstLine="482" w:firstLineChars="200"/>
        <w:rPr>
          <w:rFonts w:hint="eastAsia" w:ascii="宋体" w:hAnsi="宋体" w:eastAsia="宋体" w:cs="宋体"/>
          <w:b/>
          <w:i/>
          <w:color w:val="auto"/>
          <w:sz w:val="24"/>
          <w:szCs w:val="24"/>
          <w:highlight w:val="none"/>
          <w:shd w:val="pct10" w:color="auto" w:fill="FFFFFF"/>
        </w:rPr>
      </w:pPr>
      <w:r>
        <w:rPr>
          <w:rFonts w:hint="eastAsia" w:ascii="宋体" w:hAnsi="宋体" w:eastAsia="宋体" w:cs="宋体"/>
          <w:b/>
          <w:color w:val="auto"/>
          <w:kern w:val="0"/>
          <w:sz w:val="24"/>
          <w:szCs w:val="24"/>
          <w:highlight w:val="none"/>
        </w:rPr>
        <w:t>三、安全生产费用的提取和使用</w:t>
      </w:r>
    </w:p>
    <w:p w14:paraId="7E06693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（一）安全生产费用包括绿色施工安全防护措施费和安全文明施工保障金，在甲方支付首笔工程款时全额提取，确保专款专用。</w:t>
      </w:r>
    </w:p>
    <w:p w14:paraId="7A67C8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（二）绿色施工安全防护措施费提取和使用</w:t>
      </w:r>
    </w:p>
    <w:p w14:paraId="78B1EA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1.绿色施工安全防护措施费按照《企业安全生产费用提取和使用管理办法》和《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》相关规定，以该项目建筑安装工程造价为依据，提取</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none"/>
          <w:lang w:eastAsia="zh"/>
        </w:rPr>
        <w:t>元</w:t>
      </w:r>
      <w:r>
        <w:rPr>
          <w:rFonts w:hint="eastAsia" w:ascii="宋体" w:hAnsi="宋体" w:eastAsia="宋体" w:cs="宋体"/>
          <w:color w:val="auto"/>
          <w:sz w:val="24"/>
          <w:szCs w:val="24"/>
          <w:highlight w:val="none"/>
        </w:rPr>
        <w:t>】作为绿色施工安全防护措施费。使用范围如下：</w:t>
      </w:r>
    </w:p>
    <w:p w14:paraId="7CD425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完善、改造和维护安全防护设施设备支出（不含“三同时”要求初期投入的安全设施），包括施工现场临时用电系统、洞口、临边、机械设备、高处作业防护、交叉作业防护、防火、防爆、防尘、防毒、防雷、防台风、防地质灾害、地下工程有害气体监测、通风、临时安全防护等设施设备支出。</w:t>
      </w:r>
    </w:p>
    <w:p w14:paraId="67089DB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（2）配备、维护、保养应急救援器材、设备支出和应急演练支出。</w:t>
      </w:r>
    </w:p>
    <w:p w14:paraId="6EA91F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（3）开展重大危险源和事故隐患评估、监控和整改支出。</w:t>
      </w:r>
    </w:p>
    <w:p w14:paraId="132B3BB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（4）安全生产检查、评价（不包括新建、改建、扩建项目安全评价）、咨询和标准化建设支出。</w:t>
      </w:r>
    </w:p>
    <w:p w14:paraId="72CD8CB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（5）配备和更新现场作业人员安全防护用品支出。 </w:t>
      </w:r>
    </w:p>
    <w:p w14:paraId="4ECA33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（6）安全生产宣传、教育、培训支出。</w:t>
      </w:r>
    </w:p>
    <w:p w14:paraId="05D2608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（7）安全生产适用的新技术、新标准、新工艺、新装备的推广应用支出。</w:t>
      </w:r>
    </w:p>
    <w:p w14:paraId="72FC3E0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（8）安全设施及特种设备检测检验支出。</w:t>
      </w:r>
    </w:p>
    <w:p w14:paraId="689057A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（9）其他与安全生产直接相关的支出。</w:t>
      </w:r>
    </w:p>
    <w:p w14:paraId="7DF2B51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2.乙方编制分阶段绿色施工安全防护措施费用计划，经监理审核后，甲方预付绿色施工安全防护措施费总额的</w:t>
      </w:r>
      <w:r>
        <w:rPr>
          <w:rFonts w:hint="eastAsia" w:ascii="宋体" w:hAnsi="宋体" w:eastAsia="宋体" w:cs="宋体"/>
          <w:color w:val="auto"/>
          <w:sz w:val="24"/>
          <w:szCs w:val="24"/>
          <w:highlight w:val="none"/>
          <w:u w:val="single"/>
        </w:rPr>
        <w:t>50</w:t>
      </w:r>
      <w:r>
        <w:rPr>
          <w:rFonts w:hint="eastAsia" w:ascii="宋体" w:hAnsi="宋体" w:eastAsia="宋体" w:cs="宋体"/>
          <w:color w:val="auto"/>
          <w:sz w:val="24"/>
          <w:szCs w:val="24"/>
          <w:highlight w:val="none"/>
        </w:rPr>
        <w:t>%用于安全措施投入，其余费用按照工程进展情况以及甲、乙、监理三方共同核定的安全措施落实情况分阶段支付。</w:t>
      </w:r>
    </w:p>
    <w:p w14:paraId="6D6021C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按规定用于安全文明施工措施等相关支出，不得挤占、挪用、欠用，有关使用情况应接受监理和甲方的监督。如果乙方未按照施工方案落实工程安全防护措施，甲方或监理单位可向乙方发出书面通知，要求乙方在规定时间内落实，在规定时间内仍不落实的，甲方或监理单位有权委托第三方实施全部或部分安全防护措施，所产生的费用由乙方承担。</w:t>
      </w:r>
    </w:p>
    <w:p w14:paraId="1559245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取的绿色施工安全防护措施费不足时，不足部分在合同价款中列支；绿色施工安全防护措施费未足额使用，结余部分用于该项目质保期内或需要在后期实施的安全技术改造、完善、升级或隐患整改，不再支付给施工单位。</w:t>
      </w:r>
    </w:p>
    <w:p w14:paraId="1D3565B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（三）安全文明施工保障金的提取和使用</w:t>
      </w:r>
    </w:p>
    <w:p w14:paraId="2EAB39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1.安全文明施工保障金用于施工期间安全考核、安全生产事故救援抢险及善后处理、行政处罚等费用支出。提取标准为合同总价的【</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提取标准：合同总价30万元至300万元按2%提取，300万元至1000万元按1.5%提取，1000万元至5000万元按1%提取，5000万元以上按0.8%提取，提取金额最高不超过100万元。设备采购和生产咨询服务类等不在生产现场进行施工的项目无需提取。合同总价30万元以下的项目，建设单位可根据项目安全实际情况决定是否提取安全文明施工保障金。）</w:t>
      </w:r>
    </w:p>
    <w:p w14:paraId="2203540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施工期间发生下列情况之一，</w:t>
      </w:r>
      <w:r>
        <w:rPr>
          <w:rFonts w:hint="eastAsia" w:ascii="宋体" w:hAnsi="宋体" w:eastAsia="宋体" w:cs="宋体"/>
          <w:color w:val="auto"/>
          <w:kern w:val="0"/>
          <w:sz w:val="24"/>
          <w:szCs w:val="24"/>
          <w:highlight w:val="none"/>
        </w:rPr>
        <w:t>可</w:t>
      </w:r>
      <w:r>
        <w:rPr>
          <w:rFonts w:hint="eastAsia" w:ascii="宋体" w:hAnsi="宋体" w:eastAsia="宋体" w:cs="宋体"/>
          <w:color w:val="auto"/>
          <w:sz w:val="24"/>
          <w:szCs w:val="24"/>
          <w:highlight w:val="none"/>
        </w:rPr>
        <w:t>在安全文明施工保障金中支付相关费用：</w:t>
      </w:r>
    </w:p>
    <w:p w14:paraId="7E1F497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（1）乙方发生人身伤亡事故或其它安全生产事故后，不采取有效处置措施并支付费用的。</w:t>
      </w:r>
    </w:p>
    <w:p w14:paraId="704C3D1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（2）乙方受到政府部门行政处罚未及时处理的。</w:t>
      </w:r>
    </w:p>
    <w:p w14:paraId="44E0413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（3）甲方或监理单位对乙方进行安全考核的。</w:t>
      </w:r>
    </w:p>
    <w:p w14:paraId="42F74C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如果安全文明施工保障金剩余金额低于应提取金额50%，甲方在支付下一次工程进度款时补足相应数额。</w:t>
      </w:r>
    </w:p>
    <w:p w14:paraId="6D54A43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完工后，乙方凭甲方安健环管理部门确认的考核结果办理安全文明施工保障金返还手续。如果发生的安全责任事故、行政处罚或安全考核都已处理完成，则将剩余的保障金返还给乙方，否则甲方拒绝支付安全文明施工保障金。</w:t>
      </w:r>
    </w:p>
    <w:p w14:paraId="17FD4291">
      <w:pPr>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四、安全考核和奖励细则</w:t>
      </w:r>
    </w:p>
    <w:p w14:paraId="2B91AFAE">
      <w:pPr>
        <w:spacing w:line="400" w:lineRule="exact"/>
        <w:ind w:firstLine="360" w:firstLineChars="1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（一）考核细则</w:t>
      </w:r>
    </w:p>
    <w:p w14:paraId="5B76E0F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1.同一外委施工人员第一次违章按考核标准进行考核；第二次违章除按考核标准进行考核外，违章人员停工1天进行安全学习；第三次违章将禁止入场施工。</w:t>
      </w:r>
    </w:p>
    <w:p w14:paraId="34CFB1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2.出现下列情况之一，甲方对乙方按照合同相关考核条款进行考核：</w:t>
      </w:r>
    </w:p>
    <w:p w14:paraId="2C1EC2C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（1）乙方累计违章次数达到在场施工人数5%。</w:t>
      </w:r>
    </w:p>
    <w:p w14:paraId="4D7D23D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（2）乙方同一次违章人数超过3人。</w:t>
      </w:r>
    </w:p>
    <w:p w14:paraId="3FE0580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（3）乙方发生负有责任的人身伤害、火灾、环境污染或设备损坏等不安全事件。</w:t>
      </w:r>
    </w:p>
    <w:p w14:paraId="43FE872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（4）乙方因未履行安全管理职责而导致施工人员违章的。</w:t>
      </w:r>
    </w:p>
    <w:p w14:paraId="55B91EA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（5）甲方或监理单位提出的合理的整改建议未在规定期限内落实整改措施的。</w:t>
      </w:r>
    </w:p>
    <w:p w14:paraId="2BD3E3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违章次数达到施工总人数10%，情节严重且现场安全形势不可控的，由甲方安健环管理部门组织乙方全体施工人员安全学习半天；以后违章次数每增加5%，再次由甲方安健环管理部门组织乙方全体施工人员安全学习半天。</w:t>
      </w:r>
    </w:p>
    <w:p w14:paraId="279FAEC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4.实行工程总承包的建设项目，现场违章次数达到施工总人数10%，情节严重且现场安全形势不可控的，总承包单位组织所有施工人员集体停工学习半天，并将学习情况向甲方报告。</w:t>
      </w:r>
    </w:p>
    <w:p w14:paraId="5526B90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5.考核条款（不限于）：</w:t>
      </w:r>
    </w:p>
    <w:p w14:paraId="4C2476B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（1）乙方项目负责人施工期间不在施工现场，且没有指定能胜任的人代替履行职责的，考核</w:t>
      </w:r>
      <w:r>
        <w:rPr>
          <w:rFonts w:hint="eastAsia" w:ascii="宋体" w:hAnsi="宋体" w:eastAsia="宋体" w:cs="宋体"/>
          <w:color w:val="auto"/>
          <w:sz w:val="24"/>
          <w:szCs w:val="24"/>
          <w:highlight w:val="none"/>
          <w:u w:val="single"/>
        </w:rPr>
        <w:t xml:space="preserve">500 </w:t>
      </w:r>
      <w:r>
        <w:rPr>
          <w:rFonts w:hint="eastAsia" w:ascii="宋体" w:hAnsi="宋体" w:eastAsia="宋体" w:cs="宋体"/>
          <w:color w:val="auto"/>
          <w:sz w:val="24"/>
          <w:szCs w:val="24"/>
          <w:highlight w:val="none"/>
        </w:rPr>
        <w:t>元/天。</w:t>
      </w:r>
    </w:p>
    <w:p w14:paraId="5EA9DB6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（2）未经三级安全教育培训考试合格进入施工现场施工作业的，考核</w:t>
      </w:r>
      <w:r>
        <w:rPr>
          <w:rFonts w:hint="eastAsia" w:ascii="宋体" w:hAnsi="宋体" w:eastAsia="宋体" w:cs="宋体"/>
          <w:color w:val="auto"/>
          <w:sz w:val="24"/>
          <w:szCs w:val="24"/>
          <w:highlight w:val="none"/>
          <w:u w:val="single"/>
        </w:rPr>
        <w:t>100</w:t>
      </w:r>
      <w:r>
        <w:rPr>
          <w:rFonts w:hint="eastAsia" w:ascii="宋体" w:hAnsi="宋体" w:eastAsia="宋体" w:cs="宋体"/>
          <w:color w:val="auto"/>
          <w:sz w:val="24"/>
          <w:szCs w:val="24"/>
          <w:highlight w:val="none"/>
        </w:rPr>
        <w:t>元/人。</w:t>
      </w:r>
    </w:p>
    <w:p w14:paraId="784B937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（3）乙方施工前没有对施工人员进行安全交底和技术交底的，或者没有相应的签名记录的，考核</w:t>
      </w:r>
      <w:r>
        <w:rPr>
          <w:rFonts w:hint="eastAsia" w:ascii="宋体" w:hAnsi="宋体" w:eastAsia="宋体" w:cs="宋体"/>
          <w:color w:val="auto"/>
          <w:sz w:val="24"/>
          <w:szCs w:val="24"/>
          <w:highlight w:val="none"/>
          <w:u w:val="single"/>
        </w:rPr>
        <w:t xml:space="preserve">100 </w:t>
      </w:r>
      <w:r>
        <w:rPr>
          <w:rFonts w:hint="eastAsia" w:ascii="宋体" w:hAnsi="宋体" w:eastAsia="宋体" w:cs="宋体"/>
          <w:color w:val="auto"/>
          <w:sz w:val="24"/>
          <w:szCs w:val="24"/>
          <w:highlight w:val="none"/>
        </w:rPr>
        <w:t>元/人。</w:t>
      </w:r>
    </w:p>
    <w:p w14:paraId="0F3FF49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（4）乙方对施工人员违章行为没有立即制止和纠正的，考核</w:t>
      </w:r>
      <w:r>
        <w:rPr>
          <w:rFonts w:hint="eastAsia" w:ascii="宋体" w:hAnsi="宋体" w:eastAsia="宋体" w:cs="宋体"/>
          <w:color w:val="auto"/>
          <w:sz w:val="24"/>
          <w:szCs w:val="24"/>
          <w:highlight w:val="none"/>
          <w:u w:val="single"/>
        </w:rPr>
        <w:t xml:space="preserve"> 500 </w:t>
      </w:r>
      <w:r>
        <w:rPr>
          <w:rFonts w:hint="eastAsia" w:ascii="宋体" w:hAnsi="宋体" w:eastAsia="宋体" w:cs="宋体"/>
          <w:color w:val="auto"/>
          <w:sz w:val="24"/>
          <w:szCs w:val="24"/>
          <w:highlight w:val="none"/>
        </w:rPr>
        <w:t>元。</w:t>
      </w:r>
    </w:p>
    <w:p w14:paraId="54DFEB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（5）乙方没有办理开工手续就开始施工的，考核</w:t>
      </w:r>
      <w:r>
        <w:rPr>
          <w:rFonts w:hint="eastAsia" w:ascii="宋体" w:hAnsi="宋体" w:eastAsia="宋体" w:cs="宋体"/>
          <w:color w:val="auto"/>
          <w:sz w:val="24"/>
          <w:szCs w:val="24"/>
          <w:highlight w:val="none"/>
          <w:u w:val="single"/>
        </w:rPr>
        <w:t xml:space="preserve"> 500 </w:t>
      </w:r>
      <w:r>
        <w:rPr>
          <w:rFonts w:hint="eastAsia" w:ascii="宋体" w:hAnsi="宋体" w:eastAsia="宋体" w:cs="宋体"/>
          <w:color w:val="auto"/>
          <w:sz w:val="24"/>
          <w:szCs w:val="24"/>
          <w:highlight w:val="none"/>
        </w:rPr>
        <w:t>元。</w:t>
      </w:r>
    </w:p>
    <w:p w14:paraId="5BDEB1C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（6）乙方发现重大安全隐患没有立即采取安全防范措施，并及时向甲方或监理报告的，考核500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04FD6E2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（7）监理或甲方安全管理人员提出的正确合理的整改意见在规定期限内没有落实整改措施的，考核</w:t>
      </w:r>
      <w:r>
        <w:rPr>
          <w:rFonts w:hint="eastAsia" w:ascii="宋体" w:hAnsi="宋体" w:eastAsia="宋体" w:cs="宋体"/>
          <w:color w:val="auto"/>
          <w:sz w:val="24"/>
          <w:szCs w:val="24"/>
          <w:highlight w:val="none"/>
          <w:u w:val="single"/>
        </w:rPr>
        <w:t xml:space="preserve"> 1000 元</w:t>
      </w:r>
      <w:r>
        <w:rPr>
          <w:rFonts w:hint="eastAsia" w:ascii="宋体" w:hAnsi="宋体" w:eastAsia="宋体" w:cs="宋体"/>
          <w:color w:val="auto"/>
          <w:sz w:val="24"/>
          <w:szCs w:val="24"/>
          <w:highlight w:val="none"/>
        </w:rPr>
        <w:t>。</w:t>
      </w:r>
    </w:p>
    <w:p w14:paraId="515AC32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（8）作业现场在禁止吸烟区吸烟，考核</w:t>
      </w:r>
      <w:r>
        <w:rPr>
          <w:rFonts w:hint="eastAsia" w:ascii="宋体" w:hAnsi="宋体" w:eastAsia="宋体" w:cs="宋体"/>
          <w:color w:val="auto"/>
          <w:sz w:val="24"/>
          <w:szCs w:val="24"/>
          <w:highlight w:val="none"/>
          <w:u w:val="single"/>
        </w:rPr>
        <w:t xml:space="preserve"> 100 </w:t>
      </w:r>
      <w:r>
        <w:rPr>
          <w:rFonts w:hint="eastAsia" w:ascii="宋体" w:hAnsi="宋体" w:eastAsia="宋体" w:cs="宋体"/>
          <w:color w:val="auto"/>
          <w:sz w:val="24"/>
          <w:szCs w:val="24"/>
          <w:highlight w:val="none"/>
        </w:rPr>
        <w:t>元/人次。</w:t>
      </w:r>
    </w:p>
    <w:p w14:paraId="04C591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（9）从事特种作业的人员（如电工、焊工、起重等）无相应的资质，考核_</w:t>
      </w:r>
      <w:r>
        <w:rPr>
          <w:rFonts w:hint="eastAsia" w:ascii="宋体" w:hAnsi="宋体" w:eastAsia="宋体" w:cs="宋体"/>
          <w:color w:val="auto"/>
          <w:sz w:val="24"/>
          <w:szCs w:val="24"/>
          <w:highlight w:val="none"/>
          <w:u w:val="single"/>
        </w:rPr>
        <w:t>200</w:t>
      </w:r>
      <w:r>
        <w:rPr>
          <w:rFonts w:hint="eastAsia" w:ascii="宋体" w:hAnsi="宋体" w:eastAsia="宋体" w:cs="宋体"/>
          <w:color w:val="auto"/>
          <w:sz w:val="24"/>
          <w:szCs w:val="24"/>
          <w:highlight w:val="none"/>
        </w:rPr>
        <w:t>元/人次。</w:t>
      </w:r>
    </w:p>
    <w:p w14:paraId="25F1DDD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（10）在起重吊物下行走或站立、起吊作业未围蔽作业区域、吊物捆扎或吊装方法不当、在吊物上堆放或悬挂零星物件，考核 </w:t>
      </w:r>
      <w:r>
        <w:rPr>
          <w:rFonts w:hint="eastAsia" w:ascii="宋体" w:hAnsi="宋体" w:eastAsia="宋体" w:cs="宋体"/>
          <w:color w:val="auto"/>
          <w:sz w:val="24"/>
          <w:szCs w:val="24"/>
          <w:highlight w:val="none"/>
          <w:u w:val="single"/>
        </w:rPr>
        <w:t xml:space="preserve">200 </w:t>
      </w:r>
      <w:r>
        <w:rPr>
          <w:rFonts w:hint="eastAsia" w:ascii="宋体" w:hAnsi="宋体" w:eastAsia="宋体" w:cs="宋体"/>
          <w:color w:val="auto"/>
          <w:sz w:val="24"/>
          <w:szCs w:val="24"/>
          <w:highlight w:val="none"/>
        </w:rPr>
        <w:t>元/人次。</w:t>
      </w:r>
    </w:p>
    <w:p w14:paraId="32AAA8A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（11）进入生产施工现场不按规定正确佩戴安全帽或工作人员在工作中不按规定正确着装（如赤裸上身、穿拖鞋等），考核</w:t>
      </w:r>
      <w:r>
        <w:rPr>
          <w:rFonts w:hint="eastAsia" w:ascii="宋体" w:hAnsi="宋体" w:eastAsia="宋体" w:cs="宋体"/>
          <w:color w:val="auto"/>
          <w:sz w:val="24"/>
          <w:szCs w:val="24"/>
          <w:highlight w:val="none"/>
          <w:u w:val="single"/>
        </w:rPr>
        <w:t xml:space="preserve"> 100 </w:t>
      </w:r>
      <w:r>
        <w:rPr>
          <w:rFonts w:hint="eastAsia" w:ascii="宋体" w:hAnsi="宋体" w:eastAsia="宋体" w:cs="宋体"/>
          <w:color w:val="auto"/>
          <w:sz w:val="24"/>
          <w:szCs w:val="24"/>
          <w:highlight w:val="none"/>
        </w:rPr>
        <w:t>元/人次。</w:t>
      </w:r>
    </w:p>
    <w:p w14:paraId="1418EEA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（12）在带电设备附近进行起吊作业安全距离不够、在带电设备附近进行起吊作业无监护人，考核</w:t>
      </w:r>
      <w:r>
        <w:rPr>
          <w:rFonts w:hint="eastAsia" w:ascii="宋体" w:hAnsi="宋体" w:eastAsia="宋体" w:cs="宋体"/>
          <w:color w:val="auto"/>
          <w:sz w:val="24"/>
          <w:szCs w:val="24"/>
          <w:highlight w:val="none"/>
          <w:u w:val="single"/>
        </w:rPr>
        <w:t xml:space="preserve"> 500 </w:t>
      </w:r>
      <w:r>
        <w:rPr>
          <w:rFonts w:hint="eastAsia" w:ascii="宋体" w:hAnsi="宋体" w:eastAsia="宋体" w:cs="宋体"/>
          <w:color w:val="auto"/>
          <w:sz w:val="24"/>
          <w:szCs w:val="24"/>
          <w:highlight w:val="none"/>
        </w:rPr>
        <w:t>元。</w:t>
      </w:r>
    </w:p>
    <w:p w14:paraId="4A0272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（13）被责令暂停施工、停止使用有关设备设施或场所，不听劝阻强行或私自进行施工作业的，考核 </w:t>
      </w:r>
      <w:r>
        <w:rPr>
          <w:rFonts w:hint="eastAsia" w:ascii="宋体" w:hAnsi="宋体" w:eastAsia="宋体" w:cs="宋体"/>
          <w:color w:val="auto"/>
          <w:sz w:val="24"/>
          <w:szCs w:val="24"/>
          <w:highlight w:val="none"/>
          <w:u w:val="single"/>
        </w:rPr>
        <w:t>1000</w:t>
      </w:r>
      <w:r>
        <w:rPr>
          <w:rFonts w:hint="eastAsia" w:ascii="宋体" w:hAnsi="宋体" w:eastAsia="宋体" w:cs="宋体"/>
          <w:color w:val="auto"/>
          <w:sz w:val="24"/>
          <w:szCs w:val="24"/>
          <w:highlight w:val="none"/>
        </w:rPr>
        <w:t xml:space="preserve"> 元/次。</w:t>
      </w:r>
    </w:p>
    <w:p w14:paraId="29B094E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（14）在电缆沟、隧道、夹层或金属容器内工作无监护人，考核</w:t>
      </w:r>
      <w:r>
        <w:rPr>
          <w:rFonts w:hint="eastAsia" w:ascii="宋体" w:hAnsi="宋体" w:eastAsia="宋体" w:cs="宋体"/>
          <w:color w:val="auto"/>
          <w:sz w:val="24"/>
          <w:szCs w:val="24"/>
          <w:highlight w:val="none"/>
          <w:u w:val="single"/>
        </w:rPr>
        <w:t xml:space="preserve"> 300 </w:t>
      </w:r>
      <w:r>
        <w:rPr>
          <w:rFonts w:hint="eastAsia" w:ascii="宋体" w:hAnsi="宋体" w:eastAsia="宋体" w:cs="宋体"/>
          <w:color w:val="auto"/>
          <w:sz w:val="24"/>
          <w:szCs w:val="24"/>
          <w:highlight w:val="none"/>
        </w:rPr>
        <w:t>元。</w:t>
      </w:r>
    </w:p>
    <w:p w14:paraId="583740C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（15）开展有限空间作业前未进行通风和气体检测，考核 </w:t>
      </w:r>
      <w:r>
        <w:rPr>
          <w:rFonts w:hint="eastAsia" w:ascii="宋体" w:hAnsi="宋体" w:eastAsia="宋体" w:cs="宋体"/>
          <w:color w:val="auto"/>
          <w:sz w:val="24"/>
          <w:szCs w:val="24"/>
          <w:highlight w:val="none"/>
          <w:u w:val="single"/>
        </w:rPr>
        <w:t xml:space="preserve"> 500 </w:t>
      </w:r>
      <w:r>
        <w:rPr>
          <w:rFonts w:hint="eastAsia" w:ascii="宋体" w:hAnsi="宋体" w:eastAsia="宋体" w:cs="宋体"/>
          <w:color w:val="auto"/>
          <w:sz w:val="24"/>
          <w:szCs w:val="24"/>
          <w:highlight w:val="none"/>
        </w:rPr>
        <w:t>元/次。</w:t>
      </w:r>
    </w:p>
    <w:p w14:paraId="02149EF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（16）各种孔洞盖板掀开后未装设遮栏、警告标志，考核</w:t>
      </w:r>
      <w:r>
        <w:rPr>
          <w:rFonts w:hint="eastAsia" w:ascii="宋体" w:hAnsi="宋体" w:eastAsia="宋体" w:cs="宋体"/>
          <w:color w:val="auto"/>
          <w:sz w:val="24"/>
          <w:szCs w:val="24"/>
          <w:highlight w:val="none"/>
          <w:u w:val="single"/>
        </w:rPr>
        <w:t xml:space="preserve"> 300 </w:t>
      </w:r>
      <w:r>
        <w:rPr>
          <w:rFonts w:hint="eastAsia" w:ascii="宋体" w:hAnsi="宋体" w:eastAsia="宋体" w:cs="宋体"/>
          <w:color w:val="auto"/>
          <w:sz w:val="24"/>
          <w:szCs w:val="24"/>
          <w:highlight w:val="none"/>
        </w:rPr>
        <w:t>元/次。</w:t>
      </w:r>
    </w:p>
    <w:p w14:paraId="41E1745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（17）使用的电动工具金属外壳不接地或不装漏电保护器，或使用中不戴绝缘手套，或使用电动工具戴棉纱手套，考核</w:t>
      </w:r>
      <w:r>
        <w:rPr>
          <w:rFonts w:hint="eastAsia" w:ascii="宋体" w:hAnsi="宋体" w:eastAsia="宋体" w:cs="宋体"/>
          <w:color w:val="auto"/>
          <w:sz w:val="24"/>
          <w:szCs w:val="24"/>
          <w:highlight w:val="none"/>
          <w:u w:val="single"/>
        </w:rPr>
        <w:t xml:space="preserve"> 200 </w:t>
      </w:r>
      <w:r>
        <w:rPr>
          <w:rFonts w:hint="eastAsia" w:ascii="宋体" w:hAnsi="宋体" w:eastAsia="宋体" w:cs="宋体"/>
          <w:color w:val="auto"/>
          <w:sz w:val="24"/>
          <w:szCs w:val="24"/>
          <w:highlight w:val="none"/>
        </w:rPr>
        <w:t>元。</w:t>
      </w:r>
    </w:p>
    <w:p w14:paraId="109AC6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（18）发电设备（含组件）没有按照厂家对设备组件的搬运、卸货、安装等技术交底或说明书要求的，考核 </w:t>
      </w:r>
      <w:r>
        <w:rPr>
          <w:rFonts w:hint="eastAsia" w:ascii="宋体" w:hAnsi="宋体" w:eastAsia="宋体" w:cs="宋体"/>
          <w:color w:val="auto"/>
          <w:sz w:val="24"/>
          <w:szCs w:val="24"/>
          <w:highlight w:val="none"/>
          <w:u w:val="single"/>
        </w:rPr>
        <w:t xml:space="preserve"> 200 </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xml:space="preserve"> 1000 </w:t>
      </w:r>
      <w:r>
        <w:rPr>
          <w:rFonts w:hint="eastAsia" w:ascii="宋体" w:hAnsi="宋体" w:eastAsia="宋体" w:cs="宋体"/>
          <w:color w:val="auto"/>
          <w:sz w:val="24"/>
          <w:szCs w:val="24"/>
          <w:highlight w:val="none"/>
        </w:rPr>
        <w:t>元/人次；若造成设备组件损坏则按照合同要求赔偿。</w:t>
      </w:r>
    </w:p>
    <w:p w14:paraId="28D305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（19）焊接工作用的气瓶与明火距离小于安全规定距离，考核</w:t>
      </w:r>
      <w:r>
        <w:rPr>
          <w:rFonts w:hint="eastAsia" w:ascii="宋体" w:hAnsi="宋体" w:eastAsia="宋体" w:cs="宋体"/>
          <w:color w:val="auto"/>
          <w:sz w:val="24"/>
          <w:szCs w:val="24"/>
          <w:highlight w:val="none"/>
          <w:u w:val="single"/>
        </w:rPr>
        <w:t xml:space="preserve"> 500 </w:t>
      </w:r>
      <w:r>
        <w:rPr>
          <w:rFonts w:hint="eastAsia" w:ascii="宋体" w:hAnsi="宋体" w:eastAsia="宋体" w:cs="宋体"/>
          <w:color w:val="auto"/>
          <w:sz w:val="24"/>
          <w:szCs w:val="24"/>
          <w:highlight w:val="none"/>
        </w:rPr>
        <w:t>元。</w:t>
      </w:r>
    </w:p>
    <w:p w14:paraId="39FBF23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（20）焊接、切割工作前，未清理周围的易燃物，工作后未检查、清理现场遗留物，考核</w:t>
      </w:r>
      <w:r>
        <w:rPr>
          <w:rFonts w:hint="eastAsia" w:ascii="宋体" w:hAnsi="宋体" w:eastAsia="宋体" w:cs="宋体"/>
          <w:color w:val="auto"/>
          <w:sz w:val="24"/>
          <w:szCs w:val="24"/>
          <w:highlight w:val="none"/>
          <w:u w:val="single"/>
        </w:rPr>
        <w:t xml:space="preserve"> 300 </w:t>
      </w:r>
      <w:r>
        <w:rPr>
          <w:rFonts w:hint="eastAsia" w:ascii="宋体" w:hAnsi="宋体" w:eastAsia="宋体" w:cs="宋体"/>
          <w:color w:val="auto"/>
          <w:sz w:val="24"/>
          <w:szCs w:val="24"/>
          <w:highlight w:val="none"/>
        </w:rPr>
        <w:t>元。</w:t>
      </w:r>
    </w:p>
    <w:p w14:paraId="0EBED0E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（21）焊接工作用的气瓶超期未检，考核</w:t>
      </w:r>
      <w:r>
        <w:rPr>
          <w:rFonts w:hint="eastAsia" w:ascii="宋体" w:hAnsi="宋体" w:eastAsia="宋体" w:cs="宋体"/>
          <w:color w:val="auto"/>
          <w:sz w:val="24"/>
          <w:szCs w:val="24"/>
          <w:highlight w:val="none"/>
          <w:u w:val="single"/>
        </w:rPr>
        <w:t xml:space="preserve"> 300 </w:t>
      </w:r>
      <w:r>
        <w:rPr>
          <w:rFonts w:hint="eastAsia" w:ascii="宋体" w:hAnsi="宋体" w:eastAsia="宋体" w:cs="宋体"/>
          <w:color w:val="auto"/>
          <w:sz w:val="24"/>
          <w:szCs w:val="24"/>
          <w:highlight w:val="none"/>
        </w:rPr>
        <w:t>元。</w:t>
      </w:r>
    </w:p>
    <w:p w14:paraId="21B811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（22）气瓶无防倾倒措施，考核</w:t>
      </w:r>
      <w:r>
        <w:rPr>
          <w:rFonts w:hint="eastAsia" w:ascii="宋体" w:hAnsi="宋体" w:eastAsia="宋体" w:cs="宋体"/>
          <w:color w:val="auto"/>
          <w:sz w:val="24"/>
          <w:szCs w:val="24"/>
          <w:highlight w:val="none"/>
          <w:u w:val="single"/>
        </w:rPr>
        <w:t xml:space="preserve"> 300 </w:t>
      </w:r>
      <w:r>
        <w:rPr>
          <w:rFonts w:hint="eastAsia" w:ascii="宋体" w:hAnsi="宋体" w:eastAsia="宋体" w:cs="宋体"/>
          <w:color w:val="auto"/>
          <w:sz w:val="24"/>
          <w:szCs w:val="24"/>
          <w:highlight w:val="none"/>
        </w:rPr>
        <w:t>元/次。</w:t>
      </w:r>
    </w:p>
    <w:p w14:paraId="63F9D1F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（23）气瓶无防震圈，考核</w:t>
      </w:r>
      <w:r>
        <w:rPr>
          <w:rFonts w:hint="eastAsia" w:ascii="宋体" w:hAnsi="宋体" w:eastAsia="宋体" w:cs="宋体"/>
          <w:color w:val="auto"/>
          <w:sz w:val="24"/>
          <w:szCs w:val="24"/>
          <w:highlight w:val="none"/>
          <w:u w:val="single"/>
        </w:rPr>
        <w:t xml:space="preserve"> 300 </w:t>
      </w:r>
      <w:r>
        <w:rPr>
          <w:rFonts w:hint="eastAsia" w:ascii="宋体" w:hAnsi="宋体" w:eastAsia="宋体" w:cs="宋体"/>
          <w:color w:val="auto"/>
          <w:sz w:val="24"/>
          <w:szCs w:val="24"/>
          <w:highlight w:val="none"/>
        </w:rPr>
        <w:t>元/次。</w:t>
      </w:r>
    </w:p>
    <w:p w14:paraId="551D9D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（24）高空作业人员不按规定系好安全带，考核</w:t>
      </w:r>
      <w:r>
        <w:rPr>
          <w:rFonts w:hint="eastAsia" w:ascii="宋体" w:hAnsi="宋体" w:eastAsia="宋体" w:cs="宋体"/>
          <w:color w:val="auto"/>
          <w:sz w:val="24"/>
          <w:szCs w:val="24"/>
          <w:highlight w:val="none"/>
          <w:u w:val="single"/>
        </w:rPr>
        <w:t xml:space="preserve"> 300 </w:t>
      </w:r>
      <w:r>
        <w:rPr>
          <w:rFonts w:hint="eastAsia" w:ascii="宋体" w:hAnsi="宋体" w:eastAsia="宋体" w:cs="宋体"/>
          <w:color w:val="auto"/>
          <w:sz w:val="24"/>
          <w:szCs w:val="24"/>
          <w:highlight w:val="none"/>
        </w:rPr>
        <w:t>元/人次。</w:t>
      </w:r>
    </w:p>
    <w:p w14:paraId="53C5383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（25）脚手架未经验收合格并挂牌即投入使用的，考核</w:t>
      </w:r>
      <w:r>
        <w:rPr>
          <w:rFonts w:hint="eastAsia" w:ascii="宋体" w:hAnsi="宋体" w:eastAsia="宋体" w:cs="宋体"/>
          <w:color w:val="auto"/>
          <w:sz w:val="24"/>
          <w:szCs w:val="24"/>
          <w:highlight w:val="none"/>
          <w:u w:val="single"/>
        </w:rPr>
        <w:t xml:space="preserve"> 500 </w:t>
      </w:r>
      <w:r>
        <w:rPr>
          <w:rFonts w:hint="eastAsia" w:ascii="宋体" w:hAnsi="宋体" w:eastAsia="宋体" w:cs="宋体"/>
          <w:color w:val="auto"/>
          <w:sz w:val="24"/>
          <w:szCs w:val="24"/>
          <w:highlight w:val="none"/>
        </w:rPr>
        <w:t>元/次。</w:t>
      </w:r>
    </w:p>
    <w:p w14:paraId="7EFD046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（26）未按要求编制应急预案并定期组织演练，考核</w:t>
      </w:r>
      <w:r>
        <w:rPr>
          <w:rFonts w:hint="eastAsia" w:ascii="宋体" w:hAnsi="宋体" w:eastAsia="宋体" w:cs="宋体"/>
          <w:color w:val="auto"/>
          <w:sz w:val="24"/>
          <w:szCs w:val="24"/>
          <w:highlight w:val="none"/>
          <w:u w:val="single"/>
        </w:rPr>
        <w:t xml:space="preserve"> 200 </w:t>
      </w:r>
      <w:r>
        <w:rPr>
          <w:rFonts w:hint="eastAsia" w:ascii="宋体" w:hAnsi="宋体" w:eastAsia="宋体" w:cs="宋体"/>
          <w:color w:val="auto"/>
          <w:sz w:val="24"/>
          <w:szCs w:val="24"/>
          <w:highlight w:val="none"/>
        </w:rPr>
        <w:t>元/次。</w:t>
      </w:r>
    </w:p>
    <w:p w14:paraId="0D01C46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（27）办公室、工器具库房、休息室、宿舍等房屋内存放易燃、易爆物品，考核</w:t>
      </w:r>
      <w:r>
        <w:rPr>
          <w:rFonts w:hint="eastAsia" w:ascii="宋体" w:hAnsi="宋体" w:eastAsia="宋体" w:cs="宋体"/>
          <w:color w:val="auto"/>
          <w:sz w:val="24"/>
          <w:szCs w:val="24"/>
          <w:highlight w:val="none"/>
          <w:u w:val="single"/>
        </w:rPr>
        <w:t xml:space="preserve"> 200 </w:t>
      </w:r>
      <w:r>
        <w:rPr>
          <w:rFonts w:hint="eastAsia" w:ascii="宋体" w:hAnsi="宋体" w:eastAsia="宋体" w:cs="宋体"/>
          <w:color w:val="auto"/>
          <w:sz w:val="24"/>
          <w:szCs w:val="24"/>
          <w:highlight w:val="none"/>
        </w:rPr>
        <w:t>元/次。</w:t>
      </w:r>
    </w:p>
    <w:p w14:paraId="1A259A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（28）消防器材未定期检查，考核</w:t>
      </w:r>
      <w:r>
        <w:rPr>
          <w:rFonts w:hint="eastAsia" w:ascii="宋体" w:hAnsi="宋体" w:eastAsia="宋体" w:cs="宋体"/>
          <w:color w:val="auto"/>
          <w:sz w:val="24"/>
          <w:szCs w:val="24"/>
          <w:highlight w:val="none"/>
          <w:u w:val="single"/>
        </w:rPr>
        <w:t xml:space="preserve"> 100 </w:t>
      </w:r>
      <w:r>
        <w:rPr>
          <w:rFonts w:hint="eastAsia" w:ascii="宋体" w:hAnsi="宋体" w:eastAsia="宋体" w:cs="宋体"/>
          <w:color w:val="auto"/>
          <w:sz w:val="24"/>
          <w:szCs w:val="24"/>
          <w:highlight w:val="none"/>
        </w:rPr>
        <w:t>元/次。</w:t>
      </w:r>
    </w:p>
    <w:p w14:paraId="2104C6F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（29）危大工程未编制专项施工方案进行作业的，考核</w:t>
      </w:r>
      <w:r>
        <w:rPr>
          <w:rFonts w:hint="eastAsia" w:ascii="宋体" w:hAnsi="宋体" w:eastAsia="宋体" w:cs="宋体"/>
          <w:color w:val="auto"/>
          <w:sz w:val="24"/>
          <w:szCs w:val="24"/>
          <w:highlight w:val="none"/>
          <w:u w:val="single"/>
        </w:rPr>
        <w:t xml:space="preserve"> 300 </w:t>
      </w:r>
      <w:r>
        <w:rPr>
          <w:rFonts w:hint="eastAsia" w:ascii="宋体" w:hAnsi="宋体" w:eastAsia="宋体" w:cs="宋体"/>
          <w:color w:val="auto"/>
          <w:sz w:val="24"/>
          <w:szCs w:val="24"/>
          <w:highlight w:val="none"/>
        </w:rPr>
        <w:t>元/次。</w:t>
      </w:r>
    </w:p>
    <w:p w14:paraId="28F821E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（30）施工作业未按照专项施工方案进行的，考核</w:t>
      </w:r>
      <w:r>
        <w:rPr>
          <w:rFonts w:hint="eastAsia" w:ascii="宋体" w:hAnsi="宋体" w:eastAsia="宋体" w:cs="宋体"/>
          <w:color w:val="auto"/>
          <w:sz w:val="24"/>
          <w:szCs w:val="24"/>
          <w:highlight w:val="none"/>
          <w:u w:val="single"/>
        </w:rPr>
        <w:t xml:space="preserve"> 300 </w:t>
      </w:r>
      <w:r>
        <w:rPr>
          <w:rFonts w:hint="eastAsia" w:ascii="宋体" w:hAnsi="宋体" w:eastAsia="宋体" w:cs="宋体"/>
          <w:color w:val="auto"/>
          <w:sz w:val="24"/>
          <w:szCs w:val="24"/>
          <w:highlight w:val="none"/>
        </w:rPr>
        <w:t>元/次。</w:t>
      </w:r>
    </w:p>
    <w:p w14:paraId="1DB7DC3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（31）用一台开关控制1台以上用电设备的，考核</w:t>
      </w:r>
      <w:r>
        <w:rPr>
          <w:rFonts w:hint="eastAsia" w:ascii="宋体" w:hAnsi="宋体" w:eastAsia="宋体" w:cs="宋体"/>
          <w:color w:val="auto"/>
          <w:sz w:val="24"/>
          <w:szCs w:val="24"/>
          <w:highlight w:val="none"/>
          <w:u w:val="single"/>
        </w:rPr>
        <w:t xml:space="preserve"> 200 </w:t>
      </w:r>
      <w:r>
        <w:rPr>
          <w:rFonts w:hint="eastAsia" w:ascii="宋体" w:hAnsi="宋体" w:eastAsia="宋体" w:cs="宋体"/>
          <w:color w:val="auto"/>
          <w:sz w:val="24"/>
          <w:szCs w:val="24"/>
          <w:highlight w:val="none"/>
        </w:rPr>
        <w:t>元/次。</w:t>
      </w:r>
    </w:p>
    <w:p w14:paraId="7D7D325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（32）开关箱内摆放杂物，考核</w:t>
      </w:r>
      <w:r>
        <w:rPr>
          <w:rFonts w:hint="eastAsia" w:ascii="宋体" w:hAnsi="宋体" w:eastAsia="宋体" w:cs="宋体"/>
          <w:color w:val="auto"/>
          <w:sz w:val="24"/>
          <w:szCs w:val="24"/>
          <w:highlight w:val="none"/>
          <w:u w:val="single"/>
        </w:rPr>
        <w:t xml:space="preserve"> 100 </w:t>
      </w:r>
      <w:r>
        <w:rPr>
          <w:rFonts w:hint="eastAsia" w:ascii="宋体" w:hAnsi="宋体" w:eastAsia="宋体" w:cs="宋体"/>
          <w:color w:val="auto"/>
          <w:sz w:val="24"/>
          <w:szCs w:val="24"/>
          <w:highlight w:val="none"/>
        </w:rPr>
        <w:t>元/次。</w:t>
      </w:r>
    </w:p>
    <w:p w14:paraId="5F21DA3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（33）配电箱、开关箱名称、用途、分路标记等缺失，考核</w:t>
      </w:r>
      <w:r>
        <w:rPr>
          <w:rFonts w:hint="eastAsia" w:ascii="宋体" w:hAnsi="宋体" w:eastAsia="宋体" w:cs="宋体"/>
          <w:color w:val="auto"/>
          <w:sz w:val="24"/>
          <w:szCs w:val="24"/>
          <w:highlight w:val="none"/>
          <w:u w:val="single"/>
        </w:rPr>
        <w:t xml:space="preserve"> 100 </w:t>
      </w:r>
      <w:r>
        <w:rPr>
          <w:rFonts w:hint="eastAsia" w:ascii="宋体" w:hAnsi="宋体" w:eastAsia="宋体" w:cs="宋体"/>
          <w:color w:val="auto"/>
          <w:sz w:val="24"/>
          <w:szCs w:val="24"/>
          <w:highlight w:val="none"/>
        </w:rPr>
        <w:t>元/次。</w:t>
      </w:r>
    </w:p>
    <w:p w14:paraId="6BA6EE7B">
      <w:pPr>
        <w:spacing w:line="360" w:lineRule="auto"/>
        <w:ind w:firstLine="480" w:firstLineChars="200"/>
        <w:jc w:val="center"/>
        <w:rPr>
          <w:rFonts w:hint="eastAsia" w:ascii="宋体" w:hAnsi="宋体" w:eastAsia="宋体" w:cs="宋体"/>
          <w:color w:val="auto"/>
          <w:sz w:val="24"/>
          <w:szCs w:val="24"/>
          <w:highlight w:val="none"/>
        </w:rPr>
      </w:pPr>
    </w:p>
    <w:p w14:paraId="5283150B">
      <w:pPr>
        <w:numPr>
          <w:ilvl w:val="0"/>
          <w:numId w:val="5"/>
        </w:numPr>
        <w:spacing w:line="400" w:lineRule="exact"/>
        <w:ind w:firstLine="360" w:firstLineChars="1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奖励细则</w:t>
      </w:r>
    </w:p>
    <w:p w14:paraId="178BB019">
      <w:pPr>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同一项目中，对乙方安全违章考核所得可以用于安全奖励，奖励金额不得超过考核金额。在年度合同有效期内，乙方多个工程项目可合并执行考核和奖励。甲方在制定安全考核细则的同时应制定安全奖励细则。</w:t>
      </w:r>
    </w:p>
    <w:p w14:paraId="22FA8F50">
      <w:pPr>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2.奖励条款（不限于）：</w:t>
      </w:r>
    </w:p>
    <w:p w14:paraId="7CA01FBD">
      <w:pPr>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（1）及时发现重大安全隐患或缺陷，避免不安全事件发生的，奖励</w:t>
      </w:r>
      <w:r>
        <w:rPr>
          <w:rFonts w:hint="eastAsia" w:ascii="宋体" w:hAnsi="宋体" w:eastAsia="宋体" w:cs="宋体"/>
          <w:color w:val="auto"/>
          <w:sz w:val="24"/>
          <w:szCs w:val="24"/>
          <w:highlight w:val="none"/>
          <w:u w:val="single"/>
        </w:rPr>
        <w:t xml:space="preserve"> 500 </w:t>
      </w:r>
      <w:r>
        <w:rPr>
          <w:rFonts w:hint="eastAsia" w:ascii="宋体" w:hAnsi="宋体" w:eastAsia="宋体" w:cs="宋体"/>
          <w:color w:val="auto"/>
          <w:sz w:val="24"/>
          <w:szCs w:val="24"/>
          <w:highlight w:val="none"/>
        </w:rPr>
        <w:t>元</w:t>
      </w:r>
      <w:r>
        <w:rPr>
          <w:rFonts w:hint="eastAsia" w:ascii="宋体" w:hAnsi="宋体" w:eastAsia="宋体" w:cs="宋体"/>
          <w:color w:val="auto"/>
          <w:kern w:val="0"/>
          <w:sz w:val="24"/>
          <w:szCs w:val="24"/>
          <w:highlight w:val="none"/>
        </w:rPr>
        <w:t>。</w:t>
      </w:r>
    </w:p>
    <w:p w14:paraId="52BCD616">
      <w:pPr>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（2）突发事件应急处理得当，避免事件进一步扩大的，奖励</w:t>
      </w:r>
      <w:r>
        <w:rPr>
          <w:rFonts w:hint="eastAsia" w:ascii="宋体" w:hAnsi="宋体" w:eastAsia="宋体" w:cs="宋体"/>
          <w:color w:val="auto"/>
          <w:sz w:val="24"/>
          <w:szCs w:val="24"/>
          <w:highlight w:val="none"/>
          <w:u w:val="single"/>
        </w:rPr>
        <w:t xml:space="preserve"> 300 </w:t>
      </w:r>
      <w:r>
        <w:rPr>
          <w:rFonts w:hint="eastAsia" w:ascii="宋体" w:hAnsi="宋体" w:eastAsia="宋体" w:cs="宋体"/>
          <w:color w:val="auto"/>
          <w:sz w:val="24"/>
          <w:szCs w:val="24"/>
          <w:highlight w:val="none"/>
        </w:rPr>
        <w:t>元</w:t>
      </w:r>
      <w:r>
        <w:rPr>
          <w:rFonts w:hint="eastAsia" w:ascii="宋体" w:hAnsi="宋体" w:eastAsia="宋体" w:cs="宋体"/>
          <w:color w:val="auto"/>
          <w:kern w:val="0"/>
          <w:sz w:val="24"/>
          <w:szCs w:val="24"/>
          <w:highlight w:val="none"/>
        </w:rPr>
        <w:t>。</w:t>
      </w:r>
    </w:p>
    <w:p w14:paraId="38FBFAB7">
      <w:pPr>
        <w:spacing w:line="400" w:lineRule="exact"/>
        <w:ind w:left="420" w:left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（3）在安全文明施工管理工作或安全施工过程中提出合理化建议或新举措，并取得突出成效的，奖励</w:t>
      </w:r>
      <w:r>
        <w:rPr>
          <w:rFonts w:hint="eastAsia" w:ascii="宋体" w:hAnsi="宋体" w:eastAsia="宋体" w:cs="宋体"/>
          <w:color w:val="auto"/>
          <w:sz w:val="24"/>
          <w:szCs w:val="24"/>
          <w:highlight w:val="none"/>
          <w:u w:val="single"/>
        </w:rPr>
        <w:t xml:space="preserve"> 100 </w:t>
      </w:r>
      <w:r>
        <w:rPr>
          <w:rFonts w:hint="eastAsia" w:ascii="宋体" w:hAnsi="宋体" w:eastAsia="宋体" w:cs="宋体"/>
          <w:color w:val="auto"/>
          <w:sz w:val="24"/>
          <w:szCs w:val="24"/>
          <w:highlight w:val="none"/>
        </w:rPr>
        <w:t>元</w:t>
      </w:r>
      <w:r>
        <w:rPr>
          <w:rFonts w:hint="eastAsia" w:ascii="宋体" w:hAnsi="宋体" w:eastAsia="宋体" w:cs="宋体"/>
          <w:color w:val="auto"/>
          <w:kern w:val="0"/>
          <w:sz w:val="24"/>
          <w:szCs w:val="24"/>
          <w:highlight w:val="none"/>
        </w:rPr>
        <w:t>。</w:t>
      </w:r>
    </w:p>
    <w:p w14:paraId="21F0311A">
      <w:pPr>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（4）安全文明施工管理规范，具有典型示范效应，受到甲方或上级企业集团通报表扬的，奖励</w:t>
      </w:r>
      <w:r>
        <w:rPr>
          <w:rFonts w:hint="eastAsia" w:ascii="宋体" w:hAnsi="宋体" w:eastAsia="宋体" w:cs="宋体"/>
          <w:color w:val="auto"/>
          <w:sz w:val="24"/>
          <w:szCs w:val="24"/>
          <w:highlight w:val="none"/>
          <w:u w:val="single"/>
        </w:rPr>
        <w:t xml:space="preserve"> 200 </w:t>
      </w:r>
      <w:r>
        <w:rPr>
          <w:rFonts w:hint="eastAsia" w:ascii="宋体" w:hAnsi="宋体" w:eastAsia="宋体" w:cs="宋体"/>
          <w:color w:val="auto"/>
          <w:sz w:val="24"/>
          <w:szCs w:val="24"/>
          <w:highlight w:val="none"/>
        </w:rPr>
        <w:t>元</w:t>
      </w:r>
      <w:r>
        <w:rPr>
          <w:rFonts w:hint="eastAsia" w:ascii="宋体" w:hAnsi="宋体" w:eastAsia="宋体" w:cs="宋体"/>
          <w:color w:val="auto"/>
          <w:kern w:val="0"/>
          <w:sz w:val="24"/>
          <w:szCs w:val="24"/>
          <w:highlight w:val="none"/>
        </w:rPr>
        <w:t xml:space="preserve">。 </w:t>
      </w:r>
    </w:p>
    <w:p w14:paraId="4BFFE859">
      <w:pPr>
        <w:spacing w:line="360" w:lineRule="auto"/>
        <w:ind w:firstLine="480" w:firstLineChars="200"/>
        <w:jc w:val="center"/>
        <w:rPr>
          <w:rFonts w:hint="eastAsia" w:ascii="宋体" w:hAnsi="宋体" w:eastAsia="宋体" w:cs="宋体"/>
          <w:color w:val="auto"/>
          <w:kern w:val="0"/>
          <w:sz w:val="24"/>
          <w:szCs w:val="24"/>
          <w:highlight w:val="none"/>
        </w:rPr>
      </w:pPr>
    </w:p>
    <w:p w14:paraId="4568EBB7">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五、不安全事件报告及处理</w:t>
      </w:r>
    </w:p>
    <w:p w14:paraId="5E9A03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1.工程发生不安全事件时，属乙方负责，由乙方组织调查、分析和处理，甲方应给予配合，乙方应将结论书面报甲方安健环管理部门；发生影响或损失较大的不安全事件时，可由甲方组织调查、分析和处理。 </w:t>
      </w:r>
    </w:p>
    <w:p w14:paraId="4CF7F1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在施工过程中发生一般及以上生产安全事故，乙方应在1小时内向甲方和监理单位报告事故具体情况；发生人身伤亡事故，乙方应按国家有关规定立即向属地政府安监部门及行业主管部门报告，同时告知甲方；发生事故后，乙方</w:t>
      </w:r>
      <w:r>
        <w:rPr>
          <w:rFonts w:hint="eastAsia" w:ascii="宋体" w:hAnsi="宋体" w:eastAsia="宋体" w:cs="宋体"/>
          <w:bCs/>
          <w:color w:val="auto"/>
          <w:sz w:val="24"/>
          <w:szCs w:val="24"/>
          <w:highlight w:val="none"/>
        </w:rPr>
        <w:t>应迅速组织抢救伤员和现场应急处置，派专人保护事故现场，</w:t>
      </w:r>
      <w:r>
        <w:rPr>
          <w:rFonts w:hint="eastAsia" w:ascii="宋体" w:hAnsi="宋体" w:eastAsia="宋体" w:cs="宋体"/>
          <w:color w:val="auto"/>
          <w:sz w:val="24"/>
          <w:szCs w:val="24"/>
          <w:highlight w:val="none"/>
        </w:rPr>
        <w:t>积极配合并接受相应级别政府调查组调查处理，积极做好善后处理工作。</w:t>
      </w:r>
    </w:p>
    <w:p w14:paraId="4A363EB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3.因乙方发生不安全事件造成工程项目经济上的损失、工期延误等损失由乙方承担。</w:t>
      </w:r>
    </w:p>
    <w:p w14:paraId="2F6D2750">
      <w:pPr>
        <w:spacing w:line="400" w:lineRule="exac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六、附则</w:t>
      </w:r>
    </w:p>
    <w:p w14:paraId="67A5F6D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1.本协议约定的各项条款，经双方签字、盖章后生效，与合同具有同等法律效力。因违反本协议造成的安全事故或环境影响事件，由违约方承担相应的法律责任和经济责任。</w:t>
      </w:r>
    </w:p>
    <w:p w14:paraId="5A12E77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2.本协议内容如与国家有关法律、法规和规定不一致，按照国家有关规定执行。</w:t>
      </w:r>
    </w:p>
    <w:p w14:paraId="20C634E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3.在协议有效期内，施工内容、范围发生变动，可能影响协议相关内容时，应及时签订补充协议。</w:t>
      </w:r>
    </w:p>
    <w:p w14:paraId="41C271B5">
      <w:pPr>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4.本协议一式</w:t>
      </w:r>
      <w:r>
        <w:rPr>
          <w:rFonts w:hint="eastAsia" w:ascii="宋体" w:hAnsi="宋体" w:eastAsia="宋体" w:cs="宋体"/>
          <w:color w:val="auto"/>
          <w:sz w:val="24"/>
          <w:szCs w:val="24"/>
          <w:highlight w:val="none"/>
          <w:u w:val="single"/>
        </w:rPr>
        <w:t>陆</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肆</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贰</w:t>
      </w:r>
      <w:r>
        <w:rPr>
          <w:rFonts w:hint="eastAsia" w:ascii="宋体" w:hAnsi="宋体" w:eastAsia="宋体" w:cs="宋体"/>
          <w:color w:val="auto"/>
          <w:sz w:val="24"/>
          <w:szCs w:val="24"/>
          <w:highlight w:val="none"/>
        </w:rPr>
        <w:t>份，具有同等法律效力。</w:t>
      </w:r>
    </w:p>
    <w:p w14:paraId="7A7D740B">
      <w:pPr>
        <w:pStyle w:val="7"/>
        <w:outlineLvl w:val="9"/>
        <w:rPr>
          <w:rFonts w:hint="eastAsia" w:ascii="宋体" w:hAnsi="宋体" w:cs="宋体"/>
          <w:color w:val="auto"/>
          <w:sz w:val="24"/>
          <w:szCs w:val="24"/>
          <w:highlight w:val="none"/>
        </w:rPr>
      </w:pPr>
    </w:p>
    <w:p w14:paraId="3B1846D7">
      <w:pPr>
        <w:spacing w:line="360" w:lineRule="auto"/>
        <w:ind w:left="3945" w:leftChars="100" w:hanging="3735" w:hangingChars="1550"/>
        <w:rPr>
          <w:rFonts w:hint="eastAsia" w:ascii="宋体" w:hAnsi="宋体" w:eastAsia="宋体" w:cs="宋体"/>
          <w:b/>
          <w:bCs/>
          <w:color w:val="auto"/>
          <w:sz w:val="24"/>
          <w:szCs w:val="24"/>
          <w:highlight w:val="none"/>
        </w:rPr>
      </w:pPr>
    </w:p>
    <w:p w14:paraId="4A309816">
      <w:pPr>
        <w:spacing w:line="360" w:lineRule="auto"/>
        <w:ind w:left="3945" w:leftChars="100" w:hanging="3735" w:hangingChars="15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                             乙方：</w:t>
      </w:r>
    </w:p>
    <w:p w14:paraId="2222B0C2">
      <w:p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法定代表人：（签名）               法定代表人：（签名）</w:t>
      </w:r>
    </w:p>
    <w:p w14:paraId="64645DEE">
      <w:p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或授权委托人：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或授权委托人：</w:t>
      </w:r>
    </w:p>
    <w:p w14:paraId="48727DBD">
      <w:pP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年   月    日                       年   月    日</w:t>
      </w:r>
    </w:p>
    <w:p w14:paraId="01B80F14">
      <w:pPr>
        <w:rPr>
          <w:rFonts w:hint="eastAsia" w:ascii="宋体" w:hAnsi="宋体" w:eastAsia="宋体" w:cs="宋体"/>
          <w:color w:val="auto"/>
          <w:sz w:val="24"/>
          <w:szCs w:val="24"/>
          <w:highlight w:val="none"/>
        </w:rPr>
      </w:pPr>
    </w:p>
    <w:p w14:paraId="2077E174">
      <w:pPr>
        <w:rPr>
          <w:rFonts w:hint="eastAsia"/>
          <w:color w:val="auto"/>
          <w:highlight w:val="none"/>
        </w:rPr>
      </w:pPr>
    </w:p>
    <w:sectPr>
      <w:footerReference r:id="rId5" w:type="default"/>
      <w:type w:val="nextColumn"/>
      <w:pgSz w:w="11907" w:h="16840"/>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大标宋简体">
    <w:altName w:val="宋体"/>
    <w:panose1 w:val="00000000000000000000"/>
    <w:charset w:val="86"/>
    <w:family w:val="auto"/>
    <w:pitch w:val="default"/>
    <w:sig w:usb0="00000000" w:usb1="00000000" w:usb2="00000000" w:usb3="00000000" w:csb0="00040000" w:csb1="00000000"/>
  </w:font>
  <w:font w:name="PMingLiU">
    <w:altName w:val="PMingLiU-ExtB"/>
    <w:panose1 w:val="02020500000000000000"/>
    <w:charset w:val="88"/>
    <w:family w:val="auto"/>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Roman">
    <w:altName w:val="Times New Roman"/>
    <w:panose1 w:val="01000500000000000000"/>
    <w:charset w:val="01"/>
    <w:family w:val="auto"/>
    <w:pitch w:val="default"/>
    <w:sig w:usb0="00000000" w:usb1="00000000" w:usb2="00000000" w:usb3="00000000" w:csb0="00040001" w:csb1="00000000"/>
  </w:font>
  <w:font w:name="仿宋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Emoji">
    <w:panose1 w:val="020B0502040204020203"/>
    <w:charset w:val="00"/>
    <w:family w:val="swiss"/>
    <w:pitch w:val="default"/>
    <w:sig w:usb0="00000001" w:usb1="02000000" w:usb2="08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81745">
    <w:pPr>
      <w:pStyle w:val="52"/>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p w14:paraId="033A9992">
    <w:pPr>
      <w:pStyle w:val="5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1F6BE">
    <w:pPr>
      <w:pStyle w:val="52"/>
      <w:jc w:val="center"/>
    </w:pPr>
    <w:r>
      <w:rPr>
        <w:lang w:val="zh-CN"/>
      </w:rPr>
      <w:fldChar w:fldCharType="begin"/>
    </w:r>
    <w:r>
      <w:rPr>
        <w:lang w:val="zh-CN"/>
      </w:rPr>
      <w:instrText xml:space="preserve"> PAGE   \* MERGEFORMAT </w:instrText>
    </w:r>
    <w:r>
      <w:rPr>
        <w:lang w:val="zh-CN"/>
      </w:rPr>
      <w:fldChar w:fldCharType="separate"/>
    </w:r>
    <w:r>
      <w:rPr>
        <w:lang w:val="zh-CN"/>
      </w:rPr>
      <w:t>2</w:t>
    </w:r>
    <w:r>
      <w:rPr>
        <w:lang w:val="zh-CN"/>
      </w:rPr>
      <w:fldChar w:fldCharType="end"/>
    </w:r>
  </w:p>
  <w:p w14:paraId="1839B256">
    <w:pPr>
      <w:pStyle w:val="5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B8005">
    <w:pPr>
      <w:pStyle w:val="52"/>
      <w:jc w:val="center"/>
    </w:pPr>
    <w:r>
      <w:rPr>
        <w:lang w:val="zh-CN"/>
      </w:rPr>
      <w:fldChar w:fldCharType="begin"/>
    </w:r>
    <w:r>
      <w:rPr>
        <w:lang w:val="zh-CN"/>
      </w:rPr>
      <w:instrText xml:space="preserve"> PAGE   \* MERGEFORMAT </w:instrText>
    </w:r>
    <w:r>
      <w:rPr>
        <w:lang w:val="zh-CN"/>
      </w:rPr>
      <w:fldChar w:fldCharType="separate"/>
    </w:r>
    <w:r>
      <w:rPr>
        <w:lang w:val="zh-CN"/>
      </w:rPr>
      <w:t>135</w:t>
    </w:r>
    <w:r>
      <w:rPr>
        <w:lang w:val="zh-CN"/>
      </w:rPr>
      <w:fldChar w:fldCharType="end"/>
    </w:r>
  </w:p>
  <w:p w14:paraId="16056561">
    <w:pPr>
      <w:pStyle w:val="5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419416"/>
    <w:multiLevelType w:val="singleLevel"/>
    <w:tmpl w:val="E7419416"/>
    <w:lvl w:ilvl="0" w:tentative="0">
      <w:start w:val="1"/>
      <w:numFmt w:val="decimal"/>
      <w:suff w:val="nothing"/>
      <w:lvlText w:val="（%1）"/>
      <w:lvlJc w:val="left"/>
    </w:lvl>
  </w:abstractNum>
  <w:abstractNum w:abstractNumId="1">
    <w:nsid w:val="00000011"/>
    <w:multiLevelType w:val="singleLevel"/>
    <w:tmpl w:val="00000011"/>
    <w:lvl w:ilvl="0" w:tentative="0">
      <w:start w:val="1"/>
      <w:numFmt w:val="decimal"/>
      <w:suff w:val="nothing"/>
      <w:lvlText w:val="（%1）"/>
      <w:lvlJc w:val="left"/>
    </w:lvl>
  </w:abstractNum>
  <w:abstractNum w:abstractNumId="2">
    <w:nsid w:val="162ADCF5"/>
    <w:multiLevelType w:val="singleLevel"/>
    <w:tmpl w:val="162ADCF5"/>
    <w:lvl w:ilvl="0" w:tentative="0">
      <w:start w:val="28"/>
      <w:numFmt w:val="decimal"/>
      <w:suff w:val="nothing"/>
      <w:lvlText w:val="%1、"/>
      <w:lvlJc w:val="left"/>
    </w:lvl>
  </w:abstractNum>
  <w:abstractNum w:abstractNumId="3">
    <w:nsid w:val="5BED8E00"/>
    <w:multiLevelType w:val="singleLevel"/>
    <w:tmpl w:val="5BED8E00"/>
    <w:lvl w:ilvl="0" w:tentative="0">
      <w:start w:val="2"/>
      <w:numFmt w:val="chineseCounting"/>
      <w:suff w:val="nothing"/>
      <w:lvlText w:val="（%1）"/>
      <w:lvlJc w:val="left"/>
    </w:lvl>
  </w:abstractNum>
  <w:abstractNum w:abstractNumId="4">
    <w:nsid w:val="5CD064FE"/>
    <w:multiLevelType w:val="multilevel"/>
    <w:tmpl w:val="5CD064FE"/>
    <w:lvl w:ilvl="0" w:tentative="0">
      <w:start w:val="1"/>
      <w:numFmt w:val="decimal"/>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MzBjYzY0MmI3NDJhOTU2MDI3ZGU0ZjNkYjZiMWIifQ=="/>
  </w:docVars>
  <w:rsids>
    <w:rsidRoot w:val="00DD3D38"/>
    <w:rsid w:val="00000AF5"/>
    <w:rsid w:val="00002BD5"/>
    <w:rsid w:val="0003196D"/>
    <w:rsid w:val="00037F09"/>
    <w:rsid w:val="000563DA"/>
    <w:rsid w:val="00056558"/>
    <w:rsid w:val="000654DA"/>
    <w:rsid w:val="00075E45"/>
    <w:rsid w:val="0008394B"/>
    <w:rsid w:val="0008759D"/>
    <w:rsid w:val="00094012"/>
    <w:rsid w:val="000954C9"/>
    <w:rsid w:val="000A193F"/>
    <w:rsid w:val="000B1799"/>
    <w:rsid w:val="000C1387"/>
    <w:rsid w:val="000C30A4"/>
    <w:rsid w:val="000E529E"/>
    <w:rsid w:val="000E663C"/>
    <w:rsid w:val="000F40B0"/>
    <w:rsid w:val="000F7DF8"/>
    <w:rsid w:val="001010B5"/>
    <w:rsid w:val="00111989"/>
    <w:rsid w:val="00125BA3"/>
    <w:rsid w:val="00133C53"/>
    <w:rsid w:val="0013446B"/>
    <w:rsid w:val="00134CAC"/>
    <w:rsid w:val="00137A48"/>
    <w:rsid w:val="001459BB"/>
    <w:rsid w:val="00152E7C"/>
    <w:rsid w:val="00154C55"/>
    <w:rsid w:val="0015738F"/>
    <w:rsid w:val="001573C4"/>
    <w:rsid w:val="00170139"/>
    <w:rsid w:val="00174661"/>
    <w:rsid w:val="001770B7"/>
    <w:rsid w:val="00177FF8"/>
    <w:rsid w:val="00193F54"/>
    <w:rsid w:val="00194450"/>
    <w:rsid w:val="001A329F"/>
    <w:rsid w:val="001A4B61"/>
    <w:rsid w:val="001A6735"/>
    <w:rsid w:val="001B55F8"/>
    <w:rsid w:val="001C2AA1"/>
    <w:rsid w:val="001C57C6"/>
    <w:rsid w:val="001D19EC"/>
    <w:rsid w:val="001D32E9"/>
    <w:rsid w:val="001D7EFD"/>
    <w:rsid w:val="001E4D5D"/>
    <w:rsid w:val="001E5489"/>
    <w:rsid w:val="001E6F5D"/>
    <w:rsid w:val="002150A0"/>
    <w:rsid w:val="0021750F"/>
    <w:rsid w:val="00223D9A"/>
    <w:rsid w:val="00242CA6"/>
    <w:rsid w:val="0024754F"/>
    <w:rsid w:val="00252BCF"/>
    <w:rsid w:val="002639D3"/>
    <w:rsid w:val="00267F88"/>
    <w:rsid w:val="00271024"/>
    <w:rsid w:val="002820B4"/>
    <w:rsid w:val="0028740B"/>
    <w:rsid w:val="002A297D"/>
    <w:rsid w:val="002A5A44"/>
    <w:rsid w:val="002A6375"/>
    <w:rsid w:val="002A7817"/>
    <w:rsid w:val="002B0B16"/>
    <w:rsid w:val="002C2E36"/>
    <w:rsid w:val="002C3A18"/>
    <w:rsid w:val="002D546A"/>
    <w:rsid w:val="002D7926"/>
    <w:rsid w:val="002E2693"/>
    <w:rsid w:val="002E43E5"/>
    <w:rsid w:val="002F1AD1"/>
    <w:rsid w:val="002F57CD"/>
    <w:rsid w:val="00316835"/>
    <w:rsid w:val="00317F9C"/>
    <w:rsid w:val="0032087D"/>
    <w:rsid w:val="00331037"/>
    <w:rsid w:val="003335F6"/>
    <w:rsid w:val="00337FAE"/>
    <w:rsid w:val="003410A1"/>
    <w:rsid w:val="0035476C"/>
    <w:rsid w:val="00357ED0"/>
    <w:rsid w:val="00360DF6"/>
    <w:rsid w:val="003627BC"/>
    <w:rsid w:val="00371FFE"/>
    <w:rsid w:val="00375F95"/>
    <w:rsid w:val="003774E4"/>
    <w:rsid w:val="003924FE"/>
    <w:rsid w:val="003A4734"/>
    <w:rsid w:val="003C3441"/>
    <w:rsid w:val="00416CDF"/>
    <w:rsid w:val="0042182C"/>
    <w:rsid w:val="0043206C"/>
    <w:rsid w:val="004340A8"/>
    <w:rsid w:val="00435767"/>
    <w:rsid w:val="00436945"/>
    <w:rsid w:val="00445AB1"/>
    <w:rsid w:val="00454D53"/>
    <w:rsid w:val="00454F33"/>
    <w:rsid w:val="004567EE"/>
    <w:rsid w:val="00467839"/>
    <w:rsid w:val="004733B6"/>
    <w:rsid w:val="00487285"/>
    <w:rsid w:val="00490BCB"/>
    <w:rsid w:val="00494C55"/>
    <w:rsid w:val="004A1A38"/>
    <w:rsid w:val="004A557D"/>
    <w:rsid w:val="004D218D"/>
    <w:rsid w:val="004D2E36"/>
    <w:rsid w:val="004F21DC"/>
    <w:rsid w:val="004F23AD"/>
    <w:rsid w:val="004F7556"/>
    <w:rsid w:val="00500126"/>
    <w:rsid w:val="0050238E"/>
    <w:rsid w:val="00504482"/>
    <w:rsid w:val="005044F1"/>
    <w:rsid w:val="0050552F"/>
    <w:rsid w:val="005116C3"/>
    <w:rsid w:val="00515D51"/>
    <w:rsid w:val="0053207B"/>
    <w:rsid w:val="00532394"/>
    <w:rsid w:val="0053528B"/>
    <w:rsid w:val="005376DF"/>
    <w:rsid w:val="00542A51"/>
    <w:rsid w:val="00546034"/>
    <w:rsid w:val="00552966"/>
    <w:rsid w:val="00563D16"/>
    <w:rsid w:val="005668D1"/>
    <w:rsid w:val="0056729B"/>
    <w:rsid w:val="005806D7"/>
    <w:rsid w:val="00582AFF"/>
    <w:rsid w:val="00591F13"/>
    <w:rsid w:val="005A62B2"/>
    <w:rsid w:val="005A6805"/>
    <w:rsid w:val="005A71EF"/>
    <w:rsid w:val="005D7168"/>
    <w:rsid w:val="005F3CE7"/>
    <w:rsid w:val="00601721"/>
    <w:rsid w:val="006128F4"/>
    <w:rsid w:val="006156EA"/>
    <w:rsid w:val="00616561"/>
    <w:rsid w:val="00620570"/>
    <w:rsid w:val="00620A81"/>
    <w:rsid w:val="0062307E"/>
    <w:rsid w:val="00634405"/>
    <w:rsid w:val="006406A9"/>
    <w:rsid w:val="006466BF"/>
    <w:rsid w:val="00651BFC"/>
    <w:rsid w:val="00663C45"/>
    <w:rsid w:val="00665095"/>
    <w:rsid w:val="00667897"/>
    <w:rsid w:val="00696A71"/>
    <w:rsid w:val="00697D4A"/>
    <w:rsid w:val="006B46BB"/>
    <w:rsid w:val="006C0959"/>
    <w:rsid w:val="006D0BF7"/>
    <w:rsid w:val="006E6422"/>
    <w:rsid w:val="006F34C0"/>
    <w:rsid w:val="006F647C"/>
    <w:rsid w:val="00716754"/>
    <w:rsid w:val="007258C4"/>
    <w:rsid w:val="00730D59"/>
    <w:rsid w:val="00732031"/>
    <w:rsid w:val="00733651"/>
    <w:rsid w:val="00734C46"/>
    <w:rsid w:val="007529A4"/>
    <w:rsid w:val="00752A56"/>
    <w:rsid w:val="007556F3"/>
    <w:rsid w:val="00776966"/>
    <w:rsid w:val="00781CD5"/>
    <w:rsid w:val="00783DB9"/>
    <w:rsid w:val="00785B1D"/>
    <w:rsid w:val="00787BD6"/>
    <w:rsid w:val="00793883"/>
    <w:rsid w:val="007A1284"/>
    <w:rsid w:val="007B2785"/>
    <w:rsid w:val="007B36F1"/>
    <w:rsid w:val="007B3BA2"/>
    <w:rsid w:val="007B7BD6"/>
    <w:rsid w:val="007C0A74"/>
    <w:rsid w:val="007C3D89"/>
    <w:rsid w:val="007D23EA"/>
    <w:rsid w:val="007D7225"/>
    <w:rsid w:val="007E15C6"/>
    <w:rsid w:val="007E23A2"/>
    <w:rsid w:val="00810F46"/>
    <w:rsid w:val="00812804"/>
    <w:rsid w:val="00814E9B"/>
    <w:rsid w:val="00823E80"/>
    <w:rsid w:val="00843569"/>
    <w:rsid w:val="00844DC5"/>
    <w:rsid w:val="0084750F"/>
    <w:rsid w:val="00855F62"/>
    <w:rsid w:val="0086652E"/>
    <w:rsid w:val="00874421"/>
    <w:rsid w:val="00874586"/>
    <w:rsid w:val="00875B75"/>
    <w:rsid w:val="00896E9D"/>
    <w:rsid w:val="008A3E37"/>
    <w:rsid w:val="008B6E00"/>
    <w:rsid w:val="008B711D"/>
    <w:rsid w:val="008D7EED"/>
    <w:rsid w:val="008E029B"/>
    <w:rsid w:val="008E732E"/>
    <w:rsid w:val="008F6CC7"/>
    <w:rsid w:val="00914E5E"/>
    <w:rsid w:val="00915AFD"/>
    <w:rsid w:val="00916B87"/>
    <w:rsid w:val="00921017"/>
    <w:rsid w:val="0093107F"/>
    <w:rsid w:val="009535CB"/>
    <w:rsid w:val="00956B1D"/>
    <w:rsid w:val="00961D13"/>
    <w:rsid w:val="00990884"/>
    <w:rsid w:val="009947D1"/>
    <w:rsid w:val="009A7DBC"/>
    <w:rsid w:val="009B5255"/>
    <w:rsid w:val="009D190D"/>
    <w:rsid w:val="009D3D51"/>
    <w:rsid w:val="009E2653"/>
    <w:rsid w:val="009E352C"/>
    <w:rsid w:val="009E62C6"/>
    <w:rsid w:val="009F3F4C"/>
    <w:rsid w:val="00A0315C"/>
    <w:rsid w:val="00A068D5"/>
    <w:rsid w:val="00A13C1B"/>
    <w:rsid w:val="00A16A25"/>
    <w:rsid w:val="00A22B44"/>
    <w:rsid w:val="00A24146"/>
    <w:rsid w:val="00A26013"/>
    <w:rsid w:val="00A354C9"/>
    <w:rsid w:val="00A42B77"/>
    <w:rsid w:val="00A4784B"/>
    <w:rsid w:val="00A9663C"/>
    <w:rsid w:val="00A96AF1"/>
    <w:rsid w:val="00AA61CD"/>
    <w:rsid w:val="00AB32E2"/>
    <w:rsid w:val="00AB656C"/>
    <w:rsid w:val="00AC652B"/>
    <w:rsid w:val="00AD391E"/>
    <w:rsid w:val="00AD5FC0"/>
    <w:rsid w:val="00AE24EF"/>
    <w:rsid w:val="00AE54BE"/>
    <w:rsid w:val="00B02BF7"/>
    <w:rsid w:val="00B0338B"/>
    <w:rsid w:val="00B06227"/>
    <w:rsid w:val="00B20CCB"/>
    <w:rsid w:val="00B32933"/>
    <w:rsid w:val="00B4110B"/>
    <w:rsid w:val="00B57FDA"/>
    <w:rsid w:val="00B63446"/>
    <w:rsid w:val="00B9166C"/>
    <w:rsid w:val="00BC5D10"/>
    <w:rsid w:val="00BD56ED"/>
    <w:rsid w:val="00BF472B"/>
    <w:rsid w:val="00C317DD"/>
    <w:rsid w:val="00C445C9"/>
    <w:rsid w:val="00C575BE"/>
    <w:rsid w:val="00C7706C"/>
    <w:rsid w:val="00C77437"/>
    <w:rsid w:val="00C84AB5"/>
    <w:rsid w:val="00C93CF8"/>
    <w:rsid w:val="00CA05CB"/>
    <w:rsid w:val="00CA638A"/>
    <w:rsid w:val="00CB0A92"/>
    <w:rsid w:val="00CC57C9"/>
    <w:rsid w:val="00CD6F52"/>
    <w:rsid w:val="00D0161E"/>
    <w:rsid w:val="00D03285"/>
    <w:rsid w:val="00D22B50"/>
    <w:rsid w:val="00D251E7"/>
    <w:rsid w:val="00D3076C"/>
    <w:rsid w:val="00D379A0"/>
    <w:rsid w:val="00D530AB"/>
    <w:rsid w:val="00D574DC"/>
    <w:rsid w:val="00D72889"/>
    <w:rsid w:val="00D9719C"/>
    <w:rsid w:val="00DA1888"/>
    <w:rsid w:val="00DA7B93"/>
    <w:rsid w:val="00DB0574"/>
    <w:rsid w:val="00DB2686"/>
    <w:rsid w:val="00DC02A6"/>
    <w:rsid w:val="00DC1A98"/>
    <w:rsid w:val="00DC4BC7"/>
    <w:rsid w:val="00DD3D38"/>
    <w:rsid w:val="00DE054C"/>
    <w:rsid w:val="00DF5327"/>
    <w:rsid w:val="00E0079F"/>
    <w:rsid w:val="00E162ED"/>
    <w:rsid w:val="00E4454A"/>
    <w:rsid w:val="00E535BE"/>
    <w:rsid w:val="00E56223"/>
    <w:rsid w:val="00E73373"/>
    <w:rsid w:val="00E74253"/>
    <w:rsid w:val="00E81BDA"/>
    <w:rsid w:val="00E83F0F"/>
    <w:rsid w:val="00E865D6"/>
    <w:rsid w:val="00E866C7"/>
    <w:rsid w:val="00EA1BE1"/>
    <w:rsid w:val="00EA5FF8"/>
    <w:rsid w:val="00EB531E"/>
    <w:rsid w:val="00EB61BF"/>
    <w:rsid w:val="00ED2ABB"/>
    <w:rsid w:val="00ED6A0C"/>
    <w:rsid w:val="00EE2DDF"/>
    <w:rsid w:val="00F25DE8"/>
    <w:rsid w:val="00F274C7"/>
    <w:rsid w:val="00F30292"/>
    <w:rsid w:val="00F32B98"/>
    <w:rsid w:val="00F330CC"/>
    <w:rsid w:val="00F363C0"/>
    <w:rsid w:val="00F37769"/>
    <w:rsid w:val="00F5100B"/>
    <w:rsid w:val="00F519EE"/>
    <w:rsid w:val="00F5201D"/>
    <w:rsid w:val="00F53251"/>
    <w:rsid w:val="00F6164A"/>
    <w:rsid w:val="00F772B1"/>
    <w:rsid w:val="00F81E92"/>
    <w:rsid w:val="00F822E1"/>
    <w:rsid w:val="00F82AD0"/>
    <w:rsid w:val="00FA7F1C"/>
    <w:rsid w:val="00FC2753"/>
    <w:rsid w:val="00FE4232"/>
    <w:rsid w:val="00FF0F44"/>
    <w:rsid w:val="00FF3130"/>
    <w:rsid w:val="011E5C4F"/>
    <w:rsid w:val="017163D7"/>
    <w:rsid w:val="019E6692"/>
    <w:rsid w:val="023A062F"/>
    <w:rsid w:val="03150713"/>
    <w:rsid w:val="04AD7D10"/>
    <w:rsid w:val="059C38AF"/>
    <w:rsid w:val="069B74D6"/>
    <w:rsid w:val="0834033F"/>
    <w:rsid w:val="08871365"/>
    <w:rsid w:val="08A90FDA"/>
    <w:rsid w:val="09B7159A"/>
    <w:rsid w:val="0A6278BE"/>
    <w:rsid w:val="0B047FDE"/>
    <w:rsid w:val="0B332B30"/>
    <w:rsid w:val="0B691797"/>
    <w:rsid w:val="0B95201C"/>
    <w:rsid w:val="0B987394"/>
    <w:rsid w:val="0B9F1930"/>
    <w:rsid w:val="0BF16BDA"/>
    <w:rsid w:val="0BF409A8"/>
    <w:rsid w:val="0CE25832"/>
    <w:rsid w:val="0D2B7FA4"/>
    <w:rsid w:val="0D31449E"/>
    <w:rsid w:val="0DCF4736"/>
    <w:rsid w:val="0EB560DD"/>
    <w:rsid w:val="0F32616A"/>
    <w:rsid w:val="0F6C667B"/>
    <w:rsid w:val="0FA63311"/>
    <w:rsid w:val="0FB4628C"/>
    <w:rsid w:val="0FEF4DEB"/>
    <w:rsid w:val="106275DC"/>
    <w:rsid w:val="109E0B18"/>
    <w:rsid w:val="11556C74"/>
    <w:rsid w:val="126175D5"/>
    <w:rsid w:val="130D338F"/>
    <w:rsid w:val="157924A9"/>
    <w:rsid w:val="16675A14"/>
    <w:rsid w:val="16755B8C"/>
    <w:rsid w:val="171054AF"/>
    <w:rsid w:val="173D4BDB"/>
    <w:rsid w:val="174F1DAC"/>
    <w:rsid w:val="17E838C7"/>
    <w:rsid w:val="18B3123D"/>
    <w:rsid w:val="18ED3C24"/>
    <w:rsid w:val="19324715"/>
    <w:rsid w:val="19F57FAF"/>
    <w:rsid w:val="1A396A26"/>
    <w:rsid w:val="1AD54397"/>
    <w:rsid w:val="1C271EF6"/>
    <w:rsid w:val="1CCC5ACF"/>
    <w:rsid w:val="1D2A7564"/>
    <w:rsid w:val="1DCF78CA"/>
    <w:rsid w:val="1DDE1DB8"/>
    <w:rsid w:val="1DEE051D"/>
    <w:rsid w:val="1E210266"/>
    <w:rsid w:val="1E9F39A1"/>
    <w:rsid w:val="1ED51F4D"/>
    <w:rsid w:val="1F914688"/>
    <w:rsid w:val="200C59D1"/>
    <w:rsid w:val="219519F6"/>
    <w:rsid w:val="21A770C0"/>
    <w:rsid w:val="223B5A23"/>
    <w:rsid w:val="231852D1"/>
    <w:rsid w:val="240428BB"/>
    <w:rsid w:val="24400D12"/>
    <w:rsid w:val="25575EC5"/>
    <w:rsid w:val="25916DB0"/>
    <w:rsid w:val="25AC7DAE"/>
    <w:rsid w:val="25E04F83"/>
    <w:rsid w:val="25F237BF"/>
    <w:rsid w:val="261154F9"/>
    <w:rsid w:val="264B2605"/>
    <w:rsid w:val="26F44BE9"/>
    <w:rsid w:val="2839380C"/>
    <w:rsid w:val="298760C9"/>
    <w:rsid w:val="2A5B6123"/>
    <w:rsid w:val="2AEB1D48"/>
    <w:rsid w:val="2E5052C5"/>
    <w:rsid w:val="2EA129AE"/>
    <w:rsid w:val="2EDE6C4E"/>
    <w:rsid w:val="2EFB7340"/>
    <w:rsid w:val="2F380E06"/>
    <w:rsid w:val="2FA63021"/>
    <w:rsid w:val="2FB37572"/>
    <w:rsid w:val="2FDC175C"/>
    <w:rsid w:val="2FE71BD4"/>
    <w:rsid w:val="317874B0"/>
    <w:rsid w:val="318B0355"/>
    <w:rsid w:val="32506BC8"/>
    <w:rsid w:val="373D7481"/>
    <w:rsid w:val="38280EA8"/>
    <w:rsid w:val="38702A19"/>
    <w:rsid w:val="3892637C"/>
    <w:rsid w:val="38A2675F"/>
    <w:rsid w:val="38DF03A4"/>
    <w:rsid w:val="390D35B2"/>
    <w:rsid w:val="3A17470E"/>
    <w:rsid w:val="3A8960A4"/>
    <w:rsid w:val="3A9D134A"/>
    <w:rsid w:val="3B7E7631"/>
    <w:rsid w:val="3B9236C9"/>
    <w:rsid w:val="3C232FB8"/>
    <w:rsid w:val="3CD112FF"/>
    <w:rsid w:val="3E201779"/>
    <w:rsid w:val="3ED01E68"/>
    <w:rsid w:val="3F147E39"/>
    <w:rsid w:val="3FD002A4"/>
    <w:rsid w:val="3FED20DA"/>
    <w:rsid w:val="404B3BBF"/>
    <w:rsid w:val="4084606C"/>
    <w:rsid w:val="40B559CB"/>
    <w:rsid w:val="41525107"/>
    <w:rsid w:val="41D55E54"/>
    <w:rsid w:val="42412680"/>
    <w:rsid w:val="424653CB"/>
    <w:rsid w:val="42FE3CBE"/>
    <w:rsid w:val="43530D81"/>
    <w:rsid w:val="43D437A9"/>
    <w:rsid w:val="443D500C"/>
    <w:rsid w:val="45C84789"/>
    <w:rsid w:val="46804174"/>
    <w:rsid w:val="46885988"/>
    <w:rsid w:val="47BF2255"/>
    <w:rsid w:val="48DD2975"/>
    <w:rsid w:val="49693F7F"/>
    <w:rsid w:val="4B171A50"/>
    <w:rsid w:val="4C0E0129"/>
    <w:rsid w:val="4C3D1DB9"/>
    <w:rsid w:val="4D905B2D"/>
    <w:rsid w:val="4DBF1A26"/>
    <w:rsid w:val="4F572CFA"/>
    <w:rsid w:val="4FA209C3"/>
    <w:rsid w:val="50200C4D"/>
    <w:rsid w:val="50902200"/>
    <w:rsid w:val="50B4458D"/>
    <w:rsid w:val="52355188"/>
    <w:rsid w:val="52567E43"/>
    <w:rsid w:val="526F367F"/>
    <w:rsid w:val="52E2791F"/>
    <w:rsid w:val="552F2D69"/>
    <w:rsid w:val="571B7FA8"/>
    <w:rsid w:val="584464F7"/>
    <w:rsid w:val="589C7DAD"/>
    <w:rsid w:val="58C35E5B"/>
    <w:rsid w:val="595644EC"/>
    <w:rsid w:val="597733E6"/>
    <w:rsid w:val="5A4B44CB"/>
    <w:rsid w:val="5BE05520"/>
    <w:rsid w:val="5C586C22"/>
    <w:rsid w:val="5C6172E2"/>
    <w:rsid w:val="5C8C74F5"/>
    <w:rsid w:val="5C8D17DC"/>
    <w:rsid w:val="5CD4483F"/>
    <w:rsid w:val="5D3F3184"/>
    <w:rsid w:val="5E1D22E4"/>
    <w:rsid w:val="613F2979"/>
    <w:rsid w:val="61F07FA8"/>
    <w:rsid w:val="62612C54"/>
    <w:rsid w:val="62935039"/>
    <w:rsid w:val="62E01E19"/>
    <w:rsid w:val="63F523ED"/>
    <w:rsid w:val="65A73B92"/>
    <w:rsid w:val="65A76BCF"/>
    <w:rsid w:val="677876D6"/>
    <w:rsid w:val="67B47573"/>
    <w:rsid w:val="68D7378A"/>
    <w:rsid w:val="690E55D2"/>
    <w:rsid w:val="694869F6"/>
    <w:rsid w:val="696A76FD"/>
    <w:rsid w:val="696D5485"/>
    <w:rsid w:val="69A75D31"/>
    <w:rsid w:val="6A3D5576"/>
    <w:rsid w:val="6B206150"/>
    <w:rsid w:val="6B2F08AF"/>
    <w:rsid w:val="6C021003"/>
    <w:rsid w:val="6D5B4E6F"/>
    <w:rsid w:val="6D766B56"/>
    <w:rsid w:val="6D902416"/>
    <w:rsid w:val="6DD171E9"/>
    <w:rsid w:val="6EA10310"/>
    <w:rsid w:val="6F6618A9"/>
    <w:rsid w:val="6F8A2418"/>
    <w:rsid w:val="6FD61C48"/>
    <w:rsid w:val="70B40C75"/>
    <w:rsid w:val="70C76FB8"/>
    <w:rsid w:val="71835E4A"/>
    <w:rsid w:val="735D0BD3"/>
    <w:rsid w:val="7360489A"/>
    <w:rsid w:val="73BC29E8"/>
    <w:rsid w:val="750159E0"/>
    <w:rsid w:val="759B01EF"/>
    <w:rsid w:val="760F67F7"/>
    <w:rsid w:val="76A97FDA"/>
    <w:rsid w:val="77811C29"/>
    <w:rsid w:val="77FD0D77"/>
    <w:rsid w:val="79FE61B3"/>
    <w:rsid w:val="7A277DE2"/>
    <w:rsid w:val="7A925C48"/>
    <w:rsid w:val="7AC75EA6"/>
    <w:rsid w:val="7AD17535"/>
    <w:rsid w:val="7C6B1718"/>
    <w:rsid w:val="7C6C6CC0"/>
    <w:rsid w:val="7CC70BC5"/>
    <w:rsid w:val="7D5B67C5"/>
    <w:rsid w:val="7D662F66"/>
    <w:rsid w:val="7D9E2945"/>
    <w:rsid w:val="7F4721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iPriority="0" w:semiHidden="0" w:name="Body Text"/>
    <w:lsdException w:qFormat="1"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1"/>
      <w:lang w:val="en-US" w:eastAsia="zh-CN" w:bidi="ar-SA"/>
    </w:rPr>
  </w:style>
  <w:style w:type="paragraph" w:styleId="6">
    <w:name w:val="heading 1"/>
    <w:basedOn w:val="7"/>
    <w:next w:val="8"/>
    <w:link w:val="100"/>
    <w:qFormat/>
    <w:uiPriority w:val="0"/>
    <w:pPr>
      <w:keepNext/>
      <w:keepLines/>
      <w:spacing w:after="120" w:line="360" w:lineRule="auto"/>
      <w:outlineLvl w:val="0"/>
    </w:pPr>
    <w:rPr>
      <w:bCs/>
      <w:color w:val="000000"/>
      <w:kern w:val="44"/>
      <w:szCs w:val="44"/>
    </w:rPr>
  </w:style>
  <w:style w:type="paragraph" w:styleId="10">
    <w:name w:val="heading 2"/>
    <w:basedOn w:val="1"/>
    <w:next w:val="1"/>
    <w:link w:val="97"/>
    <w:qFormat/>
    <w:uiPriority w:val="0"/>
    <w:pPr>
      <w:keepNext/>
      <w:keepLines/>
      <w:spacing w:before="240" w:after="120"/>
      <w:ind w:left="454" w:hanging="454"/>
      <w:jc w:val="center"/>
      <w:outlineLvl w:val="1"/>
    </w:pPr>
    <w:rPr>
      <w:rFonts w:ascii="Arial" w:hAnsi="Arial" w:eastAsia="宋体"/>
      <w:b/>
      <w:sz w:val="30"/>
      <w:szCs w:val="30"/>
    </w:rPr>
  </w:style>
  <w:style w:type="paragraph" w:styleId="11">
    <w:name w:val="heading 3"/>
    <w:basedOn w:val="1"/>
    <w:next w:val="12"/>
    <w:link w:val="103"/>
    <w:qFormat/>
    <w:uiPriority w:val="99"/>
    <w:pPr>
      <w:keepNext/>
      <w:keepLines/>
      <w:spacing w:beforeLines="50" w:afterLines="50" w:line="360" w:lineRule="auto"/>
      <w:jc w:val="center"/>
      <w:outlineLvl w:val="2"/>
    </w:pPr>
    <w:rPr>
      <w:rFonts w:eastAsia="宋体"/>
      <w:b/>
      <w:color w:val="000000"/>
      <w:sz w:val="24"/>
      <w:szCs w:val="24"/>
    </w:rPr>
  </w:style>
  <w:style w:type="paragraph" w:styleId="13">
    <w:name w:val="heading 4"/>
    <w:basedOn w:val="11"/>
    <w:next w:val="12"/>
    <w:link w:val="105"/>
    <w:qFormat/>
    <w:uiPriority w:val="0"/>
    <w:pPr>
      <w:outlineLvl w:val="3"/>
    </w:pPr>
    <w:rPr>
      <w:rFonts w:ascii="Arial" w:hAnsi="Arial"/>
      <w:b w:val="0"/>
    </w:rPr>
  </w:style>
  <w:style w:type="paragraph" w:styleId="14">
    <w:name w:val="heading 5"/>
    <w:basedOn w:val="13"/>
    <w:next w:val="12"/>
    <w:link w:val="106"/>
    <w:qFormat/>
    <w:uiPriority w:val="0"/>
    <w:pPr>
      <w:spacing w:line="240" w:lineRule="exact"/>
      <w:outlineLvl w:val="4"/>
    </w:pPr>
  </w:style>
  <w:style w:type="paragraph" w:styleId="15">
    <w:name w:val="heading 6"/>
    <w:basedOn w:val="1"/>
    <w:next w:val="1"/>
    <w:link w:val="107"/>
    <w:qFormat/>
    <w:uiPriority w:val="0"/>
    <w:pPr>
      <w:keepNext/>
      <w:keepLines/>
      <w:spacing w:before="240" w:after="64" w:line="320" w:lineRule="auto"/>
      <w:outlineLvl w:val="5"/>
    </w:pPr>
    <w:rPr>
      <w:rFonts w:ascii="Arial" w:hAnsi="Arial" w:eastAsia="黑体"/>
      <w:b/>
      <w:bCs/>
      <w:sz w:val="24"/>
      <w:szCs w:val="24"/>
    </w:rPr>
  </w:style>
  <w:style w:type="paragraph" w:styleId="16">
    <w:name w:val="heading 7"/>
    <w:basedOn w:val="1"/>
    <w:next w:val="12"/>
    <w:link w:val="108"/>
    <w:qFormat/>
    <w:uiPriority w:val="0"/>
    <w:pPr>
      <w:keepNext/>
      <w:keepLines/>
      <w:spacing w:before="240" w:after="64" w:line="320" w:lineRule="auto"/>
      <w:outlineLvl w:val="6"/>
    </w:pPr>
    <w:rPr>
      <w:rFonts w:eastAsia="宋体"/>
      <w:b/>
      <w:sz w:val="24"/>
    </w:rPr>
  </w:style>
  <w:style w:type="paragraph" w:styleId="17">
    <w:name w:val="heading 8"/>
    <w:basedOn w:val="1"/>
    <w:next w:val="12"/>
    <w:link w:val="109"/>
    <w:qFormat/>
    <w:uiPriority w:val="0"/>
    <w:pPr>
      <w:keepNext/>
      <w:keepLines/>
      <w:spacing w:before="240" w:after="64" w:line="320" w:lineRule="auto"/>
      <w:outlineLvl w:val="7"/>
    </w:pPr>
    <w:rPr>
      <w:rFonts w:ascii="Arial" w:hAnsi="Arial" w:eastAsia="黑体"/>
      <w:sz w:val="24"/>
    </w:rPr>
  </w:style>
  <w:style w:type="paragraph" w:styleId="18">
    <w:name w:val="heading 9"/>
    <w:basedOn w:val="1"/>
    <w:next w:val="12"/>
    <w:link w:val="110"/>
    <w:qFormat/>
    <w:uiPriority w:val="0"/>
    <w:pPr>
      <w:keepNext/>
      <w:keepLines/>
      <w:spacing w:before="240" w:after="64" w:line="320" w:lineRule="auto"/>
      <w:outlineLvl w:val="8"/>
    </w:pPr>
    <w:rPr>
      <w:rFonts w:ascii="Arial" w:hAnsi="Arial" w:eastAsia="黑体"/>
    </w:rPr>
  </w:style>
  <w:style w:type="character" w:default="1" w:styleId="79">
    <w:name w:val="Default Paragraph Font"/>
    <w:unhideWhenUsed/>
    <w:qFormat/>
    <w:uiPriority w:val="1"/>
  </w:style>
  <w:style w:type="table" w:default="1" w:styleId="77">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link w:val="135"/>
    <w:qFormat/>
    <w:uiPriority w:val="0"/>
    <w:pPr>
      <w:ind w:firstLine="420" w:firstLineChars="200"/>
    </w:pPr>
    <w:rPr>
      <w:rFonts w:ascii="宋体" w:hAnsi="宋体" w:eastAsia="宋体"/>
      <w:color w:val="000000"/>
      <w:szCs w:val="24"/>
      <w:u w:val="single"/>
    </w:rPr>
  </w:style>
  <w:style w:type="paragraph" w:styleId="3">
    <w:name w:val="Body Text Indent"/>
    <w:basedOn w:val="1"/>
    <w:next w:val="4"/>
    <w:link w:val="118"/>
    <w:unhideWhenUsed/>
    <w:qFormat/>
    <w:uiPriority w:val="99"/>
    <w:pPr>
      <w:spacing w:after="120"/>
      <w:ind w:left="420" w:leftChars="200"/>
    </w:pPr>
  </w:style>
  <w:style w:type="paragraph" w:styleId="4">
    <w:name w:val="envelope return"/>
    <w:basedOn w:val="1"/>
    <w:qFormat/>
    <w:uiPriority w:val="0"/>
    <w:pPr>
      <w:snapToGrid w:val="0"/>
    </w:pPr>
    <w:rPr>
      <w:rFonts w:ascii="Arial" w:hAnsi="Arial" w:eastAsia="宋体" w:cs="Arial"/>
      <w:szCs w:val="24"/>
    </w:rPr>
  </w:style>
  <w:style w:type="paragraph" w:styleId="5">
    <w:name w:val="macro"/>
    <w:link w:val="98"/>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7">
    <w:name w:val="Title"/>
    <w:basedOn w:val="1"/>
    <w:next w:val="1"/>
    <w:link w:val="99"/>
    <w:qFormat/>
    <w:uiPriority w:val="0"/>
    <w:pPr>
      <w:spacing w:before="120" w:after="60"/>
      <w:jc w:val="center"/>
    </w:pPr>
    <w:rPr>
      <w:rFonts w:ascii="Arial" w:hAnsi="Arial" w:eastAsia="宋体"/>
      <w:b/>
      <w:sz w:val="44"/>
    </w:rPr>
  </w:style>
  <w:style w:type="paragraph" w:styleId="8">
    <w:name w:val="Body Text First Indent"/>
    <w:basedOn w:val="9"/>
    <w:link w:val="102"/>
    <w:unhideWhenUsed/>
    <w:qFormat/>
    <w:uiPriority w:val="0"/>
    <w:pPr>
      <w:ind w:firstLine="420"/>
    </w:pPr>
  </w:style>
  <w:style w:type="paragraph" w:styleId="9">
    <w:name w:val="Body Text"/>
    <w:basedOn w:val="1"/>
    <w:next w:val="1"/>
    <w:link w:val="101"/>
    <w:unhideWhenUsed/>
    <w:qFormat/>
    <w:uiPriority w:val="0"/>
    <w:pPr>
      <w:spacing w:after="120"/>
    </w:pPr>
  </w:style>
  <w:style w:type="paragraph" w:styleId="12">
    <w:name w:val="Normal Indent"/>
    <w:basedOn w:val="1"/>
    <w:next w:val="1"/>
    <w:link w:val="104"/>
    <w:qFormat/>
    <w:uiPriority w:val="0"/>
    <w:pPr>
      <w:ind w:firstLine="420"/>
    </w:pPr>
    <w:rPr>
      <w:rFonts w:eastAsia="宋体"/>
    </w:rPr>
  </w:style>
  <w:style w:type="paragraph" w:styleId="19">
    <w:name w:val="List 3"/>
    <w:basedOn w:val="1"/>
    <w:qFormat/>
    <w:uiPriority w:val="0"/>
    <w:pPr>
      <w:ind w:left="100" w:leftChars="400" w:hanging="200" w:hangingChars="200"/>
    </w:pPr>
    <w:rPr>
      <w:rFonts w:eastAsia="宋体"/>
      <w:szCs w:val="24"/>
    </w:rPr>
  </w:style>
  <w:style w:type="paragraph" w:styleId="20">
    <w:name w:val="toc 7"/>
    <w:basedOn w:val="1"/>
    <w:next w:val="1"/>
    <w:qFormat/>
    <w:uiPriority w:val="0"/>
    <w:pPr>
      <w:ind w:left="1260"/>
      <w:jc w:val="left"/>
    </w:pPr>
    <w:rPr>
      <w:rFonts w:ascii="Calibri" w:hAnsi="Calibri" w:eastAsia="宋体"/>
      <w:sz w:val="18"/>
      <w:szCs w:val="18"/>
    </w:rPr>
  </w:style>
  <w:style w:type="paragraph" w:styleId="21">
    <w:name w:val="List Number 2"/>
    <w:basedOn w:val="1"/>
    <w:qFormat/>
    <w:uiPriority w:val="0"/>
    <w:pPr>
      <w:tabs>
        <w:tab w:val="left" w:pos="780"/>
        <w:tab w:val="left" w:pos="1053"/>
      </w:tabs>
    </w:pPr>
    <w:rPr>
      <w:rFonts w:eastAsia="宋体"/>
      <w:szCs w:val="24"/>
    </w:rPr>
  </w:style>
  <w:style w:type="paragraph" w:styleId="22">
    <w:name w:val="Note Heading"/>
    <w:basedOn w:val="1"/>
    <w:next w:val="1"/>
    <w:link w:val="111"/>
    <w:qFormat/>
    <w:uiPriority w:val="0"/>
    <w:pPr>
      <w:jc w:val="center"/>
    </w:pPr>
    <w:rPr>
      <w:rFonts w:eastAsia="方正大标宋简体"/>
      <w:sz w:val="24"/>
      <w:lang w:eastAsia="zh-TW"/>
    </w:rPr>
  </w:style>
  <w:style w:type="paragraph" w:styleId="23">
    <w:name w:val="List Bullet 4"/>
    <w:basedOn w:val="1"/>
    <w:qFormat/>
    <w:uiPriority w:val="0"/>
    <w:pPr>
      <w:tabs>
        <w:tab w:val="left" w:pos="1620"/>
      </w:tabs>
      <w:ind w:left="1440" w:hanging="1440"/>
    </w:pPr>
    <w:rPr>
      <w:rFonts w:eastAsia="宋体"/>
      <w:szCs w:val="24"/>
    </w:rPr>
  </w:style>
  <w:style w:type="paragraph" w:styleId="24">
    <w:name w:val="E-mail Signature"/>
    <w:basedOn w:val="1"/>
    <w:link w:val="112"/>
    <w:qFormat/>
    <w:uiPriority w:val="0"/>
    <w:rPr>
      <w:rFonts w:eastAsia="宋体"/>
      <w:szCs w:val="24"/>
    </w:rPr>
  </w:style>
  <w:style w:type="paragraph" w:styleId="25">
    <w:name w:val="List Number"/>
    <w:basedOn w:val="1"/>
    <w:qFormat/>
    <w:uiPriority w:val="0"/>
    <w:rPr>
      <w:rFonts w:eastAsia="宋体"/>
      <w:szCs w:val="24"/>
    </w:rPr>
  </w:style>
  <w:style w:type="paragraph" w:styleId="26">
    <w:name w:val="List Bullet"/>
    <w:basedOn w:val="1"/>
    <w:qFormat/>
    <w:uiPriority w:val="0"/>
    <w:pPr>
      <w:tabs>
        <w:tab w:val="left" w:pos="360"/>
      </w:tabs>
    </w:pPr>
    <w:rPr>
      <w:rFonts w:eastAsia="宋体"/>
      <w:szCs w:val="24"/>
    </w:rPr>
  </w:style>
  <w:style w:type="paragraph" w:styleId="27">
    <w:name w:val="envelope address"/>
    <w:basedOn w:val="1"/>
    <w:qFormat/>
    <w:uiPriority w:val="0"/>
    <w:pPr>
      <w:snapToGrid w:val="0"/>
      <w:ind w:left="100" w:leftChars="1400"/>
    </w:pPr>
    <w:rPr>
      <w:rFonts w:ascii="Arial" w:hAnsi="Arial" w:eastAsia="宋体" w:cs="Arial"/>
      <w:sz w:val="24"/>
      <w:szCs w:val="24"/>
    </w:rPr>
  </w:style>
  <w:style w:type="paragraph" w:styleId="28">
    <w:name w:val="Document Map"/>
    <w:basedOn w:val="1"/>
    <w:link w:val="113"/>
    <w:qFormat/>
    <w:uiPriority w:val="0"/>
    <w:pPr>
      <w:shd w:val="clear" w:color="auto" w:fill="000080"/>
    </w:pPr>
    <w:rPr>
      <w:rFonts w:eastAsia="宋体"/>
    </w:rPr>
  </w:style>
  <w:style w:type="paragraph" w:styleId="29">
    <w:name w:val="toa heading"/>
    <w:basedOn w:val="1"/>
    <w:next w:val="1"/>
    <w:qFormat/>
    <w:uiPriority w:val="0"/>
    <w:pPr>
      <w:spacing w:before="120"/>
    </w:pPr>
    <w:rPr>
      <w:rFonts w:ascii="Arial" w:hAnsi="Arial" w:eastAsia="宋体" w:cs="Arial"/>
      <w:sz w:val="24"/>
      <w:szCs w:val="24"/>
    </w:rPr>
  </w:style>
  <w:style w:type="paragraph" w:styleId="30">
    <w:name w:val="annotation text"/>
    <w:basedOn w:val="1"/>
    <w:link w:val="114"/>
    <w:qFormat/>
    <w:uiPriority w:val="0"/>
    <w:pPr>
      <w:jc w:val="left"/>
    </w:pPr>
  </w:style>
  <w:style w:type="paragraph" w:styleId="31">
    <w:name w:val="Salutation"/>
    <w:basedOn w:val="1"/>
    <w:next w:val="1"/>
    <w:link w:val="115"/>
    <w:qFormat/>
    <w:uiPriority w:val="0"/>
    <w:rPr>
      <w:rFonts w:eastAsia="宋体"/>
      <w:szCs w:val="24"/>
    </w:rPr>
  </w:style>
  <w:style w:type="paragraph" w:styleId="32">
    <w:name w:val="Body Text 3"/>
    <w:basedOn w:val="1"/>
    <w:link w:val="116"/>
    <w:qFormat/>
    <w:uiPriority w:val="0"/>
    <w:rPr>
      <w:rFonts w:ascii="宋体" w:hAnsi="宋体" w:eastAsia="宋体"/>
      <w:u w:val="single"/>
      <w:bdr w:val="single" w:color="auto" w:sz="4" w:space="0"/>
    </w:rPr>
  </w:style>
  <w:style w:type="paragraph" w:styleId="33">
    <w:name w:val="Closing"/>
    <w:basedOn w:val="1"/>
    <w:link w:val="117"/>
    <w:qFormat/>
    <w:uiPriority w:val="0"/>
    <w:pPr>
      <w:ind w:left="100" w:leftChars="2100"/>
    </w:pPr>
    <w:rPr>
      <w:rFonts w:eastAsia="宋体"/>
      <w:szCs w:val="24"/>
    </w:rPr>
  </w:style>
  <w:style w:type="paragraph" w:styleId="34">
    <w:name w:val="List Bullet 3"/>
    <w:basedOn w:val="1"/>
    <w:qFormat/>
    <w:uiPriority w:val="0"/>
    <w:pPr>
      <w:tabs>
        <w:tab w:val="left" w:pos="814"/>
        <w:tab w:val="left" w:pos="1200"/>
      </w:tabs>
      <w:ind w:firstLine="454"/>
    </w:pPr>
    <w:rPr>
      <w:rFonts w:eastAsia="宋体"/>
      <w:szCs w:val="24"/>
    </w:rPr>
  </w:style>
  <w:style w:type="paragraph" w:styleId="35">
    <w:name w:val="List Number 3"/>
    <w:basedOn w:val="1"/>
    <w:qFormat/>
    <w:uiPriority w:val="0"/>
    <w:pPr>
      <w:tabs>
        <w:tab w:val="left" w:pos="720"/>
        <w:tab w:val="left" w:pos="1200"/>
        <w:tab w:val="left" w:pos="2480"/>
      </w:tabs>
      <w:ind w:left="720" w:hanging="720"/>
    </w:pPr>
    <w:rPr>
      <w:rFonts w:eastAsia="宋体"/>
      <w:szCs w:val="24"/>
    </w:rPr>
  </w:style>
  <w:style w:type="paragraph" w:styleId="36">
    <w:name w:val="List 2"/>
    <w:basedOn w:val="1"/>
    <w:qFormat/>
    <w:uiPriority w:val="0"/>
    <w:pPr>
      <w:jc w:val="center"/>
    </w:pPr>
    <w:rPr>
      <w:rFonts w:ascii="宋体" w:eastAsia="宋体"/>
      <w:sz w:val="24"/>
    </w:rPr>
  </w:style>
  <w:style w:type="paragraph" w:styleId="37">
    <w:name w:val="List Continue"/>
    <w:basedOn w:val="1"/>
    <w:qFormat/>
    <w:uiPriority w:val="0"/>
    <w:pPr>
      <w:spacing w:after="120"/>
      <w:ind w:left="420" w:leftChars="200"/>
    </w:pPr>
    <w:rPr>
      <w:rFonts w:eastAsia="宋体"/>
      <w:szCs w:val="24"/>
    </w:rPr>
  </w:style>
  <w:style w:type="paragraph" w:styleId="38">
    <w:name w:val="Block Text"/>
    <w:basedOn w:val="1"/>
    <w:qFormat/>
    <w:uiPriority w:val="0"/>
    <w:pPr>
      <w:adjustRightInd w:val="0"/>
      <w:ind w:left="420" w:right="33"/>
      <w:jc w:val="left"/>
      <w:textAlignment w:val="baseline"/>
    </w:pPr>
    <w:rPr>
      <w:rFonts w:eastAsia="宋体"/>
      <w:kern w:val="0"/>
      <w:sz w:val="24"/>
    </w:rPr>
  </w:style>
  <w:style w:type="paragraph" w:styleId="39">
    <w:name w:val="List Bullet 2"/>
    <w:basedOn w:val="1"/>
    <w:qFormat/>
    <w:uiPriority w:val="0"/>
    <w:pPr>
      <w:tabs>
        <w:tab w:val="left" w:pos="780"/>
        <w:tab w:val="left" w:pos="2480"/>
      </w:tabs>
      <w:ind w:left="2480" w:hanging="1770"/>
    </w:pPr>
    <w:rPr>
      <w:rFonts w:eastAsia="宋体"/>
      <w:szCs w:val="24"/>
    </w:rPr>
  </w:style>
  <w:style w:type="paragraph" w:styleId="40">
    <w:name w:val="HTML Address"/>
    <w:basedOn w:val="1"/>
    <w:link w:val="119"/>
    <w:qFormat/>
    <w:uiPriority w:val="0"/>
    <w:rPr>
      <w:rFonts w:eastAsia="宋体"/>
      <w:i/>
      <w:iCs/>
      <w:szCs w:val="24"/>
    </w:rPr>
  </w:style>
  <w:style w:type="paragraph" w:styleId="41">
    <w:name w:val="toc 5"/>
    <w:basedOn w:val="1"/>
    <w:next w:val="1"/>
    <w:qFormat/>
    <w:uiPriority w:val="0"/>
    <w:pPr>
      <w:ind w:left="840"/>
      <w:jc w:val="left"/>
    </w:pPr>
    <w:rPr>
      <w:rFonts w:ascii="Calibri" w:hAnsi="Calibri" w:eastAsia="宋体"/>
      <w:sz w:val="18"/>
      <w:szCs w:val="18"/>
    </w:rPr>
  </w:style>
  <w:style w:type="paragraph" w:styleId="42">
    <w:name w:val="toc 3"/>
    <w:basedOn w:val="1"/>
    <w:next w:val="1"/>
    <w:qFormat/>
    <w:uiPriority w:val="39"/>
    <w:pPr>
      <w:ind w:left="420"/>
      <w:jc w:val="left"/>
    </w:pPr>
    <w:rPr>
      <w:rFonts w:ascii="Calibri" w:hAnsi="Calibri" w:eastAsia="宋体"/>
      <w:i/>
      <w:iCs/>
      <w:sz w:val="20"/>
    </w:rPr>
  </w:style>
  <w:style w:type="paragraph" w:styleId="43">
    <w:name w:val="Plain Text"/>
    <w:basedOn w:val="1"/>
    <w:link w:val="120"/>
    <w:unhideWhenUsed/>
    <w:qFormat/>
    <w:uiPriority w:val="0"/>
    <w:rPr>
      <w:rFonts w:ascii="宋体" w:hAnsi="Courier New"/>
      <w:szCs w:val="24"/>
    </w:rPr>
  </w:style>
  <w:style w:type="paragraph" w:styleId="44">
    <w:name w:val="List Bullet 5"/>
    <w:basedOn w:val="1"/>
    <w:qFormat/>
    <w:uiPriority w:val="0"/>
    <w:pPr>
      <w:tabs>
        <w:tab w:val="left" w:pos="814"/>
        <w:tab w:val="left" w:pos="2040"/>
      </w:tabs>
    </w:pPr>
    <w:rPr>
      <w:rFonts w:eastAsia="宋体"/>
      <w:szCs w:val="24"/>
    </w:rPr>
  </w:style>
  <w:style w:type="paragraph" w:styleId="45">
    <w:name w:val="List Number 4"/>
    <w:basedOn w:val="1"/>
    <w:qFormat/>
    <w:uiPriority w:val="0"/>
    <w:pPr>
      <w:tabs>
        <w:tab w:val="left" w:pos="782"/>
        <w:tab w:val="left" w:pos="1620"/>
      </w:tabs>
    </w:pPr>
    <w:rPr>
      <w:rFonts w:eastAsia="宋体"/>
      <w:szCs w:val="24"/>
    </w:rPr>
  </w:style>
  <w:style w:type="paragraph" w:styleId="46">
    <w:name w:val="toc 8"/>
    <w:basedOn w:val="1"/>
    <w:next w:val="1"/>
    <w:qFormat/>
    <w:uiPriority w:val="0"/>
    <w:pPr>
      <w:ind w:left="1470"/>
      <w:jc w:val="left"/>
    </w:pPr>
    <w:rPr>
      <w:rFonts w:ascii="Calibri" w:hAnsi="Calibri" w:eastAsia="宋体"/>
      <w:sz w:val="18"/>
      <w:szCs w:val="18"/>
    </w:rPr>
  </w:style>
  <w:style w:type="paragraph" w:styleId="47">
    <w:name w:val="Date"/>
    <w:basedOn w:val="1"/>
    <w:next w:val="1"/>
    <w:link w:val="121"/>
    <w:unhideWhenUsed/>
    <w:qFormat/>
    <w:uiPriority w:val="0"/>
  </w:style>
  <w:style w:type="paragraph" w:styleId="48">
    <w:name w:val="Body Text Indent 2"/>
    <w:basedOn w:val="1"/>
    <w:link w:val="122"/>
    <w:qFormat/>
    <w:uiPriority w:val="0"/>
    <w:pPr>
      <w:spacing w:after="120" w:line="480" w:lineRule="auto"/>
      <w:ind w:left="420" w:leftChars="200"/>
    </w:pPr>
    <w:rPr>
      <w:rFonts w:eastAsia="宋体"/>
    </w:rPr>
  </w:style>
  <w:style w:type="paragraph" w:styleId="49">
    <w:name w:val="endnote text"/>
    <w:basedOn w:val="1"/>
    <w:link w:val="123"/>
    <w:qFormat/>
    <w:uiPriority w:val="0"/>
    <w:pPr>
      <w:snapToGrid w:val="0"/>
      <w:jc w:val="left"/>
    </w:pPr>
    <w:rPr>
      <w:rFonts w:eastAsia="宋体"/>
    </w:rPr>
  </w:style>
  <w:style w:type="paragraph" w:styleId="50">
    <w:name w:val="List Continue 5"/>
    <w:basedOn w:val="1"/>
    <w:qFormat/>
    <w:uiPriority w:val="0"/>
    <w:pPr>
      <w:spacing w:after="120"/>
      <w:ind w:left="2100" w:leftChars="1000"/>
    </w:pPr>
    <w:rPr>
      <w:rFonts w:eastAsia="宋体"/>
      <w:szCs w:val="24"/>
    </w:rPr>
  </w:style>
  <w:style w:type="paragraph" w:styleId="51">
    <w:name w:val="Balloon Text"/>
    <w:basedOn w:val="1"/>
    <w:link w:val="124"/>
    <w:unhideWhenUsed/>
    <w:qFormat/>
    <w:uiPriority w:val="0"/>
    <w:rPr>
      <w:sz w:val="18"/>
      <w:szCs w:val="18"/>
    </w:rPr>
  </w:style>
  <w:style w:type="paragraph" w:styleId="52">
    <w:name w:val="footer"/>
    <w:basedOn w:val="1"/>
    <w:link w:val="125"/>
    <w:unhideWhenUsed/>
    <w:qFormat/>
    <w:uiPriority w:val="0"/>
    <w:pPr>
      <w:tabs>
        <w:tab w:val="center" w:pos="4153"/>
        <w:tab w:val="right" w:pos="8306"/>
      </w:tabs>
      <w:snapToGrid w:val="0"/>
      <w:jc w:val="left"/>
    </w:pPr>
    <w:rPr>
      <w:sz w:val="18"/>
    </w:rPr>
  </w:style>
  <w:style w:type="paragraph" w:styleId="53">
    <w:name w:val="header"/>
    <w:basedOn w:val="1"/>
    <w:link w:val="126"/>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4">
    <w:name w:val="Signature"/>
    <w:basedOn w:val="1"/>
    <w:link w:val="127"/>
    <w:qFormat/>
    <w:uiPriority w:val="0"/>
    <w:pPr>
      <w:ind w:left="100" w:leftChars="2100"/>
    </w:pPr>
    <w:rPr>
      <w:rFonts w:eastAsia="宋体"/>
      <w:szCs w:val="24"/>
    </w:rPr>
  </w:style>
  <w:style w:type="paragraph" w:styleId="55">
    <w:name w:val="toc 1"/>
    <w:basedOn w:val="1"/>
    <w:next w:val="1"/>
    <w:qFormat/>
    <w:uiPriority w:val="39"/>
    <w:pPr>
      <w:adjustRightInd w:val="0"/>
      <w:spacing w:line="360" w:lineRule="auto"/>
      <w:jc w:val="left"/>
      <w:textAlignment w:val="baseline"/>
    </w:pPr>
    <w:rPr>
      <w:rFonts w:ascii="宋体" w:hAnsi="宋体" w:eastAsia="宋体"/>
      <w:caps/>
      <w:kern w:val="0"/>
      <w:sz w:val="24"/>
      <w:szCs w:val="32"/>
    </w:rPr>
  </w:style>
  <w:style w:type="paragraph" w:styleId="56">
    <w:name w:val="List Continue 4"/>
    <w:basedOn w:val="1"/>
    <w:qFormat/>
    <w:uiPriority w:val="0"/>
    <w:pPr>
      <w:spacing w:after="120"/>
      <w:ind w:left="1680" w:leftChars="800"/>
    </w:pPr>
    <w:rPr>
      <w:rFonts w:eastAsia="宋体"/>
      <w:szCs w:val="24"/>
    </w:rPr>
  </w:style>
  <w:style w:type="paragraph" w:styleId="57">
    <w:name w:val="toc 4"/>
    <w:basedOn w:val="1"/>
    <w:next w:val="1"/>
    <w:qFormat/>
    <w:uiPriority w:val="0"/>
    <w:pPr>
      <w:ind w:left="630"/>
      <w:jc w:val="left"/>
    </w:pPr>
    <w:rPr>
      <w:rFonts w:ascii="Calibri" w:hAnsi="Calibri" w:eastAsia="宋体"/>
      <w:sz w:val="18"/>
      <w:szCs w:val="18"/>
    </w:rPr>
  </w:style>
  <w:style w:type="paragraph" w:styleId="58">
    <w:name w:val="Subtitle"/>
    <w:basedOn w:val="1"/>
    <w:link w:val="128"/>
    <w:qFormat/>
    <w:uiPriority w:val="0"/>
    <w:pPr>
      <w:spacing w:before="240" w:after="60" w:line="312" w:lineRule="auto"/>
      <w:jc w:val="center"/>
      <w:outlineLvl w:val="1"/>
    </w:pPr>
    <w:rPr>
      <w:rFonts w:ascii="Arial" w:hAnsi="Arial" w:eastAsia="宋体"/>
      <w:b/>
      <w:bCs/>
      <w:kern w:val="28"/>
      <w:sz w:val="32"/>
      <w:szCs w:val="32"/>
    </w:rPr>
  </w:style>
  <w:style w:type="paragraph" w:styleId="59">
    <w:name w:val="List Number 5"/>
    <w:basedOn w:val="1"/>
    <w:qFormat/>
    <w:uiPriority w:val="0"/>
    <w:pPr>
      <w:tabs>
        <w:tab w:val="left" w:pos="782"/>
        <w:tab w:val="left" w:pos="2040"/>
      </w:tabs>
      <w:ind w:left="840" w:hanging="420"/>
    </w:pPr>
    <w:rPr>
      <w:rFonts w:eastAsia="宋体"/>
      <w:szCs w:val="24"/>
    </w:rPr>
  </w:style>
  <w:style w:type="paragraph" w:styleId="60">
    <w:name w:val="List"/>
    <w:basedOn w:val="1"/>
    <w:qFormat/>
    <w:uiPriority w:val="0"/>
    <w:rPr>
      <w:rFonts w:eastAsia="宋体"/>
      <w:szCs w:val="24"/>
    </w:rPr>
  </w:style>
  <w:style w:type="paragraph" w:styleId="61">
    <w:name w:val="footnote text"/>
    <w:basedOn w:val="1"/>
    <w:link w:val="129"/>
    <w:qFormat/>
    <w:uiPriority w:val="0"/>
    <w:pPr>
      <w:snapToGrid w:val="0"/>
      <w:spacing w:line="360" w:lineRule="auto"/>
      <w:ind w:firstLine="523" w:firstLineChars="218"/>
      <w:jc w:val="left"/>
    </w:pPr>
    <w:rPr>
      <w:rFonts w:ascii="宋体" w:hAnsi="宋体" w:eastAsia="宋体"/>
      <w:kern w:val="0"/>
      <w:sz w:val="18"/>
      <w:szCs w:val="18"/>
    </w:rPr>
  </w:style>
  <w:style w:type="paragraph" w:styleId="62">
    <w:name w:val="toc 6"/>
    <w:basedOn w:val="1"/>
    <w:next w:val="1"/>
    <w:qFormat/>
    <w:uiPriority w:val="0"/>
    <w:pPr>
      <w:ind w:left="1050"/>
      <w:jc w:val="left"/>
    </w:pPr>
    <w:rPr>
      <w:rFonts w:ascii="Calibri" w:hAnsi="Calibri" w:eastAsia="宋体"/>
      <w:sz w:val="18"/>
      <w:szCs w:val="18"/>
    </w:rPr>
  </w:style>
  <w:style w:type="paragraph" w:styleId="63">
    <w:name w:val="List 5"/>
    <w:basedOn w:val="1"/>
    <w:qFormat/>
    <w:uiPriority w:val="0"/>
    <w:pPr>
      <w:ind w:left="100" w:leftChars="800" w:hanging="200" w:hangingChars="200"/>
    </w:pPr>
    <w:rPr>
      <w:rFonts w:eastAsia="宋体"/>
      <w:szCs w:val="24"/>
    </w:rPr>
  </w:style>
  <w:style w:type="paragraph" w:styleId="64">
    <w:name w:val="Body Text Indent 3"/>
    <w:basedOn w:val="1"/>
    <w:link w:val="130"/>
    <w:qFormat/>
    <w:uiPriority w:val="0"/>
    <w:pPr>
      <w:tabs>
        <w:tab w:val="left" w:pos="0"/>
      </w:tabs>
      <w:spacing w:line="400" w:lineRule="exact"/>
      <w:ind w:left="563" w:leftChars="228" w:hanging="84" w:hangingChars="35"/>
    </w:pPr>
    <w:rPr>
      <w:rFonts w:eastAsia="宋体"/>
      <w:color w:val="000000"/>
      <w:sz w:val="24"/>
    </w:rPr>
  </w:style>
  <w:style w:type="paragraph" w:styleId="65">
    <w:name w:val="table of figures"/>
    <w:basedOn w:val="1"/>
    <w:next w:val="1"/>
    <w:qFormat/>
    <w:uiPriority w:val="0"/>
    <w:pPr>
      <w:ind w:left="200" w:leftChars="200" w:hanging="200" w:hangingChars="200"/>
    </w:pPr>
    <w:rPr>
      <w:rFonts w:eastAsia="宋体"/>
      <w:sz w:val="24"/>
      <w:szCs w:val="24"/>
    </w:rPr>
  </w:style>
  <w:style w:type="paragraph" w:styleId="66">
    <w:name w:val="toc 2"/>
    <w:basedOn w:val="1"/>
    <w:next w:val="1"/>
    <w:qFormat/>
    <w:uiPriority w:val="39"/>
    <w:pPr>
      <w:ind w:left="210"/>
      <w:jc w:val="left"/>
    </w:pPr>
    <w:rPr>
      <w:rFonts w:ascii="Calibri" w:hAnsi="Calibri" w:eastAsia="宋体"/>
      <w:smallCaps/>
      <w:sz w:val="20"/>
    </w:rPr>
  </w:style>
  <w:style w:type="paragraph" w:styleId="67">
    <w:name w:val="toc 9"/>
    <w:basedOn w:val="1"/>
    <w:next w:val="1"/>
    <w:qFormat/>
    <w:uiPriority w:val="0"/>
    <w:pPr>
      <w:ind w:left="1680"/>
      <w:jc w:val="left"/>
    </w:pPr>
    <w:rPr>
      <w:rFonts w:ascii="Calibri" w:hAnsi="Calibri" w:eastAsia="宋体"/>
      <w:sz w:val="18"/>
      <w:szCs w:val="18"/>
    </w:rPr>
  </w:style>
  <w:style w:type="paragraph" w:styleId="68">
    <w:name w:val="Body Text 2"/>
    <w:basedOn w:val="1"/>
    <w:link w:val="131"/>
    <w:unhideWhenUsed/>
    <w:qFormat/>
    <w:uiPriority w:val="0"/>
    <w:pPr>
      <w:spacing w:after="120" w:line="480" w:lineRule="auto"/>
    </w:pPr>
  </w:style>
  <w:style w:type="paragraph" w:styleId="69">
    <w:name w:val="List 4"/>
    <w:basedOn w:val="1"/>
    <w:qFormat/>
    <w:uiPriority w:val="0"/>
    <w:pPr>
      <w:ind w:left="100" w:leftChars="600" w:hanging="200" w:hangingChars="200"/>
    </w:pPr>
    <w:rPr>
      <w:rFonts w:eastAsia="宋体"/>
      <w:szCs w:val="24"/>
    </w:rPr>
  </w:style>
  <w:style w:type="paragraph" w:styleId="70">
    <w:name w:val="List Continue 2"/>
    <w:basedOn w:val="1"/>
    <w:qFormat/>
    <w:uiPriority w:val="0"/>
    <w:pPr>
      <w:spacing w:after="120"/>
      <w:ind w:left="840" w:leftChars="400"/>
    </w:pPr>
    <w:rPr>
      <w:rFonts w:eastAsia="宋体"/>
      <w:szCs w:val="24"/>
    </w:rPr>
  </w:style>
  <w:style w:type="paragraph" w:styleId="71">
    <w:name w:val="Message Header"/>
    <w:basedOn w:val="1"/>
    <w:link w:val="13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sz w:val="24"/>
      <w:szCs w:val="24"/>
      <w:shd w:val="pct20" w:color="auto" w:fill="auto"/>
    </w:rPr>
  </w:style>
  <w:style w:type="paragraph" w:styleId="72">
    <w:name w:val="HTML Preformatted"/>
    <w:basedOn w:val="1"/>
    <w:link w:val="133"/>
    <w:qFormat/>
    <w:uiPriority w:val="0"/>
    <w:rPr>
      <w:rFonts w:ascii="Courier New" w:hAnsi="Courier New" w:eastAsia="宋体"/>
      <w:sz w:val="20"/>
    </w:rPr>
  </w:style>
  <w:style w:type="paragraph" w:styleId="73">
    <w:name w:val="Normal (Web)"/>
    <w:basedOn w:val="1"/>
    <w:unhideWhenUsed/>
    <w:qFormat/>
    <w:uiPriority w:val="99"/>
    <w:pPr>
      <w:widowControl/>
      <w:spacing w:before="100" w:beforeAutospacing="1" w:after="100" w:afterAutospacing="1"/>
      <w:jc w:val="left"/>
    </w:pPr>
    <w:rPr>
      <w:rFonts w:ascii="宋体" w:hAnsi="宋体" w:eastAsia="宋体"/>
      <w:kern w:val="0"/>
      <w:sz w:val="24"/>
      <w:szCs w:val="24"/>
    </w:rPr>
  </w:style>
  <w:style w:type="paragraph" w:styleId="74">
    <w:name w:val="List Continue 3"/>
    <w:basedOn w:val="1"/>
    <w:qFormat/>
    <w:uiPriority w:val="0"/>
    <w:pPr>
      <w:spacing w:after="120"/>
      <w:ind w:left="1260" w:leftChars="600"/>
    </w:pPr>
    <w:rPr>
      <w:rFonts w:eastAsia="宋体"/>
      <w:szCs w:val="24"/>
    </w:rPr>
  </w:style>
  <w:style w:type="paragraph" w:styleId="75">
    <w:name w:val="index 1"/>
    <w:basedOn w:val="1"/>
    <w:next w:val="1"/>
    <w:qFormat/>
    <w:uiPriority w:val="0"/>
    <w:pPr>
      <w:tabs>
        <w:tab w:val="left" w:pos="360"/>
        <w:tab w:val="left" w:pos="540"/>
      </w:tabs>
      <w:spacing w:line="360" w:lineRule="exact"/>
      <w:ind w:left="360" w:hanging="240"/>
    </w:pPr>
    <w:rPr>
      <w:rFonts w:ascii="宋体" w:hAnsi="宋体" w:eastAsia="宋体"/>
    </w:rPr>
  </w:style>
  <w:style w:type="paragraph" w:styleId="76">
    <w:name w:val="annotation subject"/>
    <w:basedOn w:val="30"/>
    <w:next w:val="30"/>
    <w:link w:val="134"/>
    <w:qFormat/>
    <w:uiPriority w:val="0"/>
    <w:rPr>
      <w:b/>
      <w:bCs/>
    </w:rPr>
  </w:style>
  <w:style w:type="table" w:styleId="78">
    <w:name w:val="Table Grid"/>
    <w:basedOn w:val="77"/>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0">
    <w:name w:val="Strong"/>
    <w:qFormat/>
    <w:uiPriority w:val="0"/>
    <w:rPr>
      <w:rFonts w:ascii="Times New Roman" w:hAnsi="Times New Roman" w:eastAsia="宋体" w:cs="Times New Roman"/>
      <w:b/>
      <w:bCs/>
    </w:rPr>
  </w:style>
  <w:style w:type="character" w:styleId="81">
    <w:name w:val="endnote reference"/>
    <w:qFormat/>
    <w:uiPriority w:val="0"/>
    <w:rPr>
      <w:rFonts w:ascii="Calibri" w:hAnsi="Calibri" w:eastAsia="宋体" w:cs="Times New Roman"/>
      <w:vertAlign w:val="superscript"/>
    </w:rPr>
  </w:style>
  <w:style w:type="character" w:styleId="82">
    <w:name w:val="page number"/>
    <w:unhideWhenUsed/>
    <w:qFormat/>
    <w:uiPriority w:val="0"/>
    <w:rPr>
      <w:rFonts w:eastAsia="宋体"/>
      <w:kern w:val="2"/>
      <w:sz w:val="24"/>
      <w:szCs w:val="24"/>
      <w:lang w:val="en-US" w:eastAsia="zh-CN" w:bidi="ar-SA"/>
    </w:rPr>
  </w:style>
  <w:style w:type="character" w:styleId="83">
    <w:name w:val="FollowedHyperlink"/>
    <w:qFormat/>
    <w:uiPriority w:val="99"/>
    <w:rPr>
      <w:rFonts w:ascii="Times New Roman" w:hAnsi="Times New Roman" w:eastAsia="宋体" w:cs="Times New Roman"/>
      <w:color w:val="800080"/>
      <w:u w:val="single"/>
    </w:rPr>
  </w:style>
  <w:style w:type="character" w:styleId="84">
    <w:name w:val="Emphasis"/>
    <w:qFormat/>
    <w:uiPriority w:val="20"/>
    <w:rPr>
      <w:rFonts w:ascii="Times New Roman" w:hAnsi="Times New Roman" w:eastAsia="宋体" w:cs="Times New Roman"/>
      <w:i/>
      <w:iCs/>
    </w:rPr>
  </w:style>
  <w:style w:type="character" w:styleId="85">
    <w:name w:val="line number"/>
    <w:qFormat/>
    <w:uiPriority w:val="0"/>
    <w:rPr>
      <w:rFonts w:ascii="Times New Roman" w:hAnsi="Times New Roman" w:eastAsia="宋体" w:cs="Times New Roman"/>
    </w:rPr>
  </w:style>
  <w:style w:type="character" w:styleId="86">
    <w:name w:val="HTML Definition"/>
    <w:qFormat/>
    <w:uiPriority w:val="0"/>
    <w:rPr>
      <w:rFonts w:ascii="Times New Roman" w:hAnsi="Times New Roman" w:eastAsia="宋体" w:cs="Times New Roman"/>
      <w:i/>
      <w:iCs/>
    </w:rPr>
  </w:style>
  <w:style w:type="character" w:styleId="87">
    <w:name w:val="HTML Typewriter"/>
    <w:qFormat/>
    <w:uiPriority w:val="0"/>
    <w:rPr>
      <w:rFonts w:ascii="PMingLiU" w:hAnsi="PMingLiU" w:eastAsia="宋体" w:cs="PMingLiU"/>
      <w:sz w:val="20"/>
      <w:szCs w:val="20"/>
    </w:rPr>
  </w:style>
  <w:style w:type="character" w:styleId="88">
    <w:name w:val="HTML Acronym"/>
    <w:qFormat/>
    <w:uiPriority w:val="0"/>
    <w:rPr>
      <w:rFonts w:ascii="Times New Roman" w:hAnsi="Times New Roman" w:eastAsia="宋体" w:cs="Times New Roman"/>
    </w:rPr>
  </w:style>
  <w:style w:type="character" w:styleId="89">
    <w:name w:val="HTML Variable"/>
    <w:qFormat/>
    <w:uiPriority w:val="0"/>
    <w:rPr>
      <w:rFonts w:ascii="Times New Roman" w:hAnsi="Times New Roman" w:eastAsia="宋体" w:cs="Times New Roman"/>
      <w:i/>
      <w:iCs/>
    </w:rPr>
  </w:style>
  <w:style w:type="character" w:styleId="90">
    <w:name w:val="Hyperlink"/>
    <w:qFormat/>
    <w:uiPriority w:val="99"/>
    <w:rPr>
      <w:rFonts w:ascii="Times New Roman" w:hAnsi="Times New Roman" w:eastAsia="宋体" w:cs="Times New Roman"/>
      <w:color w:val="0000FF"/>
      <w:u w:val="single"/>
    </w:rPr>
  </w:style>
  <w:style w:type="character" w:styleId="91">
    <w:name w:val="HTML Code"/>
    <w:qFormat/>
    <w:uiPriority w:val="0"/>
    <w:rPr>
      <w:rFonts w:ascii="PMingLiU" w:hAnsi="PMingLiU" w:eastAsia="宋体" w:cs="PMingLiU"/>
      <w:sz w:val="20"/>
      <w:szCs w:val="20"/>
    </w:rPr>
  </w:style>
  <w:style w:type="character" w:styleId="92">
    <w:name w:val="annotation reference"/>
    <w:qFormat/>
    <w:uiPriority w:val="0"/>
    <w:rPr>
      <w:sz w:val="21"/>
      <w:szCs w:val="21"/>
    </w:rPr>
  </w:style>
  <w:style w:type="character" w:styleId="93">
    <w:name w:val="HTML Cite"/>
    <w:qFormat/>
    <w:uiPriority w:val="0"/>
    <w:rPr>
      <w:rFonts w:ascii="Times New Roman" w:hAnsi="Times New Roman" w:eastAsia="宋体" w:cs="Times New Roman"/>
      <w:i/>
      <w:iCs/>
    </w:rPr>
  </w:style>
  <w:style w:type="character" w:styleId="94">
    <w:name w:val="footnote reference"/>
    <w:qFormat/>
    <w:uiPriority w:val="0"/>
    <w:rPr>
      <w:rFonts w:ascii="Calibri" w:hAnsi="Calibri" w:eastAsia="宋体" w:cs="Times New Roman"/>
      <w:vertAlign w:val="superscript"/>
    </w:rPr>
  </w:style>
  <w:style w:type="character" w:styleId="95">
    <w:name w:val="HTML Keyboard"/>
    <w:qFormat/>
    <w:uiPriority w:val="0"/>
    <w:rPr>
      <w:rFonts w:ascii="PMingLiU" w:hAnsi="PMingLiU" w:eastAsia="宋体" w:cs="PMingLiU"/>
      <w:sz w:val="20"/>
      <w:szCs w:val="20"/>
    </w:rPr>
  </w:style>
  <w:style w:type="character" w:styleId="96">
    <w:name w:val="HTML Sample"/>
    <w:qFormat/>
    <w:uiPriority w:val="0"/>
    <w:rPr>
      <w:rFonts w:ascii="PMingLiU" w:hAnsi="PMingLiU" w:eastAsia="宋体" w:cs="PMingLiU"/>
    </w:rPr>
  </w:style>
  <w:style w:type="character" w:customStyle="1" w:styleId="97">
    <w:name w:val="标题 2 字符1"/>
    <w:link w:val="10"/>
    <w:qFormat/>
    <w:uiPriority w:val="0"/>
    <w:rPr>
      <w:rFonts w:ascii="Arial" w:hAnsi="Arial" w:eastAsia="宋体" w:cs="Times New Roman"/>
      <w:b/>
      <w:sz w:val="30"/>
      <w:szCs w:val="30"/>
    </w:rPr>
  </w:style>
  <w:style w:type="character" w:customStyle="1" w:styleId="98">
    <w:name w:val="宏文本 字符"/>
    <w:link w:val="5"/>
    <w:qFormat/>
    <w:uiPriority w:val="99"/>
    <w:rPr>
      <w:rFonts w:ascii="Courier New" w:hAnsi="Courier New" w:eastAsia="宋体" w:cs="Times New Roman"/>
      <w:sz w:val="24"/>
      <w:szCs w:val="24"/>
    </w:rPr>
  </w:style>
  <w:style w:type="character" w:customStyle="1" w:styleId="99">
    <w:name w:val="标题 字符1"/>
    <w:link w:val="7"/>
    <w:qFormat/>
    <w:uiPriority w:val="0"/>
    <w:rPr>
      <w:rFonts w:ascii="Arial" w:hAnsi="Arial" w:eastAsia="宋体" w:cs="Times New Roman"/>
      <w:b/>
      <w:sz w:val="44"/>
      <w:szCs w:val="20"/>
    </w:rPr>
  </w:style>
  <w:style w:type="character" w:customStyle="1" w:styleId="100">
    <w:name w:val="标题 1 字符1"/>
    <w:link w:val="6"/>
    <w:qFormat/>
    <w:uiPriority w:val="0"/>
    <w:rPr>
      <w:rFonts w:ascii="Arial" w:hAnsi="Arial" w:eastAsia="宋体" w:cs="Times New Roman"/>
      <w:b/>
      <w:bCs/>
      <w:color w:val="000000"/>
      <w:kern w:val="44"/>
      <w:sz w:val="44"/>
      <w:szCs w:val="44"/>
    </w:rPr>
  </w:style>
  <w:style w:type="character" w:customStyle="1" w:styleId="101">
    <w:name w:val="正文文本 字符1"/>
    <w:link w:val="9"/>
    <w:qFormat/>
    <w:uiPriority w:val="0"/>
    <w:rPr>
      <w:rFonts w:ascii="Times New Roman" w:hAnsi="Times New Roman" w:eastAsia="楷体_GB2312" w:cs="Times New Roman"/>
      <w:szCs w:val="20"/>
    </w:rPr>
  </w:style>
  <w:style w:type="character" w:customStyle="1" w:styleId="102">
    <w:name w:val="正文文本首行缩进 字符"/>
    <w:link w:val="8"/>
    <w:qFormat/>
    <w:uiPriority w:val="0"/>
    <w:rPr>
      <w:rFonts w:ascii="Times New Roman" w:hAnsi="Times New Roman" w:eastAsia="楷体_GB2312" w:cs="Times New Roman"/>
      <w:szCs w:val="20"/>
    </w:rPr>
  </w:style>
  <w:style w:type="character" w:customStyle="1" w:styleId="103">
    <w:name w:val="标题 3 字符1"/>
    <w:link w:val="11"/>
    <w:qFormat/>
    <w:uiPriority w:val="99"/>
    <w:rPr>
      <w:rFonts w:ascii="Times New Roman" w:hAnsi="Times New Roman" w:eastAsia="宋体" w:cs="Times New Roman"/>
      <w:b/>
      <w:color w:val="000000"/>
      <w:sz w:val="24"/>
      <w:szCs w:val="24"/>
    </w:rPr>
  </w:style>
  <w:style w:type="character" w:customStyle="1" w:styleId="104">
    <w:name w:val="正文缩进 字符1"/>
    <w:link w:val="12"/>
    <w:qFormat/>
    <w:uiPriority w:val="0"/>
    <w:rPr>
      <w:rFonts w:ascii="Times New Roman" w:hAnsi="Times New Roman" w:eastAsia="宋体" w:cs="Times New Roman"/>
      <w:szCs w:val="20"/>
    </w:rPr>
  </w:style>
  <w:style w:type="character" w:customStyle="1" w:styleId="105">
    <w:name w:val="标题 4 字符1"/>
    <w:link w:val="13"/>
    <w:qFormat/>
    <w:uiPriority w:val="0"/>
    <w:rPr>
      <w:rFonts w:ascii="Arial" w:hAnsi="Arial" w:eastAsia="宋体" w:cs="Times New Roman"/>
      <w:color w:val="000000"/>
      <w:sz w:val="24"/>
      <w:szCs w:val="24"/>
    </w:rPr>
  </w:style>
  <w:style w:type="character" w:customStyle="1" w:styleId="106">
    <w:name w:val="标题 5 字符1"/>
    <w:link w:val="14"/>
    <w:qFormat/>
    <w:uiPriority w:val="0"/>
    <w:rPr>
      <w:rFonts w:ascii="Arial" w:hAnsi="Arial" w:eastAsia="宋体" w:cs="Times New Roman"/>
      <w:color w:val="000000"/>
      <w:sz w:val="24"/>
      <w:szCs w:val="24"/>
    </w:rPr>
  </w:style>
  <w:style w:type="character" w:customStyle="1" w:styleId="107">
    <w:name w:val="标题 6 字符1"/>
    <w:link w:val="15"/>
    <w:qFormat/>
    <w:uiPriority w:val="0"/>
    <w:rPr>
      <w:rFonts w:ascii="Arial" w:hAnsi="Arial" w:eastAsia="黑体" w:cs="Times New Roman"/>
      <w:b/>
      <w:bCs/>
      <w:sz w:val="24"/>
      <w:szCs w:val="24"/>
    </w:rPr>
  </w:style>
  <w:style w:type="character" w:customStyle="1" w:styleId="108">
    <w:name w:val="标题 7 字符1"/>
    <w:link w:val="16"/>
    <w:qFormat/>
    <w:uiPriority w:val="0"/>
    <w:rPr>
      <w:rFonts w:ascii="Times New Roman" w:hAnsi="Times New Roman" w:eastAsia="宋体" w:cs="Times New Roman"/>
      <w:b/>
      <w:sz w:val="24"/>
      <w:szCs w:val="20"/>
    </w:rPr>
  </w:style>
  <w:style w:type="character" w:customStyle="1" w:styleId="109">
    <w:name w:val="标题 8 字符1"/>
    <w:link w:val="17"/>
    <w:qFormat/>
    <w:uiPriority w:val="0"/>
    <w:rPr>
      <w:rFonts w:ascii="Arial" w:hAnsi="Arial" w:eastAsia="黑体" w:cs="Times New Roman"/>
      <w:sz w:val="24"/>
      <w:szCs w:val="20"/>
    </w:rPr>
  </w:style>
  <w:style w:type="character" w:customStyle="1" w:styleId="110">
    <w:name w:val="标题 9 字符1"/>
    <w:link w:val="18"/>
    <w:qFormat/>
    <w:uiPriority w:val="0"/>
    <w:rPr>
      <w:rFonts w:ascii="Arial" w:hAnsi="Arial" w:eastAsia="黑体" w:cs="Times New Roman"/>
      <w:szCs w:val="20"/>
    </w:rPr>
  </w:style>
  <w:style w:type="character" w:customStyle="1" w:styleId="111">
    <w:name w:val="注释标题 字符"/>
    <w:link w:val="22"/>
    <w:qFormat/>
    <w:uiPriority w:val="0"/>
    <w:rPr>
      <w:rFonts w:ascii="Times New Roman" w:hAnsi="Times New Roman" w:eastAsia="方正大标宋简体" w:cs="Times New Roman"/>
      <w:sz w:val="24"/>
      <w:szCs w:val="20"/>
      <w:lang w:eastAsia="zh-TW"/>
    </w:rPr>
  </w:style>
  <w:style w:type="character" w:customStyle="1" w:styleId="112">
    <w:name w:val="电子邮件签名 字符"/>
    <w:link w:val="24"/>
    <w:qFormat/>
    <w:uiPriority w:val="0"/>
    <w:rPr>
      <w:rFonts w:ascii="Times New Roman" w:hAnsi="Times New Roman" w:eastAsia="宋体" w:cs="Times New Roman"/>
      <w:szCs w:val="24"/>
    </w:rPr>
  </w:style>
  <w:style w:type="character" w:customStyle="1" w:styleId="113">
    <w:name w:val="文档结构图 字符1"/>
    <w:link w:val="28"/>
    <w:qFormat/>
    <w:uiPriority w:val="0"/>
    <w:rPr>
      <w:rFonts w:ascii="Times New Roman" w:hAnsi="Times New Roman" w:eastAsia="宋体" w:cs="Times New Roman"/>
      <w:szCs w:val="20"/>
      <w:shd w:val="clear" w:color="auto" w:fill="000080"/>
    </w:rPr>
  </w:style>
  <w:style w:type="character" w:customStyle="1" w:styleId="114">
    <w:name w:val="批注文字 字符1"/>
    <w:link w:val="30"/>
    <w:qFormat/>
    <w:uiPriority w:val="0"/>
    <w:rPr>
      <w:rFonts w:ascii="Times New Roman" w:hAnsi="Times New Roman" w:eastAsia="楷体_GB2312" w:cs="Times New Roman"/>
      <w:szCs w:val="20"/>
    </w:rPr>
  </w:style>
  <w:style w:type="character" w:customStyle="1" w:styleId="115">
    <w:name w:val="称呼 字符"/>
    <w:link w:val="31"/>
    <w:qFormat/>
    <w:uiPriority w:val="0"/>
    <w:rPr>
      <w:rFonts w:ascii="Times New Roman" w:hAnsi="Times New Roman" w:eastAsia="宋体" w:cs="Times New Roman"/>
      <w:szCs w:val="24"/>
    </w:rPr>
  </w:style>
  <w:style w:type="character" w:customStyle="1" w:styleId="116">
    <w:name w:val="正文文本 3 字符"/>
    <w:link w:val="32"/>
    <w:qFormat/>
    <w:uiPriority w:val="0"/>
    <w:rPr>
      <w:rFonts w:ascii="宋体" w:hAnsi="宋体" w:eastAsia="宋体" w:cs="Times New Roman"/>
      <w:szCs w:val="20"/>
      <w:u w:val="single"/>
      <w:bdr w:val="single" w:color="auto" w:sz="4" w:space="0"/>
    </w:rPr>
  </w:style>
  <w:style w:type="character" w:customStyle="1" w:styleId="117">
    <w:name w:val="结束语 字符"/>
    <w:link w:val="33"/>
    <w:qFormat/>
    <w:uiPriority w:val="0"/>
    <w:rPr>
      <w:rFonts w:ascii="Times New Roman" w:hAnsi="Times New Roman" w:eastAsia="宋体" w:cs="Times New Roman"/>
      <w:szCs w:val="24"/>
    </w:rPr>
  </w:style>
  <w:style w:type="character" w:customStyle="1" w:styleId="118">
    <w:name w:val="正文文本缩进 字符1"/>
    <w:link w:val="3"/>
    <w:qFormat/>
    <w:uiPriority w:val="99"/>
    <w:rPr>
      <w:rFonts w:ascii="Times New Roman" w:hAnsi="Times New Roman" w:eastAsia="楷体_GB2312" w:cs="Times New Roman"/>
      <w:szCs w:val="20"/>
    </w:rPr>
  </w:style>
  <w:style w:type="character" w:customStyle="1" w:styleId="119">
    <w:name w:val="HTML 地址 字符"/>
    <w:link w:val="40"/>
    <w:qFormat/>
    <w:uiPriority w:val="0"/>
    <w:rPr>
      <w:rFonts w:ascii="Times New Roman" w:hAnsi="Times New Roman" w:eastAsia="宋体" w:cs="Times New Roman"/>
      <w:i/>
      <w:iCs/>
      <w:szCs w:val="24"/>
    </w:rPr>
  </w:style>
  <w:style w:type="character" w:customStyle="1" w:styleId="120">
    <w:name w:val="纯文本 字符1"/>
    <w:link w:val="43"/>
    <w:qFormat/>
    <w:uiPriority w:val="0"/>
    <w:rPr>
      <w:rFonts w:ascii="宋体" w:hAnsi="Courier New" w:eastAsia="楷体_GB2312" w:cs="Times New Roman"/>
      <w:szCs w:val="24"/>
    </w:rPr>
  </w:style>
  <w:style w:type="character" w:customStyle="1" w:styleId="121">
    <w:name w:val="日期 字符1"/>
    <w:link w:val="47"/>
    <w:qFormat/>
    <w:uiPriority w:val="0"/>
    <w:rPr>
      <w:rFonts w:ascii="Times New Roman" w:hAnsi="Times New Roman" w:eastAsia="楷体_GB2312" w:cs="Times New Roman"/>
      <w:szCs w:val="20"/>
    </w:rPr>
  </w:style>
  <w:style w:type="character" w:customStyle="1" w:styleId="122">
    <w:name w:val="正文文本缩进 2 字符1"/>
    <w:link w:val="48"/>
    <w:qFormat/>
    <w:uiPriority w:val="0"/>
    <w:rPr>
      <w:rFonts w:ascii="Times New Roman" w:hAnsi="Times New Roman" w:eastAsia="宋体" w:cs="Times New Roman"/>
      <w:szCs w:val="20"/>
    </w:rPr>
  </w:style>
  <w:style w:type="character" w:customStyle="1" w:styleId="123">
    <w:name w:val="尾注文本 字符1"/>
    <w:link w:val="49"/>
    <w:qFormat/>
    <w:uiPriority w:val="0"/>
    <w:rPr>
      <w:rFonts w:ascii="Times New Roman" w:hAnsi="Times New Roman" w:eastAsia="宋体" w:cs="Times New Roman"/>
      <w:szCs w:val="20"/>
    </w:rPr>
  </w:style>
  <w:style w:type="character" w:customStyle="1" w:styleId="124">
    <w:name w:val="批注框文本 字符1"/>
    <w:link w:val="51"/>
    <w:qFormat/>
    <w:uiPriority w:val="0"/>
    <w:rPr>
      <w:rFonts w:ascii="Times New Roman" w:hAnsi="Times New Roman" w:eastAsia="楷体_GB2312" w:cs="Times New Roman"/>
      <w:sz w:val="18"/>
      <w:szCs w:val="18"/>
    </w:rPr>
  </w:style>
  <w:style w:type="character" w:customStyle="1" w:styleId="125">
    <w:name w:val="页脚 字符1"/>
    <w:link w:val="52"/>
    <w:qFormat/>
    <w:uiPriority w:val="0"/>
    <w:rPr>
      <w:rFonts w:ascii="Times New Roman" w:hAnsi="Times New Roman" w:eastAsia="楷体_GB2312" w:cs="Times New Roman"/>
      <w:sz w:val="18"/>
      <w:szCs w:val="20"/>
    </w:rPr>
  </w:style>
  <w:style w:type="character" w:customStyle="1" w:styleId="126">
    <w:name w:val="页眉 字符1"/>
    <w:link w:val="53"/>
    <w:qFormat/>
    <w:uiPriority w:val="0"/>
    <w:rPr>
      <w:rFonts w:ascii="Times New Roman" w:hAnsi="Times New Roman" w:eastAsia="楷体_GB2312" w:cs="Times New Roman"/>
      <w:sz w:val="18"/>
      <w:szCs w:val="20"/>
    </w:rPr>
  </w:style>
  <w:style w:type="character" w:customStyle="1" w:styleId="127">
    <w:name w:val="签名 字符"/>
    <w:link w:val="54"/>
    <w:qFormat/>
    <w:uiPriority w:val="0"/>
    <w:rPr>
      <w:rFonts w:ascii="Times New Roman" w:hAnsi="Times New Roman" w:eastAsia="宋体" w:cs="Times New Roman"/>
      <w:szCs w:val="24"/>
    </w:rPr>
  </w:style>
  <w:style w:type="character" w:customStyle="1" w:styleId="128">
    <w:name w:val="副标题 字符"/>
    <w:link w:val="58"/>
    <w:qFormat/>
    <w:uiPriority w:val="0"/>
    <w:rPr>
      <w:rFonts w:ascii="Arial" w:hAnsi="Arial" w:eastAsia="宋体" w:cs="Times New Roman"/>
      <w:b/>
      <w:bCs/>
      <w:kern w:val="28"/>
      <w:sz w:val="32"/>
      <w:szCs w:val="32"/>
    </w:rPr>
  </w:style>
  <w:style w:type="character" w:customStyle="1" w:styleId="129">
    <w:name w:val="脚注文本 字符1"/>
    <w:link w:val="61"/>
    <w:qFormat/>
    <w:uiPriority w:val="0"/>
    <w:rPr>
      <w:rFonts w:ascii="宋体" w:hAnsi="宋体" w:eastAsia="宋体" w:cs="Times New Roman"/>
      <w:kern w:val="0"/>
      <w:sz w:val="18"/>
      <w:szCs w:val="18"/>
    </w:rPr>
  </w:style>
  <w:style w:type="character" w:customStyle="1" w:styleId="130">
    <w:name w:val="正文文本缩进 3 字符1"/>
    <w:link w:val="64"/>
    <w:qFormat/>
    <w:uiPriority w:val="0"/>
    <w:rPr>
      <w:rFonts w:ascii="Times New Roman" w:hAnsi="Times New Roman" w:eastAsia="宋体" w:cs="Times New Roman"/>
      <w:color w:val="000000"/>
      <w:sz w:val="24"/>
      <w:szCs w:val="20"/>
    </w:rPr>
  </w:style>
  <w:style w:type="character" w:customStyle="1" w:styleId="131">
    <w:name w:val="正文文本 2 字符1"/>
    <w:link w:val="68"/>
    <w:qFormat/>
    <w:uiPriority w:val="0"/>
    <w:rPr>
      <w:rFonts w:ascii="Times New Roman" w:hAnsi="Times New Roman" w:eastAsia="楷体_GB2312" w:cs="Times New Roman"/>
      <w:szCs w:val="20"/>
    </w:rPr>
  </w:style>
  <w:style w:type="character" w:customStyle="1" w:styleId="132">
    <w:name w:val="信息标题 字符"/>
    <w:link w:val="71"/>
    <w:qFormat/>
    <w:uiPriority w:val="0"/>
    <w:rPr>
      <w:rFonts w:ascii="Arial" w:hAnsi="Arial" w:eastAsia="宋体" w:cs="Times New Roman"/>
      <w:sz w:val="24"/>
      <w:szCs w:val="24"/>
      <w:shd w:val="pct20" w:color="auto" w:fill="auto"/>
    </w:rPr>
  </w:style>
  <w:style w:type="character" w:customStyle="1" w:styleId="133">
    <w:name w:val="HTML 预设格式 字符"/>
    <w:link w:val="72"/>
    <w:qFormat/>
    <w:uiPriority w:val="0"/>
    <w:rPr>
      <w:rFonts w:ascii="Courier New" w:hAnsi="Courier New" w:eastAsia="宋体" w:cs="Times New Roman"/>
      <w:sz w:val="20"/>
      <w:szCs w:val="20"/>
    </w:rPr>
  </w:style>
  <w:style w:type="character" w:customStyle="1" w:styleId="134">
    <w:name w:val="批注主题 字符1"/>
    <w:link w:val="76"/>
    <w:qFormat/>
    <w:uiPriority w:val="0"/>
    <w:rPr>
      <w:rFonts w:ascii="Times New Roman" w:hAnsi="Times New Roman" w:eastAsia="楷体_GB2312" w:cs="Times New Roman"/>
      <w:b/>
      <w:bCs/>
      <w:szCs w:val="20"/>
    </w:rPr>
  </w:style>
  <w:style w:type="character" w:customStyle="1" w:styleId="135">
    <w:name w:val="正文文本首行缩进 2 字符"/>
    <w:link w:val="2"/>
    <w:qFormat/>
    <w:uiPriority w:val="0"/>
    <w:rPr>
      <w:rFonts w:ascii="宋体" w:hAnsi="宋体" w:eastAsia="宋体" w:cs="Times New Roman"/>
      <w:color w:val="000000"/>
      <w:szCs w:val="24"/>
      <w:u w:val="single"/>
    </w:rPr>
  </w:style>
  <w:style w:type="paragraph" w:customStyle="1" w:styleId="136">
    <w:name w:val="样式 宋体 行距: 1.5 倍行距"/>
    <w:basedOn w:val="1"/>
    <w:qFormat/>
    <w:uiPriority w:val="0"/>
    <w:pPr>
      <w:jc w:val="center"/>
    </w:pPr>
    <w:rPr>
      <w:b/>
    </w:rPr>
  </w:style>
  <w:style w:type="character" w:customStyle="1" w:styleId="137">
    <w:name w:val="正文文本缩进 Char"/>
    <w:qFormat/>
    <w:uiPriority w:val="0"/>
    <w:rPr>
      <w:rFonts w:ascii="Times New Roman" w:hAnsi="Times New Roman" w:eastAsia="楷体_GB2312" w:cs="Times New Roman"/>
      <w:szCs w:val="20"/>
    </w:rPr>
  </w:style>
  <w:style w:type="character" w:customStyle="1" w:styleId="138">
    <w:name w:val="标题 1 Char"/>
    <w:qFormat/>
    <w:uiPriority w:val="0"/>
    <w:rPr>
      <w:rFonts w:ascii="Times New Roman" w:hAnsi="Times New Roman" w:eastAsia="楷体_GB2312" w:cs="Times New Roman"/>
      <w:b/>
      <w:bCs/>
      <w:kern w:val="44"/>
      <w:sz w:val="44"/>
      <w:szCs w:val="44"/>
    </w:rPr>
  </w:style>
  <w:style w:type="character" w:customStyle="1" w:styleId="139">
    <w:name w:val="标题 Char"/>
    <w:qFormat/>
    <w:uiPriority w:val="0"/>
    <w:rPr>
      <w:rFonts w:ascii="Cambria" w:hAnsi="Cambria" w:eastAsia="宋体" w:cs="Times New Roman"/>
      <w:b/>
      <w:bCs/>
      <w:sz w:val="32"/>
      <w:szCs w:val="32"/>
    </w:rPr>
  </w:style>
  <w:style w:type="character" w:customStyle="1" w:styleId="140">
    <w:name w:val="批注文字 Char"/>
    <w:qFormat/>
    <w:uiPriority w:val="0"/>
    <w:rPr>
      <w:rFonts w:ascii="Times New Roman" w:hAnsi="Times New Roman" w:eastAsia="楷体_GB2312" w:cs="Times New Roman"/>
      <w:szCs w:val="20"/>
    </w:rPr>
  </w:style>
  <w:style w:type="character" w:customStyle="1" w:styleId="141">
    <w:name w:val="尾注文本 Char"/>
    <w:qFormat/>
    <w:uiPriority w:val="0"/>
    <w:rPr>
      <w:rFonts w:ascii="Times New Roman" w:hAnsi="Times New Roman" w:eastAsia="楷体_GB2312" w:cs="Times New Roman"/>
      <w:szCs w:val="20"/>
    </w:rPr>
  </w:style>
  <w:style w:type="character" w:customStyle="1" w:styleId="142">
    <w:name w:val="页脚 Char"/>
    <w:qFormat/>
    <w:uiPriority w:val="99"/>
    <w:rPr>
      <w:rFonts w:ascii="Times New Roman" w:hAnsi="Times New Roman" w:eastAsia="楷体_GB2312" w:cs="Times New Roman"/>
      <w:sz w:val="18"/>
      <w:szCs w:val="18"/>
    </w:rPr>
  </w:style>
  <w:style w:type="character" w:customStyle="1" w:styleId="143">
    <w:name w:val="页眉 Char"/>
    <w:qFormat/>
    <w:uiPriority w:val="99"/>
    <w:rPr>
      <w:rFonts w:ascii="Times New Roman" w:hAnsi="Times New Roman" w:eastAsia="楷体_GB2312" w:cs="Times New Roman"/>
      <w:sz w:val="18"/>
      <w:szCs w:val="18"/>
    </w:rPr>
  </w:style>
  <w:style w:type="character" w:customStyle="1" w:styleId="144">
    <w:name w:val="批注主题 Char"/>
    <w:qFormat/>
    <w:uiPriority w:val="0"/>
    <w:rPr>
      <w:rFonts w:ascii="Times New Roman" w:hAnsi="Times New Roman" w:eastAsia="楷体_GB2312" w:cs="Times New Roman"/>
      <w:b/>
      <w:bCs/>
      <w:szCs w:val="20"/>
    </w:rPr>
  </w:style>
  <w:style w:type="character" w:customStyle="1" w:styleId="145">
    <w:name w:val="称呼 Char2"/>
    <w:semiHidden/>
    <w:qFormat/>
    <w:uiPriority w:val="99"/>
    <w:rPr>
      <w:kern w:val="2"/>
      <w:sz w:val="21"/>
      <w:szCs w:val="22"/>
    </w:rPr>
  </w:style>
  <w:style w:type="character" w:customStyle="1" w:styleId="146">
    <w:name w:val="正文文本 3 Char1"/>
    <w:semiHidden/>
    <w:qFormat/>
    <w:uiPriority w:val="99"/>
    <w:rPr>
      <w:rFonts w:ascii="Times New Roman" w:hAnsi="Times New Roman" w:eastAsia="楷体_GB2312" w:cs="Times New Roman"/>
      <w:sz w:val="16"/>
      <w:szCs w:val="16"/>
    </w:rPr>
  </w:style>
  <w:style w:type="character" w:customStyle="1" w:styleId="147">
    <w:name w:val="页眉 字符"/>
    <w:qFormat/>
    <w:uiPriority w:val="0"/>
    <w:rPr>
      <w:rFonts w:ascii="Calibri" w:hAnsi="Calibri" w:eastAsia="宋体" w:cs="Times New Roman"/>
      <w:sz w:val="18"/>
      <w:szCs w:val="18"/>
    </w:rPr>
  </w:style>
  <w:style w:type="character" w:customStyle="1" w:styleId="148">
    <w:name w:val="宏文本 Char2"/>
    <w:semiHidden/>
    <w:qFormat/>
    <w:uiPriority w:val="99"/>
    <w:rPr>
      <w:rFonts w:ascii="Courier New" w:hAnsi="Courier New" w:cs="Courier New"/>
      <w:kern w:val="2"/>
      <w:sz w:val="24"/>
      <w:szCs w:val="24"/>
    </w:rPr>
  </w:style>
  <w:style w:type="character" w:customStyle="1" w:styleId="149">
    <w:name w:val="方案正文 Char"/>
    <w:link w:val="150"/>
    <w:qFormat/>
    <w:uiPriority w:val="0"/>
    <w:rPr>
      <w:rFonts w:ascii="宋体"/>
      <w:sz w:val="24"/>
      <w:szCs w:val="24"/>
    </w:rPr>
  </w:style>
  <w:style w:type="paragraph" w:customStyle="1" w:styleId="150">
    <w:name w:val="方案正文"/>
    <w:basedOn w:val="1"/>
    <w:link w:val="149"/>
    <w:qFormat/>
    <w:uiPriority w:val="0"/>
    <w:pPr>
      <w:spacing w:line="360" w:lineRule="auto"/>
      <w:ind w:firstLine="480" w:firstLineChars="200"/>
      <w:jc w:val="left"/>
    </w:pPr>
    <w:rPr>
      <w:rFonts w:ascii="宋体" w:hAnsi="Calibri" w:eastAsia="宋体" w:cs="Times New Roman"/>
      <w:sz w:val="24"/>
      <w:szCs w:val="24"/>
    </w:rPr>
  </w:style>
  <w:style w:type="character" w:customStyle="1" w:styleId="151">
    <w:name w:val="批注主题 Char4"/>
    <w:semiHidden/>
    <w:qFormat/>
    <w:uiPriority w:val="99"/>
    <w:rPr>
      <w:rFonts w:ascii="Times New Roman" w:hAnsi="Times New Roman" w:eastAsia="宋体" w:cs="Times New Roman"/>
      <w:b/>
      <w:bCs/>
    </w:rPr>
  </w:style>
  <w:style w:type="character" w:customStyle="1" w:styleId="152">
    <w:name w:val="批注主题 Char2"/>
    <w:semiHidden/>
    <w:qFormat/>
    <w:uiPriority w:val="99"/>
    <w:rPr>
      <w:rFonts w:ascii="Times New Roman" w:hAnsi="Times New Roman" w:eastAsia="楷体_GB2312" w:cs="Times New Roman"/>
      <w:b/>
      <w:bCs/>
      <w:kern w:val="2"/>
      <w:sz w:val="21"/>
      <w:szCs w:val="20"/>
    </w:rPr>
  </w:style>
  <w:style w:type="character" w:customStyle="1" w:styleId="153">
    <w:name w:val="标题 6 Char1"/>
    <w:qFormat/>
    <w:uiPriority w:val="0"/>
    <w:rPr>
      <w:rFonts w:ascii="Arial" w:hAnsi="Arial" w:eastAsia="ˎ̥" w:cs="Times New Roman"/>
      <w:b/>
      <w:bCs/>
      <w:kern w:val="2"/>
      <w:sz w:val="24"/>
      <w:szCs w:val="24"/>
      <w:lang w:val="en-US" w:eastAsia="zh-CN" w:bidi="ar-SA"/>
    </w:rPr>
  </w:style>
  <w:style w:type="character" w:customStyle="1" w:styleId="154">
    <w:name w:val="尾注文本 Char2"/>
    <w:semiHidden/>
    <w:qFormat/>
    <w:uiPriority w:val="99"/>
    <w:rPr>
      <w:rFonts w:eastAsia="楷体_GB2312"/>
      <w:kern w:val="2"/>
      <w:sz w:val="21"/>
    </w:rPr>
  </w:style>
  <w:style w:type="character" w:customStyle="1" w:styleId="155">
    <w:name w:val="文一 Char"/>
    <w:link w:val="156"/>
    <w:qFormat/>
    <w:uiPriority w:val="0"/>
    <w:rPr>
      <w:snapToGrid w:val="0"/>
      <w:spacing w:val="4"/>
      <w:sz w:val="24"/>
      <w:szCs w:val="24"/>
    </w:rPr>
  </w:style>
  <w:style w:type="paragraph" w:customStyle="1" w:styleId="156">
    <w:name w:val="文一"/>
    <w:basedOn w:val="1"/>
    <w:link w:val="155"/>
    <w:qFormat/>
    <w:uiPriority w:val="0"/>
    <w:pPr>
      <w:topLinePunct/>
      <w:adjustRightInd w:val="0"/>
      <w:snapToGrid w:val="0"/>
      <w:spacing w:line="360" w:lineRule="auto"/>
      <w:ind w:firstLine="200" w:firstLineChars="200"/>
    </w:pPr>
    <w:rPr>
      <w:rFonts w:ascii="Calibri" w:hAnsi="Calibri" w:eastAsia="宋体" w:cs="Times New Roman"/>
      <w:snapToGrid w:val="0"/>
      <w:spacing w:val="4"/>
      <w:sz w:val="24"/>
      <w:szCs w:val="24"/>
    </w:rPr>
  </w:style>
  <w:style w:type="character" w:customStyle="1" w:styleId="157">
    <w:name w:val="批注框文本 Char1"/>
    <w:qFormat/>
    <w:uiPriority w:val="99"/>
    <w:rPr>
      <w:rFonts w:ascii="Times New Roman" w:hAnsi="Times New Roman" w:eastAsia="楷体_GB2312" w:cs="Times New Roman"/>
      <w:sz w:val="18"/>
      <w:szCs w:val="18"/>
    </w:rPr>
  </w:style>
  <w:style w:type="character" w:customStyle="1" w:styleId="158">
    <w:name w:val="表格文字居左 Char"/>
    <w:link w:val="159"/>
    <w:qFormat/>
    <w:uiPriority w:val="0"/>
    <w:rPr>
      <w:rFonts w:ascii="宋体"/>
      <w:sz w:val="24"/>
      <w:szCs w:val="24"/>
    </w:rPr>
  </w:style>
  <w:style w:type="paragraph" w:customStyle="1" w:styleId="159">
    <w:name w:val="表格文字居左"/>
    <w:basedOn w:val="1"/>
    <w:next w:val="1"/>
    <w:link w:val="158"/>
    <w:qFormat/>
    <w:uiPriority w:val="0"/>
    <w:pPr>
      <w:ind w:firstLine="480" w:firstLineChars="200"/>
    </w:pPr>
    <w:rPr>
      <w:rFonts w:ascii="宋体" w:hAnsi="Calibri" w:eastAsia="宋体" w:cs="Times New Roman"/>
      <w:sz w:val="24"/>
      <w:szCs w:val="24"/>
    </w:rPr>
  </w:style>
  <w:style w:type="character" w:customStyle="1" w:styleId="160">
    <w:name w:val="样式 表格文字居中 + 黑色 Char"/>
    <w:link w:val="161"/>
    <w:qFormat/>
    <w:uiPriority w:val="0"/>
    <w:rPr>
      <w:rFonts w:ascii="宋体" w:hAnsi="宋体"/>
      <w:b/>
      <w:bCs/>
      <w:color w:val="000000"/>
      <w:sz w:val="24"/>
      <w:szCs w:val="21"/>
    </w:rPr>
  </w:style>
  <w:style w:type="paragraph" w:customStyle="1" w:styleId="161">
    <w:name w:val="样式 表格文字居中 + 黑色"/>
    <w:basedOn w:val="162"/>
    <w:link w:val="160"/>
    <w:qFormat/>
    <w:uiPriority w:val="0"/>
    <w:pPr>
      <w:widowControl/>
    </w:pPr>
    <w:rPr>
      <w:rFonts w:eastAsia="宋体" w:cs="Times New Roman"/>
      <w:color w:val="000000"/>
      <w:kern w:val="2"/>
      <w:szCs w:val="21"/>
    </w:rPr>
  </w:style>
  <w:style w:type="paragraph" w:customStyle="1" w:styleId="162">
    <w:name w:val="表格文字居中"/>
    <w:basedOn w:val="1"/>
    <w:link w:val="163"/>
    <w:qFormat/>
    <w:uiPriority w:val="0"/>
    <w:pPr>
      <w:spacing w:line="360" w:lineRule="auto"/>
      <w:jc w:val="center"/>
    </w:pPr>
    <w:rPr>
      <w:rFonts w:ascii="宋体" w:hAnsi="宋体" w:eastAsia="宋体"/>
      <w:b/>
      <w:bCs/>
      <w:kern w:val="0"/>
      <w:sz w:val="24"/>
      <w:szCs w:val="24"/>
    </w:rPr>
  </w:style>
  <w:style w:type="character" w:customStyle="1" w:styleId="163">
    <w:name w:val="表格文字居中 Char"/>
    <w:link w:val="162"/>
    <w:qFormat/>
    <w:uiPriority w:val="0"/>
    <w:rPr>
      <w:rFonts w:ascii="宋体" w:hAnsi="宋体" w:eastAsia="宋体" w:cs="Times New Roman"/>
      <w:b/>
      <w:bCs/>
      <w:kern w:val="0"/>
      <w:sz w:val="24"/>
      <w:szCs w:val="24"/>
    </w:rPr>
  </w:style>
  <w:style w:type="character" w:customStyle="1" w:styleId="164">
    <w:name w:val="正文首行缩进 2 Char1"/>
    <w:qFormat/>
    <w:uiPriority w:val="0"/>
  </w:style>
  <w:style w:type="character" w:customStyle="1" w:styleId="165">
    <w:name w:val="文档结构图 字符"/>
    <w:qFormat/>
    <w:uiPriority w:val="0"/>
    <w:rPr>
      <w:rFonts w:ascii="Microsoft YaHei UI" w:hAnsi="Calibri" w:eastAsia="Microsoft YaHei UI" w:cs="Times New Roman"/>
      <w:sz w:val="18"/>
      <w:szCs w:val="18"/>
    </w:rPr>
  </w:style>
  <w:style w:type="character" w:customStyle="1" w:styleId="166">
    <w:name w:val="标题 6 字符"/>
    <w:qFormat/>
    <w:uiPriority w:val="0"/>
    <w:rPr>
      <w:rFonts w:ascii="等线 Light" w:hAnsi="等线 Light" w:eastAsia="等线 Light" w:cs="Times New Roman"/>
      <w:b/>
      <w:bCs/>
      <w:sz w:val="24"/>
      <w:szCs w:val="24"/>
    </w:rPr>
  </w:style>
  <w:style w:type="character" w:customStyle="1" w:styleId="167">
    <w:name w:val="Char Char10"/>
    <w:qFormat/>
    <w:uiPriority w:val="0"/>
    <w:rPr>
      <w:rFonts w:ascii="Calibri" w:hAnsi="Calibri" w:eastAsia="宋体" w:cs="Times New Roman"/>
      <w:kern w:val="2"/>
      <w:sz w:val="21"/>
      <w:szCs w:val="24"/>
      <w:lang w:val="en-US" w:eastAsia="zh-CN" w:bidi="ar-SA"/>
    </w:rPr>
  </w:style>
  <w:style w:type="character" w:customStyle="1" w:styleId="168">
    <w:name w:val="批注文字 字符"/>
    <w:qFormat/>
    <w:uiPriority w:val="0"/>
    <w:rPr>
      <w:rFonts w:ascii="Calibri" w:hAnsi="Calibri" w:eastAsia="宋体" w:cs="Times New Roman"/>
    </w:rPr>
  </w:style>
  <w:style w:type="character" w:customStyle="1" w:styleId="169">
    <w:name w:val="标题 9 字符"/>
    <w:qFormat/>
    <w:uiPriority w:val="0"/>
    <w:rPr>
      <w:rFonts w:ascii="等线 Light" w:hAnsi="等线 Light" w:eastAsia="等线 Light" w:cs="Times New Roman"/>
      <w:szCs w:val="21"/>
    </w:rPr>
  </w:style>
  <w:style w:type="character" w:customStyle="1" w:styleId="170">
    <w:name w:val="标题 3 Char1"/>
    <w:qFormat/>
    <w:uiPriority w:val="0"/>
    <w:rPr>
      <w:rFonts w:ascii="Times New Roman" w:hAnsi="Times New Roman" w:eastAsia="宋体" w:cs="Times New Roman"/>
      <w:b/>
      <w:color w:val="0000FF"/>
      <w:kern w:val="2"/>
      <w:sz w:val="30"/>
      <w:szCs w:val="24"/>
      <w:lang w:val="en-US" w:eastAsia="zh-CN" w:bidi="ar-SA"/>
    </w:rPr>
  </w:style>
  <w:style w:type="character" w:customStyle="1" w:styleId="171">
    <w:name w:val="yxInternal"/>
    <w:qFormat/>
    <w:uiPriority w:val="0"/>
    <w:rPr>
      <w:rFonts w:ascii="PMingLiU" w:hAnsi="PMingLiU" w:eastAsia="宋体" w:cs="Times New Roman"/>
      <w:color w:val="FF0000"/>
    </w:rPr>
  </w:style>
  <w:style w:type="character" w:customStyle="1" w:styleId="172">
    <w:name w:val="Normal Indent Char"/>
    <w:qFormat/>
    <w:locked/>
    <w:uiPriority w:val="0"/>
    <w:rPr>
      <w:kern w:val="2"/>
      <w:sz w:val="21"/>
    </w:rPr>
  </w:style>
  <w:style w:type="character" w:customStyle="1" w:styleId="173">
    <w:name w:val="脚注文本 Char3"/>
    <w:semiHidden/>
    <w:qFormat/>
    <w:uiPriority w:val="99"/>
    <w:rPr>
      <w:rFonts w:eastAsia="楷体_GB2312"/>
      <w:kern w:val="2"/>
      <w:sz w:val="18"/>
      <w:szCs w:val="18"/>
    </w:rPr>
  </w:style>
  <w:style w:type="character" w:customStyle="1" w:styleId="174">
    <w:name w:val="copy1"/>
    <w:qFormat/>
    <w:uiPriority w:val="0"/>
    <w:rPr>
      <w:rFonts w:hint="default" w:ascii="Wingdings" w:hAnsi="Wingdings" w:eastAsia="宋体" w:cs="Times New Roman"/>
      <w:sz w:val="16"/>
      <w:szCs w:val="16"/>
    </w:rPr>
  </w:style>
  <w:style w:type="character" w:customStyle="1" w:styleId="175">
    <w:name w:val="注释标题 Char1"/>
    <w:semiHidden/>
    <w:qFormat/>
    <w:uiPriority w:val="99"/>
    <w:rPr>
      <w:rFonts w:eastAsia="楷体_GB2312"/>
      <w:kern w:val="2"/>
      <w:sz w:val="21"/>
    </w:rPr>
  </w:style>
  <w:style w:type="character" w:customStyle="1" w:styleId="176">
    <w:name w:val="标题 1 字符"/>
    <w:qFormat/>
    <w:uiPriority w:val="0"/>
    <w:rPr>
      <w:rFonts w:ascii="Calibri" w:hAnsi="Calibri" w:eastAsia="宋体" w:cs="Times New Roman"/>
      <w:b/>
      <w:bCs/>
      <w:kern w:val="44"/>
      <w:sz w:val="44"/>
      <w:szCs w:val="44"/>
    </w:rPr>
  </w:style>
  <w:style w:type="character" w:customStyle="1" w:styleId="177">
    <w:name w:val="正文缩2 Char"/>
    <w:link w:val="178"/>
    <w:qFormat/>
    <w:uiPriority w:val="0"/>
    <w:rPr>
      <w:sz w:val="24"/>
      <w:szCs w:val="24"/>
    </w:rPr>
  </w:style>
  <w:style w:type="paragraph" w:customStyle="1" w:styleId="178">
    <w:name w:val="正文缩2"/>
    <w:basedOn w:val="1"/>
    <w:link w:val="177"/>
    <w:qFormat/>
    <w:uiPriority w:val="0"/>
    <w:pPr>
      <w:spacing w:beforeLines="50" w:line="300" w:lineRule="auto"/>
      <w:ind w:firstLine="480" w:firstLineChars="200"/>
    </w:pPr>
    <w:rPr>
      <w:rFonts w:ascii="Calibri" w:hAnsi="Calibri" w:eastAsia="宋体" w:cs="Times New Roman"/>
      <w:sz w:val="24"/>
      <w:szCs w:val="24"/>
    </w:rPr>
  </w:style>
  <w:style w:type="character" w:customStyle="1" w:styleId="179">
    <w:name w:val="签名 Char4"/>
    <w:semiHidden/>
    <w:qFormat/>
    <w:uiPriority w:val="99"/>
    <w:rPr>
      <w:rFonts w:ascii="Times New Roman" w:hAnsi="Times New Roman" w:eastAsia="宋体" w:cs="Times New Roman"/>
    </w:rPr>
  </w:style>
  <w:style w:type="character" w:customStyle="1" w:styleId="180">
    <w:name w:val="样式 样式 样式 仿宋_GB2312 四号 段后: 7.8 磅 行距: 1.5 倍行距 + 首行缩进:  2 字符 + Char"/>
    <w:link w:val="181"/>
    <w:qFormat/>
    <w:uiPriority w:val="0"/>
    <w:rPr>
      <w:rFonts w:ascii="Batang" w:hAnsi="宋体" w:eastAsia="Calibri"/>
      <w:sz w:val="24"/>
    </w:rPr>
  </w:style>
  <w:style w:type="paragraph" w:customStyle="1" w:styleId="181">
    <w:name w:val="样式 样式 样式 仿宋_GB2312 四号 段后: 7.8 磅 行距: 1.5 倍行距 + 首行缩进:  2 字符 +"/>
    <w:basedOn w:val="1"/>
    <w:link w:val="180"/>
    <w:qFormat/>
    <w:uiPriority w:val="0"/>
    <w:pPr>
      <w:snapToGrid w:val="0"/>
      <w:spacing w:line="312" w:lineRule="auto"/>
      <w:ind w:firstLine="480" w:firstLineChars="200"/>
    </w:pPr>
    <w:rPr>
      <w:rFonts w:ascii="Batang" w:hAnsi="宋体" w:eastAsia="Calibri" w:cs="Times New Roman"/>
      <w:sz w:val="24"/>
      <w:szCs w:val="22"/>
    </w:rPr>
  </w:style>
  <w:style w:type="character" w:customStyle="1" w:styleId="182">
    <w:name w:val="脚注文本 字符"/>
    <w:qFormat/>
    <w:uiPriority w:val="0"/>
    <w:rPr>
      <w:rFonts w:ascii="Calibri" w:hAnsi="Calibri" w:eastAsia="宋体" w:cs="Times New Roman"/>
      <w:sz w:val="18"/>
      <w:szCs w:val="18"/>
    </w:rPr>
  </w:style>
  <w:style w:type="character" w:customStyle="1" w:styleId="183">
    <w:name w:val="电子邮件签名 Char1"/>
    <w:semiHidden/>
    <w:qFormat/>
    <w:uiPriority w:val="99"/>
    <w:rPr>
      <w:rFonts w:eastAsia="楷体_GB2312"/>
      <w:kern w:val="2"/>
      <w:sz w:val="21"/>
    </w:rPr>
  </w:style>
  <w:style w:type="character" w:customStyle="1" w:styleId="184">
    <w:name w:val="批注文字 Char2"/>
    <w:qFormat/>
    <w:uiPriority w:val="99"/>
    <w:rPr>
      <w:kern w:val="2"/>
      <w:sz w:val="21"/>
      <w:szCs w:val="22"/>
    </w:rPr>
  </w:style>
  <w:style w:type="character" w:customStyle="1" w:styleId="185">
    <w:name w:val="times"/>
    <w:qFormat/>
    <w:uiPriority w:val="0"/>
    <w:rPr>
      <w:color w:val="CDCDCD"/>
      <w:bdr w:val="single" w:color="CDCDCD" w:sz="6" w:space="0"/>
      <w:shd w:val="clear" w:color="auto" w:fill="EFEFEF"/>
    </w:rPr>
  </w:style>
  <w:style w:type="character" w:customStyle="1" w:styleId="186">
    <w:name w:val="表格文字 Char"/>
    <w:link w:val="187"/>
    <w:qFormat/>
    <w:uiPriority w:val="0"/>
    <w:rPr>
      <w:rFonts w:ascii="宋体" w:hAnsi="宋体" w:eastAsia="Calibri"/>
      <w:sz w:val="24"/>
      <w:szCs w:val="24"/>
      <w:lang w:eastAsia="zh-TW"/>
    </w:rPr>
  </w:style>
  <w:style w:type="paragraph" w:customStyle="1" w:styleId="187">
    <w:name w:val="表格文字"/>
    <w:basedOn w:val="1"/>
    <w:link w:val="186"/>
    <w:qFormat/>
    <w:uiPriority w:val="0"/>
    <w:pPr>
      <w:adjustRightInd w:val="0"/>
      <w:snapToGrid w:val="0"/>
      <w:jc w:val="center"/>
    </w:pPr>
    <w:rPr>
      <w:rFonts w:ascii="宋体" w:hAnsi="宋体" w:eastAsia="Calibri" w:cs="Times New Roman"/>
      <w:sz w:val="24"/>
      <w:szCs w:val="24"/>
      <w:lang w:eastAsia="zh-TW"/>
    </w:rPr>
  </w:style>
  <w:style w:type="character" w:customStyle="1" w:styleId="188">
    <w:name w:val="标题 7 字符"/>
    <w:qFormat/>
    <w:uiPriority w:val="0"/>
    <w:rPr>
      <w:rFonts w:ascii="Calibri" w:hAnsi="Calibri" w:eastAsia="宋体" w:cs="Times New Roman"/>
      <w:b/>
      <w:bCs/>
      <w:sz w:val="24"/>
      <w:szCs w:val="24"/>
    </w:rPr>
  </w:style>
  <w:style w:type="character" w:customStyle="1" w:styleId="189">
    <w:name w:val="批注主题 Char3"/>
    <w:semiHidden/>
    <w:qFormat/>
    <w:uiPriority w:val="99"/>
    <w:rPr>
      <w:rFonts w:ascii="Calibri" w:hAnsi="Calibri" w:eastAsia="楷体_GB2312" w:cs="Times New Roman"/>
      <w:b/>
      <w:bCs/>
      <w:kern w:val="2"/>
      <w:sz w:val="21"/>
      <w:szCs w:val="20"/>
    </w:rPr>
  </w:style>
  <w:style w:type="character" w:customStyle="1" w:styleId="190">
    <w:name w:val="正文部分 Char"/>
    <w:link w:val="191"/>
    <w:qFormat/>
    <w:uiPriority w:val="0"/>
    <w:rPr>
      <w:sz w:val="24"/>
      <w:szCs w:val="24"/>
    </w:rPr>
  </w:style>
  <w:style w:type="paragraph" w:customStyle="1" w:styleId="191">
    <w:name w:val="正文部分"/>
    <w:basedOn w:val="1"/>
    <w:link w:val="190"/>
    <w:qFormat/>
    <w:uiPriority w:val="0"/>
    <w:pPr>
      <w:spacing w:line="460" w:lineRule="exact"/>
      <w:ind w:firstLine="225" w:firstLineChars="225"/>
    </w:pPr>
    <w:rPr>
      <w:rFonts w:ascii="Calibri" w:hAnsi="Calibri" w:eastAsia="宋体" w:cs="Times New Roman"/>
      <w:sz w:val="24"/>
      <w:szCs w:val="24"/>
    </w:rPr>
  </w:style>
  <w:style w:type="character" w:customStyle="1" w:styleId="192">
    <w:name w:val="style6"/>
    <w:qFormat/>
    <w:uiPriority w:val="0"/>
    <w:rPr>
      <w:rFonts w:ascii="Times New Roman" w:hAnsi="Times New Roman" w:eastAsia="宋体" w:cs="Times New Roman"/>
    </w:rPr>
  </w:style>
  <w:style w:type="character" w:customStyle="1" w:styleId="193">
    <w:name w:val="正文文本缩进 字符"/>
    <w:qFormat/>
    <w:uiPriority w:val="0"/>
    <w:rPr>
      <w:rFonts w:ascii="Calibri" w:hAnsi="Calibri" w:eastAsia="宋体" w:cs="Times New Roman"/>
    </w:rPr>
  </w:style>
  <w:style w:type="character" w:customStyle="1" w:styleId="194">
    <w:name w:val="标题 3 字符"/>
    <w:qFormat/>
    <w:uiPriority w:val="0"/>
    <w:rPr>
      <w:rFonts w:ascii="Calibri" w:hAnsi="Calibri" w:eastAsia="宋体" w:cs="Times New Roman"/>
      <w:b/>
      <w:bCs/>
      <w:sz w:val="32"/>
      <w:szCs w:val="32"/>
    </w:rPr>
  </w:style>
  <w:style w:type="character" w:customStyle="1" w:styleId="195">
    <w:name w:val="页眉 Char3"/>
    <w:semiHidden/>
    <w:qFormat/>
    <w:uiPriority w:val="99"/>
    <w:rPr>
      <w:rFonts w:ascii="Times New Roman" w:hAnsi="Times New Roman" w:eastAsia="宋体" w:cs="Times New Roman"/>
      <w:sz w:val="18"/>
      <w:szCs w:val="18"/>
    </w:rPr>
  </w:style>
  <w:style w:type="character" w:customStyle="1" w:styleId="196">
    <w:name w:val="框图文字 Char"/>
    <w:qFormat/>
    <w:uiPriority w:val="0"/>
    <w:rPr>
      <w:rFonts w:ascii="宋体" w:hAnsi="PMingLiU" w:eastAsia="Calibri" w:cs="Times New Roman"/>
      <w:kern w:val="2"/>
      <w:sz w:val="21"/>
      <w:lang w:val="en-US" w:eastAsia="zh-CN" w:bidi="ar-SA"/>
    </w:rPr>
  </w:style>
  <w:style w:type="character" w:customStyle="1" w:styleId="197">
    <w:name w:val="副标题 Char3"/>
    <w:qFormat/>
    <w:uiPriority w:val="11"/>
    <w:rPr>
      <w:rFonts w:ascii="Cambria" w:hAnsi="Cambria" w:eastAsia="宋体" w:cs="Times New Roman"/>
      <w:b/>
      <w:bCs/>
      <w:kern w:val="28"/>
      <w:sz w:val="32"/>
      <w:szCs w:val="32"/>
    </w:rPr>
  </w:style>
  <w:style w:type="character" w:customStyle="1" w:styleId="198">
    <w:name w:val="称呼 Char1"/>
    <w:semiHidden/>
    <w:qFormat/>
    <w:uiPriority w:val="99"/>
    <w:rPr>
      <w:rFonts w:eastAsia="楷体_GB2312"/>
      <w:kern w:val="2"/>
      <w:sz w:val="21"/>
    </w:rPr>
  </w:style>
  <w:style w:type="character" w:customStyle="1" w:styleId="199">
    <w:name w:val="标题 1 Char1"/>
    <w:qFormat/>
    <w:uiPriority w:val="0"/>
    <w:rPr>
      <w:rFonts w:ascii="Arial" w:hAnsi="Arial" w:eastAsia="宋体" w:cs="Times New Roman"/>
      <w:b/>
      <w:bCs/>
      <w:kern w:val="44"/>
      <w:sz w:val="36"/>
      <w:szCs w:val="36"/>
      <w:lang w:val="en-US" w:eastAsia="zh-CN" w:bidi="ar-SA"/>
    </w:rPr>
  </w:style>
  <w:style w:type="character" w:customStyle="1" w:styleId="200">
    <w:name w:val="宏文本 Char1"/>
    <w:semiHidden/>
    <w:qFormat/>
    <w:uiPriority w:val="99"/>
    <w:rPr>
      <w:rFonts w:ascii="Courier New" w:hAnsi="Courier New" w:cs="Courier New"/>
      <w:kern w:val="2"/>
      <w:sz w:val="24"/>
      <w:szCs w:val="24"/>
    </w:rPr>
  </w:style>
  <w:style w:type="character" w:customStyle="1" w:styleId="201">
    <w:name w:val="正文文本 3 Char2"/>
    <w:semiHidden/>
    <w:qFormat/>
    <w:uiPriority w:val="99"/>
    <w:rPr>
      <w:kern w:val="2"/>
      <w:sz w:val="16"/>
      <w:szCs w:val="16"/>
    </w:rPr>
  </w:style>
  <w:style w:type="character" w:customStyle="1" w:styleId="202">
    <w:name w:val="表格文字缩进 Char"/>
    <w:link w:val="203"/>
    <w:qFormat/>
    <w:uiPriority w:val="0"/>
    <w:rPr>
      <w:rFonts w:ascii="宋体"/>
      <w:sz w:val="24"/>
      <w:szCs w:val="24"/>
    </w:rPr>
  </w:style>
  <w:style w:type="paragraph" w:customStyle="1" w:styleId="203">
    <w:name w:val="表格文字缩进"/>
    <w:basedOn w:val="1"/>
    <w:next w:val="204"/>
    <w:link w:val="202"/>
    <w:qFormat/>
    <w:uiPriority w:val="0"/>
    <w:pPr>
      <w:spacing w:line="360" w:lineRule="exact"/>
      <w:ind w:firstLine="480" w:firstLineChars="200"/>
    </w:pPr>
    <w:rPr>
      <w:rFonts w:ascii="宋体" w:hAnsi="Calibri" w:eastAsia="宋体" w:cs="Times New Roman"/>
      <w:sz w:val="24"/>
      <w:szCs w:val="24"/>
    </w:rPr>
  </w:style>
  <w:style w:type="paragraph" w:customStyle="1" w:styleId="204">
    <w:name w:val="西塔正文1"/>
    <w:basedOn w:val="1"/>
    <w:link w:val="205"/>
    <w:qFormat/>
    <w:uiPriority w:val="0"/>
    <w:pPr>
      <w:spacing w:line="360" w:lineRule="auto"/>
      <w:jc w:val="center"/>
    </w:pPr>
    <w:rPr>
      <w:rFonts w:ascii="宋体" w:eastAsia="宋体"/>
      <w:sz w:val="24"/>
      <w:szCs w:val="24"/>
    </w:rPr>
  </w:style>
  <w:style w:type="character" w:customStyle="1" w:styleId="205">
    <w:name w:val="西塔正文1 Char Char"/>
    <w:link w:val="204"/>
    <w:qFormat/>
    <w:uiPriority w:val="0"/>
    <w:rPr>
      <w:rFonts w:ascii="宋体" w:hAnsi="Times New Roman" w:eastAsia="宋体" w:cs="Times New Roman"/>
      <w:sz w:val="24"/>
      <w:szCs w:val="24"/>
    </w:rPr>
  </w:style>
  <w:style w:type="character" w:customStyle="1" w:styleId="206">
    <w:name w:val="标题 Char1"/>
    <w:qFormat/>
    <w:uiPriority w:val="0"/>
    <w:rPr>
      <w:rFonts w:ascii="Arial" w:hAnsi="Arial" w:eastAsia="宋体" w:cs="Times New Roman"/>
      <w:b/>
      <w:kern w:val="2"/>
      <w:sz w:val="44"/>
      <w:lang w:val="en-US" w:eastAsia="zh-CN" w:bidi="ar-SA"/>
    </w:rPr>
  </w:style>
  <w:style w:type="character" w:customStyle="1" w:styleId="207">
    <w:name w:val="tpc_content1"/>
    <w:qFormat/>
    <w:uiPriority w:val="0"/>
    <w:rPr>
      <w:rFonts w:ascii="Times New Roman" w:hAnsi="Times New Roman" w:eastAsia="宋体" w:cs="Times New Roman"/>
      <w:sz w:val="26"/>
      <w:szCs w:val="26"/>
    </w:rPr>
  </w:style>
  <w:style w:type="character" w:customStyle="1" w:styleId="208">
    <w:name w:val="HTML 预设格式 Char3"/>
    <w:semiHidden/>
    <w:qFormat/>
    <w:uiPriority w:val="99"/>
    <w:rPr>
      <w:rFonts w:ascii="Courier New" w:hAnsi="Courier New" w:eastAsia="宋体" w:cs="Courier New"/>
      <w:sz w:val="20"/>
      <w:szCs w:val="20"/>
    </w:rPr>
  </w:style>
  <w:style w:type="character" w:customStyle="1" w:styleId="209">
    <w:name w:val="font41"/>
    <w:qFormat/>
    <w:uiPriority w:val="0"/>
    <w:rPr>
      <w:rFonts w:hint="eastAsia" w:ascii="宋体" w:hAnsi="宋体" w:eastAsia="宋体" w:cs="宋体"/>
      <w:color w:val="FF0000"/>
      <w:sz w:val="24"/>
      <w:szCs w:val="24"/>
      <w:u w:val="none"/>
    </w:rPr>
  </w:style>
  <w:style w:type="character" w:customStyle="1" w:styleId="210">
    <w:name w:val="正文文本缩进 Char3"/>
    <w:semiHidden/>
    <w:qFormat/>
    <w:uiPriority w:val="99"/>
    <w:rPr>
      <w:rFonts w:ascii="Calibri" w:hAnsi="Calibri" w:eastAsia="楷体_GB2312" w:cs="Times New Roman"/>
      <w:szCs w:val="20"/>
    </w:rPr>
  </w:style>
  <w:style w:type="character" w:customStyle="1" w:styleId="211">
    <w:name w:val="宏文本 Char3"/>
    <w:semiHidden/>
    <w:qFormat/>
    <w:uiPriority w:val="99"/>
    <w:rPr>
      <w:rFonts w:ascii="Courier New" w:hAnsi="Courier New" w:eastAsia="宋体" w:cs="Courier New"/>
      <w:sz w:val="24"/>
      <w:szCs w:val="24"/>
    </w:rPr>
  </w:style>
  <w:style w:type="character" w:customStyle="1" w:styleId="212">
    <w:name w:val="Char Char9"/>
    <w:qFormat/>
    <w:uiPriority w:val="0"/>
    <w:rPr>
      <w:rFonts w:ascii="Calibri" w:hAnsi="Calibri" w:eastAsia="宋体" w:cs="Times New Roman"/>
      <w:b/>
      <w:bCs/>
      <w:lang w:bidi="ar-SA"/>
    </w:rPr>
  </w:style>
  <w:style w:type="character" w:customStyle="1" w:styleId="213">
    <w:name w:val="电子邮件签名 Char3"/>
    <w:semiHidden/>
    <w:qFormat/>
    <w:uiPriority w:val="99"/>
    <w:rPr>
      <w:rFonts w:ascii="Times New Roman" w:hAnsi="Times New Roman" w:eastAsia="宋体" w:cs="Times New Roman"/>
    </w:rPr>
  </w:style>
  <w:style w:type="character" w:customStyle="1" w:styleId="214">
    <w:name w:val="正文文本缩进 2 Char1"/>
    <w:qFormat/>
    <w:uiPriority w:val="99"/>
    <w:rPr>
      <w:rFonts w:ascii="Times New Roman" w:hAnsi="Times New Roman" w:eastAsia="楷体_GB2312" w:cs="Times New Roman"/>
      <w:szCs w:val="20"/>
    </w:rPr>
  </w:style>
  <w:style w:type="character" w:customStyle="1" w:styleId="215">
    <w:name w:val="尾注文本 字符"/>
    <w:qFormat/>
    <w:uiPriority w:val="0"/>
    <w:rPr>
      <w:rFonts w:ascii="Calibri" w:hAnsi="Calibri" w:eastAsia="宋体" w:cs="Times New Roman"/>
    </w:rPr>
  </w:style>
  <w:style w:type="character" w:customStyle="1" w:styleId="216">
    <w:name w:val="信息标题 Char3"/>
    <w:semiHidden/>
    <w:qFormat/>
    <w:uiPriority w:val="99"/>
    <w:rPr>
      <w:rFonts w:ascii="Cambria" w:hAnsi="Cambria" w:eastAsia="宋体" w:cs="Times New Roman"/>
      <w:sz w:val="24"/>
      <w:szCs w:val="24"/>
      <w:shd w:val="pct20" w:color="auto" w:fill="auto"/>
    </w:rPr>
  </w:style>
  <w:style w:type="character" w:customStyle="1" w:styleId="217">
    <w:name w:val="批注框文本 Char3"/>
    <w:semiHidden/>
    <w:qFormat/>
    <w:uiPriority w:val="99"/>
    <w:rPr>
      <w:rFonts w:ascii="Times New Roman" w:hAnsi="Times New Roman" w:eastAsia="宋体" w:cs="Times New Roman"/>
      <w:sz w:val="18"/>
      <w:szCs w:val="18"/>
    </w:rPr>
  </w:style>
  <w:style w:type="character" w:customStyle="1" w:styleId="218">
    <w:name w:val="标题 8 字符"/>
    <w:qFormat/>
    <w:uiPriority w:val="0"/>
    <w:rPr>
      <w:rFonts w:ascii="等线 Light" w:hAnsi="等线 Light" w:eastAsia="等线 Light" w:cs="Times New Roman"/>
      <w:sz w:val="24"/>
      <w:szCs w:val="24"/>
    </w:rPr>
  </w:style>
  <w:style w:type="character" w:customStyle="1" w:styleId="219">
    <w:name w:val="HTML 预设格式 Char1"/>
    <w:semiHidden/>
    <w:qFormat/>
    <w:uiPriority w:val="99"/>
    <w:rPr>
      <w:rFonts w:ascii="Courier New" w:hAnsi="Courier New" w:eastAsia="楷体_GB2312" w:cs="Courier New"/>
      <w:sz w:val="20"/>
      <w:szCs w:val="20"/>
    </w:rPr>
  </w:style>
  <w:style w:type="character" w:customStyle="1" w:styleId="220">
    <w:name w:val="正文首行缩进 Char1"/>
    <w:semiHidden/>
    <w:qFormat/>
    <w:uiPriority w:val="99"/>
  </w:style>
  <w:style w:type="character" w:customStyle="1" w:styleId="221">
    <w:name w:val="正文文本 字符"/>
    <w:qFormat/>
    <w:uiPriority w:val="0"/>
    <w:rPr>
      <w:rFonts w:ascii="Calibri" w:hAnsi="Calibri" w:eastAsia="宋体" w:cs="Times New Roman"/>
    </w:rPr>
  </w:style>
  <w:style w:type="character" w:customStyle="1" w:styleId="222">
    <w:name w:val="正文首行缩进 Char2"/>
    <w:semiHidden/>
    <w:qFormat/>
    <w:uiPriority w:val="99"/>
  </w:style>
  <w:style w:type="character" w:customStyle="1" w:styleId="223">
    <w:name w:val="正文首行缩进 2 Char2"/>
    <w:semiHidden/>
    <w:qFormat/>
    <w:uiPriority w:val="99"/>
  </w:style>
  <w:style w:type="character" w:customStyle="1" w:styleId="224">
    <w:name w:val="电子邮件签名 Char2"/>
    <w:semiHidden/>
    <w:qFormat/>
    <w:uiPriority w:val="99"/>
    <w:rPr>
      <w:kern w:val="2"/>
      <w:sz w:val="21"/>
      <w:szCs w:val="22"/>
    </w:rPr>
  </w:style>
  <w:style w:type="character" w:customStyle="1" w:styleId="225">
    <w:name w:val="font31"/>
    <w:qFormat/>
    <w:uiPriority w:val="0"/>
    <w:rPr>
      <w:rFonts w:hint="eastAsia" w:ascii="宋体" w:hAnsi="宋体" w:eastAsia="宋体" w:cs="宋体"/>
      <w:color w:val="000000"/>
      <w:sz w:val="24"/>
      <w:szCs w:val="24"/>
      <w:u w:val="none"/>
    </w:rPr>
  </w:style>
  <w:style w:type="character" w:customStyle="1" w:styleId="226">
    <w:name w:val="HTML 地址 Char1"/>
    <w:semiHidden/>
    <w:qFormat/>
    <w:uiPriority w:val="99"/>
    <w:rPr>
      <w:rFonts w:eastAsia="楷体_GB2312"/>
      <w:i/>
      <w:iCs/>
      <w:kern w:val="2"/>
      <w:sz w:val="21"/>
    </w:rPr>
  </w:style>
  <w:style w:type="character" w:customStyle="1" w:styleId="227">
    <w:name w:val="表格左缩进 Char"/>
    <w:link w:val="228"/>
    <w:qFormat/>
    <w:uiPriority w:val="0"/>
    <w:rPr>
      <w:rFonts w:ascii="宋体"/>
      <w:szCs w:val="21"/>
    </w:rPr>
  </w:style>
  <w:style w:type="paragraph" w:customStyle="1" w:styleId="228">
    <w:name w:val="表格左缩进"/>
    <w:basedOn w:val="229"/>
    <w:link w:val="227"/>
    <w:qFormat/>
    <w:uiPriority w:val="0"/>
    <w:pPr>
      <w:ind w:firstLine="420" w:firstLineChars="200"/>
    </w:pPr>
    <w:rPr>
      <w:rFonts w:hAnsi="Calibri" w:eastAsia="宋体" w:cs="Times New Roman"/>
    </w:rPr>
  </w:style>
  <w:style w:type="paragraph" w:customStyle="1" w:styleId="229">
    <w:name w:val="表格左对齐"/>
    <w:basedOn w:val="1"/>
    <w:link w:val="230"/>
    <w:qFormat/>
    <w:uiPriority w:val="0"/>
    <w:pPr>
      <w:jc w:val="left"/>
    </w:pPr>
    <w:rPr>
      <w:rFonts w:ascii="宋体" w:eastAsia="宋体"/>
      <w:szCs w:val="21"/>
    </w:rPr>
  </w:style>
  <w:style w:type="character" w:customStyle="1" w:styleId="230">
    <w:name w:val="表格左对齐 Char"/>
    <w:link w:val="229"/>
    <w:qFormat/>
    <w:uiPriority w:val="0"/>
    <w:rPr>
      <w:rFonts w:ascii="宋体" w:hAnsi="Times New Roman" w:eastAsia="宋体" w:cs="Times New Roman"/>
      <w:szCs w:val="21"/>
    </w:rPr>
  </w:style>
  <w:style w:type="character" w:customStyle="1" w:styleId="231">
    <w:name w:val="注释标题 Char3"/>
    <w:semiHidden/>
    <w:qFormat/>
    <w:uiPriority w:val="99"/>
    <w:rPr>
      <w:kern w:val="2"/>
      <w:sz w:val="21"/>
      <w:szCs w:val="22"/>
    </w:rPr>
  </w:style>
  <w:style w:type="character" w:customStyle="1" w:styleId="232">
    <w:name w:val="font91"/>
    <w:qFormat/>
    <w:uiPriority w:val="0"/>
    <w:rPr>
      <w:rFonts w:hint="eastAsia" w:ascii="宋体" w:hAnsi="宋体" w:eastAsia="宋体" w:cs="宋体"/>
      <w:b/>
      <w:color w:val="000000"/>
      <w:sz w:val="28"/>
      <w:szCs w:val="28"/>
      <w:u w:val="none"/>
    </w:rPr>
  </w:style>
  <w:style w:type="character" w:customStyle="1" w:styleId="233">
    <w:name w:val="正文文本缩进 3 Char1"/>
    <w:qFormat/>
    <w:uiPriority w:val="99"/>
    <w:rPr>
      <w:rFonts w:ascii="Times New Roman" w:hAnsi="Times New Roman" w:eastAsia="楷体_GB2312" w:cs="Times New Roman"/>
      <w:sz w:val="16"/>
      <w:szCs w:val="16"/>
    </w:rPr>
  </w:style>
  <w:style w:type="character" w:customStyle="1" w:styleId="234">
    <w:name w:val="纯文本 Char Char Char Char"/>
    <w:qFormat/>
    <w:uiPriority w:val="0"/>
    <w:rPr>
      <w:rFonts w:ascii="宋体" w:hAnsi="Courier New" w:eastAsia="宋体" w:cs="Times New Roman"/>
      <w:kern w:val="2"/>
      <w:sz w:val="21"/>
      <w:lang w:val="en-US" w:eastAsia="zh-CN" w:bidi="ar-SA"/>
    </w:rPr>
  </w:style>
  <w:style w:type="character" w:customStyle="1" w:styleId="235">
    <w:name w:val="西塔正文1 Char"/>
    <w:qFormat/>
    <w:uiPriority w:val="0"/>
    <w:rPr>
      <w:rFonts w:ascii="宋体" w:hAnsi="Times New Roman" w:eastAsia="宋体" w:cs="Times New Roman"/>
      <w:kern w:val="2"/>
      <w:sz w:val="24"/>
      <w:szCs w:val="24"/>
      <w:lang w:val="en-US" w:eastAsia="zh-CN" w:bidi="ar-SA"/>
    </w:rPr>
  </w:style>
  <w:style w:type="character" w:customStyle="1" w:styleId="236">
    <w:name w:val="times1"/>
    <w:qFormat/>
    <w:uiPriority w:val="0"/>
    <w:rPr>
      <w:color w:val="3399FF"/>
      <w:bdr w:val="single" w:color="D1EDF8" w:sz="6" w:space="0"/>
      <w:shd w:val="clear" w:color="auto" w:fill="EAF9FF"/>
    </w:rPr>
  </w:style>
  <w:style w:type="character" w:customStyle="1" w:styleId="237">
    <w:name w:val="签名 Char2"/>
    <w:semiHidden/>
    <w:qFormat/>
    <w:uiPriority w:val="99"/>
    <w:rPr>
      <w:rFonts w:ascii="Times New Roman" w:hAnsi="Times New Roman" w:eastAsia="楷体_GB2312" w:cs="Times New Roman"/>
      <w:szCs w:val="20"/>
    </w:rPr>
  </w:style>
  <w:style w:type="character" w:customStyle="1" w:styleId="238">
    <w:name w:val="页脚 Char2"/>
    <w:semiHidden/>
    <w:qFormat/>
    <w:uiPriority w:val="99"/>
    <w:rPr>
      <w:rFonts w:ascii="Calibri" w:hAnsi="Calibri" w:eastAsia="楷体_GB2312" w:cs="Times New Roman"/>
      <w:sz w:val="18"/>
      <w:szCs w:val="18"/>
    </w:rPr>
  </w:style>
  <w:style w:type="character" w:customStyle="1" w:styleId="239">
    <w:name w:val="尾注文本 Char3"/>
    <w:semiHidden/>
    <w:qFormat/>
    <w:uiPriority w:val="99"/>
    <w:rPr>
      <w:rFonts w:ascii="Calibri" w:hAnsi="Calibri" w:eastAsia="楷体_GB2312" w:cs="Times New Roman"/>
      <w:szCs w:val="20"/>
    </w:rPr>
  </w:style>
  <w:style w:type="character" w:customStyle="1" w:styleId="240">
    <w:name w:val="结束语 Char2"/>
    <w:semiHidden/>
    <w:qFormat/>
    <w:uiPriority w:val="99"/>
    <w:rPr>
      <w:kern w:val="2"/>
      <w:sz w:val="21"/>
      <w:szCs w:val="22"/>
    </w:rPr>
  </w:style>
  <w:style w:type="character" w:customStyle="1" w:styleId="241">
    <w:name w:val="日期 字符"/>
    <w:qFormat/>
    <w:uiPriority w:val="0"/>
    <w:rPr>
      <w:rFonts w:ascii="Calibri" w:hAnsi="Calibri" w:eastAsia="宋体" w:cs="Times New Roman"/>
    </w:rPr>
  </w:style>
  <w:style w:type="character" w:customStyle="1" w:styleId="242">
    <w:name w:val="纯文本 Char3"/>
    <w:semiHidden/>
    <w:qFormat/>
    <w:uiPriority w:val="99"/>
    <w:rPr>
      <w:rFonts w:ascii="宋体" w:hAnsi="Courier New" w:eastAsia="宋体" w:cs="Courier New"/>
      <w:szCs w:val="21"/>
    </w:rPr>
  </w:style>
  <w:style w:type="character" w:customStyle="1" w:styleId="243">
    <w:name w:val="正文文本缩进 3 字符"/>
    <w:qFormat/>
    <w:uiPriority w:val="0"/>
    <w:rPr>
      <w:rFonts w:ascii="Calibri" w:hAnsi="Calibri" w:eastAsia="宋体" w:cs="Times New Roman"/>
      <w:sz w:val="16"/>
      <w:szCs w:val="16"/>
    </w:rPr>
  </w:style>
  <w:style w:type="character" w:customStyle="1" w:styleId="244">
    <w:name w:val="称呼 Char3"/>
    <w:semiHidden/>
    <w:qFormat/>
    <w:uiPriority w:val="99"/>
    <w:rPr>
      <w:rFonts w:ascii="Times New Roman" w:hAnsi="Times New Roman" w:eastAsia="宋体" w:cs="Times New Roman"/>
    </w:rPr>
  </w:style>
  <w:style w:type="character" w:customStyle="1" w:styleId="245">
    <w:name w:val="样式 正文缩进表正文正文非缩进正文（首行缩进两字）1正文（首行缩进两字）1 Char Char Char Char Ch... Char"/>
    <w:link w:val="246"/>
    <w:qFormat/>
    <w:uiPriority w:val="0"/>
    <w:rPr>
      <w:sz w:val="24"/>
    </w:rPr>
  </w:style>
  <w:style w:type="paragraph" w:customStyle="1" w:styleId="246">
    <w:name w:val="样式 正文缩进表正文正文非缩进正文（首行缩进两字）1正文（首行缩进两字）1 Char Char Char Char Ch..."/>
    <w:basedOn w:val="12"/>
    <w:link w:val="245"/>
    <w:qFormat/>
    <w:uiPriority w:val="0"/>
    <w:pPr>
      <w:spacing w:line="360" w:lineRule="auto"/>
      <w:ind w:firstLine="480" w:firstLineChars="200"/>
    </w:pPr>
    <w:rPr>
      <w:rFonts w:ascii="Calibri" w:hAnsi="Calibri" w:eastAsia="宋体" w:cs="Times New Roman"/>
      <w:sz w:val="24"/>
      <w:szCs w:val="22"/>
    </w:rPr>
  </w:style>
  <w:style w:type="character" w:customStyle="1" w:styleId="247">
    <w:name w:val="日期 Char1"/>
    <w:semiHidden/>
    <w:qFormat/>
    <w:uiPriority w:val="99"/>
    <w:rPr>
      <w:rFonts w:ascii="Times New Roman" w:hAnsi="Times New Roman" w:eastAsia="楷体_GB2312" w:cs="Times New Roman"/>
      <w:szCs w:val="20"/>
    </w:rPr>
  </w:style>
  <w:style w:type="character" w:customStyle="1" w:styleId="248">
    <w:name w:val="font51"/>
    <w:qFormat/>
    <w:uiPriority w:val="0"/>
    <w:rPr>
      <w:rFonts w:hint="eastAsia" w:ascii="宋体" w:hAnsi="宋体" w:eastAsia="宋体" w:cs="宋体"/>
      <w:color w:val="000000"/>
      <w:sz w:val="24"/>
      <w:szCs w:val="24"/>
      <w:u w:val="none"/>
    </w:rPr>
  </w:style>
  <w:style w:type="character" w:customStyle="1" w:styleId="249">
    <w:name w:val="Char Char13"/>
    <w:qFormat/>
    <w:uiPriority w:val="0"/>
    <w:rPr>
      <w:rFonts w:ascii="Calibri" w:hAnsi="Calibri" w:eastAsia="宋体" w:cs="Times New Roman"/>
      <w:sz w:val="18"/>
      <w:szCs w:val="18"/>
      <w:lang w:bidi="ar-SA"/>
    </w:rPr>
  </w:style>
  <w:style w:type="character" w:customStyle="1" w:styleId="250">
    <w:name w:val="正文首行缩进 2 Char3"/>
    <w:semiHidden/>
    <w:qFormat/>
    <w:uiPriority w:val="99"/>
  </w:style>
  <w:style w:type="character" w:customStyle="1" w:styleId="251">
    <w:name w:val="标题 字符"/>
    <w:qFormat/>
    <w:uiPriority w:val="0"/>
    <w:rPr>
      <w:rFonts w:ascii="等线 Light" w:hAnsi="等线 Light" w:eastAsia="等线 Light" w:cs="Times New Roman"/>
      <w:b/>
      <w:bCs/>
      <w:sz w:val="32"/>
      <w:szCs w:val="32"/>
    </w:rPr>
  </w:style>
  <w:style w:type="character" w:customStyle="1" w:styleId="252">
    <w:name w:val="正文文本 2 Char2"/>
    <w:semiHidden/>
    <w:qFormat/>
    <w:uiPriority w:val="99"/>
    <w:rPr>
      <w:kern w:val="2"/>
      <w:sz w:val="21"/>
      <w:szCs w:val="22"/>
    </w:rPr>
  </w:style>
  <w:style w:type="character" w:customStyle="1" w:styleId="253">
    <w:name w:val="HTML 地址 Char3"/>
    <w:semiHidden/>
    <w:qFormat/>
    <w:uiPriority w:val="99"/>
    <w:rPr>
      <w:rFonts w:ascii="Times New Roman" w:hAnsi="Times New Roman" w:eastAsia="宋体" w:cs="Times New Roman"/>
      <w:i/>
      <w:iCs/>
    </w:rPr>
  </w:style>
  <w:style w:type="character" w:customStyle="1" w:styleId="254">
    <w:name w:val="标题 Char4"/>
    <w:qFormat/>
    <w:uiPriority w:val="10"/>
    <w:rPr>
      <w:rFonts w:ascii="Cambria" w:hAnsi="Cambria" w:eastAsia="宋体" w:cs="Times New Roman"/>
      <w:b/>
      <w:bCs/>
      <w:sz w:val="32"/>
      <w:szCs w:val="32"/>
    </w:rPr>
  </w:style>
  <w:style w:type="character" w:customStyle="1" w:styleId="255">
    <w:name w:val="表格内容 Char"/>
    <w:link w:val="256"/>
    <w:qFormat/>
    <w:uiPriority w:val="0"/>
    <w:rPr>
      <w:rFonts w:ascii="宋体" w:hAnsi="宋体"/>
      <w:szCs w:val="21"/>
    </w:rPr>
  </w:style>
  <w:style w:type="paragraph" w:customStyle="1" w:styleId="256">
    <w:name w:val="表格内容"/>
    <w:basedOn w:val="1"/>
    <w:link w:val="255"/>
    <w:qFormat/>
    <w:uiPriority w:val="0"/>
    <w:pPr>
      <w:spacing w:line="300" w:lineRule="exact"/>
    </w:pPr>
    <w:rPr>
      <w:rFonts w:ascii="宋体" w:hAnsi="宋体" w:eastAsia="宋体" w:cs="Times New Roman"/>
      <w:szCs w:val="21"/>
    </w:rPr>
  </w:style>
  <w:style w:type="character" w:customStyle="1" w:styleId="257">
    <w:name w:val="menuword"/>
    <w:qFormat/>
    <w:uiPriority w:val="0"/>
    <w:rPr>
      <w:rFonts w:ascii="Times New Roman" w:hAnsi="Times New Roman" w:eastAsia="宋体" w:cs="Times New Roman"/>
    </w:rPr>
  </w:style>
  <w:style w:type="character" w:customStyle="1" w:styleId="258">
    <w:name w:val="样式 标题 2 + (西文) 宋体 小四 Char"/>
    <w:link w:val="259"/>
    <w:qFormat/>
    <w:uiPriority w:val="0"/>
    <w:rPr>
      <w:rFonts w:ascii="宋体" w:hAnsi="宋体"/>
      <w:b/>
      <w:color w:val="000000"/>
      <w:sz w:val="24"/>
    </w:rPr>
  </w:style>
  <w:style w:type="paragraph" w:customStyle="1" w:styleId="259">
    <w:name w:val="样式 标题 2 + (西文) 宋体 小四"/>
    <w:basedOn w:val="10"/>
    <w:link w:val="258"/>
    <w:qFormat/>
    <w:uiPriority w:val="0"/>
    <w:pPr>
      <w:spacing w:before="260" w:after="260" w:line="415" w:lineRule="auto"/>
    </w:pPr>
    <w:rPr>
      <w:rFonts w:ascii="宋体" w:hAnsi="宋体" w:eastAsia="宋体" w:cs="Times New Roman"/>
      <w:color w:val="000000"/>
      <w:sz w:val="24"/>
      <w:szCs w:val="22"/>
    </w:rPr>
  </w:style>
  <w:style w:type="character" w:customStyle="1" w:styleId="260">
    <w:name w:val="标题 Char5"/>
    <w:qFormat/>
    <w:uiPriority w:val="10"/>
    <w:rPr>
      <w:rFonts w:ascii="Cambria" w:hAnsi="Cambria" w:eastAsia="宋体" w:cs="Times New Roman"/>
      <w:b/>
      <w:bCs/>
      <w:sz w:val="32"/>
      <w:szCs w:val="32"/>
    </w:rPr>
  </w:style>
  <w:style w:type="character" w:customStyle="1" w:styleId="261">
    <w:name w:val="样式 样式 仿宋_GB2312 四号 段后: 7.8 磅 行距: 1.5 倍行距 + 首行缩进:  2 字符 Char"/>
    <w:link w:val="262"/>
    <w:qFormat/>
    <w:uiPriority w:val="0"/>
    <w:rPr>
      <w:rFonts w:ascii="Batang" w:hAnsi="宋体" w:eastAsia="Calibri"/>
      <w:kern w:val="24"/>
      <w:sz w:val="24"/>
    </w:rPr>
  </w:style>
  <w:style w:type="paragraph" w:customStyle="1" w:styleId="262">
    <w:name w:val="样式 样式 仿宋_GB2312 四号 段后: 7.8 磅 行距: 1.5 倍行距 + 首行缩进:  2 字符"/>
    <w:basedOn w:val="1"/>
    <w:link w:val="261"/>
    <w:qFormat/>
    <w:uiPriority w:val="0"/>
    <w:pPr>
      <w:snapToGrid w:val="0"/>
      <w:spacing w:line="312" w:lineRule="auto"/>
      <w:ind w:firstLine="480" w:firstLineChars="200"/>
    </w:pPr>
    <w:rPr>
      <w:rFonts w:ascii="Batang" w:hAnsi="宋体" w:eastAsia="Calibri" w:cs="Times New Roman"/>
      <w:kern w:val="24"/>
      <w:sz w:val="24"/>
      <w:szCs w:val="22"/>
    </w:rPr>
  </w:style>
  <w:style w:type="character" w:customStyle="1" w:styleId="263">
    <w:name w:val="正文文本 Char3"/>
    <w:semiHidden/>
    <w:qFormat/>
    <w:uiPriority w:val="99"/>
    <w:rPr>
      <w:rFonts w:ascii="Times New Roman" w:hAnsi="Times New Roman" w:eastAsia="宋体" w:cs="Times New Roman"/>
    </w:rPr>
  </w:style>
  <w:style w:type="character" w:customStyle="1" w:styleId="264">
    <w:name w:val="页脚 字符"/>
    <w:qFormat/>
    <w:uiPriority w:val="0"/>
    <w:rPr>
      <w:rFonts w:ascii="Calibri" w:hAnsi="Calibri" w:eastAsia="宋体" w:cs="Times New Roman"/>
      <w:sz w:val="18"/>
      <w:szCs w:val="18"/>
    </w:rPr>
  </w:style>
  <w:style w:type="character" w:customStyle="1" w:styleId="265">
    <w:name w:val="正文首行缩进 字符"/>
    <w:qFormat/>
    <w:uiPriority w:val="0"/>
    <w:rPr>
      <w:rFonts w:ascii="Calibri" w:hAnsi="Calibri" w:eastAsia="宋体" w:cs="Times New Roman"/>
    </w:rPr>
  </w:style>
  <w:style w:type="character" w:customStyle="1" w:styleId="266">
    <w:name w:val="正文文本 2 Char1"/>
    <w:semiHidden/>
    <w:qFormat/>
    <w:uiPriority w:val="99"/>
    <w:rPr>
      <w:rFonts w:ascii="Times New Roman" w:hAnsi="Times New Roman" w:eastAsia="楷体_GB2312" w:cs="Times New Roman"/>
      <w:szCs w:val="20"/>
    </w:rPr>
  </w:style>
  <w:style w:type="character" w:customStyle="1" w:styleId="267">
    <w:name w:val="正文文本缩进 Char1"/>
    <w:qFormat/>
    <w:uiPriority w:val="0"/>
    <w:rPr>
      <w:rFonts w:ascii="Times New Roman" w:hAnsi="Times New Roman" w:eastAsia="宋体" w:cs="Times New Roman"/>
      <w:kern w:val="2"/>
      <w:sz w:val="28"/>
      <w:lang w:val="en-US" w:eastAsia="zh-CN" w:bidi="ar-SA"/>
    </w:rPr>
  </w:style>
  <w:style w:type="character" w:customStyle="1" w:styleId="268">
    <w:name w:val="正文首行缩进 Char3"/>
    <w:semiHidden/>
    <w:qFormat/>
    <w:uiPriority w:val="99"/>
  </w:style>
  <w:style w:type="character" w:customStyle="1" w:styleId="269">
    <w:name w:val="副标题 Char4"/>
    <w:qFormat/>
    <w:uiPriority w:val="11"/>
    <w:rPr>
      <w:rFonts w:ascii="Cambria" w:hAnsi="Cambria" w:eastAsia="宋体" w:cs="Times New Roman"/>
      <w:b/>
      <w:bCs/>
      <w:kern w:val="28"/>
      <w:sz w:val="32"/>
      <w:szCs w:val="32"/>
    </w:rPr>
  </w:style>
  <w:style w:type="character" w:customStyle="1" w:styleId="270">
    <w:name w:val="正文缩进 字符"/>
    <w:qFormat/>
    <w:uiPriority w:val="0"/>
  </w:style>
  <w:style w:type="character" w:customStyle="1" w:styleId="271">
    <w:name w:val="正文文本 Char2"/>
    <w:qFormat/>
    <w:uiPriority w:val="99"/>
    <w:rPr>
      <w:kern w:val="2"/>
      <w:sz w:val="21"/>
      <w:szCs w:val="22"/>
    </w:rPr>
  </w:style>
  <w:style w:type="character" w:customStyle="1" w:styleId="272">
    <w:name w:val="正文文本缩进 3 Char2"/>
    <w:semiHidden/>
    <w:qFormat/>
    <w:uiPriority w:val="99"/>
    <w:rPr>
      <w:kern w:val="2"/>
      <w:sz w:val="16"/>
      <w:szCs w:val="16"/>
    </w:rPr>
  </w:style>
  <w:style w:type="character" w:customStyle="1" w:styleId="273">
    <w:name w:val="普通文字 Char2"/>
    <w:qFormat/>
    <w:uiPriority w:val="0"/>
    <w:rPr>
      <w:rFonts w:ascii="宋体" w:hAnsi="Courier New" w:eastAsia="宋体" w:cs="Times New Roman"/>
      <w:kern w:val="2"/>
      <w:sz w:val="21"/>
      <w:lang w:val="en-US" w:eastAsia="zh-CN" w:bidi="ar-SA"/>
    </w:rPr>
  </w:style>
  <w:style w:type="character" w:customStyle="1" w:styleId="274">
    <w:name w:val="Char Char12"/>
    <w:qFormat/>
    <w:uiPriority w:val="0"/>
    <w:rPr>
      <w:rFonts w:ascii="Calibri" w:hAnsi="Calibri" w:eastAsia="宋体" w:cs="Times New Roman"/>
      <w:sz w:val="18"/>
      <w:lang w:bidi="ar-SA"/>
    </w:rPr>
  </w:style>
  <w:style w:type="character" w:customStyle="1" w:styleId="275">
    <w:name w:val="副标题 Char2"/>
    <w:qFormat/>
    <w:uiPriority w:val="11"/>
    <w:rPr>
      <w:rFonts w:ascii="Cambria" w:hAnsi="Cambria" w:eastAsia="宋体" w:cs="Times New Roman"/>
      <w:b/>
      <w:bCs/>
      <w:kern w:val="28"/>
      <w:sz w:val="32"/>
      <w:szCs w:val="32"/>
    </w:rPr>
  </w:style>
  <w:style w:type="character" w:customStyle="1" w:styleId="276">
    <w:name w:val="签名 Char1"/>
    <w:semiHidden/>
    <w:qFormat/>
    <w:uiPriority w:val="99"/>
    <w:rPr>
      <w:rFonts w:eastAsia="楷体_GB2312"/>
      <w:kern w:val="2"/>
      <w:sz w:val="21"/>
    </w:rPr>
  </w:style>
  <w:style w:type="character" w:customStyle="1" w:styleId="277">
    <w:name w:val="脚注文本 Char2"/>
    <w:semiHidden/>
    <w:qFormat/>
    <w:uiPriority w:val="99"/>
    <w:rPr>
      <w:rFonts w:ascii="Times New Roman" w:hAnsi="Times New Roman" w:eastAsia="宋体" w:cs="Times New Roman"/>
      <w:sz w:val="18"/>
      <w:szCs w:val="18"/>
    </w:rPr>
  </w:style>
  <w:style w:type="character" w:customStyle="1" w:styleId="278">
    <w:name w:val="标题 5 字符"/>
    <w:qFormat/>
    <w:uiPriority w:val="0"/>
    <w:rPr>
      <w:rFonts w:ascii="Calibri" w:hAnsi="Calibri" w:eastAsia="宋体" w:cs="Times New Roman"/>
      <w:b/>
      <w:bCs/>
      <w:sz w:val="28"/>
      <w:szCs w:val="28"/>
    </w:rPr>
  </w:style>
  <w:style w:type="character" w:customStyle="1" w:styleId="279">
    <w:name w:val="纯文本 Char1"/>
    <w:semiHidden/>
    <w:qFormat/>
    <w:uiPriority w:val="99"/>
    <w:rPr>
      <w:rFonts w:ascii="宋体" w:hAnsi="Courier New" w:eastAsia="宋体" w:cs="Courier New"/>
      <w:szCs w:val="21"/>
    </w:rPr>
  </w:style>
  <w:style w:type="character" w:customStyle="1" w:styleId="280">
    <w:name w:val="文档结构图 Char1"/>
    <w:qFormat/>
    <w:uiPriority w:val="99"/>
    <w:rPr>
      <w:rFonts w:ascii="宋体"/>
      <w:kern w:val="2"/>
      <w:sz w:val="18"/>
      <w:szCs w:val="18"/>
    </w:rPr>
  </w:style>
  <w:style w:type="character" w:customStyle="1" w:styleId="281">
    <w:name w:val="文档结构图 Char2"/>
    <w:semiHidden/>
    <w:qFormat/>
    <w:uiPriority w:val="99"/>
    <w:rPr>
      <w:rFonts w:ascii="宋体"/>
      <w:kern w:val="2"/>
      <w:sz w:val="18"/>
      <w:szCs w:val="18"/>
    </w:rPr>
  </w:style>
  <w:style w:type="character" w:customStyle="1" w:styleId="282">
    <w:name w:val="样式 样式 正文 + 首行缩进:  2 字符 + 首行缩进:  2 字符 段后: 0.3 行 + 首行缩进:  2 字符 Char"/>
    <w:link w:val="283"/>
    <w:qFormat/>
    <w:uiPriority w:val="0"/>
    <w:rPr>
      <w:sz w:val="24"/>
    </w:rPr>
  </w:style>
  <w:style w:type="paragraph" w:customStyle="1" w:styleId="283">
    <w:name w:val="样式 样式 正文 + 首行缩进:  2 字符 + 首行缩进:  2 字符 段后: 0.3 行 + 首行缩进:  2 字符"/>
    <w:basedOn w:val="1"/>
    <w:link w:val="282"/>
    <w:qFormat/>
    <w:uiPriority w:val="0"/>
    <w:pPr>
      <w:spacing w:afterLines="30" w:line="400" w:lineRule="exact"/>
      <w:ind w:firstLine="200" w:firstLineChars="200"/>
      <w:jc w:val="left"/>
    </w:pPr>
    <w:rPr>
      <w:rFonts w:ascii="Calibri" w:hAnsi="Calibri" w:eastAsia="宋体" w:cs="Times New Roman"/>
      <w:sz w:val="24"/>
      <w:szCs w:val="22"/>
    </w:rPr>
  </w:style>
  <w:style w:type="character" w:customStyle="1" w:styleId="284">
    <w:name w:val="正文文本缩进 2 字符"/>
    <w:qFormat/>
    <w:uiPriority w:val="0"/>
    <w:rPr>
      <w:rFonts w:ascii="Calibri" w:hAnsi="Calibri" w:eastAsia="宋体" w:cs="Times New Roman"/>
    </w:rPr>
  </w:style>
  <w:style w:type="character" w:customStyle="1" w:styleId="285">
    <w:name w:val="样式 Char Char"/>
    <w:qFormat/>
    <w:uiPriority w:val="0"/>
    <w:rPr>
      <w:rFonts w:ascii="Times New Roman" w:hAnsi="Times New Roman" w:eastAsia="宋体" w:cs="Times New Roman"/>
    </w:rPr>
  </w:style>
  <w:style w:type="character" w:customStyle="1" w:styleId="286">
    <w:name w:val="标题 4 字符"/>
    <w:qFormat/>
    <w:uiPriority w:val="0"/>
    <w:rPr>
      <w:rFonts w:ascii="等线 Light" w:hAnsi="等线 Light" w:eastAsia="等线 Light" w:cs="Times New Roman"/>
      <w:b/>
      <w:bCs/>
      <w:sz w:val="28"/>
      <w:szCs w:val="28"/>
    </w:rPr>
  </w:style>
  <w:style w:type="character" w:customStyle="1" w:styleId="287">
    <w:name w:val="font81"/>
    <w:qFormat/>
    <w:uiPriority w:val="0"/>
    <w:rPr>
      <w:rFonts w:hint="eastAsia" w:ascii="宋体" w:hAnsi="宋体" w:eastAsia="宋体" w:cs="宋体"/>
      <w:color w:val="FF0000"/>
      <w:sz w:val="24"/>
      <w:szCs w:val="24"/>
      <w:u w:val="none"/>
    </w:rPr>
  </w:style>
  <w:style w:type="character" w:customStyle="1" w:styleId="288">
    <w:name w:val="纯文本 字符"/>
    <w:qFormat/>
    <w:uiPriority w:val="0"/>
    <w:rPr>
      <w:rFonts w:ascii="等线" w:hAnsi="Courier New" w:eastAsia="宋体" w:cs="Courier New"/>
    </w:rPr>
  </w:style>
  <w:style w:type="character" w:customStyle="1" w:styleId="289">
    <w:name w:val="批注框文本 Char2"/>
    <w:semiHidden/>
    <w:qFormat/>
    <w:uiPriority w:val="99"/>
    <w:rPr>
      <w:kern w:val="2"/>
      <w:sz w:val="18"/>
      <w:szCs w:val="18"/>
    </w:rPr>
  </w:style>
  <w:style w:type="character" w:customStyle="1" w:styleId="290">
    <w:name w:val="正文文本缩进 2 Char3"/>
    <w:semiHidden/>
    <w:qFormat/>
    <w:uiPriority w:val="99"/>
    <w:rPr>
      <w:rFonts w:ascii="Times New Roman" w:hAnsi="Times New Roman" w:eastAsia="宋体" w:cs="Times New Roman"/>
    </w:rPr>
  </w:style>
  <w:style w:type="character" w:customStyle="1" w:styleId="291">
    <w:name w:val="信息标题 Char2"/>
    <w:semiHidden/>
    <w:qFormat/>
    <w:uiPriority w:val="99"/>
    <w:rPr>
      <w:rFonts w:ascii="Cambria" w:hAnsi="Cambria" w:eastAsia="宋体" w:cs="Times New Roman"/>
      <w:kern w:val="2"/>
      <w:sz w:val="24"/>
      <w:szCs w:val="24"/>
      <w:shd w:val="pct20" w:color="auto" w:fill="auto"/>
    </w:rPr>
  </w:style>
  <w:style w:type="character" w:customStyle="1" w:styleId="292">
    <w:name w:val="标题 Char3"/>
    <w:qFormat/>
    <w:uiPriority w:val="10"/>
    <w:rPr>
      <w:rFonts w:ascii="Cambria" w:hAnsi="Cambria" w:cs="Times New Roman"/>
      <w:b/>
      <w:bCs/>
      <w:kern w:val="2"/>
      <w:sz w:val="32"/>
      <w:szCs w:val="32"/>
    </w:rPr>
  </w:style>
  <w:style w:type="character" w:customStyle="1" w:styleId="293">
    <w:name w:val="批注框文本 字符"/>
    <w:qFormat/>
    <w:uiPriority w:val="0"/>
    <w:rPr>
      <w:rFonts w:ascii="Calibri" w:hAnsi="Calibri" w:eastAsia="宋体" w:cs="Times New Roman"/>
      <w:sz w:val="18"/>
      <w:szCs w:val="18"/>
    </w:rPr>
  </w:style>
  <w:style w:type="character" w:customStyle="1" w:styleId="294">
    <w:name w:val="正文文本 3 Char3"/>
    <w:semiHidden/>
    <w:qFormat/>
    <w:uiPriority w:val="99"/>
    <w:rPr>
      <w:rFonts w:ascii="Times New Roman" w:hAnsi="Times New Roman" w:eastAsia="宋体" w:cs="Times New Roman"/>
      <w:sz w:val="16"/>
      <w:szCs w:val="16"/>
    </w:rPr>
  </w:style>
  <w:style w:type="character" w:customStyle="1" w:styleId="295">
    <w:name w:val="结束语 Char3"/>
    <w:semiHidden/>
    <w:qFormat/>
    <w:uiPriority w:val="99"/>
    <w:rPr>
      <w:rFonts w:ascii="Times New Roman" w:hAnsi="Times New Roman" w:eastAsia="宋体" w:cs="Times New Roman"/>
    </w:rPr>
  </w:style>
  <w:style w:type="character" w:customStyle="1" w:styleId="296">
    <w:name w:val="正文文本缩进 2 Char2"/>
    <w:semiHidden/>
    <w:qFormat/>
    <w:uiPriority w:val="99"/>
    <w:rPr>
      <w:kern w:val="2"/>
      <w:sz w:val="21"/>
      <w:szCs w:val="22"/>
    </w:rPr>
  </w:style>
  <w:style w:type="character" w:customStyle="1" w:styleId="297">
    <w:name w:val="标题 2 字符"/>
    <w:qFormat/>
    <w:uiPriority w:val="0"/>
    <w:rPr>
      <w:rFonts w:ascii="等线 Light" w:hAnsi="等线 Light" w:eastAsia="等线 Light" w:cs="Times New Roman"/>
      <w:b/>
      <w:bCs/>
      <w:sz w:val="32"/>
      <w:szCs w:val="32"/>
    </w:rPr>
  </w:style>
  <w:style w:type="character" w:customStyle="1" w:styleId="298">
    <w:name w:val="正文文本 2 字符"/>
    <w:qFormat/>
    <w:uiPriority w:val="0"/>
    <w:rPr>
      <w:rFonts w:ascii="Calibri" w:hAnsi="Calibri" w:eastAsia="宋体" w:cs="Times New Roman"/>
    </w:rPr>
  </w:style>
  <w:style w:type="character" w:customStyle="1" w:styleId="299">
    <w:name w:val="签名 Char3"/>
    <w:semiHidden/>
    <w:qFormat/>
    <w:uiPriority w:val="99"/>
    <w:rPr>
      <w:kern w:val="2"/>
      <w:sz w:val="21"/>
      <w:szCs w:val="22"/>
    </w:rPr>
  </w:style>
  <w:style w:type="character" w:customStyle="1" w:styleId="300">
    <w:name w:val="脚注文本 Char1"/>
    <w:semiHidden/>
    <w:qFormat/>
    <w:uiPriority w:val="99"/>
    <w:rPr>
      <w:kern w:val="2"/>
      <w:sz w:val="18"/>
      <w:szCs w:val="18"/>
    </w:rPr>
  </w:style>
  <w:style w:type="character" w:customStyle="1" w:styleId="301">
    <w:name w:val="结束语 Char1"/>
    <w:semiHidden/>
    <w:qFormat/>
    <w:uiPriority w:val="99"/>
    <w:rPr>
      <w:rFonts w:eastAsia="楷体_GB2312"/>
      <w:kern w:val="2"/>
      <w:sz w:val="21"/>
    </w:rPr>
  </w:style>
  <w:style w:type="character" w:customStyle="1" w:styleId="302">
    <w:name w:val="插图 Char"/>
    <w:link w:val="303"/>
    <w:qFormat/>
    <w:uiPriority w:val="0"/>
    <w:rPr>
      <w:rFonts w:ascii="宋体"/>
      <w:sz w:val="24"/>
      <w:szCs w:val="24"/>
    </w:rPr>
  </w:style>
  <w:style w:type="paragraph" w:customStyle="1" w:styleId="303">
    <w:name w:val="插图"/>
    <w:basedOn w:val="150"/>
    <w:link w:val="302"/>
    <w:qFormat/>
    <w:uiPriority w:val="0"/>
    <w:pPr>
      <w:spacing w:line="240" w:lineRule="auto"/>
      <w:ind w:firstLine="0" w:firstLineChars="0"/>
      <w:jc w:val="center"/>
    </w:pPr>
  </w:style>
  <w:style w:type="character" w:customStyle="1" w:styleId="304">
    <w:name w:val="无间隔 字符"/>
    <w:link w:val="305"/>
    <w:qFormat/>
    <w:uiPriority w:val="1"/>
    <w:rPr>
      <w:sz w:val="22"/>
    </w:rPr>
  </w:style>
  <w:style w:type="paragraph" w:styleId="305">
    <w:name w:val="No Spacing"/>
    <w:link w:val="304"/>
    <w:qFormat/>
    <w:uiPriority w:val="1"/>
    <w:rPr>
      <w:rFonts w:ascii="Calibri" w:hAnsi="Calibri" w:eastAsia="宋体" w:cs="Times New Roman"/>
      <w:kern w:val="2"/>
      <w:sz w:val="22"/>
      <w:szCs w:val="22"/>
      <w:lang w:val="en-US" w:eastAsia="zh-CN" w:bidi="ar-SA"/>
    </w:rPr>
  </w:style>
  <w:style w:type="character" w:customStyle="1" w:styleId="306">
    <w:name w:val="注释标题 Char4"/>
    <w:semiHidden/>
    <w:qFormat/>
    <w:uiPriority w:val="99"/>
    <w:rPr>
      <w:rFonts w:ascii="Times New Roman" w:hAnsi="Times New Roman" w:eastAsia="宋体" w:cs="Times New Roman"/>
    </w:rPr>
  </w:style>
  <w:style w:type="character" w:customStyle="1" w:styleId="307">
    <w:name w:val="日期 Char3"/>
    <w:semiHidden/>
    <w:qFormat/>
    <w:uiPriority w:val="99"/>
    <w:rPr>
      <w:rFonts w:ascii="Times New Roman" w:hAnsi="Times New Roman" w:eastAsia="宋体" w:cs="Times New Roman"/>
    </w:rPr>
  </w:style>
  <w:style w:type="character" w:customStyle="1" w:styleId="308">
    <w:name w:val="ca-3"/>
    <w:qFormat/>
    <w:uiPriority w:val="0"/>
  </w:style>
  <w:style w:type="character" w:customStyle="1" w:styleId="309">
    <w:name w:val="正文文本 2 Char3"/>
    <w:semiHidden/>
    <w:qFormat/>
    <w:uiPriority w:val="99"/>
    <w:rPr>
      <w:rFonts w:ascii="Times New Roman" w:hAnsi="Times New Roman" w:eastAsia="宋体" w:cs="Times New Roman"/>
    </w:rPr>
  </w:style>
  <w:style w:type="character" w:customStyle="1" w:styleId="310">
    <w:name w:val="页眉 Char2"/>
    <w:semiHidden/>
    <w:qFormat/>
    <w:uiPriority w:val="99"/>
    <w:rPr>
      <w:rFonts w:ascii="Calibri" w:hAnsi="Calibri" w:eastAsia="楷体_GB2312" w:cs="Times New Roman"/>
      <w:sz w:val="18"/>
      <w:szCs w:val="18"/>
    </w:rPr>
  </w:style>
  <w:style w:type="character" w:customStyle="1" w:styleId="311">
    <w:name w:val="javascript"/>
    <w:qFormat/>
    <w:uiPriority w:val="0"/>
    <w:rPr>
      <w:rFonts w:ascii="Times New Roman" w:hAnsi="Times New Roman" w:eastAsia="宋体" w:cs="Times New Roman"/>
    </w:rPr>
  </w:style>
  <w:style w:type="character" w:customStyle="1" w:styleId="312">
    <w:name w:val="hover42"/>
    <w:qFormat/>
    <w:uiPriority w:val="0"/>
  </w:style>
  <w:style w:type="character" w:customStyle="1" w:styleId="313">
    <w:name w:val="表格居中 Char"/>
    <w:qFormat/>
    <w:uiPriority w:val="0"/>
    <w:rPr>
      <w:rFonts w:ascii="宋体" w:hAnsi="Times New Roman" w:eastAsia="宋体" w:cs="Times New Roman"/>
      <w:kern w:val="2"/>
      <w:sz w:val="21"/>
      <w:szCs w:val="21"/>
      <w:lang w:val="en-US" w:eastAsia="zh-CN" w:bidi="ar-SA"/>
    </w:rPr>
  </w:style>
  <w:style w:type="character" w:customStyle="1" w:styleId="314">
    <w:name w:val="信息标题 Char1"/>
    <w:semiHidden/>
    <w:qFormat/>
    <w:uiPriority w:val="99"/>
    <w:rPr>
      <w:rFonts w:ascii="Cambria" w:hAnsi="Cambria" w:eastAsia="宋体" w:cs="Times New Roman"/>
      <w:kern w:val="2"/>
      <w:sz w:val="24"/>
      <w:szCs w:val="24"/>
      <w:shd w:val="pct20" w:color="auto" w:fill="auto"/>
    </w:rPr>
  </w:style>
  <w:style w:type="character" w:customStyle="1" w:styleId="315">
    <w:name w:val="副标题 Char1"/>
    <w:qFormat/>
    <w:uiPriority w:val="11"/>
    <w:rPr>
      <w:rFonts w:ascii="Cambria" w:hAnsi="Cambria" w:cs="Times New Roman"/>
      <w:b/>
      <w:bCs/>
      <w:kern w:val="28"/>
      <w:sz w:val="32"/>
      <w:szCs w:val="32"/>
    </w:rPr>
  </w:style>
  <w:style w:type="character" w:customStyle="1" w:styleId="316">
    <w:name w:val="文档结构图 Char3"/>
    <w:semiHidden/>
    <w:qFormat/>
    <w:uiPriority w:val="99"/>
    <w:rPr>
      <w:rFonts w:ascii="宋体" w:hAnsi="Times New Roman" w:eastAsia="宋体" w:cs="Times New Roman"/>
      <w:sz w:val="18"/>
      <w:szCs w:val="18"/>
    </w:rPr>
  </w:style>
  <w:style w:type="character" w:customStyle="1" w:styleId="317">
    <w:name w:val="注释标题 Char2"/>
    <w:semiHidden/>
    <w:qFormat/>
    <w:uiPriority w:val="99"/>
    <w:rPr>
      <w:rFonts w:ascii="Times New Roman" w:hAnsi="Times New Roman" w:eastAsia="楷体_GB2312" w:cs="Times New Roman"/>
      <w:szCs w:val="20"/>
    </w:rPr>
  </w:style>
  <w:style w:type="character" w:customStyle="1" w:styleId="318">
    <w:name w:val="正文文本缩进 3 Char3"/>
    <w:semiHidden/>
    <w:qFormat/>
    <w:uiPriority w:val="99"/>
    <w:rPr>
      <w:rFonts w:ascii="Times New Roman" w:hAnsi="Times New Roman" w:eastAsia="宋体" w:cs="Times New Roman"/>
      <w:sz w:val="16"/>
      <w:szCs w:val="16"/>
    </w:rPr>
  </w:style>
  <w:style w:type="character" w:customStyle="1" w:styleId="319">
    <w:name w:val="正文文本 Char1"/>
    <w:semiHidden/>
    <w:qFormat/>
    <w:uiPriority w:val="99"/>
    <w:rPr>
      <w:kern w:val="2"/>
      <w:sz w:val="21"/>
      <w:szCs w:val="22"/>
    </w:rPr>
  </w:style>
  <w:style w:type="character" w:customStyle="1" w:styleId="320">
    <w:name w:val="日期 Char2"/>
    <w:semiHidden/>
    <w:qFormat/>
    <w:uiPriority w:val="99"/>
    <w:rPr>
      <w:kern w:val="2"/>
      <w:sz w:val="21"/>
      <w:szCs w:val="22"/>
    </w:rPr>
  </w:style>
  <w:style w:type="character" w:customStyle="1" w:styleId="321">
    <w:name w:val="批注文字 Char3"/>
    <w:semiHidden/>
    <w:qFormat/>
    <w:uiPriority w:val="99"/>
    <w:rPr>
      <w:rFonts w:ascii="Times New Roman" w:hAnsi="Times New Roman" w:eastAsia="宋体" w:cs="Times New Roman"/>
    </w:rPr>
  </w:style>
  <w:style w:type="character" w:customStyle="1" w:styleId="322">
    <w:name w:val="正文文本缩进 Char4"/>
    <w:semiHidden/>
    <w:qFormat/>
    <w:uiPriority w:val="99"/>
    <w:rPr>
      <w:rFonts w:ascii="Times New Roman" w:hAnsi="Times New Roman" w:eastAsia="宋体" w:cs="Times New Roman"/>
    </w:rPr>
  </w:style>
  <w:style w:type="character" w:customStyle="1" w:styleId="323">
    <w:name w:val="纯文本 Char2"/>
    <w:semiHidden/>
    <w:qFormat/>
    <w:uiPriority w:val="99"/>
    <w:rPr>
      <w:rFonts w:ascii="宋体" w:hAnsi="Courier New" w:cs="Courier New"/>
      <w:kern w:val="2"/>
      <w:sz w:val="21"/>
      <w:szCs w:val="21"/>
    </w:rPr>
  </w:style>
  <w:style w:type="character" w:customStyle="1" w:styleId="324">
    <w:name w:val="HTML 地址 Char2"/>
    <w:semiHidden/>
    <w:qFormat/>
    <w:uiPriority w:val="99"/>
    <w:rPr>
      <w:i/>
      <w:iCs/>
      <w:kern w:val="2"/>
      <w:sz w:val="21"/>
      <w:szCs w:val="22"/>
    </w:rPr>
  </w:style>
  <w:style w:type="character" w:customStyle="1" w:styleId="325">
    <w:name w:val="页脚 Char3"/>
    <w:semiHidden/>
    <w:qFormat/>
    <w:uiPriority w:val="99"/>
    <w:rPr>
      <w:rFonts w:ascii="Times New Roman" w:hAnsi="Times New Roman" w:eastAsia="宋体" w:cs="Times New Roman"/>
      <w:sz w:val="18"/>
      <w:szCs w:val="18"/>
    </w:rPr>
  </w:style>
  <w:style w:type="character" w:customStyle="1" w:styleId="326">
    <w:name w:val="尾注文本 Char4"/>
    <w:semiHidden/>
    <w:qFormat/>
    <w:uiPriority w:val="99"/>
    <w:rPr>
      <w:rFonts w:ascii="Times New Roman" w:hAnsi="Times New Roman" w:eastAsia="宋体" w:cs="Times New Roman"/>
    </w:rPr>
  </w:style>
  <w:style w:type="character" w:customStyle="1" w:styleId="327">
    <w:name w:val="HTML 预设格式 Char2"/>
    <w:semiHidden/>
    <w:qFormat/>
    <w:uiPriority w:val="99"/>
    <w:rPr>
      <w:rFonts w:ascii="Courier New" w:hAnsi="Courier New" w:cs="Courier New"/>
      <w:kern w:val="2"/>
    </w:rPr>
  </w:style>
  <w:style w:type="character" w:customStyle="1" w:styleId="328">
    <w:name w:val="批注主题 字符"/>
    <w:qFormat/>
    <w:uiPriority w:val="0"/>
    <w:rPr>
      <w:rFonts w:ascii="Calibri" w:hAnsi="Calibri" w:eastAsia="宋体" w:cs="Times New Roman"/>
      <w:b/>
      <w:bCs/>
    </w:rPr>
  </w:style>
  <w:style w:type="paragraph" w:customStyle="1" w:styleId="329">
    <w:name w:val="正文 + 首行缩进:  2 字符"/>
    <w:basedOn w:val="1"/>
    <w:qFormat/>
    <w:uiPriority w:val="0"/>
    <w:pPr>
      <w:spacing w:afterLines="30"/>
      <w:ind w:firstLine="200" w:firstLineChars="200"/>
      <w:jc w:val="left"/>
    </w:pPr>
    <w:rPr>
      <w:rFonts w:eastAsia="宋体" w:cs="宋体"/>
    </w:rPr>
  </w:style>
  <w:style w:type="paragraph" w:customStyle="1" w:styleId="330">
    <w:name w:val="xl126"/>
    <w:basedOn w:val="1"/>
    <w:qFormat/>
    <w:uiPriority w:val="0"/>
    <w:pPr>
      <w:widowControl/>
      <w:pBdr>
        <w:top w:val="single" w:color="auto" w:sz="8" w:space="0"/>
        <w:right w:val="single" w:color="auto" w:sz="8"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331">
    <w:name w:val="封四"/>
    <w:basedOn w:val="156"/>
    <w:next w:val="156"/>
    <w:qFormat/>
    <w:uiPriority w:val="0"/>
    <w:pPr>
      <w:widowControl/>
      <w:spacing w:after="200"/>
      <w:jc w:val="left"/>
    </w:pPr>
    <w:rPr>
      <w:snapToGrid/>
      <w:sz w:val="30"/>
      <w:szCs w:val="30"/>
    </w:rPr>
  </w:style>
  <w:style w:type="paragraph" w:customStyle="1" w:styleId="332">
    <w:name w:val="项目●-C"/>
    <w:basedOn w:val="12"/>
    <w:qFormat/>
    <w:uiPriority w:val="0"/>
    <w:pPr>
      <w:tabs>
        <w:tab w:val="left" w:pos="1080"/>
      </w:tabs>
      <w:spacing w:line="500" w:lineRule="exact"/>
      <w:ind w:left="567" w:firstLine="0"/>
    </w:pPr>
    <w:rPr>
      <w:rFonts w:ascii="宋体" w:hAnsi="宋体"/>
      <w:sz w:val="24"/>
      <w:szCs w:val="24"/>
    </w:rPr>
  </w:style>
  <w:style w:type="paragraph" w:customStyle="1" w:styleId="333">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334">
    <w:name w:val="一级条标题"/>
    <w:basedOn w:val="10"/>
    <w:next w:val="1"/>
    <w:qFormat/>
    <w:uiPriority w:val="0"/>
    <w:pPr>
      <w:keepNext w:val="0"/>
      <w:keepLines w:val="0"/>
      <w:widowControl/>
      <w:tabs>
        <w:tab w:val="left" w:pos="360"/>
        <w:tab w:val="left" w:pos="495"/>
        <w:tab w:val="left" w:pos="1200"/>
        <w:tab w:val="left" w:pos="1418"/>
      </w:tabs>
      <w:spacing w:before="0" w:after="0"/>
      <w:ind w:left="1418" w:hanging="567"/>
      <w:jc w:val="both"/>
      <w:outlineLvl w:val="2"/>
    </w:pPr>
    <w:rPr>
      <w:rFonts w:ascii="黑体" w:hAnsi="Times New Roman" w:eastAsia="黑体"/>
      <w:kern w:val="0"/>
      <w:sz w:val="21"/>
      <w:szCs w:val="20"/>
    </w:rPr>
  </w:style>
  <w:style w:type="paragraph" w:customStyle="1" w:styleId="335">
    <w:name w:val="表头2"/>
    <w:basedOn w:val="1"/>
    <w:qFormat/>
    <w:uiPriority w:val="0"/>
    <w:pPr>
      <w:spacing w:line="360" w:lineRule="auto"/>
      <w:jc w:val="left"/>
    </w:pPr>
    <w:rPr>
      <w:rFonts w:eastAsia="宋体"/>
      <w:b/>
      <w:sz w:val="24"/>
      <w:szCs w:val="24"/>
    </w:rPr>
  </w:style>
  <w:style w:type="paragraph" w:customStyle="1" w:styleId="336">
    <w:name w:val="font7"/>
    <w:basedOn w:val="1"/>
    <w:qFormat/>
    <w:uiPriority w:val="0"/>
    <w:pPr>
      <w:widowControl/>
      <w:spacing w:before="100" w:beforeAutospacing="1" w:after="100" w:afterAutospacing="1"/>
      <w:jc w:val="left"/>
    </w:pPr>
    <w:rPr>
      <w:rFonts w:eastAsia="宋体"/>
      <w:kern w:val="0"/>
      <w:sz w:val="24"/>
      <w:szCs w:val="24"/>
    </w:rPr>
  </w:style>
  <w:style w:type="paragraph" w:customStyle="1" w:styleId="337">
    <w:name w:val="xl80"/>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pPr>
    <w:rPr>
      <w:rFonts w:eastAsia="宋体"/>
      <w:color w:val="000000"/>
      <w:kern w:val="0"/>
      <w:sz w:val="18"/>
      <w:szCs w:val="18"/>
    </w:rPr>
  </w:style>
  <w:style w:type="paragraph" w:customStyle="1" w:styleId="338">
    <w:name w:val="图名"/>
    <w:basedOn w:val="1"/>
    <w:qFormat/>
    <w:uiPriority w:val="0"/>
    <w:pPr>
      <w:spacing w:line="360" w:lineRule="auto"/>
      <w:jc w:val="center"/>
    </w:pPr>
    <w:rPr>
      <w:rFonts w:cs="宋体"/>
      <w:b/>
      <w:sz w:val="24"/>
      <w:szCs w:val="24"/>
    </w:rPr>
  </w:style>
  <w:style w:type="paragraph" w:customStyle="1" w:styleId="339">
    <w:name w:val="xl128"/>
    <w:basedOn w:val="1"/>
    <w:qFormat/>
    <w:uiPriority w:val="0"/>
    <w:pPr>
      <w:widowControl/>
      <w:spacing w:before="100" w:beforeAutospacing="1" w:after="100" w:afterAutospacing="1"/>
      <w:jc w:val="left"/>
    </w:pPr>
    <w:rPr>
      <w:rFonts w:eastAsia="宋体"/>
      <w:color w:val="000000"/>
      <w:kern w:val="0"/>
      <w:sz w:val="18"/>
      <w:szCs w:val="18"/>
    </w:rPr>
  </w:style>
  <w:style w:type="paragraph" w:customStyle="1" w:styleId="340">
    <w:name w:val="纯文本2"/>
    <w:basedOn w:val="1"/>
    <w:qFormat/>
    <w:uiPriority w:val="0"/>
    <w:pPr>
      <w:autoSpaceDE w:val="0"/>
      <w:autoSpaceDN w:val="0"/>
      <w:adjustRightInd w:val="0"/>
      <w:textAlignment w:val="baseline"/>
    </w:pPr>
    <w:rPr>
      <w:rFonts w:ascii="宋体" w:eastAsia="宋体"/>
    </w:rPr>
  </w:style>
  <w:style w:type="paragraph" w:customStyle="1" w:styleId="341">
    <w:name w:val="xl81"/>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eastAsia="宋体"/>
      <w:color w:val="000000"/>
      <w:kern w:val="0"/>
      <w:sz w:val="18"/>
      <w:szCs w:val="18"/>
    </w:rPr>
  </w:style>
  <w:style w:type="paragraph" w:customStyle="1" w:styleId="342">
    <w:name w:val="xl122"/>
    <w:basedOn w:val="1"/>
    <w:qFormat/>
    <w:uiPriority w:val="0"/>
    <w:pPr>
      <w:widowControl/>
      <w:pBdr>
        <w:top w:val="single" w:color="auto" w:sz="8" w:space="0"/>
      </w:pBdr>
      <w:spacing w:before="100" w:beforeAutospacing="1" w:after="100" w:afterAutospacing="1"/>
      <w:jc w:val="left"/>
    </w:pPr>
    <w:rPr>
      <w:rFonts w:ascii="宋体" w:hAnsi="宋体" w:eastAsia="宋体" w:cs="宋体"/>
      <w:color w:val="000000"/>
      <w:kern w:val="0"/>
      <w:sz w:val="18"/>
      <w:szCs w:val="18"/>
    </w:rPr>
  </w:style>
  <w:style w:type="paragraph" w:customStyle="1" w:styleId="343">
    <w:name w:val="Char Char Char Char Char Char Char Char1 Char"/>
    <w:basedOn w:val="1"/>
    <w:qFormat/>
    <w:uiPriority w:val="0"/>
    <w:rPr>
      <w:rFonts w:ascii="Tahoma" w:hAnsi="Tahoma" w:eastAsia="宋体"/>
      <w:sz w:val="24"/>
    </w:rPr>
  </w:style>
  <w:style w:type="paragraph" w:customStyle="1" w:styleId="344">
    <w:name w:val="样式环球正文小四 行距: 1.5 倍行距"/>
    <w:basedOn w:val="1"/>
    <w:qFormat/>
    <w:uiPriority w:val="0"/>
    <w:pPr>
      <w:spacing w:line="360" w:lineRule="auto"/>
      <w:ind w:firstLine="480" w:firstLineChars="200"/>
    </w:pPr>
    <w:rPr>
      <w:rFonts w:eastAsia="宋体" w:cs="宋体"/>
      <w:sz w:val="24"/>
    </w:rPr>
  </w:style>
  <w:style w:type="paragraph" w:customStyle="1" w:styleId="345">
    <w:name w:val="样式 标题 2标题 2 Char Char标题 2a + 四号 非加粗 居中 段前: 5 磅 段后: 5 磅 行距..."/>
    <w:basedOn w:val="10"/>
    <w:qFormat/>
    <w:uiPriority w:val="0"/>
    <w:pPr>
      <w:snapToGrid w:val="0"/>
      <w:spacing w:before="100" w:after="100" w:line="312" w:lineRule="auto"/>
    </w:pPr>
    <w:rPr>
      <w:rFonts w:ascii="Times New Roman" w:hAnsi="Times New Roman" w:eastAsia="ˎ̥"/>
      <w:b w:val="0"/>
      <w:kern w:val="10"/>
      <w:sz w:val="28"/>
      <w:szCs w:val="20"/>
    </w:rPr>
  </w:style>
  <w:style w:type="paragraph" w:customStyle="1" w:styleId="346">
    <w:name w:val="正文居右"/>
    <w:basedOn w:val="204"/>
    <w:next w:val="204"/>
    <w:qFormat/>
    <w:uiPriority w:val="0"/>
    <w:pPr>
      <w:widowControl/>
      <w:jc w:val="right"/>
    </w:pPr>
    <w:rPr>
      <w:rFonts w:ascii="Times New Roman"/>
    </w:rPr>
  </w:style>
  <w:style w:type="paragraph" w:customStyle="1" w:styleId="347">
    <w:name w:val="1"/>
    <w:basedOn w:val="1"/>
    <w:next w:val="64"/>
    <w:qFormat/>
    <w:uiPriority w:val="0"/>
    <w:pPr>
      <w:autoSpaceDE w:val="0"/>
      <w:autoSpaceDN w:val="0"/>
      <w:adjustRightInd w:val="0"/>
      <w:spacing w:line="360" w:lineRule="atLeast"/>
      <w:ind w:firstLine="510"/>
    </w:pPr>
    <w:rPr>
      <w:rFonts w:ascii="宋体" w:eastAsia="宋体"/>
      <w:spacing w:val="6"/>
      <w:kern w:val="0"/>
      <w:sz w:val="24"/>
    </w:rPr>
  </w:style>
  <w:style w:type="paragraph" w:customStyle="1" w:styleId="348">
    <w:name w:val="xl115"/>
    <w:basedOn w:val="1"/>
    <w:qFormat/>
    <w:uiPriority w:val="0"/>
    <w:pPr>
      <w:widowControl/>
      <w:pBdr>
        <w:top w:val="single" w:color="auto" w:sz="8" w:space="0"/>
        <w:left w:val="single" w:color="auto" w:sz="8" w:space="0"/>
        <w:bottom w:val="single" w:color="auto" w:sz="8" w:space="0"/>
      </w:pBdr>
      <w:spacing w:before="100" w:beforeAutospacing="1" w:after="100" w:afterAutospacing="1"/>
    </w:pPr>
    <w:rPr>
      <w:rFonts w:eastAsia="宋体"/>
      <w:kern w:val="0"/>
      <w:sz w:val="18"/>
      <w:szCs w:val="18"/>
    </w:rPr>
  </w:style>
  <w:style w:type="paragraph" w:customStyle="1" w:styleId="349">
    <w:name w:val="样式 标题 21.1-C标题 1.1章LLZ2h2部分标题Heading 2 HiddenHeading 2 C...4"/>
    <w:basedOn w:val="10"/>
    <w:qFormat/>
    <w:uiPriority w:val="0"/>
    <w:pPr>
      <w:spacing w:before="100" w:beforeAutospacing="1" w:after="100" w:afterAutospacing="1" w:line="500" w:lineRule="exact"/>
    </w:pPr>
    <w:rPr>
      <w:rFonts w:ascii="Times New Roman" w:hAnsi="Times New Roman" w:cs="宋体"/>
      <w:bCs/>
      <w:color w:val="0000FF"/>
      <w:szCs w:val="20"/>
      <w:u w:val="single"/>
    </w:rPr>
  </w:style>
  <w:style w:type="paragraph" w:customStyle="1" w:styleId="35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eastAsia="宋体" w:cs="Arial"/>
      <w:kern w:val="0"/>
      <w:sz w:val="24"/>
      <w:szCs w:val="24"/>
    </w:rPr>
  </w:style>
  <w:style w:type="paragraph" w:customStyle="1" w:styleId="351">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2">
    <w:name w:val="样式 标题 5h5Block Label5l4第四层条Appendix A  Heading 5H5(*)标题...1"/>
    <w:basedOn w:val="14"/>
    <w:qFormat/>
    <w:uiPriority w:val="0"/>
    <w:pPr>
      <w:keepNext w:val="0"/>
      <w:keepLines w:val="0"/>
      <w:tabs>
        <w:tab w:val="left" w:pos="2520"/>
      </w:tabs>
      <w:adjustRightInd w:val="0"/>
      <w:spacing w:beforeLines="0" w:afterLines="0" w:line="300" w:lineRule="auto"/>
      <w:ind w:firstLine="482" w:firstLineChars="200"/>
      <w:jc w:val="both"/>
      <w:textAlignment w:val="center"/>
    </w:pPr>
    <w:rPr>
      <w:rFonts w:ascii="宋体" w:hAnsi="宋体" w:cs="宋体"/>
      <w:b/>
      <w:color w:val="auto"/>
      <w:szCs w:val="20"/>
    </w:rPr>
  </w:style>
  <w:style w:type="paragraph" w:customStyle="1" w:styleId="353">
    <w:name w:val="xl8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54">
    <w:name w:val="xl112"/>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eastAsia="宋体"/>
      <w:kern w:val="0"/>
      <w:sz w:val="18"/>
      <w:szCs w:val="18"/>
    </w:rPr>
  </w:style>
  <w:style w:type="paragraph" w:customStyle="1" w:styleId="35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paragraph" w:customStyle="1" w:styleId="356">
    <w:name w:val="xl117"/>
    <w:basedOn w:val="1"/>
    <w:qFormat/>
    <w:uiPriority w:val="0"/>
    <w:pPr>
      <w:widowControl/>
      <w:pBdr>
        <w:top w:val="single" w:color="auto" w:sz="8" w:space="0"/>
        <w:bottom w:val="single" w:color="auto" w:sz="8" w:space="0"/>
        <w:right w:val="single" w:color="auto" w:sz="8" w:space="0"/>
      </w:pBdr>
      <w:spacing w:before="100" w:beforeAutospacing="1" w:after="100" w:afterAutospacing="1"/>
    </w:pPr>
    <w:rPr>
      <w:rFonts w:eastAsia="宋体"/>
      <w:kern w:val="0"/>
      <w:sz w:val="18"/>
      <w:szCs w:val="18"/>
    </w:rPr>
  </w:style>
  <w:style w:type="paragraph" w:customStyle="1" w:styleId="357">
    <w:name w:val="样式 表格文字居中 +"/>
    <w:basedOn w:val="162"/>
    <w:qFormat/>
    <w:uiPriority w:val="0"/>
    <w:pPr>
      <w:widowControl/>
    </w:pPr>
    <w:rPr>
      <w:rFonts w:ascii="Times New Roman" w:hAnsi="Times New Roman"/>
      <w:szCs w:val="21"/>
    </w:rPr>
  </w:style>
  <w:style w:type="paragraph" w:customStyle="1" w:styleId="358">
    <w:name w:val="四级格式 Char"/>
    <w:basedOn w:val="13"/>
    <w:qFormat/>
    <w:uiPriority w:val="0"/>
    <w:pPr>
      <w:spacing w:beforeLines="0" w:afterLines="0"/>
      <w:jc w:val="both"/>
    </w:pPr>
    <w:rPr>
      <w:rFonts w:ascii="ˎ̥" w:hAnsi="ˎ̥" w:eastAsia="ˎ̥"/>
      <w:b/>
      <w:color w:val="auto"/>
      <w:szCs w:val="20"/>
    </w:rPr>
  </w:style>
  <w:style w:type="paragraph" w:customStyle="1" w:styleId="359">
    <w:name w:val="表格"/>
    <w:basedOn w:val="1"/>
    <w:qFormat/>
    <w:uiPriority w:val="0"/>
    <w:pPr>
      <w:ind w:right="-107" w:rightChars="-51"/>
      <w:jc w:val="center"/>
    </w:pPr>
    <w:rPr>
      <w:rFonts w:ascii="Verdana" w:hAnsi="Verdana" w:eastAsia="宋体"/>
      <w:bCs/>
      <w:snapToGrid w:val="0"/>
      <w:szCs w:val="24"/>
    </w:rPr>
  </w:style>
  <w:style w:type="paragraph" w:customStyle="1" w:styleId="36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eastAsia="宋体" w:cs="Arial"/>
      <w:kern w:val="0"/>
      <w:sz w:val="24"/>
      <w:szCs w:val="24"/>
    </w:rPr>
  </w:style>
  <w:style w:type="paragraph" w:customStyle="1" w:styleId="361">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eastAsia="宋体"/>
      <w:color w:val="000000"/>
      <w:kern w:val="0"/>
      <w:sz w:val="18"/>
      <w:szCs w:val="18"/>
    </w:rPr>
  </w:style>
  <w:style w:type="paragraph" w:customStyle="1" w:styleId="362">
    <w:name w:val="框文 1"/>
    <w:basedOn w:val="1"/>
    <w:qFormat/>
    <w:uiPriority w:val="0"/>
    <w:pPr>
      <w:spacing w:line="320" w:lineRule="exact"/>
      <w:jc w:val="center"/>
      <w:textAlignment w:val="top"/>
    </w:pPr>
    <w:rPr>
      <w:rFonts w:eastAsia="宋体"/>
      <w:sz w:val="18"/>
      <w:szCs w:val="24"/>
    </w:rPr>
  </w:style>
  <w:style w:type="paragraph" w:customStyle="1" w:styleId="363">
    <w:name w:val="xl123"/>
    <w:basedOn w:val="1"/>
    <w:qFormat/>
    <w:uiPriority w:val="0"/>
    <w:pPr>
      <w:widowControl/>
      <w:pBdr>
        <w:left w:val="single" w:color="auto" w:sz="8"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364">
    <w:name w:val="样式10"/>
    <w:basedOn w:val="1"/>
    <w:qFormat/>
    <w:uiPriority w:val="0"/>
    <w:pPr>
      <w:widowControl/>
      <w:spacing w:before="120" w:after="120" w:line="360" w:lineRule="auto"/>
    </w:pPr>
    <w:rPr>
      <w:rFonts w:hint="eastAsia" w:ascii="Batang" w:eastAsia="Batang"/>
      <w:spacing w:val="20"/>
      <w:kern w:val="0"/>
      <w:sz w:val="24"/>
    </w:rPr>
  </w:style>
  <w:style w:type="paragraph" w:customStyle="1" w:styleId="365">
    <w:name w:val="xl11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eastAsia="宋体"/>
      <w:kern w:val="0"/>
      <w:sz w:val="18"/>
      <w:szCs w:val="18"/>
    </w:rPr>
  </w:style>
  <w:style w:type="paragraph" w:customStyle="1" w:styleId="36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宋体" w:cs="Arial"/>
      <w:kern w:val="0"/>
      <w:sz w:val="24"/>
      <w:szCs w:val="24"/>
    </w:rPr>
  </w:style>
  <w:style w:type="paragraph" w:customStyle="1" w:styleId="367">
    <w:name w:val="m1"/>
    <w:basedOn w:val="1"/>
    <w:qFormat/>
    <w:uiPriority w:val="0"/>
    <w:pPr>
      <w:adjustRightInd w:val="0"/>
      <w:spacing w:line="320" w:lineRule="atLeast"/>
      <w:jc w:val="left"/>
      <w:textAlignment w:val="bottom"/>
    </w:pPr>
    <w:rPr>
      <w:rFonts w:eastAsia="楷体"/>
      <w:kern w:val="0"/>
      <w:sz w:val="28"/>
    </w:rPr>
  </w:style>
  <w:style w:type="paragraph" w:customStyle="1" w:styleId="368">
    <w:name w:val="样式 标题 21.1-C标题 1.1章LLZ2h2部分标题Heading 2 HiddenHeading 2 C...3"/>
    <w:basedOn w:val="10"/>
    <w:qFormat/>
    <w:uiPriority w:val="0"/>
    <w:pPr>
      <w:spacing w:before="100" w:beforeAutospacing="1" w:after="100" w:afterAutospacing="1" w:line="300" w:lineRule="exact"/>
    </w:pPr>
    <w:rPr>
      <w:rFonts w:ascii="Times New Roman" w:hAnsi="Times New Roman" w:cs="宋体"/>
      <w:b w:val="0"/>
      <w:szCs w:val="20"/>
    </w:rPr>
  </w:style>
  <w:style w:type="paragraph" w:customStyle="1" w:styleId="369">
    <w:name w:val="表格1"/>
    <w:basedOn w:val="1"/>
    <w:next w:val="1"/>
    <w:qFormat/>
    <w:uiPriority w:val="0"/>
    <w:pPr>
      <w:ind w:left="-6" w:right="113"/>
      <w:jc w:val="center"/>
    </w:pPr>
    <w:rPr>
      <w:rFonts w:eastAsia="宋体"/>
      <w:kern w:val="0"/>
      <w:szCs w:val="21"/>
    </w:rPr>
  </w:style>
  <w:style w:type="paragraph" w:customStyle="1" w:styleId="370">
    <w:name w:val="_Style 6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1">
    <w:name w:val="*"/>
    <w:basedOn w:val="12"/>
    <w:qFormat/>
    <w:uiPriority w:val="0"/>
    <w:pPr>
      <w:tabs>
        <w:tab w:val="left" w:pos="814"/>
      </w:tabs>
      <w:spacing w:line="500" w:lineRule="exact"/>
      <w:ind w:firstLine="454"/>
    </w:pPr>
    <w:rPr>
      <w:rFonts w:ascii="宋体" w:hAnsi="宋体"/>
      <w:sz w:val="24"/>
      <w:szCs w:val="24"/>
    </w:rPr>
  </w:style>
  <w:style w:type="paragraph" w:customStyle="1" w:styleId="372">
    <w:name w:val="_Style 3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3">
    <w:name w:val="xl86"/>
    <w:basedOn w:val="1"/>
    <w:qFormat/>
    <w:uiPriority w:val="0"/>
    <w:pPr>
      <w:widowControl/>
      <w:pBdr>
        <w:left w:val="single" w:color="auto" w:sz="8" w:space="0"/>
      </w:pBdr>
      <w:spacing w:before="100" w:beforeAutospacing="1" w:after="100" w:afterAutospacing="1"/>
      <w:jc w:val="left"/>
    </w:pPr>
    <w:rPr>
      <w:rFonts w:eastAsia="宋体"/>
      <w:color w:val="000000"/>
      <w:kern w:val="0"/>
      <w:sz w:val="18"/>
      <w:szCs w:val="18"/>
    </w:rPr>
  </w:style>
  <w:style w:type="paragraph" w:customStyle="1" w:styleId="374">
    <w:name w:val="xl98"/>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eastAsia="宋体" w:cs="宋体"/>
      <w:b/>
      <w:bCs/>
      <w:color w:val="000000"/>
      <w:kern w:val="0"/>
      <w:sz w:val="18"/>
      <w:szCs w:val="18"/>
    </w:rPr>
  </w:style>
  <w:style w:type="paragraph" w:customStyle="1" w:styleId="375">
    <w:name w:val="样式 标题 4标题4项目标11.1.1.1标题五H4标书－标题 4章PIM 4h44sect 1.2.3....2"/>
    <w:basedOn w:val="13"/>
    <w:qFormat/>
    <w:uiPriority w:val="0"/>
    <w:pPr>
      <w:spacing w:beforeLines="0" w:afterLines="0" w:line="460" w:lineRule="exact"/>
      <w:ind w:firstLine="200" w:firstLineChars="200"/>
      <w:jc w:val="left"/>
    </w:pPr>
    <w:rPr>
      <w:rFonts w:ascii="宋体" w:hAnsi="宋体" w:eastAsia="ˎ̥" w:cs="宋体"/>
      <w:color w:val="auto"/>
    </w:rPr>
  </w:style>
  <w:style w:type="paragraph" w:customStyle="1" w:styleId="376">
    <w:name w:val="正文1"/>
    <w:basedOn w:val="1"/>
    <w:next w:val="9"/>
    <w:qFormat/>
    <w:uiPriority w:val="0"/>
    <w:rPr>
      <w:rFonts w:eastAsia="宋体"/>
      <w:sz w:val="24"/>
      <w:szCs w:val="24"/>
    </w:rPr>
  </w:style>
  <w:style w:type="paragraph" w:customStyle="1" w:styleId="377">
    <w:name w:val="xl113"/>
    <w:basedOn w:val="1"/>
    <w:qFormat/>
    <w:uiPriority w:val="0"/>
    <w:pPr>
      <w:widowControl/>
      <w:pBdr>
        <w:top w:val="single" w:color="auto" w:sz="8" w:space="0"/>
        <w:bottom w:val="single" w:color="auto" w:sz="8" w:space="0"/>
      </w:pBdr>
      <w:spacing w:before="100" w:beforeAutospacing="1" w:after="100" w:afterAutospacing="1"/>
      <w:jc w:val="center"/>
    </w:pPr>
    <w:rPr>
      <w:rFonts w:eastAsia="宋体"/>
      <w:kern w:val="0"/>
      <w:sz w:val="18"/>
      <w:szCs w:val="18"/>
    </w:rPr>
  </w:style>
  <w:style w:type="paragraph" w:customStyle="1" w:styleId="378">
    <w:name w:val="标题3"/>
    <w:basedOn w:val="11"/>
    <w:next w:val="1"/>
    <w:qFormat/>
    <w:uiPriority w:val="0"/>
    <w:pPr>
      <w:widowControl/>
      <w:spacing w:beforeLines="0" w:afterLines="0"/>
    </w:pPr>
    <w:rPr>
      <w:rFonts w:ascii="宋体" w:hAnsi="宋体"/>
      <w:color w:val="auto"/>
      <w:kern w:val="0"/>
      <w:sz w:val="32"/>
      <w:szCs w:val="20"/>
    </w:rPr>
  </w:style>
  <w:style w:type="paragraph" w:customStyle="1" w:styleId="379">
    <w:name w:val="xl108"/>
    <w:basedOn w:val="1"/>
    <w:qFormat/>
    <w:uiPriority w:val="0"/>
    <w:pPr>
      <w:widowControl/>
      <w:pBdr>
        <w:left w:val="single" w:color="auto" w:sz="8" w:space="0"/>
      </w:pBdr>
      <w:spacing w:before="100" w:beforeAutospacing="1" w:after="100" w:afterAutospacing="1"/>
      <w:jc w:val="left"/>
    </w:pPr>
    <w:rPr>
      <w:rFonts w:ascii="宋体" w:hAnsi="宋体" w:eastAsia="宋体" w:cs="宋体"/>
      <w:color w:val="000000"/>
      <w:kern w:val="0"/>
      <w:sz w:val="18"/>
      <w:szCs w:val="18"/>
    </w:rPr>
  </w:style>
  <w:style w:type="paragraph" w:customStyle="1" w:styleId="380">
    <w:name w:val="xl109"/>
    <w:basedOn w:val="1"/>
    <w:qFormat/>
    <w:uiPriority w:val="0"/>
    <w:pPr>
      <w:widowControl/>
      <w:pBdr>
        <w:right w:val="single" w:color="auto" w:sz="8" w:space="0"/>
      </w:pBdr>
      <w:spacing w:before="100" w:beforeAutospacing="1" w:after="100" w:afterAutospacing="1"/>
      <w:jc w:val="left"/>
    </w:pPr>
    <w:rPr>
      <w:rFonts w:ascii="宋体" w:hAnsi="宋体" w:eastAsia="宋体" w:cs="宋体"/>
      <w:color w:val="000000"/>
      <w:kern w:val="0"/>
      <w:sz w:val="18"/>
      <w:szCs w:val="18"/>
    </w:rPr>
  </w:style>
  <w:style w:type="paragraph" w:customStyle="1" w:styleId="381">
    <w:name w:val="biaoge"/>
    <w:basedOn w:val="1"/>
    <w:qFormat/>
    <w:uiPriority w:val="0"/>
    <w:pPr>
      <w:widowControl/>
      <w:suppressLineNumbers/>
      <w:jc w:val="left"/>
    </w:pPr>
    <w:rPr>
      <w:rFonts w:ascii="宋体" w:hAnsi="宋体" w:eastAsia="宋体"/>
      <w:szCs w:val="21"/>
    </w:rPr>
  </w:style>
  <w:style w:type="paragraph" w:customStyle="1" w:styleId="382">
    <w:name w:val="样式 标题 2标题 2，第一节 + (中文) 宋体 段前: 0.5 行 段后: 0.5 行"/>
    <w:basedOn w:val="10"/>
    <w:qFormat/>
    <w:uiPriority w:val="0"/>
    <w:pPr>
      <w:keepNext w:val="0"/>
      <w:keepLines w:val="0"/>
      <w:pageBreakBefore/>
      <w:spacing w:beforeLines="50" w:afterLines="50" w:line="360" w:lineRule="auto"/>
      <w:ind w:firstLine="200" w:firstLineChars="200"/>
    </w:pPr>
    <w:rPr>
      <w:rFonts w:ascii="Times New Roman" w:hAnsi="Times New Roman" w:eastAsia="ˎ̥" w:cs="宋体"/>
      <w:bCs/>
      <w:color w:val="993366"/>
      <w:sz w:val="28"/>
      <w:szCs w:val="20"/>
    </w:rPr>
  </w:style>
  <w:style w:type="paragraph" w:customStyle="1" w:styleId="383">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宋体" w:cs="Arial"/>
      <w:kern w:val="0"/>
      <w:sz w:val="24"/>
      <w:szCs w:val="24"/>
    </w:rPr>
  </w:style>
  <w:style w:type="paragraph" w:customStyle="1" w:styleId="384">
    <w:name w:val="Char Char Char1 Char"/>
    <w:basedOn w:val="28"/>
    <w:qFormat/>
    <w:uiPriority w:val="0"/>
    <w:rPr>
      <w:rFonts w:ascii="Tahoma" w:hAnsi="Tahoma"/>
      <w:sz w:val="24"/>
      <w:szCs w:val="24"/>
    </w:rPr>
  </w:style>
  <w:style w:type="paragraph" w:customStyle="1" w:styleId="385">
    <w:name w:val="表2"/>
    <w:basedOn w:val="386"/>
    <w:qFormat/>
    <w:uiPriority w:val="0"/>
    <w:pPr>
      <w:spacing w:before="100" w:beforeAutospacing="1" w:after="100" w:afterAutospacing="1" w:line="240" w:lineRule="auto"/>
      <w:jc w:val="left"/>
    </w:pPr>
    <w:rPr>
      <w:rFonts w:eastAsia="宋体"/>
      <w:sz w:val="21"/>
    </w:rPr>
  </w:style>
  <w:style w:type="paragraph" w:customStyle="1" w:styleId="386">
    <w:name w:val="表格标题"/>
    <w:basedOn w:val="1"/>
    <w:qFormat/>
    <w:uiPriority w:val="0"/>
    <w:pPr>
      <w:spacing w:line="320" w:lineRule="exact"/>
      <w:jc w:val="center"/>
    </w:pPr>
    <w:rPr>
      <w:rFonts w:eastAsia="ˎ̥"/>
      <w:bCs/>
      <w:sz w:val="28"/>
      <w:szCs w:val="24"/>
    </w:rPr>
  </w:style>
  <w:style w:type="paragraph" w:customStyle="1" w:styleId="387">
    <w:name w:val="style2"/>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388">
    <w:name w:val="wen"/>
    <w:basedOn w:val="1"/>
    <w:qFormat/>
    <w:uiPriority w:val="0"/>
    <w:pPr>
      <w:widowControl/>
      <w:adjustRightInd w:val="0"/>
      <w:snapToGrid w:val="0"/>
      <w:spacing w:line="460" w:lineRule="exact"/>
      <w:ind w:firstLine="420" w:firstLineChars="200"/>
      <w:jc w:val="left"/>
    </w:pPr>
    <w:rPr>
      <w:rFonts w:ascii="宋体" w:hAnsi="宋体" w:eastAsia="宋体" w:cs="宋体"/>
      <w:bCs/>
      <w:color w:val="000000"/>
      <w:szCs w:val="21"/>
    </w:rPr>
  </w:style>
  <w:style w:type="paragraph" w:customStyle="1" w:styleId="389">
    <w:name w:val="font15"/>
    <w:basedOn w:val="1"/>
    <w:qFormat/>
    <w:uiPriority w:val="0"/>
    <w:pPr>
      <w:widowControl/>
      <w:spacing w:before="100" w:beforeAutospacing="1" w:after="100" w:afterAutospacing="1"/>
      <w:jc w:val="left"/>
    </w:pPr>
    <w:rPr>
      <w:rFonts w:ascii="Arial" w:hAnsi="Arial" w:eastAsia="宋体" w:cs="Arial"/>
      <w:color w:val="FF0000"/>
      <w:kern w:val="0"/>
      <w:sz w:val="24"/>
      <w:szCs w:val="24"/>
    </w:rPr>
  </w:style>
  <w:style w:type="paragraph" w:customStyle="1" w:styleId="390">
    <w:name w:val="xl79"/>
    <w:basedOn w:val="1"/>
    <w:qFormat/>
    <w:uiPriority w:val="0"/>
    <w:pPr>
      <w:widowControl/>
      <w:pBdr>
        <w:top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91">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92">
    <w:name w:val="素材2"/>
    <w:basedOn w:val="1"/>
    <w:qFormat/>
    <w:uiPriority w:val="0"/>
    <w:pPr>
      <w:snapToGrid w:val="0"/>
      <w:spacing w:line="500" w:lineRule="atLeast"/>
      <w:ind w:firstLine="567"/>
    </w:pPr>
    <w:rPr>
      <w:rFonts w:ascii="宋体" w:eastAsia="宋体"/>
      <w:sz w:val="27"/>
      <w:szCs w:val="24"/>
    </w:rPr>
  </w:style>
  <w:style w:type="paragraph" w:customStyle="1" w:styleId="393">
    <w:name w:val="Char Char Char"/>
    <w:basedOn w:val="28"/>
    <w:qFormat/>
    <w:uiPriority w:val="0"/>
    <w:pPr>
      <w:adjustRightInd w:val="0"/>
      <w:spacing w:line="436" w:lineRule="exact"/>
      <w:ind w:left="357"/>
      <w:jc w:val="left"/>
      <w:outlineLvl w:val="3"/>
    </w:pPr>
    <w:rPr>
      <w:rFonts w:ascii="宋体" w:hAnsi="宋体"/>
      <w:b/>
      <w:sz w:val="32"/>
      <w:szCs w:val="32"/>
    </w:rPr>
  </w:style>
  <w:style w:type="paragraph" w:customStyle="1" w:styleId="394">
    <w:name w:val="Char12"/>
    <w:basedOn w:val="1"/>
    <w:qFormat/>
    <w:uiPriority w:val="0"/>
    <w:rPr>
      <w:rFonts w:ascii="Tahoma" w:hAnsi="Tahoma" w:eastAsia="宋体"/>
      <w:sz w:val="24"/>
    </w:rPr>
  </w:style>
  <w:style w:type="paragraph" w:customStyle="1" w:styleId="395">
    <w:name w:val="xl127"/>
    <w:basedOn w:val="1"/>
    <w:qFormat/>
    <w:uiPriority w:val="0"/>
    <w:pPr>
      <w:widowControl/>
      <w:pBdr>
        <w:top w:val="single" w:color="auto" w:sz="8" w:space="0"/>
      </w:pBdr>
      <w:spacing w:before="100" w:beforeAutospacing="1" w:after="100" w:afterAutospacing="1"/>
      <w:jc w:val="left"/>
    </w:pPr>
    <w:rPr>
      <w:rFonts w:eastAsia="宋体"/>
      <w:color w:val="000000"/>
      <w:kern w:val="0"/>
      <w:sz w:val="18"/>
      <w:szCs w:val="18"/>
    </w:rPr>
  </w:style>
  <w:style w:type="paragraph" w:customStyle="1" w:styleId="396">
    <w:name w:val="xl107"/>
    <w:basedOn w:val="1"/>
    <w:qFormat/>
    <w:uiPriority w:val="0"/>
    <w:pPr>
      <w:widowControl/>
      <w:pBdr>
        <w:top w:val="single" w:color="auto" w:sz="8" w:space="0"/>
        <w:right w:val="single" w:color="auto" w:sz="8" w:space="0"/>
      </w:pBdr>
      <w:spacing w:before="100" w:beforeAutospacing="1" w:after="100" w:afterAutospacing="1"/>
      <w:jc w:val="left"/>
    </w:pPr>
    <w:rPr>
      <w:rFonts w:ascii="宋体" w:hAnsi="宋体" w:eastAsia="宋体" w:cs="宋体"/>
      <w:color w:val="000000"/>
      <w:kern w:val="0"/>
      <w:sz w:val="18"/>
      <w:szCs w:val="18"/>
    </w:rPr>
  </w:style>
  <w:style w:type="paragraph" w:customStyle="1" w:styleId="397">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98">
    <w:name w:val="xl2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99">
    <w:name w:val="公文标题"/>
    <w:basedOn w:val="11"/>
    <w:qFormat/>
    <w:uiPriority w:val="0"/>
    <w:pPr>
      <w:spacing w:beforeLines="0" w:afterLines="0" w:line="240" w:lineRule="auto"/>
      <w:ind w:left="1469" w:right="1542"/>
    </w:pPr>
    <w:rPr>
      <w:color w:val="auto"/>
      <w:sz w:val="44"/>
    </w:rPr>
  </w:style>
  <w:style w:type="paragraph" w:customStyle="1" w:styleId="400">
    <w:name w:val="样式 表格文字 + 五号（居中）"/>
    <w:basedOn w:val="187"/>
    <w:qFormat/>
    <w:uiPriority w:val="0"/>
    <w:pPr>
      <w:spacing w:line="0" w:lineRule="atLeast"/>
    </w:pPr>
    <w:rPr>
      <w:rFonts w:ascii="Times New Roman" w:hAnsi="Times New Roman" w:eastAsia="宋体" w:cs="宋体"/>
      <w:color w:val="000000"/>
      <w:kern w:val="0"/>
      <w:sz w:val="21"/>
    </w:rPr>
  </w:style>
  <w:style w:type="paragraph" w:customStyle="1" w:styleId="401">
    <w:name w:val="标题辞"/>
    <w:basedOn w:val="6"/>
    <w:next w:val="1"/>
    <w:qFormat/>
    <w:uiPriority w:val="0"/>
    <w:pPr>
      <w:keepLines w:val="0"/>
      <w:widowControl/>
      <w:spacing w:before="0" w:after="0" w:line="240" w:lineRule="auto"/>
      <w:ind w:left="596" w:hanging="596"/>
    </w:pPr>
    <w:rPr>
      <w:rFonts w:ascii="黑体" w:hAnsi="Times New Roman" w:eastAsia="黑体"/>
      <w:bCs w:val="0"/>
      <w:color w:val="auto"/>
      <w:kern w:val="0"/>
      <w:sz w:val="52"/>
      <w:szCs w:val="20"/>
    </w:rPr>
  </w:style>
  <w:style w:type="paragraph" w:customStyle="1" w:styleId="402">
    <w:name w:val="样式 标题 2标题 2，第一节 + (中文) 宋体 段前: 0.5 行 段后: 0.5 行1"/>
    <w:basedOn w:val="10"/>
    <w:qFormat/>
    <w:uiPriority w:val="0"/>
    <w:pPr>
      <w:keepNext w:val="0"/>
      <w:keepLines w:val="0"/>
      <w:pageBreakBefore/>
      <w:spacing w:beforeLines="50" w:afterLines="50" w:line="360" w:lineRule="auto"/>
      <w:ind w:firstLine="200" w:firstLineChars="200"/>
    </w:pPr>
    <w:rPr>
      <w:rFonts w:ascii="Times New Roman" w:hAnsi="Times New Roman" w:eastAsia="ˎ̥" w:cs="宋体"/>
      <w:bCs/>
      <w:color w:val="993366"/>
      <w:sz w:val="28"/>
      <w:szCs w:val="20"/>
    </w:rPr>
  </w:style>
  <w:style w:type="paragraph" w:customStyle="1" w:styleId="403">
    <w:name w:val="xl132"/>
    <w:basedOn w:val="1"/>
    <w:qFormat/>
    <w:uiPriority w:val="0"/>
    <w:pPr>
      <w:widowControl/>
      <w:pBdr>
        <w:left w:val="single" w:color="auto" w:sz="8" w:space="0"/>
        <w:right w:val="single" w:color="auto" w:sz="8" w:space="0"/>
      </w:pBdr>
      <w:spacing w:before="100" w:beforeAutospacing="1" w:after="100" w:afterAutospacing="1"/>
      <w:jc w:val="left"/>
    </w:pPr>
    <w:rPr>
      <w:rFonts w:eastAsia="宋体"/>
      <w:color w:val="000000"/>
      <w:kern w:val="0"/>
      <w:sz w:val="18"/>
      <w:szCs w:val="18"/>
    </w:rPr>
  </w:style>
  <w:style w:type="paragraph" w:customStyle="1" w:styleId="404">
    <w:name w:val="表格文字小5"/>
    <w:basedOn w:val="1"/>
    <w:qFormat/>
    <w:uiPriority w:val="0"/>
    <w:pPr>
      <w:jc w:val="center"/>
    </w:pPr>
    <w:rPr>
      <w:rFonts w:ascii="宋体" w:hAnsi="宋体" w:eastAsia="宋体"/>
      <w:color w:val="000000"/>
      <w:spacing w:val="-4"/>
    </w:rPr>
  </w:style>
  <w:style w:type="paragraph" w:customStyle="1" w:styleId="405">
    <w:name w:val="xl90"/>
    <w:basedOn w:val="1"/>
    <w:qFormat/>
    <w:uiPriority w:val="0"/>
    <w:pPr>
      <w:widowControl/>
      <w:pBdr>
        <w:top w:val="single" w:color="auto" w:sz="8" w:space="0"/>
        <w:left w:val="single" w:color="auto" w:sz="8" w:space="0"/>
      </w:pBdr>
      <w:spacing w:before="100" w:beforeAutospacing="1" w:after="100" w:afterAutospacing="1"/>
      <w:jc w:val="center"/>
    </w:pPr>
    <w:rPr>
      <w:rFonts w:ascii="宋体" w:hAnsi="宋体" w:eastAsia="宋体" w:cs="宋体"/>
      <w:color w:val="000000"/>
      <w:kern w:val="0"/>
      <w:sz w:val="18"/>
      <w:szCs w:val="18"/>
    </w:rPr>
  </w:style>
  <w:style w:type="paragraph" w:customStyle="1" w:styleId="406">
    <w:name w:val="Z"/>
    <w:basedOn w:val="1"/>
    <w:qFormat/>
    <w:uiPriority w:val="0"/>
    <w:pPr>
      <w:tabs>
        <w:tab w:val="left" w:pos="798"/>
      </w:tabs>
      <w:spacing w:line="360" w:lineRule="auto"/>
      <w:ind w:firstLine="200" w:firstLineChars="200"/>
      <w:jc w:val="left"/>
    </w:pPr>
    <w:rPr>
      <w:rFonts w:hAnsi="宋体" w:eastAsia="宋体"/>
      <w:sz w:val="28"/>
      <w:szCs w:val="24"/>
    </w:rPr>
  </w:style>
  <w:style w:type="paragraph" w:customStyle="1" w:styleId="407">
    <w:name w:val="xl118"/>
    <w:basedOn w:val="1"/>
    <w:qFormat/>
    <w:uiPriority w:val="0"/>
    <w:pPr>
      <w:widowControl/>
      <w:pBdr>
        <w:top w:val="single" w:color="auto" w:sz="8" w:space="0"/>
        <w:right w:val="single" w:color="auto" w:sz="8" w:space="0"/>
      </w:pBdr>
      <w:spacing w:before="100" w:beforeAutospacing="1" w:after="100" w:afterAutospacing="1"/>
      <w:jc w:val="center"/>
    </w:pPr>
    <w:rPr>
      <w:rFonts w:eastAsia="宋体"/>
      <w:color w:val="000000"/>
      <w:kern w:val="0"/>
      <w:sz w:val="18"/>
      <w:szCs w:val="18"/>
    </w:rPr>
  </w:style>
  <w:style w:type="paragraph" w:customStyle="1" w:styleId="408">
    <w:name w:val="正方框图"/>
    <w:basedOn w:val="1"/>
    <w:qFormat/>
    <w:uiPriority w:val="0"/>
    <w:pPr>
      <w:snapToGrid w:val="0"/>
      <w:jc w:val="center"/>
    </w:pPr>
    <w:rPr>
      <w:rFonts w:ascii="宋体" w:eastAsia="宋体"/>
      <w:spacing w:val="-4"/>
      <w:szCs w:val="21"/>
    </w:rPr>
  </w:style>
  <w:style w:type="paragraph" w:customStyle="1" w:styleId="40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eastAsia="宋体" w:cs="Arial"/>
      <w:b/>
      <w:bCs/>
      <w:kern w:val="0"/>
      <w:sz w:val="24"/>
      <w:szCs w:val="24"/>
    </w:rPr>
  </w:style>
  <w:style w:type="paragraph" w:customStyle="1" w:styleId="410">
    <w:name w:val="标题9"/>
    <w:basedOn w:val="1"/>
    <w:qFormat/>
    <w:uiPriority w:val="0"/>
    <w:pPr>
      <w:spacing w:beforeLines="50" w:afterLines="50"/>
    </w:pPr>
    <w:rPr>
      <w:rFonts w:eastAsia="黑体"/>
      <w:b/>
      <w:sz w:val="32"/>
      <w:szCs w:val="24"/>
    </w:rPr>
  </w:style>
  <w:style w:type="paragraph" w:customStyle="1" w:styleId="411">
    <w:name w:val="xl102"/>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eastAsia="宋体" w:cs="宋体"/>
      <w:color w:val="000000"/>
      <w:kern w:val="0"/>
      <w:sz w:val="18"/>
      <w:szCs w:val="18"/>
    </w:rPr>
  </w:style>
  <w:style w:type="paragraph" w:customStyle="1" w:styleId="412">
    <w:name w:val="样式 宋体 行距: 固定值 18 磅"/>
    <w:basedOn w:val="1"/>
    <w:qFormat/>
    <w:uiPriority w:val="0"/>
    <w:pPr>
      <w:spacing w:beforeLines="30" w:line="360" w:lineRule="exact"/>
    </w:pPr>
    <w:rPr>
      <w:rFonts w:ascii="宋体" w:hAnsi="宋体" w:eastAsia="宋体"/>
    </w:rPr>
  </w:style>
  <w:style w:type="paragraph" w:customStyle="1" w:styleId="41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eastAsia="宋体" w:cs="Arial"/>
      <w:kern w:val="0"/>
      <w:sz w:val="24"/>
      <w:szCs w:val="24"/>
    </w:rPr>
  </w:style>
  <w:style w:type="paragraph" w:customStyle="1" w:styleId="414">
    <w:name w:val="xl75"/>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415">
    <w:name w:val="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416">
    <w:name w:val="xl29"/>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417">
    <w:name w:val="正文文本缩进 21"/>
    <w:basedOn w:val="1"/>
    <w:qFormat/>
    <w:uiPriority w:val="0"/>
    <w:pPr>
      <w:autoSpaceDE w:val="0"/>
      <w:autoSpaceDN w:val="0"/>
      <w:adjustRightInd w:val="0"/>
      <w:ind w:firstLine="540"/>
      <w:textAlignment w:val="baseline"/>
    </w:pPr>
    <w:rPr>
      <w:rFonts w:eastAsia="宋体"/>
      <w:sz w:val="24"/>
    </w:rPr>
  </w:style>
  <w:style w:type="paragraph" w:customStyle="1" w:styleId="41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19">
    <w:name w:val="样式 标题 3一Heading 3 - old子系统h33rd level3H3章标题1三级标题l3CT..."/>
    <w:basedOn w:val="11"/>
    <w:qFormat/>
    <w:uiPriority w:val="0"/>
    <w:pPr>
      <w:adjustRightInd w:val="0"/>
      <w:snapToGrid w:val="0"/>
      <w:spacing w:beforeLines="0" w:afterLines="0"/>
      <w:jc w:val="both"/>
    </w:pPr>
    <w:rPr>
      <w:rFonts w:ascii="ˎ̥" w:hAnsi="ˎ̥" w:eastAsia="ˎ̥"/>
      <w:b w:val="0"/>
      <w:color w:val="auto"/>
      <w:kern w:val="11"/>
      <w:szCs w:val="32"/>
    </w:rPr>
  </w:style>
  <w:style w:type="paragraph" w:customStyle="1" w:styleId="420">
    <w:name w:val="不缩进"/>
    <w:basedOn w:val="12"/>
    <w:qFormat/>
    <w:uiPriority w:val="0"/>
    <w:pPr>
      <w:adjustRightInd w:val="0"/>
      <w:snapToGrid w:val="0"/>
      <w:spacing w:line="360" w:lineRule="auto"/>
      <w:ind w:firstLine="0"/>
      <w:textAlignment w:val="center"/>
    </w:pPr>
    <w:rPr>
      <w:sz w:val="24"/>
      <w:szCs w:val="24"/>
    </w:rPr>
  </w:style>
  <w:style w:type="paragraph" w:customStyle="1" w:styleId="421">
    <w:name w:val="标题2"/>
    <w:basedOn w:val="10"/>
    <w:next w:val="1"/>
    <w:qFormat/>
    <w:uiPriority w:val="0"/>
    <w:pPr>
      <w:keepNext w:val="0"/>
      <w:keepLines w:val="0"/>
      <w:tabs>
        <w:tab w:val="left" w:pos="1080"/>
      </w:tabs>
      <w:spacing w:before="0" w:after="0" w:line="360" w:lineRule="exact"/>
      <w:outlineLvl w:val="9"/>
    </w:pPr>
    <w:rPr>
      <w:rFonts w:ascii="宋体" w:hAnsi="Times New Roman" w:eastAsia="仿宋_GB2312"/>
      <w:b w:val="0"/>
      <w:sz w:val="36"/>
      <w:szCs w:val="48"/>
    </w:rPr>
  </w:style>
  <w:style w:type="paragraph" w:customStyle="1" w:styleId="422">
    <w:name w:val="样式 标题 1 + 首行缩进:  2 字符 段前: 1 行 段后: 1 行"/>
    <w:basedOn w:val="6"/>
    <w:next w:val="423"/>
    <w:qFormat/>
    <w:uiPriority w:val="0"/>
    <w:pPr>
      <w:snapToGrid w:val="0"/>
      <w:spacing w:beforeLines="100" w:afterLines="100" w:line="336" w:lineRule="auto"/>
    </w:pPr>
    <w:rPr>
      <w:rFonts w:ascii="Times New Roman" w:hAnsi="Times New Roman" w:eastAsia="黑体" w:cs="宋体"/>
      <w:color w:val="auto"/>
      <w:szCs w:val="20"/>
    </w:rPr>
  </w:style>
  <w:style w:type="paragraph" w:customStyle="1" w:styleId="423">
    <w:name w:val="前言、引言标题"/>
    <w:next w:val="1"/>
    <w:qFormat/>
    <w:uiPriority w:val="0"/>
    <w:pPr>
      <w:shd w:val="clear" w:color="auto" w:fill="FFFFFF"/>
      <w:tabs>
        <w:tab w:val="left" w:pos="360"/>
        <w:tab w:val="left" w:pos="1053"/>
      </w:tabs>
      <w:spacing w:before="640" w:after="560"/>
      <w:jc w:val="center"/>
      <w:outlineLvl w:val="0"/>
    </w:pPr>
    <w:rPr>
      <w:rFonts w:ascii="黑体" w:hAnsi="Times New Roman" w:eastAsia="黑体" w:cs="Times New Roman"/>
      <w:sz w:val="32"/>
      <w:lang w:val="en-US" w:eastAsia="zh-CN" w:bidi="ar-SA"/>
    </w:rPr>
  </w:style>
  <w:style w:type="paragraph" w:customStyle="1" w:styleId="424">
    <w:name w:val="_Style 63"/>
    <w:next w:val="1"/>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25">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42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PMingLiU" w:hAnsi="PMingLiU" w:eastAsia="宋体"/>
      <w:kern w:val="0"/>
      <w:sz w:val="20"/>
    </w:rPr>
  </w:style>
  <w:style w:type="paragraph" w:customStyle="1" w:styleId="427">
    <w:name w:val="xl43"/>
    <w:basedOn w:val="1"/>
    <w:qFormat/>
    <w:uiPriority w:val="0"/>
    <w:pPr>
      <w:widowControl/>
      <w:spacing w:before="100" w:beforeAutospacing="1" w:after="100" w:afterAutospacing="1"/>
      <w:jc w:val="left"/>
    </w:pPr>
    <w:rPr>
      <w:rFonts w:eastAsia="宋体"/>
      <w:kern w:val="0"/>
      <w:sz w:val="24"/>
      <w:szCs w:val="24"/>
    </w:rPr>
  </w:style>
  <w:style w:type="paragraph" w:customStyle="1" w:styleId="4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eastAsia="宋体" w:cs="Arial"/>
      <w:kern w:val="0"/>
      <w:sz w:val="24"/>
      <w:szCs w:val="24"/>
    </w:rPr>
  </w:style>
  <w:style w:type="paragraph" w:customStyle="1" w:styleId="429">
    <w:name w:val="标题10"/>
    <w:qFormat/>
    <w:uiPriority w:val="0"/>
    <w:pPr>
      <w:spacing w:afterLines="100"/>
    </w:pPr>
    <w:rPr>
      <w:rFonts w:ascii="Times New Roman" w:hAnsi="Times New Roman" w:eastAsia="宋体" w:cs="Times New Roman"/>
      <w:b/>
      <w:sz w:val="32"/>
      <w:lang w:val="en-US" w:eastAsia="zh-CN" w:bidi="ar-SA"/>
    </w:rPr>
  </w:style>
  <w:style w:type="paragraph" w:customStyle="1" w:styleId="430">
    <w:name w:val="正文 New New"/>
    <w:basedOn w:val="1"/>
    <w:qFormat/>
    <w:uiPriority w:val="0"/>
    <w:rPr>
      <w:rFonts w:cs="宋体"/>
      <w:szCs w:val="21"/>
    </w:rPr>
  </w:style>
  <w:style w:type="paragraph" w:customStyle="1" w:styleId="431">
    <w:name w:val="xl83"/>
    <w:basedOn w:val="1"/>
    <w:qFormat/>
    <w:uiPriority w:val="0"/>
    <w:pPr>
      <w:widowControl/>
      <w:pBdr>
        <w:left w:val="single" w:color="auto" w:sz="8" w:space="0"/>
        <w:bottom w:val="single" w:color="auto" w:sz="8" w:space="0"/>
      </w:pBdr>
      <w:spacing w:before="100" w:beforeAutospacing="1" w:after="100" w:afterAutospacing="1"/>
      <w:jc w:val="left"/>
    </w:pPr>
    <w:rPr>
      <w:rFonts w:eastAsia="宋体"/>
      <w:color w:val="000000"/>
      <w:kern w:val="0"/>
      <w:sz w:val="18"/>
      <w:szCs w:val="18"/>
    </w:rPr>
  </w:style>
  <w:style w:type="paragraph" w:customStyle="1" w:styleId="432">
    <w:name w:val="章节二"/>
    <w:basedOn w:val="1"/>
    <w:next w:val="1"/>
    <w:qFormat/>
    <w:uiPriority w:val="0"/>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433">
    <w:name w:val="font16"/>
    <w:basedOn w:val="1"/>
    <w:qFormat/>
    <w:uiPriority w:val="0"/>
    <w:pPr>
      <w:widowControl/>
      <w:spacing w:before="100" w:beforeAutospacing="1" w:after="100" w:afterAutospacing="1"/>
      <w:jc w:val="left"/>
    </w:pPr>
    <w:rPr>
      <w:rFonts w:eastAsia="宋体"/>
      <w:kern w:val="0"/>
      <w:sz w:val="24"/>
      <w:szCs w:val="24"/>
      <w:u w:val="single"/>
    </w:rPr>
  </w:style>
  <w:style w:type="paragraph" w:customStyle="1" w:styleId="434">
    <w:name w:val="xl77"/>
    <w:basedOn w:val="1"/>
    <w:qFormat/>
    <w:uiPriority w:val="0"/>
    <w:pPr>
      <w:widowControl/>
      <w:pBdr>
        <w:top w:val="single" w:color="auto" w:sz="8" w:space="0"/>
        <w:lef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435">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eastAsia="宋体"/>
      <w:kern w:val="0"/>
      <w:sz w:val="20"/>
    </w:rPr>
  </w:style>
  <w:style w:type="paragraph" w:customStyle="1" w:styleId="43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37">
    <w:name w:val="图表文字"/>
    <w:basedOn w:val="1"/>
    <w:qFormat/>
    <w:uiPriority w:val="0"/>
    <w:pPr>
      <w:spacing w:line="460" w:lineRule="exact"/>
      <w:ind w:right="-107" w:rightChars="-51"/>
      <w:jc w:val="center"/>
    </w:pPr>
    <w:rPr>
      <w:rFonts w:ascii="ˎ̥" w:hAnsi="宋体" w:eastAsia="ˎ̥"/>
      <w:sz w:val="24"/>
      <w:szCs w:val="24"/>
    </w:rPr>
  </w:style>
  <w:style w:type="paragraph" w:customStyle="1" w:styleId="438">
    <w:name w:val="通用标题3"/>
    <w:basedOn w:val="11"/>
    <w:qFormat/>
    <w:uiPriority w:val="0"/>
    <w:pPr>
      <w:snapToGrid w:val="0"/>
      <w:spacing w:beforeLines="0" w:afterLines="0"/>
      <w:ind w:left="100" w:leftChars="100" w:right="100" w:rightChars="100" w:firstLine="200" w:firstLineChars="200"/>
      <w:jc w:val="left"/>
    </w:pPr>
    <w:rPr>
      <w:rFonts w:ascii="黑体" w:eastAsia="黑体"/>
      <w:bCs/>
      <w:color w:val="auto"/>
      <w:sz w:val="28"/>
      <w:szCs w:val="28"/>
    </w:rPr>
  </w:style>
  <w:style w:type="paragraph" w:customStyle="1" w:styleId="439">
    <w:name w:val="xl4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40">
    <w:name w:val="四级条标题"/>
    <w:basedOn w:val="441"/>
    <w:next w:val="1"/>
    <w:qFormat/>
    <w:uiPriority w:val="0"/>
    <w:pPr>
      <w:tabs>
        <w:tab w:val="left" w:pos="360"/>
        <w:tab w:val="left" w:pos="495"/>
        <w:tab w:val="left" w:pos="1200"/>
        <w:tab w:val="left" w:pos="1418"/>
        <w:tab w:val="left" w:pos="1680"/>
        <w:tab w:val="left" w:pos="2100"/>
        <w:tab w:val="left" w:pos="2356"/>
        <w:tab w:val="left" w:pos="2520"/>
        <w:tab w:val="left" w:pos="2781"/>
        <w:tab w:val="left" w:pos="3566"/>
      </w:tabs>
      <w:ind w:left="3260" w:hanging="1134"/>
      <w:outlineLvl w:val="5"/>
    </w:pPr>
  </w:style>
  <w:style w:type="paragraph" w:customStyle="1" w:styleId="441">
    <w:name w:val="三级条标题"/>
    <w:basedOn w:val="442"/>
    <w:next w:val="1"/>
    <w:qFormat/>
    <w:uiPriority w:val="0"/>
    <w:pPr>
      <w:tabs>
        <w:tab w:val="left" w:pos="360"/>
        <w:tab w:val="left" w:pos="495"/>
        <w:tab w:val="left" w:pos="1200"/>
        <w:tab w:val="left" w:pos="1418"/>
        <w:tab w:val="left" w:pos="1680"/>
        <w:tab w:val="left" w:pos="2100"/>
        <w:tab w:val="left" w:pos="2356"/>
        <w:tab w:val="left" w:pos="2781"/>
      </w:tabs>
      <w:ind w:left="2551" w:hanging="850"/>
      <w:outlineLvl w:val="4"/>
    </w:pPr>
  </w:style>
  <w:style w:type="paragraph" w:customStyle="1" w:styleId="442">
    <w:name w:val="二级条标题"/>
    <w:basedOn w:val="334"/>
    <w:next w:val="1"/>
    <w:qFormat/>
    <w:uiPriority w:val="0"/>
    <w:pPr>
      <w:tabs>
        <w:tab w:val="left" w:pos="1680"/>
        <w:tab w:val="left" w:pos="2356"/>
      </w:tabs>
      <w:ind w:left="1984" w:hanging="708"/>
      <w:outlineLvl w:val="3"/>
    </w:pPr>
    <w:rPr>
      <w:rFonts w:ascii="Times New Roman" w:eastAsia="宋体"/>
    </w:rPr>
  </w:style>
  <w:style w:type="paragraph" w:customStyle="1" w:styleId="443">
    <w:name w:val="标题 3-1"/>
    <w:next w:val="1"/>
    <w:qFormat/>
    <w:uiPriority w:val="0"/>
    <w:pPr>
      <w:spacing w:line="460" w:lineRule="exact"/>
    </w:pPr>
    <w:rPr>
      <w:rFonts w:ascii="ˎ̥" w:hAnsi="ˎ̥" w:eastAsia="ˎ̥" w:cs="Times New Roman"/>
      <w:kern w:val="2"/>
      <w:sz w:val="28"/>
      <w:szCs w:val="28"/>
      <w:lang w:val="en-US" w:eastAsia="zh-CN" w:bidi="ar-SA"/>
    </w:rPr>
  </w:style>
  <w:style w:type="paragraph" w:customStyle="1" w:styleId="444">
    <w:name w:val="xl82"/>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eastAsia="宋体" w:cs="宋体"/>
      <w:color w:val="000000"/>
      <w:kern w:val="0"/>
      <w:sz w:val="18"/>
      <w:szCs w:val="18"/>
    </w:rPr>
  </w:style>
  <w:style w:type="paragraph" w:customStyle="1" w:styleId="445">
    <w:name w:val="7"/>
    <w:basedOn w:val="1"/>
    <w:next w:val="43"/>
    <w:qFormat/>
    <w:uiPriority w:val="0"/>
    <w:rPr>
      <w:rFonts w:ascii="宋体" w:hAnsi="PMingLiU" w:eastAsia="宋体"/>
    </w:rPr>
  </w:style>
  <w:style w:type="paragraph" w:customStyle="1" w:styleId="446">
    <w:name w:val="font17"/>
    <w:basedOn w:val="1"/>
    <w:qFormat/>
    <w:uiPriority w:val="0"/>
    <w:pPr>
      <w:widowControl/>
      <w:spacing w:before="100" w:beforeAutospacing="1" w:after="100" w:afterAutospacing="1"/>
      <w:jc w:val="left"/>
    </w:pPr>
    <w:rPr>
      <w:rFonts w:eastAsia="宋体"/>
      <w:kern w:val="0"/>
      <w:sz w:val="24"/>
      <w:szCs w:val="24"/>
    </w:rPr>
  </w:style>
  <w:style w:type="paragraph" w:customStyle="1" w:styleId="447">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48">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Cs w:val="21"/>
    </w:rPr>
  </w:style>
  <w:style w:type="paragraph" w:customStyle="1" w:styleId="449">
    <w:name w:val="正文文字2"/>
    <w:basedOn w:val="1"/>
    <w:qFormat/>
    <w:uiPriority w:val="0"/>
    <w:pPr>
      <w:spacing w:before="60" w:after="60" w:line="500" w:lineRule="exact"/>
      <w:ind w:left="510" w:firstLine="567"/>
    </w:pPr>
    <w:rPr>
      <w:rFonts w:eastAsia="宋体"/>
      <w:sz w:val="28"/>
    </w:rPr>
  </w:style>
  <w:style w:type="paragraph" w:customStyle="1" w:styleId="450">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Cs w:val="21"/>
    </w:rPr>
  </w:style>
  <w:style w:type="paragraph" w:customStyle="1" w:styleId="451">
    <w:name w:val="font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2">
    <w:name w:val="xl101"/>
    <w:basedOn w:val="1"/>
    <w:qFormat/>
    <w:uiPriority w:val="0"/>
    <w:pPr>
      <w:widowControl/>
      <w:pBdr>
        <w:left w:val="single" w:color="auto" w:sz="8" w:space="0"/>
        <w:right w:val="single" w:color="auto" w:sz="8" w:space="0"/>
      </w:pBdr>
      <w:spacing w:before="100" w:beforeAutospacing="1" w:after="100" w:afterAutospacing="1"/>
      <w:jc w:val="center"/>
    </w:pPr>
    <w:rPr>
      <w:rFonts w:eastAsia="宋体"/>
      <w:color w:val="000000"/>
      <w:kern w:val="0"/>
      <w:sz w:val="18"/>
      <w:szCs w:val="18"/>
    </w:rPr>
  </w:style>
  <w:style w:type="paragraph" w:customStyle="1" w:styleId="453">
    <w:name w:val="样式 图案: 清除 (深蓝)1"/>
    <w:basedOn w:val="1"/>
    <w:qFormat/>
    <w:uiPriority w:val="0"/>
    <w:pPr>
      <w:spacing w:line="360" w:lineRule="auto"/>
    </w:pPr>
    <w:rPr>
      <w:rFonts w:eastAsia="宋体" w:cs="宋体"/>
      <w:sz w:val="24"/>
    </w:rPr>
  </w:style>
  <w:style w:type="paragraph" w:customStyle="1" w:styleId="454">
    <w:name w:val="xl40"/>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Cs w:val="21"/>
    </w:rPr>
  </w:style>
  <w:style w:type="paragraph" w:customStyle="1" w:styleId="455">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456">
    <w:name w:val="样式 首行缩进:  2 字符 段后: 0.3 行"/>
    <w:basedOn w:val="1"/>
    <w:qFormat/>
    <w:uiPriority w:val="0"/>
    <w:pPr>
      <w:adjustRightInd w:val="0"/>
      <w:snapToGrid w:val="0"/>
      <w:spacing w:afterLines="30" w:line="312" w:lineRule="auto"/>
      <w:ind w:firstLine="480" w:firstLineChars="200"/>
    </w:pPr>
    <w:rPr>
      <w:rFonts w:eastAsia="Calibri"/>
      <w:sz w:val="24"/>
    </w:rPr>
  </w:style>
  <w:style w:type="paragraph" w:customStyle="1" w:styleId="457">
    <w:name w:val="xl104"/>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color w:val="000000"/>
      <w:kern w:val="0"/>
      <w:sz w:val="18"/>
      <w:szCs w:val="18"/>
    </w:rPr>
  </w:style>
  <w:style w:type="paragraph" w:customStyle="1" w:styleId="458">
    <w:name w:val="样式 标题 31.1.1-C节LLZ3Heading 3 - old子系统h33rd level3H3章标题..."/>
    <w:basedOn w:val="11"/>
    <w:qFormat/>
    <w:uiPriority w:val="0"/>
    <w:pPr>
      <w:spacing w:beforeLines="0" w:beforeAutospacing="1" w:afterLines="0" w:line="400" w:lineRule="exact"/>
      <w:jc w:val="left"/>
    </w:pPr>
    <w:rPr>
      <w:b w:val="0"/>
      <w:color w:val="auto"/>
      <w:sz w:val="28"/>
      <w:szCs w:val="28"/>
    </w:rPr>
  </w:style>
  <w:style w:type="paragraph" w:customStyle="1" w:styleId="459">
    <w:name w:val="m2"/>
    <w:basedOn w:val="367"/>
    <w:qFormat/>
    <w:uiPriority w:val="0"/>
    <w:pPr>
      <w:spacing w:line="400" w:lineRule="atLeast"/>
    </w:pPr>
    <w:rPr>
      <w:rFonts w:eastAsia="宋体"/>
      <w:b/>
    </w:rPr>
  </w:style>
  <w:style w:type="paragraph" w:customStyle="1" w:styleId="460">
    <w:name w:val="小标题"/>
    <w:basedOn w:val="1"/>
    <w:qFormat/>
    <w:uiPriority w:val="0"/>
    <w:pPr>
      <w:tabs>
        <w:tab w:val="left" w:pos="840"/>
      </w:tabs>
      <w:adjustRightInd w:val="0"/>
      <w:spacing w:beforeLines="50" w:afterLines="50" w:line="400" w:lineRule="atLeast"/>
      <w:ind w:left="840" w:hanging="360"/>
      <w:textAlignment w:val="baseline"/>
    </w:pPr>
    <w:rPr>
      <w:rFonts w:ascii="宋体" w:hAnsi="宋体" w:eastAsia="宋体"/>
      <w:kern w:val="0"/>
      <w:sz w:val="24"/>
    </w:rPr>
  </w:style>
  <w:style w:type="paragraph" w:customStyle="1" w:styleId="461">
    <w:name w:val="样式1"/>
    <w:basedOn w:val="1"/>
    <w:qFormat/>
    <w:uiPriority w:val="0"/>
    <w:pPr>
      <w:spacing w:before="120" w:line="300" w:lineRule="auto"/>
      <w:ind w:firstLine="408"/>
    </w:pPr>
    <w:rPr>
      <w:rFonts w:eastAsia="宋体"/>
      <w:sz w:val="24"/>
    </w:rPr>
  </w:style>
  <w:style w:type="paragraph" w:customStyle="1" w:styleId="462">
    <w:name w:val="xl37"/>
    <w:basedOn w:val="1"/>
    <w:qFormat/>
    <w:uiPriority w:val="0"/>
    <w:pPr>
      <w:widowControl/>
      <w:pBdr>
        <w:bottom w:val="single" w:color="auto" w:sz="4" w:space="0"/>
        <w:right w:val="single" w:color="auto" w:sz="4" w:space="0"/>
      </w:pBdr>
      <w:spacing w:before="100" w:beforeAutospacing="1" w:after="100" w:afterAutospacing="1"/>
      <w:textAlignment w:val="center"/>
    </w:pPr>
    <w:rPr>
      <w:rFonts w:ascii="宋体" w:hAnsi="宋体" w:eastAsia="宋体"/>
      <w:kern w:val="0"/>
      <w:szCs w:val="21"/>
    </w:rPr>
  </w:style>
  <w:style w:type="paragraph" w:customStyle="1" w:styleId="463">
    <w:name w:val="xl5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64">
    <w:name w:val="样式 表格文字 + 五号 两端对齐"/>
    <w:basedOn w:val="187"/>
    <w:qFormat/>
    <w:uiPriority w:val="0"/>
    <w:pPr>
      <w:spacing w:line="360" w:lineRule="auto"/>
      <w:ind w:firstLine="200" w:firstLineChars="200"/>
    </w:pPr>
    <w:rPr>
      <w:rFonts w:ascii="Times New Roman" w:hAnsi="Times New Roman" w:eastAsia="宋体" w:cs="宋体"/>
      <w:color w:val="000000"/>
      <w:kern w:val="0"/>
      <w:sz w:val="21"/>
      <w:szCs w:val="20"/>
    </w:rPr>
  </w:style>
  <w:style w:type="paragraph" w:customStyle="1" w:styleId="465">
    <w:name w:val="xl105"/>
    <w:basedOn w:val="1"/>
    <w:qFormat/>
    <w:uiPriority w:val="0"/>
    <w:pPr>
      <w:widowControl/>
      <w:pBdr>
        <w:left w:val="single" w:color="auto" w:sz="8" w:space="0"/>
        <w:right w:val="single" w:color="auto" w:sz="8" w:space="0"/>
      </w:pBdr>
      <w:spacing w:before="100" w:beforeAutospacing="1" w:after="100" w:afterAutospacing="1"/>
      <w:jc w:val="center"/>
    </w:pPr>
    <w:rPr>
      <w:rFonts w:eastAsia="宋体"/>
      <w:b/>
      <w:bCs/>
      <w:color w:val="000000"/>
      <w:kern w:val="0"/>
      <w:sz w:val="18"/>
      <w:szCs w:val="18"/>
    </w:rPr>
  </w:style>
  <w:style w:type="paragraph" w:customStyle="1" w:styleId="466">
    <w:name w:val="表格头格式 Char Char"/>
    <w:basedOn w:val="1"/>
    <w:qFormat/>
    <w:uiPriority w:val="0"/>
    <w:pPr>
      <w:spacing w:line="360" w:lineRule="auto"/>
      <w:ind w:left="510"/>
      <w:jc w:val="center"/>
    </w:pPr>
    <w:rPr>
      <w:rFonts w:eastAsia="ˎ̥" w:cs="宋体"/>
      <w:b/>
      <w:sz w:val="24"/>
    </w:rPr>
  </w:style>
  <w:style w:type="paragraph" w:customStyle="1" w:styleId="467">
    <w:name w:val="样式 标题 3 + 黑体 四号 梅红 行距: 1.5 倍行距"/>
    <w:basedOn w:val="11"/>
    <w:qFormat/>
    <w:uiPriority w:val="0"/>
    <w:pPr>
      <w:keepNext w:val="0"/>
      <w:keepLines w:val="0"/>
      <w:spacing w:beforeLines="0" w:afterLines="0"/>
      <w:ind w:firstLine="200" w:firstLineChars="200"/>
      <w:jc w:val="left"/>
    </w:pPr>
    <w:rPr>
      <w:rFonts w:ascii="ˎ̥" w:eastAsia="ˎ̥" w:cs="宋体"/>
      <w:bCs/>
      <w:color w:val="993366"/>
    </w:rPr>
  </w:style>
  <w:style w:type="paragraph" w:customStyle="1" w:styleId="468">
    <w:name w:val="公文抬头"/>
    <w:basedOn w:val="12"/>
    <w:qFormat/>
    <w:uiPriority w:val="0"/>
    <w:pPr>
      <w:ind w:firstLine="0"/>
    </w:pPr>
    <w:rPr>
      <w:rFonts w:ascii="仿宋_GB2312" w:eastAsia="仿宋_GB2312"/>
      <w:sz w:val="30"/>
      <w:szCs w:val="24"/>
    </w:rPr>
  </w:style>
  <w:style w:type="paragraph" w:customStyle="1" w:styleId="469">
    <w:name w:val="xl92"/>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eastAsia="宋体" w:cs="宋体"/>
      <w:color w:val="000000"/>
      <w:kern w:val="0"/>
      <w:sz w:val="18"/>
      <w:szCs w:val="18"/>
    </w:rPr>
  </w:style>
  <w:style w:type="paragraph" w:customStyle="1" w:styleId="470">
    <w:name w:val="Char"/>
    <w:basedOn w:val="1"/>
    <w:qFormat/>
    <w:uiPriority w:val="0"/>
    <w:rPr>
      <w:rFonts w:ascii="Tahoma" w:hAnsi="Tahoma" w:eastAsia="宋体"/>
      <w:sz w:val="24"/>
    </w:rPr>
  </w:style>
  <w:style w:type="paragraph" w:customStyle="1" w:styleId="471">
    <w:name w:val="xl5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kern w:val="0"/>
      <w:sz w:val="20"/>
    </w:rPr>
  </w:style>
  <w:style w:type="paragraph" w:customStyle="1" w:styleId="472">
    <w:name w:val="xl129"/>
    <w:basedOn w:val="1"/>
    <w:qFormat/>
    <w:uiPriority w:val="0"/>
    <w:pPr>
      <w:widowControl/>
      <w:pBdr>
        <w:bottom w:val="single" w:color="auto" w:sz="8" w:space="0"/>
      </w:pBdr>
      <w:spacing w:before="100" w:beforeAutospacing="1" w:after="100" w:afterAutospacing="1"/>
      <w:jc w:val="left"/>
    </w:pPr>
    <w:rPr>
      <w:rFonts w:eastAsia="宋体"/>
      <w:color w:val="000000"/>
      <w:kern w:val="0"/>
      <w:sz w:val="18"/>
      <w:szCs w:val="18"/>
    </w:rPr>
  </w:style>
  <w:style w:type="paragraph" w:customStyle="1" w:styleId="473">
    <w:name w:val="修订1"/>
    <w:unhideWhenUsed/>
    <w:qFormat/>
    <w:uiPriority w:val="99"/>
    <w:rPr>
      <w:rFonts w:ascii="Times New Roman" w:hAnsi="Times New Roman" w:eastAsia="楷体_GB2312" w:cs="Times New Roman"/>
      <w:kern w:val="2"/>
      <w:sz w:val="21"/>
      <w:lang w:val="en-US" w:eastAsia="zh-CN" w:bidi="ar-SA"/>
    </w:rPr>
  </w:style>
  <w:style w:type="paragraph" w:customStyle="1" w:styleId="474">
    <w:name w:val="样式 标题 1章-C + 非加粗 自动设置"/>
    <w:basedOn w:val="6"/>
    <w:qFormat/>
    <w:uiPriority w:val="0"/>
    <w:pPr>
      <w:spacing w:before="100" w:beforeAutospacing="1" w:after="100" w:afterAutospacing="1" w:line="720" w:lineRule="auto"/>
      <w:jc w:val="left"/>
    </w:pPr>
    <w:rPr>
      <w:rFonts w:ascii="Times New Roman" w:hAnsi="Times New Roman"/>
      <w:bCs w:val="0"/>
      <w:color w:val="auto"/>
      <w:sz w:val="36"/>
      <w:szCs w:val="24"/>
    </w:rPr>
  </w:style>
  <w:style w:type="paragraph" w:customStyle="1" w:styleId="475">
    <w:name w:val="Char1"/>
    <w:basedOn w:val="1"/>
    <w:qFormat/>
    <w:uiPriority w:val="0"/>
    <w:rPr>
      <w:rFonts w:ascii="Tahoma" w:hAnsi="Tahoma" w:eastAsia="宋体"/>
      <w:sz w:val="24"/>
    </w:rPr>
  </w:style>
  <w:style w:type="paragraph" w:customStyle="1" w:styleId="47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77">
    <w:name w:val="样式 标题 21.1-C标题 1.1章LLZ2h2部分标题Heading 2 HiddenHeading 2 C...2"/>
    <w:basedOn w:val="10"/>
    <w:qFormat/>
    <w:uiPriority w:val="0"/>
    <w:pPr>
      <w:spacing w:before="100" w:beforeAutospacing="1" w:after="100" w:afterAutospacing="1" w:line="0" w:lineRule="atLeast"/>
    </w:pPr>
    <w:rPr>
      <w:rFonts w:ascii="Times New Roman" w:hAnsi="Times New Roman" w:cs="宋体"/>
      <w:b w:val="0"/>
      <w:kern w:val="44"/>
      <w:szCs w:val="20"/>
    </w:rPr>
  </w:style>
  <w:style w:type="paragraph" w:customStyle="1" w:styleId="478">
    <w:name w:val="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79">
    <w:name w:val="xl99"/>
    <w:basedOn w:val="1"/>
    <w:qFormat/>
    <w:uiPriority w:val="0"/>
    <w:pPr>
      <w:widowControl/>
      <w:pBdr>
        <w:right w:val="single" w:color="auto" w:sz="8" w:space="0"/>
      </w:pBdr>
      <w:spacing w:before="100" w:beforeAutospacing="1" w:after="100" w:afterAutospacing="1"/>
      <w:jc w:val="center"/>
    </w:pPr>
    <w:rPr>
      <w:rFonts w:ascii="宋体" w:hAnsi="宋体" w:eastAsia="宋体" w:cs="宋体"/>
      <w:color w:val="000000"/>
      <w:kern w:val="0"/>
      <w:sz w:val="18"/>
      <w:szCs w:val="18"/>
    </w:rPr>
  </w:style>
  <w:style w:type="paragraph" w:customStyle="1" w:styleId="480">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宋体" w:cs="Arial"/>
      <w:kern w:val="0"/>
      <w:sz w:val="24"/>
      <w:szCs w:val="24"/>
    </w:rPr>
  </w:style>
  <w:style w:type="paragraph" w:customStyle="1" w:styleId="481">
    <w:name w:val="xl3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482">
    <w:name w:val="文提"/>
    <w:basedOn w:val="156"/>
    <w:qFormat/>
    <w:uiPriority w:val="0"/>
    <w:pPr>
      <w:ind w:firstLine="0" w:firstLineChars="0"/>
    </w:pPr>
    <w:rPr>
      <w:rFonts w:eastAsia="黑体" w:cs="宋体"/>
      <w:b/>
      <w:snapToGrid/>
    </w:rPr>
  </w:style>
  <w:style w:type="paragraph" w:customStyle="1" w:styleId="483">
    <w:name w:val="样式2"/>
    <w:basedOn w:val="13"/>
    <w:next w:val="13"/>
    <w:qFormat/>
    <w:uiPriority w:val="0"/>
    <w:pPr>
      <w:spacing w:beforeLines="0" w:afterLines="0" w:line="460" w:lineRule="exact"/>
      <w:jc w:val="both"/>
    </w:pPr>
    <w:rPr>
      <w:rFonts w:ascii="ˎ̥" w:hAnsi="ˎ̥" w:eastAsia="ˎ̥"/>
      <w:b/>
      <w:bCs/>
      <w:color w:val="auto"/>
      <w:szCs w:val="28"/>
    </w:rPr>
  </w:style>
  <w:style w:type="paragraph" w:customStyle="1" w:styleId="484">
    <w:name w:val="1)"/>
    <w:basedOn w:val="1"/>
    <w:qFormat/>
    <w:uiPriority w:val="0"/>
    <w:pPr>
      <w:tabs>
        <w:tab w:val="left" w:pos="1050"/>
        <w:tab w:val="left" w:pos="1701"/>
        <w:tab w:val="left" w:pos="2100"/>
      </w:tabs>
      <w:spacing w:line="360" w:lineRule="auto"/>
      <w:ind w:left="2520" w:hanging="420"/>
      <w:outlineLvl w:val="4"/>
    </w:pPr>
    <w:rPr>
      <w:rFonts w:ascii="宋体" w:eastAsia="宋体"/>
      <w:color w:val="000000"/>
      <w:kern w:val="0"/>
      <w:sz w:val="24"/>
    </w:rPr>
  </w:style>
  <w:style w:type="paragraph" w:customStyle="1" w:styleId="48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4"/>
      <w:szCs w:val="24"/>
    </w:rPr>
  </w:style>
  <w:style w:type="paragraph" w:customStyle="1" w:styleId="486">
    <w:name w:val="Char11"/>
    <w:basedOn w:val="1"/>
    <w:qFormat/>
    <w:uiPriority w:val="0"/>
    <w:rPr>
      <w:rFonts w:ascii="Tahoma" w:hAnsi="Tahoma" w:eastAsia="宋体"/>
      <w:sz w:val="24"/>
    </w:rPr>
  </w:style>
  <w:style w:type="paragraph" w:customStyle="1" w:styleId="487">
    <w:name w:val="cjk2"/>
    <w:basedOn w:val="1"/>
    <w:qFormat/>
    <w:uiPriority w:val="0"/>
    <w:pPr>
      <w:widowControl/>
      <w:spacing w:before="284" w:line="360" w:lineRule="auto"/>
      <w:jc w:val="left"/>
    </w:pPr>
    <w:rPr>
      <w:rFonts w:ascii="宋体" w:hAnsi="宋体" w:eastAsia="宋体"/>
      <w:kern w:val="0"/>
      <w:sz w:val="22"/>
    </w:rPr>
  </w:style>
  <w:style w:type="paragraph" w:customStyle="1" w:styleId="488">
    <w:name w:val="样式 标题 6标题6H6Bullet (Single Lines)PIM 6L6BOD 4h6Third Sub..."/>
    <w:basedOn w:val="15"/>
    <w:qFormat/>
    <w:uiPriority w:val="0"/>
    <w:pPr>
      <w:spacing w:line="319" w:lineRule="auto"/>
    </w:pPr>
    <w:rPr>
      <w:rFonts w:ascii="宋体" w:hAnsi="宋体" w:eastAsia="ˎ̥" w:cs="宋体"/>
      <w:szCs w:val="20"/>
    </w:rPr>
  </w:style>
  <w:style w:type="paragraph" w:customStyle="1" w:styleId="489">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90">
    <w:name w:val="xl125"/>
    <w:basedOn w:val="1"/>
    <w:qFormat/>
    <w:uiPriority w:val="0"/>
    <w:pPr>
      <w:widowControl/>
      <w:pBdr>
        <w:top w:val="single" w:color="auto" w:sz="8" w:space="0"/>
        <w:left w:val="single" w:color="auto" w:sz="8"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491">
    <w:name w:val="样式 标题 5 + 首行缩进:  2 字符"/>
    <w:basedOn w:val="14"/>
    <w:qFormat/>
    <w:uiPriority w:val="0"/>
    <w:pPr>
      <w:keepNext w:val="0"/>
      <w:keepLines w:val="0"/>
      <w:spacing w:beforeLines="0" w:afterLines="0" w:line="240" w:lineRule="auto"/>
      <w:ind w:firstLine="420" w:firstLineChars="200"/>
      <w:jc w:val="left"/>
    </w:pPr>
    <w:rPr>
      <w:rFonts w:ascii="Times New Roman" w:hAnsi="Times New Roman" w:cs="宋体"/>
      <w:color w:val="800080"/>
      <w:szCs w:val="20"/>
    </w:rPr>
  </w:style>
  <w:style w:type="paragraph" w:customStyle="1" w:styleId="492">
    <w:name w:val="样式 （环球正文"/>
    <w:basedOn w:val="1"/>
    <w:qFormat/>
    <w:uiPriority w:val="0"/>
    <w:pPr>
      <w:spacing w:line="360" w:lineRule="auto"/>
      <w:ind w:firstLine="480" w:firstLineChars="200"/>
    </w:pPr>
    <w:rPr>
      <w:rFonts w:ascii="宋体" w:eastAsia="宋体" w:cs="宋体"/>
      <w:sz w:val="24"/>
    </w:rPr>
  </w:style>
  <w:style w:type="paragraph" w:customStyle="1" w:styleId="493">
    <w:name w:val="样式 样式 标题 6 + 首行缩进:  2 字符 + 首行缩进:  2 字符"/>
    <w:basedOn w:val="1"/>
    <w:qFormat/>
    <w:uiPriority w:val="0"/>
    <w:pPr>
      <w:spacing w:afterLines="50"/>
      <w:ind w:firstLine="200" w:firstLineChars="200"/>
      <w:jc w:val="left"/>
      <w:outlineLvl w:val="5"/>
    </w:pPr>
    <w:rPr>
      <w:rFonts w:ascii="Arial" w:hAnsi="Arial" w:eastAsia="宋体" w:cs="宋体"/>
      <w:sz w:val="24"/>
    </w:rPr>
  </w:style>
  <w:style w:type="paragraph" w:customStyle="1" w:styleId="494">
    <w:name w:val="项目符号●"/>
    <w:basedOn w:val="1"/>
    <w:qFormat/>
    <w:uiPriority w:val="0"/>
    <w:pPr>
      <w:tabs>
        <w:tab w:val="left" w:pos="782"/>
        <w:tab w:val="left" w:pos="840"/>
        <w:tab w:val="left" w:pos="1440"/>
      </w:tabs>
      <w:spacing w:line="360" w:lineRule="auto"/>
      <w:ind w:left="782" w:hanging="360"/>
      <w:jc w:val="left"/>
    </w:pPr>
    <w:rPr>
      <w:rFonts w:eastAsia="宋体" w:cs="宋体"/>
    </w:rPr>
  </w:style>
  <w:style w:type="paragraph" w:customStyle="1" w:styleId="495">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96">
    <w:name w:val="框图文字"/>
    <w:basedOn w:val="43"/>
    <w:qFormat/>
    <w:uiPriority w:val="0"/>
    <w:pPr>
      <w:adjustRightInd w:val="0"/>
      <w:snapToGrid w:val="0"/>
      <w:jc w:val="center"/>
    </w:pPr>
    <w:rPr>
      <w:rFonts w:ascii="Times New Roman" w:hAnsi="PMingLiU" w:eastAsia="Calibri"/>
      <w:szCs w:val="20"/>
    </w:rPr>
  </w:style>
  <w:style w:type="paragraph" w:customStyle="1" w:styleId="497">
    <w:name w:val="标题3-3"/>
    <w:basedOn w:val="10"/>
    <w:qFormat/>
    <w:uiPriority w:val="0"/>
    <w:pPr>
      <w:spacing w:before="0" w:after="0" w:line="460" w:lineRule="exact"/>
      <w:jc w:val="both"/>
    </w:pPr>
    <w:rPr>
      <w:rFonts w:ascii="ˎ̥" w:hAnsi="Times New Roman" w:eastAsia="ˎ̥" w:cs="宋体"/>
      <w:b w:val="0"/>
      <w:szCs w:val="20"/>
    </w:rPr>
  </w:style>
  <w:style w:type="paragraph" w:customStyle="1" w:styleId="498">
    <w:name w:val="纯文本1"/>
    <w:basedOn w:val="1"/>
    <w:qFormat/>
    <w:uiPriority w:val="0"/>
    <w:pPr>
      <w:autoSpaceDE w:val="0"/>
      <w:autoSpaceDN w:val="0"/>
      <w:adjustRightInd w:val="0"/>
      <w:textAlignment w:val="baseline"/>
    </w:pPr>
    <w:rPr>
      <w:rFonts w:ascii="宋体" w:eastAsia="宋体"/>
    </w:rPr>
  </w:style>
  <w:style w:type="paragraph" w:customStyle="1" w:styleId="499">
    <w:name w:val="xl9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b/>
      <w:bCs/>
      <w:color w:val="000000"/>
      <w:kern w:val="0"/>
      <w:sz w:val="18"/>
      <w:szCs w:val="18"/>
    </w:rPr>
  </w:style>
  <w:style w:type="paragraph" w:customStyle="1" w:styleId="500">
    <w:name w:val="xl124"/>
    <w:basedOn w:val="1"/>
    <w:qFormat/>
    <w:uiPriority w:val="0"/>
    <w:pPr>
      <w:widowControl/>
      <w:pBdr>
        <w:right w:val="single" w:color="auto" w:sz="8"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01">
    <w:name w:val="xl91"/>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02">
    <w:name w:val="123"/>
    <w:basedOn w:val="1"/>
    <w:qFormat/>
    <w:uiPriority w:val="0"/>
    <w:pPr>
      <w:spacing w:afterLines="50"/>
      <w:ind w:left="567" w:hanging="279"/>
    </w:pPr>
    <w:rPr>
      <w:rFonts w:eastAsia="黑体"/>
      <w:b/>
      <w:sz w:val="28"/>
      <w:szCs w:val="28"/>
    </w:rPr>
  </w:style>
  <w:style w:type="paragraph" w:customStyle="1" w:styleId="503">
    <w:name w:val="样式 标题 41.1.1.1-C一LLZ41、四标题4四级标题(一) + 非加粗"/>
    <w:basedOn w:val="13"/>
    <w:qFormat/>
    <w:uiPriority w:val="0"/>
    <w:pPr>
      <w:keepNext w:val="0"/>
      <w:keepLines w:val="0"/>
      <w:spacing w:beforeLines="0" w:beforeAutospacing="1" w:afterLines="0" w:line="300" w:lineRule="atLeast"/>
      <w:jc w:val="left"/>
    </w:pPr>
    <w:rPr>
      <w:rFonts w:ascii="Times New Roman" w:hAnsi="Times New Roman"/>
      <w:b/>
      <w:color w:val="auto"/>
    </w:rPr>
  </w:style>
  <w:style w:type="paragraph" w:customStyle="1" w:styleId="504">
    <w:name w:val="标1"/>
    <w:basedOn w:val="1"/>
    <w:qFormat/>
    <w:uiPriority w:val="0"/>
    <w:pPr>
      <w:spacing w:line="400" w:lineRule="exact"/>
      <w:jc w:val="center"/>
    </w:pPr>
    <w:rPr>
      <w:rFonts w:eastAsia="隶书"/>
      <w:b/>
      <w:snapToGrid w:val="0"/>
      <w:spacing w:val="40"/>
      <w:sz w:val="52"/>
    </w:rPr>
  </w:style>
  <w:style w:type="paragraph" w:customStyle="1" w:styleId="505">
    <w:name w:val="标题1"/>
    <w:basedOn w:val="6"/>
    <w:next w:val="1"/>
    <w:qFormat/>
    <w:uiPriority w:val="0"/>
    <w:pPr>
      <w:keepLines w:val="0"/>
      <w:widowControl/>
      <w:spacing w:before="0" w:after="0" w:line="240" w:lineRule="auto"/>
      <w:ind w:left="596" w:hanging="596"/>
    </w:pPr>
    <w:rPr>
      <w:rFonts w:ascii="黑体" w:hAnsi="Times New Roman" w:eastAsia="黑体"/>
      <w:bCs w:val="0"/>
      <w:color w:val="auto"/>
      <w:kern w:val="0"/>
      <w:sz w:val="52"/>
      <w:szCs w:val="20"/>
    </w:rPr>
  </w:style>
  <w:style w:type="paragraph" w:customStyle="1" w:styleId="506">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07">
    <w:name w:val="xl8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eastAsia="宋体"/>
      <w:b/>
      <w:bCs/>
      <w:color w:val="000000"/>
      <w:kern w:val="0"/>
      <w:sz w:val="18"/>
      <w:szCs w:val="18"/>
    </w:rPr>
  </w:style>
  <w:style w:type="paragraph" w:customStyle="1" w:styleId="508">
    <w:name w:val="font123"/>
    <w:basedOn w:val="1"/>
    <w:qFormat/>
    <w:uiPriority w:val="0"/>
    <w:pPr>
      <w:widowControl/>
      <w:spacing w:before="100" w:beforeAutospacing="1" w:after="100" w:afterAutospacing="1" w:line="720" w:lineRule="atLeast"/>
      <w:jc w:val="left"/>
    </w:pPr>
    <w:rPr>
      <w:rFonts w:ascii="宋体" w:hAnsi="宋体" w:eastAsia="宋体" w:cs="宋体"/>
      <w:kern w:val="0"/>
      <w:sz w:val="24"/>
      <w:szCs w:val="24"/>
    </w:rPr>
  </w:style>
  <w:style w:type="paragraph" w:customStyle="1" w:styleId="509">
    <w:name w:val="样式 标题 2 + 黑体 四号 海绿 行距: 1.5 倍行距"/>
    <w:basedOn w:val="10"/>
    <w:qFormat/>
    <w:uiPriority w:val="0"/>
    <w:pPr>
      <w:keepNext w:val="0"/>
      <w:spacing w:before="0" w:after="0" w:line="360" w:lineRule="auto"/>
      <w:ind w:firstLine="200" w:firstLineChars="200"/>
      <w:jc w:val="both"/>
    </w:pPr>
    <w:rPr>
      <w:rFonts w:ascii="ˎ̥" w:hAnsi="宋体" w:eastAsia="ˎ̥" w:cs="宋体"/>
      <w:bCs/>
      <w:color w:val="339966"/>
      <w:sz w:val="28"/>
      <w:szCs w:val="20"/>
    </w:rPr>
  </w:style>
  <w:style w:type="paragraph" w:customStyle="1" w:styleId="510">
    <w:name w:val="样式 标题 1章-C章格式标题 1 Charsection:1自标题 1标题 1 1编号标题1章节（环球章）：...1"/>
    <w:basedOn w:val="6"/>
    <w:qFormat/>
    <w:uiPriority w:val="0"/>
    <w:pPr>
      <w:pageBreakBefore/>
      <w:spacing w:before="100" w:beforeAutospacing="1" w:after="100" w:afterAutospacing="1" w:line="240" w:lineRule="auto"/>
    </w:pPr>
    <w:rPr>
      <w:rFonts w:ascii="Times New Roman" w:hAnsi="Times New Roman" w:cs="宋体"/>
      <w:color w:val="000080"/>
      <w:sz w:val="36"/>
      <w:szCs w:val="20"/>
    </w:rPr>
  </w:style>
  <w:style w:type="paragraph" w:customStyle="1" w:styleId="511">
    <w:name w:val="发文落款"/>
    <w:basedOn w:val="512"/>
    <w:qFormat/>
    <w:uiPriority w:val="0"/>
    <w:pPr>
      <w:ind w:left="4094" w:right="607" w:firstLine="0"/>
      <w:jc w:val="center"/>
    </w:pPr>
    <w:rPr>
      <w:rFonts w:ascii="Times New Roman" w:hAnsi="Times New Roman" w:eastAsia="宋体"/>
    </w:rPr>
  </w:style>
  <w:style w:type="paragraph" w:customStyle="1" w:styleId="51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513">
    <w:name w:val="五级条标题"/>
    <w:basedOn w:val="440"/>
    <w:next w:val="1"/>
    <w:qFormat/>
    <w:uiPriority w:val="0"/>
    <w:pPr>
      <w:tabs>
        <w:tab w:val="left" w:pos="2940"/>
        <w:tab w:val="left" w:pos="3991"/>
      </w:tabs>
      <w:ind w:left="3827" w:hanging="1276"/>
      <w:outlineLvl w:val="6"/>
    </w:pPr>
  </w:style>
  <w:style w:type="paragraph" w:customStyle="1" w:styleId="514">
    <w:name w:val="xl88"/>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eastAsia="宋体" w:cs="宋体"/>
      <w:color w:val="000000"/>
      <w:kern w:val="0"/>
      <w:sz w:val="18"/>
      <w:szCs w:val="18"/>
    </w:rPr>
  </w:style>
  <w:style w:type="paragraph" w:styleId="515">
    <w:name w:val="List Paragraph"/>
    <w:basedOn w:val="1"/>
    <w:qFormat/>
    <w:uiPriority w:val="34"/>
    <w:pPr>
      <w:ind w:firstLine="420" w:firstLineChars="200"/>
    </w:pPr>
    <w:rPr>
      <w:rFonts w:ascii="Calibri" w:hAnsi="Calibri" w:eastAsia="宋体"/>
      <w:szCs w:val="22"/>
    </w:rPr>
  </w:style>
  <w:style w:type="paragraph" w:customStyle="1" w:styleId="516">
    <w:name w:val="正文21"/>
    <w:qFormat/>
    <w:uiPriority w:val="0"/>
    <w:pPr>
      <w:jc w:val="both"/>
    </w:pPr>
    <w:rPr>
      <w:rFonts w:ascii="Times New Roman" w:hAnsi="Times New Roman" w:eastAsia="宋体" w:cs="Times New Roman"/>
      <w:kern w:val="2"/>
      <w:sz w:val="21"/>
      <w:szCs w:val="21"/>
      <w:lang w:val="en-US" w:eastAsia="zh-CN" w:bidi="ar-SA"/>
    </w:rPr>
  </w:style>
  <w:style w:type="paragraph" w:customStyle="1" w:styleId="517">
    <w:name w:val="xl110"/>
    <w:basedOn w:val="1"/>
    <w:qFormat/>
    <w:uiPriority w:val="0"/>
    <w:pPr>
      <w:widowControl/>
      <w:pBdr>
        <w:left w:val="single" w:color="auto" w:sz="8" w:space="0"/>
        <w:bottom w:val="single" w:color="auto" w:sz="8" w:space="0"/>
      </w:pBdr>
      <w:spacing w:before="100" w:beforeAutospacing="1" w:after="100" w:afterAutospacing="1"/>
      <w:jc w:val="left"/>
    </w:pPr>
    <w:rPr>
      <w:rFonts w:ascii="宋体" w:hAnsi="宋体" w:eastAsia="宋体" w:cs="宋体"/>
      <w:color w:val="000000"/>
      <w:kern w:val="0"/>
      <w:sz w:val="18"/>
      <w:szCs w:val="18"/>
    </w:rPr>
  </w:style>
  <w:style w:type="paragraph" w:customStyle="1" w:styleId="518">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9">
    <w:name w:val="Char Char Char Char"/>
    <w:basedOn w:val="28"/>
    <w:qFormat/>
    <w:uiPriority w:val="0"/>
    <w:pPr>
      <w:ind w:left="480" w:leftChars="200" w:firstLine="200" w:firstLineChars="200"/>
    </w:pPr>
    <w:rPr>
      <w:rFonts w:ascii="Tahoma" w:hAnsi="Tahoma"/>
      <w:snapToGrid w:val="0"/>
      <w:kern w:val="0"/>
      <w:sz w:val="24"/>
      <w:szCs w:val="24"/>
    </w:rPr>
  </w:style>
  <w:style w:type="paragraph" w:customStyle="1" w:styleId="52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eastAsia="宋体" w:cs="Arial"/>
      <w:kern w:val="0"/>
      <w:sz w:val="24"/>
      <w:szCs w:val="24"/>
    </w:rPr>
  </w:style>
  <w:style w:type="paragraph" w:customStyle="1" w:styleId="52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Cs w:val="21"/>
    </w:rPr>
  </w:style>
  <w:style w:type="paragraph" w:customStyle="1" w:styleId="52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23">
    <w:name w:val="Char2"/>
    <w:basedOn w:val="1"/>
    <w:qFormat/>
    <w:uiPriority w:val="0"/>
    <w:rPr>
      <w:rFonts w:eastAsia="宋体"/>
      <w:sz w:val="24"/>
      <w:szCs w:val="24"/>
    </w:rPr>
  </w:style>
  <w:style w:type="paragraph" w:customStyle="1" w:styleId="524">
    <w:name w:val="表头"/>
    <w:basedOn w:val="1"/>
    <w:qFormat/>
    <w:uiPriority w:val="0"/>
    <w:pPr>
      <w:spacing w:line="360" w:lineRule="auto"/>
      <w:jc w:val="center"/>
    </w:pPr>
    <w:rPr>
      <w:rFonts w:ascii="黑体" w:eastAsia="黑体"/>
      <w:kern w:val="0"/>
      <w:sz w:val="24"/>
    </w:rPr>
  </w:style>
  <w:style w:type="paragraph" w:customStyle="1" w:styleId="525">
    <w:name w:val="xl131"/>
    <w:basedOn w:val="1"/>
    <w:qFormat/>
    <w:uiPriority w:val="0"/>
    <w:pPr>
      <w:widowControl/>
      <w:pBdr>
        <w:top w:val="single" w:color="auto" w:sz="8" w:space="0"/>
        <w:bottom w:val="single" w:color="auto" w:sz="8" w:space="0"/>
      </w:pBdr>
      <w:spacing w:before="100" w:beforeAutospacing="1" w:after="100" w:afterAutospacing="1"/>
      <w:jc w:val="left"/>
    </w:pPr>
    <w:rPr>
      <w:rFonts w:eastAsia="宋体"/>
      <w:color w:val="000000"/>
      <w:kern w:val="0"/>
      <w:sz w:val="18"/>
      <w:szCs w:val="18"/>
    </w:rPr>
  </w:style>
  <w:style w:type="paragraph" w:customStyle="1" w:styleId="52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eastAsia="宋体" w:cs="Arial"/>
      <w:kern w:val="0"/>
      <w:sz w:val="24"/>
      <w:szCs w:val="24"/>
    </w:rPr>
  </w:style>
  <w:style w:type="paragraph" w:customStyle="1" w:styleId="527">
    <w:name w:val="TOC 标题1"/>
    <w:basedOn w:val="6"/>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2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529">
    <w:name w:val="文本2"/>
    <w:basedOn w:val="1"/>
    <w:qFormat/>
    <w:uiPriority w:val="0"/>
    <w:pPr>
      <w:adjustRightInd w:val="0"/>
      <w:snapToGrid w:val="0"/>
      <w:jc w:val="center"/>
    </w:pPr>
    <w:rPr>
      <w:rFonts w:ascii="宋体" w:hAnsi="宋体" w:eastAsia="宋体"/>
      <w:sz w:val="24"/>
      <w:szCs w:val="24"/>
    </w:rPr>
  </w:style>
  <w:style w:type="paragraph" w:customStyle="1" w:styleId="530">
    <w:name w:val="行标正文"/>
    <w:basedOn w:val="1"/>
    <w:qFormat/>
    <w:uiPriority w:val="0"/>
    <w:pPr>
      <w:tabs>
        <w:tab w:val="left" w:pos="360"/>
      </w:tabs>
      <w:adjustRightInd w:val="0"/>
      <w:snapToGrid w:val="0"/>
      <w:spacing w:line="360" w:lineRule="auto"/>
      <w:ind w:left="420" w:hanging="200" w:hangingChars="200"/>
      <w:jc w:val="left"/>
    </w:pPr>
    <w:rPr>
      <w:rFonts w:ascii="Calibri" w:hAnsi="Calibri" w:eastAsia="宋体"/>
      <w:sz w:val="24"/>
      <w:szCs w:val="21"/>
    </w:rPr>
  </w:style>
  <w:style w:type="paragraph" w:customStyle="1" w:styleId="531">
    <w:name w:val="默认段落字体 Para Char"/>
    <w:basedOn w:val="1"/>
    <w:qFormat/>
    <w:uiPriority w:val="0"/>
    <w:rPr>
      <w:rFonts w:eastAsia="宋体"/>
      <w:sz w:val="30"/>
      <w:szCs w:val="24"/>
    </w:rPr>
  </w:style>
  <w:style w:type="paragraph" w:customStyle="1" w:styleId="532">
    <w:name w:val="xl130"/>
    <w:basedOn w:val="1"/>
    <w:qFormat/>
    <w:uiPriority w:val="0"/>
    <w:pPr>
      <w:widowControl/>
      <w:pBdr>
        <w:top w:val="single" w:color="auto" w:sz="8" w:space="0"/>
        <w:bottom w:val="single" w:color="auto" w:sz="8" w:space="0"/>
      </w:pBdr>
      <w:spacing w:before="100" w:beforeAutospacing="1" w:after="100" w:afterAutospacing="1"/>
      <w:jc w:val="left"/>
    </w:pPr>
    <w:rPr>
      <w:rFonts w:ascii="宋体" w:hAnsi="宋体" w:eastAsia="宋体" w:cs="宋体"/>
      <w:color w:val="000000"/>
      <w:kern w:val="0"/>
      <w:sz w:val="18"/>
      <w:szCs w:val="18"/>
    </w:rPr>
  </w:style>
  <w:style w:type="paragraph" w:customStyle="1" w:styleId="533">
    <w:name w:val="font14"/>
    <w:basedOn w:val="1"/>
    <w:qFormat/>
    <w:uiPriority w:val="0"/>
    <w:pPr>
      <w:widowControl/>
      <w:spacing w:before="100" w:beforeAutospacing="1" w:after="100" w:afterAutospacing="1"/>
      <w:jc w:val="left"/>
    </w:pPr>
    <w:rPr>
      <w:rFonts w:ascii="Arial" w:hAnsi="Arial" w:eastAsia="宋体" w:cs="Arial"/>
      <w:kern w:val="0"/>
      <w:sz w:val="24"/>
      <w:szCs w:val="24"/>
      <w:u w:val="single"/>
    </w:rPr>
  </w:style>
  <w:style w:type="paragraph" w:customStyle="1" w:styleId="534">
    <w:name w:val="样式 标题 7标题7（1）L7PIM 7不用 + 宋体 非加粗 左侧:  0 厘米 行距: 多倍行距 1.33 ..."/>
    <w:basedOn w:val="16"/>
    <w:qFormat/>
    <w:uiPriority w:val="0"/>
    <w:pPr>
      <w:tabs>
        <w:tab w:val="left" w:pos="200"/>
      </w:tabs>
      <w:spacing w:before="0" w:after="0" w:line="319" w:lineRule="auto"/>
    </w:pPr>
    <w:rPr>
      <w:rFonts w:ascii="宋体" w:hAnsi="宋体" w:cs="宋体"/>
      <w:b w:val="0"/>
    </w:rPr>
  </w:style>
  <w:style w:type="paragraph" w:customStyle="1" w:styleId="535">
    <w:name w:val="font8"/>
    <w:basedOn w:val="1"/>
    <w:qFormat/>
    <w:uiPriority w:val="0"/>
    <w:pPr>
      <w:widowControl/>
      <w:spacing w:before="100" w:beforeAutospacing="1" w:after="100" w:afterAutospacing="1"/>
      <w:jc w:val="left"/>
    </w:pPr>
    <w:rPr>
      <w:rFonts w:eastAsia="宋体"/>
      <w:kern w:val="0"/>
      <w:szCs w:val="21"/>
    </w:rPr>
  </w:style>
  <w:style w:type="paragraph" w:customStyle="1" w:styleId="536">
    <w:name w:val="表格文字1"/>
    <w:basedOn w:val="9"/>
    <w:qFormat/>
    <w:uiPriority w:val="0"/>
    <w:pPr>
      <w:spacing w:after="0" w:line="360" w:lineRule="auto"/>
      <w:jc w:val="center"/>
    </w:pPr>
    <w:rPr>
      <w:rFonts w:eastAsia="宋体"/>
      <w:sz w:val="24"/>
      <w:szCs w:val="24"/>
    </w:rPr>
  </w:style>
  <w:style w:type="paragraph" w:customStyle="1" w:styleId="537">
    <w:name w:val="样式 正文（首行缩进两字） + 首行缩进:  2 字符"/>
    <w:basedOn w:val="12"/>
    <w:qFormat/>
    <w:uiPriority w:val="0"/>
    <w:pPr>
      <w:adjustRightInd w:val="0"/>
      <w:snapToGrid w:val="0"/>
      <w:spacing w:line="360" w:lineRule="auto"/>
      <w:ind w:firstLine="200" w:firstLineChars="200"/>
      <w:jc w:val="left"/>
    </w:pPr>
    <w:rPr>
      <w:rFonts w:ascii="宋体" w:hAnsi="宋体"/>
      <w:sz w:val="24"/>
    </w:rPr>
  </w:style>
  <w:style w:type="paragraph" w:customStyle="1" w:styleId="5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539">
    <w:name w:val="Blockquote"/>
    <w:basedOn w:val="1"/>
    <w:qFormat/>
    <w:uiPriority w:val="0"/>
    <w:pPr>
      <w:autoSpaceDE w:val="0"/>
      <w:autoSpaceDN w:val="0"/>
      <w:adjustRightInd w:val="0"/>
      <w:spacing w:before="100" w:after="100"/>
      <w:ind w:left="360" w:right="360"/>
      <w:jc w:val="left"/>
    </w:pPr>
    <w:rPr>
      <w:rFonts w:eastAsia="宋体"/>
      <w:kern w:val="0"/>
      <w:sz w:val="24"/>
    </w:rPr>
  </w:style>
  <w:style w:type="paragraph" w:customStyle="1" w:styleId="540">
    <w:name w:val="素材1"/>
    <w:basedOn w:val="1"/>
    <w:qFormat/>
    <w:uiPriority w:val="0"/>
    <w:pPr>
      <w:snapToGrid w:val="0"/>
      <w:spacing w:before="120" w:after="120" w:line="300" w:lineRule="auto"/>
      <w:ind w:firstLine="480" w:firstLineChars="200"/>
    </w:pPr>
    <w:rPr>
      <w:rFonts w:ascii="Courier New" w:eastAsia="Courier New"/>
      <w:bCs/>
      <w:kern w:val="52"/>
      <w:sz w:val="24"/>
      <w:szCs w:val="24"/>
    </w:rPr>
  </w:style>
  <w:style w:type="paragraph" w:customStyle="1" w:styleId="541">
    <w:name w:val="_Style 3"/>
    <w:basedOn w:val="1"/>
    <w:qFormat/>
    <w:uiPriority w:val="0"/>
    <w:rPr>
      <w:rFonts w:eastAsia="宋体" w:cs="宋体"/>
      <w:szCs w:val="21"/>
    </w:rPr>
  </w:style>
  <w:style w:type="paragraph" w:customStyle="1" w:styleId="542">
    <w:name w:val="choi--(a)"/>
    <w:basedOn w:val="1"/>
    <w:qFormat/>
    <w:uiPriority w:val="0"/>
    <w:pPr>
      <w:tabs>
        <w:tab w:val="left" w:pos="1200"/>
      </w:tabs>
      <w:spacing w:line="500" w:lineRule="atLeast"/>
      <w:ind w:left="1200" w:hanging="720"/>
    </w:pPr>
    <w:rPr>
      <w:rFonts w:ascii="宋体" w:hAnsi="宋体" w:eastAsia="宋体"/>
      <w:sz w:val="24"/>
      <w:szCs w:val="24"/>
    </w:rPr>
  </w:style>
  <w:style w:type="paragraph" w:customStyle="1" w:styleId="543">
    <w:name w:val="xl106"/>
    <w:basedOn w:val="1"/>
    <w:qFormat/>
    <w:uiPriority w:val="0"/>
    <w:pPr>
      <w:widowControl/>
      <w:pBdr>
        <w:top w:val="single" w:color="auto" w:sz="8" w:space="0"/>
        <w:left w:val="single" w:color="auto" w:sz="8" w:space="0"/>
      </w:pBdr>
      <w:spacing w:before="100" w:beforeAutospacing="1" w:after="100" w:afterAutospacing="1"/>
      <w:jc w:val="left"/>
    </w:pPr>
    <w:rPr>
      <w:rFonts w:ascii="宋体" w:hAnsi="宋体" w:eastAsia="宋体" w:cs="宋体"/>
      <w:color w:val="000000"/>
      <w:kern w:val="0"/>
      <w:sz w:val="18"/>
      <w:szCs w:val="18"/>
    </w:rPr>
  </w:style>
  <w:style w:type="paragraph" w:customStyle="1" w:styleId="544">
    <w:name w:val="封一"/>
    <w:basedOn w:val="156"/>
    <w:next w:val="156"/>
    <w:qFormat/>
    <w:uiPriority w:val="0"/>
    <w:pPr>
      <w:widowControl/>
      <w:spacing w:after="200"/>
      <w:ind w:firstLine="0" w:firstLineChars="0"/>
      <w:jc w:val="center"/>
    </w:pPr>
    <w:rPr>
      <w:rFonts w:eastAsia="黑体"/>
      <w:b/>
      <w:snapToGrid/>
      <w:sz w:val="84"/>
      <w:szCs w:val="84"/>
    </w:rPr>
  </w:style>
  <w:style w:type="paragraph" w:customStyle="1" w:styleId="545">
    <w:name w:val="xl54"/>
    <w:basedOn w:val="1"/>
    <w:qFormat/>
    <w:uiPriority w:val="0"/>
    <w:pPr>
      <w:widowControl/>
      <w:pBdr>
        <w:top w:val="single" w:color="auto" w:sz="4" w:space="0"/>
        <w:left w:val="single" w:color="auto" w:sz="4" w:space="0"/>
      </w:pBdr>
      <w:spacing w:before="100" w:beforeAutospacing="1" w:after="100" w:afterAutospacing="1"/>
      <w:jc w:val="left"/>
      <w:textAlignment w:val="bottom"/>
    </w:pPr>
    <w:rPr>
      <w:rFonts w:ascii="宋体" w:hAnsi="宋体" w:eastAsia="宋体"/>
      <w:kern w:val="0"/>
      <w:sz w:val="20"/>
    </w:rPr>
  </w:style>
  <w:style w:type="paragraph" w:customStyle="1" w:styleId="546">
    <w:name w:val="r1"/>
    <w:basedOn w:val="1"/>
    <w:qFormat/>
    <w:uiPriority w:val="0"/>
    <w:pPr>
      <w:adjustRightInd w:val="0"/>
      <w:spacing w:line="360" w:lineRule="atLeast"/>
      <w:jc w:val="left"/>
      <w:textAlignment w:val="baseline"/>
    </w:pPr>
    <w:rPr>
      <w:rFonts w:ascii="宋体" w:hAnsi="Roman" w:eastAsia="楷体"/>
      <w:kern w:val="0"/>
      <w:sz w:val="24"/>
    </w:rPr>
  </w:style>
  <w:style w:type="paragraph" w:customStyle="1" w:styleId="547">
    <w:name w:val="Char Char Char Char Char Char Char Char1 Char1"/>
    <w:basedOn w:val="1"/>
    <w:qFormat/>
    <w:uiPriority w:val="0"/>
    <w:rPr>
      <w:rFonts w:ascii="Tahoma" w:hAnsi="Tahoma" w:eastAsia="宋体"/>
      <w:sz w:val="24"/>
    </w:rPr>
  </w:style>
  <w:style w:type="paragraph" w:customStyle="1" w:styleId="548">
    <w:name w:val="样式 目录 1 + 行距: 固定值 20 磅"/>
    <w:basedOn w:val="25"/>
    <w:qFormat/>
    <w:uiPriority w:val="0"/>
    <w:pPr>
      <w:spacing w:line="400" w:lineRule="exact"/>
    </w:pPr>
    <w:rPr>
      <w:szCs w:val="20"/>
    </w:rPr>
  </w:style>
  <w:style w:type="paragraph" w:customStyle="1" w:styleId="549">
    <w:name w:val="样式 标题 21.1-C标题 1.1章LLZ2h2部分标题Heading 2 HiddenHeading 2 C...1"/>
    <w:basedOn w:val="10"/>
    <w:qFormat/>
    <w:uiPriority w:val="0"/>
    <w:pPr>
      <w:spacing w:before="100" w:beforeAutospacing="1" w:after="100" w:afterAutospacing="1" w:line="0" w:lineRule="atLeast"/>
    </w:pPr>
    <w:rPr>
      <w:rFonts w:ascii="Times New Roman" w:hAnsi="Times New Roman" w:cs="宋体"/>
      <w:b w:val="0"/>
      <w:szCs w:val="20"/>
    </w:rPr>
  </w:style>
  <w:style w:type="paragraph" w:customStyle="1" w:styleId="550">
    <w:name w:val="（a)"/>
    <w:basedOn w:val="12"/>
    <w:qFormat/>
    <w:uiPriority w:val="0"/>
    <w:pPr>
      <w:spacing w:line="500" w:lineRule="exact"/>
      <w:ind w:firstLine="567"/>
    </w:pPr>
    <w:rPr>
      <w:rFonts w:ascii="宋体" w:hAnsi="宋体"/>
      <w:sz w:val="24"/>
      <w:szCs w:val="24"/>
    </w:rPr>
  </w:style>
  <w:style w:type="paragraph" w:customStyle="1" w:styleId="551">
    <w:name w:val="普通 (Web)"/>
    <w:basedOn w:val="1"/>
    <w:qFormat/>
    <w:uiPriority w:val="0"/>
    <w:pPr>
      <w:widowControl/>
      <w:spacing w:before="100" w:after="100"/>
      <w:jc w:val="left"/>
    </w:pPr>
    <w:rPr>
      <w:rFonts w:ascii="Arial Unicode MS" w:hAnsi="Arial Unicode MS" w:eastAsia="Arial Unicode MS"/>
      <w:kern w:val="0"/>
      <w:sz w:val="24"/>
    </w:rPr>
  </w:style>
  <w:style w:type="paragraph" w:customStyle="1" w:styleId="55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553">
    <w:name w:val="标题4"/>
    <w:basedOn w:val="13"/>
    <w:next w:val="1"/>
    <w:qFormat/>
    <w:uiPriority w:val="0"/>
    <w:pPr>
      <w:widowControl/>
      <w:spacing w:beforeLines="0" w:afterLines="0"/>
    </w:pPr>
    <w:rPr>
      <w:rFonts w:ascii="宋体" w:hAnsi="宋体"/>
      <w:color w:val="auto"/>
      <w:kern w:val="0"/>
      <w:sz w:val="28"/>
      <w:szCs w:val="20"/>
    </w:rPr>
  </w:style>
  <w:style w:type="paragraph" w:customStyle="1" w:styleId="554">
    <w:name w:val="xl121"/>
    <w:basedOn w:val="1"/>
    <w:qFormat/>
    <w:uiPriority w:val="0"/>
    <w:pPr>
      <w:widowControl/>
      <w:pBdr>
        <w:bottom w:val="single" w:color="auto" w:sz="8" w:space="0"/>
      </w:pBdr>
      <w:spacing w:before="100" w:beforeAutospacing="1" w:after="100" w:afterAutospacing="1"/>
      <w:jc w:val="center"/>
    </w:pPr>
    <w:rPr>
      <w:rFonts w:eastAsia="宋体"/>
      <w:color w:val="000000"/>
      <w:kern w:val="0"/>
      <w:sz w:val="18"/>
      <w:szCs w:val="18"/>
    </w:rPr>
  </w:style>
  <w:style w:type="paragraph" w:customStyle="1" w:styleId="55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eastAsia="宋体" w:cs="Arial"/>
      <w:kern w:val="0"/>
      <w:sz w:val="24"/>
      <w:szCs w:val="24"/>
    </w:rPr>
  </w:style>
  <w:style w:type="paragraph" w:customStyle="1" w:styleId="556">
    <w:name w:val="表格文字2"/>
    <w:basedOn w:val="9"/>
    <w:qFormat/>
    <w:uiPriority w:val="0"/>
    <w:pPr>
      <w:spacing w:after="0" w:line="360" w:lineRule="auto"/>
      <w:jc w:val="left"/>
    </w:pPr>
    <w:rPr>
      <w:rFonts w:eastAsia="宋体"/>
      <w:sz w:val="24"/>
      <w:szCs w:val="24"/>
    </w:rPr>
  </w:style>
  <w:style w:type="paragraph" w:customStyle="1" w:styleId="557">
    <w:name w:val="样式 标题 1 + 三号 加粗 居中"/>
    <w:basedOn w:val="6"/>
    <w:qFormat/>
    <w:uiPriority w:val="0"/>
    <w:pPr>
      <w:keepNext w:val="0"/>
      <w:keepLines w:val="0"/>
      <w:pageBreakBefore/>
      <w:spacing w:before="0" w:after="0"/>
      <w:ind w:firstLine="200" w:firstLineChars="200"/>
    </w:pPr>
    <w:rPr>
      <w:rFonts w:ascii="Times New Roman" w:hAnsi="Times New Roman" w:eastAsia="ˎ̥" w:cs="宋体"/>
      <w:color w:val="auto"/>
      <w:kern w:val="2"/>
      <w:sz w:val="32"/>
      <w:szCs w:val="20"/>
    </w:rPr>
  </w:style>
  <w:style w:type="paragraph" w:customStyle="1" w:styleId="558">
    <w:name w:val="Char Char Char Char1"/>
    <w:basedOn w:val="28"/>
    <w:qFormat/>
    <w:uiPriority w:val="0"/>
    <w:pPr>
      <w:ind w:left="480" w:leftChars="200" w:firstLine="200" w:firstLineChars="200"/>
    </w:pPr>
    <w:rPr>
      <w:rFonts w:ascii="Tahoma" w:hAnsi="Tahoma"/>
      <w:snapToGrid w:val="0"/>
      <w:kern w:val="0"/>
      <w:sz w:val="24"/>
      <w:szCs w:val="24"/>
    </w:rPr>
  </w:style>
  <w:style w:type="paragraph" w:customStyle="1" w:styleId="559">
    <w:name w:val="框文"/>
    <w:basedOn w:val="1"/>
    <w:qFormat/>
    <w:uiPriority w:val="0"/>
    <w:pPr>
      <w:snapToGrid w:val="0"/>
      <w:jc w:val="center"/>
    </w:pPr>
    <w:rPr>
      <w:rFonts w:eastAsia="宋体"/>
    </w:rPr>
  </w:style>
  <w:style w:type="paragraph" w:customStyle="1" w:styleId="560">
    <w:name w:val="font11"/>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61">
    <w:name w:val="表中"/>
    <w:basedOn w:val="1"/>
    <w:qFormat/>
    <w:uiPriority w:val="0"/>
    <w:pPr>
      <w:adjustRightInd w:val="0"/>
      <w:spacing w:line="360" w:lineRule="atLeast"/>
      <w:jc w:val="center"/>
      <w:textAlignment w:val="baseline"/>
    </w:pPr>
    <w:rPr>
      <w:rFonts w:eastAsia="宋体"/>
      <w:kern w:val="0"/>
    </w:rPr>
  </w:style>
  <w:style w:type="paragraph" w:customStyle="1" w:styleId="562">
    <w:name w:val="xl4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3">
    <w:name w:val="Char13"/>
    <w:basedOn w:val="1"/>
    <w:qFormat/>
    <w:uiPriority w:val="0"/>
    <w:rPr>
      <w:rFonts w:eastAsia="宋体"/>
      <w:sz w:val="24"/>
      <w:szCs w:val="24"/>
    </w:rPr>
  </w:style>
  <w:style w:type="paragraph" w:customStyle="1" w:styleId="564">
    <w:name w:val="font12"/>
    <w:basedOn w:val="1"/>
    <w:qFormat/>
    <w:uiPriority w:val="0"/>
    <w:pPr>
      <w:widowControl/>
      <w:spacing w:before="100" w:beforeAutospacing="1" w:after="100" w:afterAutospacing="1"/>
      <w:jc w:val="left"/>
    </w:pPr>
    <w:rPr>
      <w:rFonts w:ascii="宋体" w:hAnsi="宋体" w:eastAsia="宋体" w:cs="宋体"/>
      <w:kern w:val="0"/>
      <w:sz w:val="20"/>
    </w:rPr>
  </w:style>
  <w:style w:type="paragraph" w:customStyle="1" w:styleId="565">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66">
    <w:name w:val="xl93"/>
    <w:basedOn w:val="1"/>
    <w:qFormat/>
    <w:uiPriority w:val="0"/>
    <w:pPr>
      <w:widowControl/>
      <w:pBdr>
        <w:top w:val="single" w:color="auto" w:sz="8"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67">
    <w:name w:val="xl5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568">
    <w:name w:val="font10"/>
    <w:basedOn w:val="1"/>
    <w:qFormat/>
    <w:uiPriority w:val="0"/>
    <w:pPr>
      <w:widowControl/>
      <w:spacing w:before="100" w:beforeAutospacing="1" w:after="100" w:afterAutospacing="1"/>
      <w:jc w:val="left"/>
    </w:pPr>
    <w:rPr>
      <w:rFonts w:eastAsia="宋体"/>
      <w:color w:val="0000FF"/>
      <w:kern w:val="0"/>
      <w:sz w:val="24"/>
      <w:szCs w:val="24"/>
    </w:rPr>
  </w:style>
  <w:style w:type="paragraph" w:customStyle="1" w:styleId="569">
    <w:name w:val="标级1"/>
    <w:basedOn w:val="1"/>
    <w:qFormat/>
    <w:uiPriority w:val="0"/>
    <w:pPr>
      <w:tabs>
        <w:tab w:val="left" w:pos="426"/>
        <w:tab w:val="left" w:pos="840"/>
      </w:tabs>
      <w:autoSpaceDE w:val="0"/>
      <w:autoSpaceDN w:val="0"/>
      <w:adjustRightInd w:val="0"/>
      <w:spacing w:before="120"/>
      <w:ind w:left="425"/>
      <w:jc w:val="left"/>
      <w:textAlignment w:val="baseline"/>
      <w:outlineLvl w:val="0"/>
    </w:pPr>
    <w:rPr>
      <w:rFonts w:eastAsia="方正大标宋简体"/>
      <w:b/>
      <w:color w:val="0000FF"/>
      <w:spacing w:val="5"/>
      <w:kern w:val="0"/>
      <w:sz w:val="32"/>
      <w:szCs w:val="36"/>
      <w:lang w:val="zh-CN"/>
    </w:rPr>
  </w:style>
  <w:style w:type="paragraph" w:customStyle="1" w:styleId="570">
    <w:name w:val="样式 样式 首行缩进:  2 字符 + 首行缩进:  2 字符"/>
    <w:basedOn w:val="1"/>
    <w:qFormat/>
    <w:uiPriority w:val="0"/>
    <w:pPr>
      <w:adjustRightInd w:val="0"/>
      <w:snapToGrid w:val="0"/>
      <w:spacing w:line="312" w:lineRule="auto"/>
      <w:ind w:firstLine="200" w:firstLineChars="200"/>
    </w:pPr>
    <w:rPr>
      <w:rFonts w:eastAsia="Calibri" w:cs="宋体"/>
      <w:snapToGrid w:val="0"/>
      <w:kern w:val="0"/>
      <w:sz w:val="24"/>
    </w:rPr>
  </w:style>
  <w:style w:type="paragraph" w:customStyle="1" w:styleId="571">
    <w:name w:val="xl84"/>
    <w:basedOn w:val="1"/>
    <w:qFormat/>
    <w:uiPriority w:val="0"/>
    <w:pPr>
      <w:widowControl/>
      <w:pBdr>
        <w:bottom w:val="single" w:color="auto" w:sz="8" w:space="0"/>
        <w:right w:val="single" w:color="auto" w:sz="8" w:space="0"/>
      </w:pBdr>
      <w:spacing w:before="100" w:beforeAutospacing="1" w:after="100" w:afterAutospacing="1"/>
      <w:jc w:val="left"/>
    </w:pPr>
    <w:rPr>
      <w:rFonts w:eastAsia="宋体"/>
      <w:color w:val="000000"/>
      <w:kern w:val="0"/>
      <w:sz w:val="18"/>
      <w:szCs w:val="18"/>
    </w:rPr>
  </w:style>
  <w:style w:type="paragraph" w:customStyle="1" w:styleId="572">
    <w:name w:val="xl76"/>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573">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574">
    <w:name w:val="标题3-2"/>
    <w:basedOn w:val="11"/>
    <w:qFormat/>
    <w:uiPriority w:val="0"/>
    <w:pPr>
      <w:spacing w:beforeLines="0" w:afterLines="0" w:line="460" w:lineRule="exact"/>
      <w:jc w:val="both"/>
    </w:pPr>
    <w:rPr>
      <w:rFonts w:ascii="ˎ̥" w:hAnsi="ˎ̥" w:eastAsia="ˎ̥" w:cs="宋体"/>
      <w:b w:val="0"/>
      <w:color w:val="auto"/>
      <w:sz w:val="28"/>
      <w:szCs w:val="20"/>
    </w:rPr>
  </w:style>
  <w:style w:type="paragraph" w:customStyle="1" w:styleId="575">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576">
    <w:name w:val="表格中文字"/>
    <w:basedOn w:val="1"/>
    <w:qFormat/>
    <w:uiPriority w:val="0"/>
    <w:pPr>
      <w:adjustRightInd w:val="0"/>
      <w:snapToGrid w:val="0"/>
      <w:jc w:val="center"/>
    </w:pPr>
    <w:rPr>
      <w:rFonts w:eastAsia="宋体"/>
      <w:sz w:val="24"/>
      <w:szCs w:val="18"/>
    </w:rPr>
  </w:style>
  <w:style w:type="paragraph" w:customStyle="1" w:styleId="577">
    <w:name w:val="正文文本缩进 22"/>
    <w:basedOn w:val="1"/>
    <w:qFormat/>
    <w:uiPriority w:val="0"/>
    <w:pPr>
      <w:autoSpaceDE w:val="0"/>
      <w:autoSpaceDN w:val="0"/>
      <w:adjustRightInd w:val="0"/>
      <w:ind w:firstLine="540"/>
      <w:textAlignment w:val="baseline"/>
    </w:pPr>
    <w:rPr>
      <w:rFonts w:eastAsia="宋体"/>
      <w:sz w:val="24"/>
    </w:rPr>
  </w:style>
  <w:style w:type="paragraph" w:customStyle="1" w:styleId="578">
    <w:name w:val="封二"/>
    <w:basedOn w:val="156"/>
    <w:next w:val="156"/>
    <w:qFormat/>
    <w:uiPriority w:val="0"/>
    <w:pPr>
      <w:widowControl/>
      <w:spacing w:after="200"/>
      <w:ind w:firstLine="0" w:firstLineChars="0"/>
      <w:jc w:val="center"/>
    </w:pPr>
    <w:rPr>
      <w:rFonts w:eastAsia="黑体"/>
      <w:b/>
      <w:snapToGrid/>
      <w:sz w:val="36"/>
      <w:szCs w:val="36"/>
    </w:rPr>
  </w:style>
  <w:style w:type="paragraph" w:customStyle="1" w:styleId="579">
    <w:name w:val="样式 (符号) 宋体 五号"/>
    <w:basedOn w:val="1"/>
    <w:qFormat/>
    <w:uiPriority w:val="0"/>
    <w:pPr>
      <w:spacing w:line="360" w:lineRule="auto"/>
    </w:pPr>
    <w:rPr>
      <w:rFonts w:hAnsi="宋体" w:eastAsia="宋体" w:cs="宋体"/>
    </w:rPr>
  </w:style>
  <w:style w:type="paragraph" w:customStyle="1" w:styleId="580">
    <w:name w:val="xl120"/>
    <w:basedOn w:val="1"/>
    <w:qFormat/>
    <w:uiPriority w:val="0"/>
    <w:pPr>
      <w:widowControl/>
      <w:pBdr>
        <w:left w:val="single" w:color="auto" w:sz="8" w:space="0"/>
        <w:bottom w:val="single" w:color="auto" w:sz="8" w:space="0"/>
      </w:pBdr>
      <w:spacing w:before="100" w:beforeAutospacing="1" w:after="100" w:afterAutospacing="1"/>
      <w:jc w:val="center"/>
    </w:pPr>
    <w:rPr>
      <w:rFonts w:eastAsia="宋体"/>
      <w:color w:val="000000"/>
      <w:kern w:val="0"/>
      <w:sz w:val="18"/>
      <w:szCs w:val="18"/>
    </w:rPr>
  </w:style>
  <w:style w:type="paragraph" w:customStyle="1" w:styleId="581">
    <w:name w:val="xl87"/>
    <w:basedOn w:val="1"/>
    <w:qFormat/>
    <w:uiPriority w:val="0"/>
    <w:pPr>
      <w:widowControl/>
      <w:pBdr>
        <w:right w:val="single" w:color="auto" w:sz="8" w:space="0"/>
      </w:pBdr>
      <w:spacing w:before="100" w:beforeAutospacing="1" w:after="100" w:afterAutospacing="1"/>
      <w:jc w:val="left"/>
    </w:pPr>
    <w:rPr>
      <w:rFonts w:eastAsia="宋体"/>
      <w:color w:val="000000"/>
      <w:kern w:val="0"/>
      <w:sz w:val="18"/>
      <w:szCs w:val="18"/>
    </w:rPr>
  </w:style>
  <w:style w:type="paragraph" w:customStyle="1" w:styleId="582">
    <w:name w:val="列出段落1"/>
    <w:basedOn w:val="1"/>
    <w:qFormat/>
    <w:uiPriority w:val="0"/>
    <w:pPr>
      <w:ind w:firstLine="420" w:firstLineChars="200"/>
    </w:pPr>
    <w:rPr>
      <w:rFonts w:eastAsia="宋体"/>
      <w:szCs w:val="24"/>
    </w:rPr>
  </w:style>
  <w:style w:type="paragraph" w:customStyle="1" w:styleId="583">
    <w:name w:val="列出段落11"/>
    <w:basedOn w:val="1"/>
    <w:qFormat/>
    <w:uiPriority w:val="34"/>
    <w:pPr>
      <w:ind w:firstLine="420" w:firstLineChars="200"/>
    </w:pPr>
    <w:rPr>
      <w:rFonts w:eastAsia="宋体"/>
    </w:rPr>
  </w:style>
  <w:style w:type="paragraph" w:customStyle="1" w:styleId="584">
    <w:name w:val="样式 标题 21.1-C标题 1.1章LLZ2h2部分标题Heading 2 HiddenHeading 2 C..."/>
    <w:basedOn w:val="10"/>
    <w:qFormat/>
    <w:uiPriority w:val="0"/>
    <w:pPr>
      <w:pageBreakBefore/>
      <w:spacing w:before="100" w:beforeAutospacing="1" w:after="100" w:afterAutospacing="1" w:line="500" w:lineRule="exact"/>
    </w:pPr>
    <w:rPr>
      <w:rFonts w:ascii="Times New Roman" w:hAnsi="Times New Roman" w:cs="宋体"/>
      <w:b w:val="0"/>
      <w:szCs w:val="20"/>
    </w:rPr>
  </w:style>
  <w:style w:type="paragraph" w:customStyle="1" w:styleId="585">
    <w:name w:val="Char Char"/>
    <w:basedOn w:val="1"/>
    <w:qFormat/>
    <w:uiPriority w:val="0"/>
    <w:pPr>
      <w:widowControl/>
      <w:spacing w:before="100" w:beforeAutospacing="1" w:after="100" w:afterAutospacing="1" w:line="330" w:lineRule="atLeast"/>
      <w:ind w:left="360"/>
      <w:jc w:val="left"/>
    </w:pPr>
    <w:rPr>
      <w:rFonts w:ascii="ˎ̥" w:hAnsi="ˎ̥" w:eastAsia="宋体" w:cs="宋体"/>
      <w:color w:val="51585D"/>
      <w:kern w:val="0"/>
      <w:sz w:val="24"/>
      <w:szCs w:val="18"/>
    </w:rPr>
  </w:style>
  <w:style w:type="paragraph" w:customStyle="1" w:styleId="586">
    <w:name w:val="样式 标题 3h3Heading 3 - old3h43rd level一标题 3 Char目题列表编号3A..."/>
    <w:basedOn w:val="11"/>
    <w:qFormat/>
    <w:uiPriority w:val="0"/>
    <w:pPr>
      <w:adjustRightInd w:val="0"/>
      <w:snapToGrid w:val="0"/>
      <w:spacing w:beforeLines="0" w:afterLines="0" w:line="312" w:lineRule="auto"/>
      <w:jc w:val="left"/>
    </w:pPr>
    <w:rPr>
      <w:rFonts w:ascii="ˎ̥" w:eastAsia="ˎ̥" w:cs="宋体"/>
      <w:b w:val="0"/>
      <w:color w:val="auto"/>
      <w:kern w:val="0"/>
      <w:szCs w:val="20"/>
    </w:rPr>
  </w:style>
  <w:style w:type="paragraph" w:customStyle="1" w:styleId="587">
    <w:name w:val="正题"/>
    <w:basedOn w:val="156"/>
    <w:next w:val="156"/>
    <w:qFormat/>
    <w:uiPriority w:val="0"/>
    <w:pPr>
      <w:ind w:firstLine="0" w:firstLineChars="0"/>
      <w:jc w:val="center"/>
    </w:pPr>
    <w:rPr>
      <w:rFonts w:eastAsia="ˎ̥"/>
      <w:b/>
      <w:sz w:val="36"/>
      <w:szCs w:val="36"/>
    </w:rPr>
  </w:style>
  <w:style w:type="paragraph" w:customStyle="1" w:styleId="588">
    <w:name w:val="正文文字首行缩进"/>
    <w:basedOn w:val="1"/>
    <w:next w:val="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customStyle="1" w:styleId="589">
    <w:name w:val="标句5"/>
    <w:basedOn w:val="1"/>
    <w:qFormat/>
    <w:uiPriority w:val="0"/>
    <w:pPr>
      <w:snapToGrid w:val="0"/>
      <w:spacing w:line="500" w:lineRule="atLeast"/>
      <w:ind w:left="1135" w:hanging="284"/>
    </w:pPr>
    <w:rPr>
      <w:rFonts w:ascii="宋体" w:eastAsia="宋体"/>
      <w:kern w:val="28"/>
      <w:sz w:val="27"/>
    </w:rPr>
  </w:style>
  <w:style w:type="paragraph" w:customStyle="1" w:styleId="590">
    <w:name w:val="样式 标题 1章-C章格式标题 1 Charsection:1自标题 1标题 1 1编号标题1章节（环球章）：..."/>
    <w:basedOn w:val="6"/>
    <w:qFormat/>
    <w:uiPriority w:val="0"/>
    <w:pPr>
      <w:spacing w:before="100" w:beforeAutospacing="1" w:after="100" w:afterAutospacing="1" w:line="240" w:lineRule="auto"/>
    </w:pPr>
    <w:rPr>
      <w:rFonts w:ascii="Times New Roman" w:hAnsi="Times New Roman" w:cs="宋体"/>
      <w:color w:val="000080"/>
      <w:sz w:val="36"/>
      <w:szCs w:val="20"/>
    </w:rPr>
  </w:style>
  <w:style w:type="paragraph" w:customStyle="1" w:styleId="591">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592">
    <w:name w:val="xl78"/>
    <w:basedOn w:val="1"/>
    <w:qFormat/>
    <w:uiPriority w:val="0"/>
    <w:pPr>
      <w:widowControl/>
      <w:pBdr>
        <w:top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59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eastAsia="宋体" w:cs="Arial"/>
      <w:kern w:val="0"/>
      <w:sz w:val="24"/>
      <w:szCs w:val="24"/>
    </w:rPr>
  </w:style>
  <w:style w:type="paragraph" w:customStyle="1" w:styleId="594">
    <w:name w:val="框图"/>
    <w:basedOn w:val="1"/>
    <w:qFormat/>
    <w:uiPriority w:val="0"/>
    <w:pPr>
      <w:widowControl/>
      <w:suppressLineNumbers/>
      <w:tabs>
        <w:tab w:val="left" w:pos="423"/>
        <w:tab w:val="left" w:pos="564"/>
        <w:tab w:val="left" w:pos="987"/>
      </w:tabs>
      <w:adjustRightInd w:val="0"/>
      <w:spacing w:beforeLines="50"/>
      <w:jc w:val="center"/>
      <w:textAlignment w:val="baseline"/>
    </w:pPr>
    <w:rPr>
      <w:rFonts w:eastAsia="宋体"/>
      <w:szCs w:val="21"/>
    </w:rPr>
  </w:style>
  <w:style w:type="paragraph" w:customStyle="1" w:styleId="595">
    <w:name w:val="xl119"/>
    <w:basedOn w:val="1"/>
    <w:qFormat/>
    <w:uiPriority w:val="0"/>
    <w:pPr>
      <w:widowControl/>
      <w:pBdr>
        <w:right w:val="single" w:color="auto" w:sz="8" w:space="0"/>
      </w:pBdr>
      <w:spacing w:before="100" w:beforeAutospacing="1" w:after="100" w:afterAutospacing="1"/>
      <w:jc w:val="center"/>
    </w:pPr>
    <w:rPr>
      <w:rFonts w:eastAsia="宋体"/>
      <w:color w:val="000000"/>
      <w:kern w:val="0"/>
      <w:sz w:val="18"/>
      <w:szCs w:val="18"/>
    </w:rPr>
  </w:style>
  <w:style w:type="paragraph" w:customStyle="1" w:styleId="596">
    <w:name w:val="xl30"/>
    <w:basedOn w:val="1"/>
    <w:qFormat/>
    <w:uiPriority w:val="0"/>
    <w:pPr>
      <w:widowControl/>
      <w:pBdr>
        <w:left w:val="single" w:color="auto" w:sz="4" w:space="31"/>
        <w:bottom w:val="single" w:color="auto" w:sz="4" w:space="0"/>
        <w:right w:val="single" w:color="auto" w:sz="4" w:space="0"/>
      </w:pBdr>
      <w:spacing w:before="100" w:beforeAutospacing="1" w:after="100" w:afterAutospacing="1"/>
      <w:ind w:firstLine="400" w:firstLineChars="400"/>
      <w:jc w:val="left"/>
    </w:pPr>
    <w:rPr>
      <w:rFonts w:ascii="宋体" w:hAnsi="宋体" w:eastAsia="宋体" w:cs="宋体"/>
      <w:kern w:val="0"/>
      <w:sz w:val="24"/>
      <w:szCs w:val="24"/>
    </w:rPr>
  </w:style>
  <w:style w:type="paragraph" w:customStyle="1" w:styleId="597">
    <w:name w:val="默认段落字体 Para Char Char Char Char"/>
    <w:basedOn w:val="1"/>
    <w:qFormat/>
    <w:uiPriority w:val="0"/>
    <w:rPr>
      <w:rFonts w:eastAsia="宋体"/>
    </w:rPr>
  </w:style>
  <w:style w:type="paragraph" w:customStyle="1" w:styleId="598">
    <w:name w:val="choi--a"/>
    <w:basedOn w:val="12"/>
    <w:qFormat/>
    <w:uiPriority w:val="0"/>
    <w:pPr>
      <w:spacing w:line="500" w:lineRule="exact"/>
      <w:ind w:firstLine="0"/>
    </w:pPr>
    <w:rPr>
      <w:rFonts w:ascii="宋体" w:hAnsi="宋体"/>
      <w:sz w:val="24"/>
    </w:rPr>
  </w:style>
  <w:style w:type="paragraph" w:customStyle="1" w:styleId="599">
    <w:name w:val="table"/>
    <w:basedOn w:val="1"/>
    <w:qFormat/>
    <w:uiPriority w:val="0"/>
    <w:pPr>
      <w:widowControl/>
      <w:overflowPunct w:val="0"/>
      <w:autoSpaceDE w:val="0"/>
      <w:autoSpaceDN w:val="0"/>
      <w:adjustRightInd w:val="0"/>
      <w:spacing w:before="60" w:after="60"/>
      <w:jc w:val="center"/>
      <w:textAlignment w:val="baseline"/>
    </w:pPr>
    <w:rPr>
      <w:rFonts w:ascii="仿宋体" w:eastAsia="仿宋体"/>
      <w:kern w:val="0"/>
      <w:sz w:val="24"/>
    </w:rPr>
  </w:style>
  <w:style w:type="paragraph" w:customStyle="1" w:styleId="600">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eastAsia="宋体"/>
      <w:color w:val="000000"/>
      <w:kern w:val="0"/>
      <w:sz w:val="20"/>
    </w:rPr>
  </w:style>
  <w:style w:type="paragraph" w:customStyle="1" w:styleId="601">
    <w:name w:val="样式"/>
    <w:basedOn w:val="1"/>
    <w:qFormat/>
    <w:uiPriority w:val="0"/>
    <w:pPr>
      <w:jc w:val="center"/>
    </w:pPr>
    <w:rPr>
      <w:rFonts w:eastAsia="宋体" w:cs="宋体"/>
      <w:b/>
      <w:sz w:val="30"/>
    </w:rPr>
  </w:style>
  <w:style w:type="paragraph" w:customStyle="1" w:styleId="602">
    <w:name w:val="Default"/>
    <w:qFormat/>
    <w:uiPriority w:val="0"/>
    <w:pPr>
      <w:widowControl w:val="0"/>
      <w:autoSpaceDE w:val="0"/>
      <w:autoSpaceDN w:val="0"/>
      <w:adjustRightInd w:val="0"/>
    </w:pPr>
    <w:rPr>
      <w:rFonts w:ascii="ˎ̥" w:hAnsi="Times New Roman" w:eastAsia="ˎ̥" w:cs="Times New Roman"/>
      <w:color w:val="000000"/>
      <w:sz w:val="24"/>
      <w:szCs w:val="24"/>
      <w:lang w:val="en-US" w:eastAsia="zh-CN" w:bidi="ar-SA"/>
    </w:rPr>
  </w:style>
  <w:style w:type="paragraph" w:customStyle="1" w:styleId="603">
    <w:name w:val="xl94"/>
    <w:basedOn w:val="1"/>
    <w:qFormat/>
    <w:uiPriority w:val="0"/>
    <w:pPr>
      <w:widowControl/>
      <w:pBdr>
        <w:bottom w:val="single" w:color="auto" w:sz="8" w:space="0"/>
      </w:pBdr>
      <w:spacing w:before="100" w:beforeAutospacing="1" w:after="100" w:afterAutospacing="1"/>
      <w:jc w:val="center"/>
    </w:pPr>
    <w:rPr>
      <w:rFonts w:ascii="宋体" w:hAnsi="宋体" w:eastAsia="宋体" w:cs="宋体"/>
      <w:color w:val="000000"/>
      <w:kern w:val="0"/>
      <w:sz w:val="18"/>
      <w:szCs w:val="18"/>
    </w:rPr>
  </w:style>
  <w:style w:type="paragraph" w:customStyle="1" w:styleId="604">
    <w:name w:val="章节三"/>
    <w:basedOn w:val="156"/>
    <w:next w:val="156"/>
    <w:qFormat/>
    <w:uiPriority w:val="0"/>
    <w:pPr>
      <w:spacing w:beforeLines="50" w:afterLines="50"/>
      <w:jc w:val="left"/>
      <w:outlineLvl w:val="2"/>
    </w:pPr>
    <w:rPr>
      <w:rFonts w:ascii="黑体" w:hAnsi="宋体" w:eastAsia="黑体"/>
      <w:b/>
    </w:rPr>
  </w:style>
  <w:style w:type="paragraph" w:customStyle="1" w:styleId="605">
    <w:name w:val="font13"/>
    <w:basedOn w:val="1"/>
    <w:qFormat/>
    <w:uiPriority w:val="0"/>
    <w:pPr>
      <w:widowControl/>
      <w:spacing w:before="100" w:beforeAutospacing="1" w:after="100" w:afterAutospacing="1"/>
      <w:jc w:val="left"/>
    </w:pPr>
    <w:rPr>
      <w:rFonts w:ascii="Arial" w:hAnsi="Arial" w:eastAsia="宋体" w:cs="Arial"/>
      <w:kern w:val="0"/>
      <w:sz w:val="24"/>
      <w:szCs w:val="24"/>
    </w:rPr>
  </w:style>
  <w:style w:type="paragraph" w:customStyle="1" w:styleId="606">
    <w:name w:val="xl103"/>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宋体" w:hAnsi="宋体" w:eastAsia="宋体" w:cs="宋体"/>
      <w:color w:val="000000"/>
      <w:kern w:val="0"/>
      <w:sz w:val="18"/>
      <w:szCs w:val="18"/>
    </w:rPr>
  </w:style>
  <w:style w:type="paragraph" w:customStyle="1" w:styleId="607">
    <w:name w:val="font9"/>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608">
    <w:name w:val="样式 样式 标题 1章-C + 非加粗 自动设置 + 居中"/>
    <w:basedOn w:val="474"/>
    <w:qFormat/>
    <w:uiPriority w:val="0"/>
    <w:pPr>
      <w:keepNext w:val="0"/>
      <w:keepLines w:val="0"/>
      <w:widowControl/>
      <w:jc w:val="center"/>
    </w:pPr>
    <w:rPr>
      <w:rFonts w:cs="宋体"/>
      <w:szCs w:val="20"/>
    </w:rPr>
  </w:style>
  <w:style w:type="paragraph" w:customStyle="1" w:styleId="609">
    <w:name w:val="文二"/>
    <w:basedOn w:val="1"/>
    <w:qFormat/>
    <w:uiPriority w:val="0"/>
    <w:pPr>
      <w:jc w:val="left"/>
    </w:pPr>
    <w:rPr>
      <w:rFonts w:ascii="宋体" w:hAnsi="宋体" w:eastAsia="宋体"/>
    </w:rPr>
  </w:style>
  <w:style w:type="paragraph" w:customStyle="1" w:styleId="610">
    <w:name w:val="样式 样式 样式 标题 1章-C + 非加粗 自动设置 + 居中 + 小初"/>
    <w:basedOn w:val="608"/>
    <w:qFormat/>
    <w:uiPriority w:val="0"/>
    <w:pPr>
      <w:spacing w:line="240" w:lineRule="auto"/>
    </w:pPr>
    <w:rPr>
      <w:rFonts w:cs="Times New Roman"/>
      <w:sz w:val="72"/>
    </w:rPr>
  </w:style>
  <w:style w:type="paragraph" w:customStyle="1" w:styleId="611">
    <w:name w:val="文本框"/>
    <w:basedOn w:val="1"/>
    <w:next w:val="1"/>
    <w:qFormat/>
    <w:uiPriority w:val="0"/>
    <w:pPr>
      <w:spacing w:line="300" w:lineRule="exact"/>
      <w:jc w:val="center"/>
    </w:pPr>
    <w:rPr>
      <w:rFonts w:ascii="宋体" w:hAnsi="宋体" w:eastAsia="宋体"/>
      <w:sz w:val="18"/>
      <w:szCs w:val="18"/>
    </w:rPr>
  </w:style>
  <w:style w:type="paragraph" w:customStyle="1" w:styleId="612">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613">
    <w:name w:val="Char Char Char Char Char Char Char1"/>
    <w:basedOn w:val="1"/>
    <w:qFormat/>
    <w:uiPriority w:val="0"/>
    <w:pPr>
      <w:autoSpaceDE w:val="0"/>
      <w:autoSpaceDN w:val="0"/>
    </w:pPr>
    <w:rPr>
      <w:rFonts w:eastAsia="宋体"/>
      <w:sz w:val="24"/>
      <w:szCs w:val="24"/>
    </w:rPr>
  </w:style>
  <w:style w:type="paragraph" w:customStyle="1" w:styleId="61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615">
    <w:name w:val="xl111"/>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eastAsia="宋体" w:cs="宋体"/>
      <w:color w:val="000000"/>
      <w:kern w:val="0"/>
      <w:sz w:val="18"/>
      <w:szCs w:val="18"/>
    </w:rPr>
  </w:style>
  <w:style w:type="paragraph" w:customStyle="1" w:styleId="616">
    <w:name w:val="ac"/>
    <w:basedOn w:val="1"/>
    <w:qFormat/>
    <w:uiPriority w:val="0"/>
    <w:pPr>
      <w:widowControl/>
      <w:jc w:val="left"/>
    </w:pPr>
    <w:rPr>
      <w:rFonts w:ascii="宋体" w:hAnsi="宋体" w:eastAsia="宋体" w:cs="宋体"/>
      <w:kern w:val="0"/>
      <w:sz w:val="24"/>
      <w:szCs w:val="24"/>
    </w:rPr>
  </w:style>
  <w:style w:type="paragraph" w:customStyle="1" w:styleId="617">
    <w:name w:val="xl95"/>
    <w:basedOn w:val="1"/>
    <w:qFormat/>
    <w:uiPriority w:val="0"/>
    <w:pPr>
      <w:widowControl/>
      <w:pBdr>
        <w:top w:val="single" w:color="auto" w:sz="8" w:space="0"/>
        <w:left w:val="single" w:color="auto" w:sz="8" w:space="0"/>
      </w:pBdr>
      <w:spacing w:before="100" w:beforeAutospacing="1" w:after="100" w:afterAutospacing="1"/>
      <w:jc w:val="left"/>
    </w:pPr>
    <w:rPr>
      <w:rFonts w:eastAsia="宋体"/>
      <w:color w:val="000000"/>
      <w:kern w:val="0"/>
      <w:sz w:val="18"/>
      <w:szCs w:val="18"/>
    </w:rPr>
  </w:style>
  <w:style w:type="paragraph" w:customStyle="1" w:styleId="618">
    <w:name w:val="表格居中"/>
    <w:basedOn w:val="1"/>
    <w:qFormat/>
    <w:uiPriority w:val="0"/>
    <w:pPr>
      <w:jc w:val="center"/>
    </w:pPr>
    <w:rPr>
      <w:rFonts w:ascii="宋体" w:eastAsia="宋体"/>
      <w:szCs w:val="21"/>
    </w:rPr>
  </w:style>
  <w:style w:type="paragraph" w:customStyle="1" w:styleId="619">
    <w:name w:val="_Style 4"/>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620">
    <w:name w:val="Char Char2"/>
    <w:basedOn w:val="1"/>
    <w:qFormat/>
    <w:uiPriority w:val="0"/>
    <w:pPr>
      <w:adjustRightInd w:val="0"/>
      <w:spacing w:line="360" w:lineRule="atLeast"/>
    </w:pPr>
    <w:rPr>
      <w:rFonts w:eastAsia="宋体"/>
      <w:szCs w:val="24"/>
    </w:rPr>
  </w:style>
  <w:style w:type="paragraph" w:customStyle="1" w:styleId="621">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622">
    <w:name w:val="样式 标题 2标题 2，第一节 + 段前: 0.5 行 段后: 0.5 行"/>
    <w:basedOn w:val="10"/>
    <w:qFormat/>
    <w:uiPriority w:val="0"/>
    <w:pPr>
      <w:keepNext w:val="0"/>
      <w:keepLines w:val="0"/>
      <w:spacing w:beforeLines="50" w:afterLines="50" w:line="360" w:lineRule="auto"/>
    </w:pPr>
    <w:rPr>
      <w:rFonts w:ascii="Times New Roman" w:hAnsi="Times New Roman" w:eastAsia="ˎ̥" w:cs="宋体"/>
      <w:bCs/>
      <w:color w:val="993366"/>
      <w:sz w:val="28"/>
      <w:szCs w:val="20"/>
    </w:rPr>
  </w:style>
  <w:style w:type="paragraph" w:customStyle="1" w:styleId="623">
    <w:name w:val="标句6"/>
    <w:basedOn w:val="1"/>
    <w:qFormat/>
    <w:uiPriority w:val="0"/>
    <w:pPr>
      <w:snapToGrid w:val="0"/>
      <w:spacing w:line="500" w:lineRule="atLeast"/>
      <w:ind w:left="1418" w:hanging="284"/>
    </w:pPr>
    <w:rPr>
      <w:rFonts w:ascii="宋体" w:eastAsia="宋体"/>
      <w:kern w:val="52"/>
      <w:sz w:val="27"/>
    </w:rPr>
  </w:style>
  <w:style w:type="paragraph" w:customStyle="1" w:styleId="624">
    <w:name w:val="xl96"/>
    <w:basedOn w:val="1"/>
    <w:qFormat/>
    <w:uiPriority w:val="0"/>
    <w:pPr>
      <w:widowControl/>
      <w:pBdr>
        <w:top w:val="single" w:color="auto" w:sz="8" w:space="0"/>
        <w:right w:val="single" w:color="auto" w:sz="8" w:space="0"/>
      </w:pBdr>
      <w:spacing w:before="100" w:beforeAutospacing="1" w:after="100" w:afterAutospacing="1"/>
      <w:jc w:val="left"/>
    </w:pPr>
    <w:rPr>
      <w:rFonts w:eastAsia="宋体"/>
      <w:color w:val="000000"/>
      <w:kern w:val="0"/>
      <w:sz w:val="18"/>
      <w:szCs w:val="18"/>
    </w:rPr>
  </w:style>
  <w:style w:type="paragraph" w:customStyle="1" w:styleId="625">
    <w:name w:val="1."/>
    <w:basedOn w:val="10"/>
    <w:qFormat/>
    <w:uiPriority w:val="0"/>
    <w:pPr>
      <w:keepNext w:val="0"/>
      <w:keepLines w:val="0"/>
      <w:tabs>
        <w:tab w:val="left" w:pos="539"/>
        <w:tab w:val="left" w:pos="644"/>
        <w:tab w:val="left" w:pos="1701"/>
        <w:tab w:val="left" w:pos="2520"/>
      </w:tabs>
      <w:spacing w:before="0" w:after="0" w:line="360" w:lineRule="auto"/>
      <w:ind w:left="-215" w:hanging="420"/>
      <w:jc w:val="both"/>
      <w:outlineLvl w:val="3"/>
    </w:pPr>
    <w:rPr>
      <w:rFonts w:ascii="宋体" w:hAnsi="宋体"/>
      <w:color w:val="000000"/>
      <w:sz w:val="24"/>
      <w:szCs w:val="20"/>
    </w:rPr>
  </w:style>
  <w:style w:type="paragraph" w:customStyle="1" w:styleId="626">
    <w:name w:val="cjk1"/>
    <w:basedOn w:val="1"/>
    <w:qFormat/>
    <w:uiPriority w:val="0"/>
    <w:pPr>
      <w:widowControl/>
      <w:spacing w:before="284" w:line="360" w:lineRule="auto"/>
      <w:jc w:val="left"/>
    </w:pPr>
    <w:rPr>
      <w:rFonts w:ascii="宋体" w:hAnsi="宋体" w:eastAsia="宋体"/>
      <w:kern w:val="0"/>
      <w:sz w:val="22"/>
    </w:rPr>
  </w:style>
  <w:style w:type="paragraph" w:customStyle="1" w:styleId="627">
    <w:name w:val="xl116"/>
    <w:basedOn w:val="1"/>
    <w:qFormat/>
    <w:uiPriority w:val="0"/>
    <w:pPr>
      <w:widowControl/>
      <w:pBdr>
        <w:top w:val="single" w:color="auto" w:sz="8" w:space="0"/>
        <w:bottom w:val="single" w:color="auto" w:sz="8" w:space="0"/>
      </w:pBdr>
      <w:spacing w:before="100" w:beforeAutospacing="1" w:after="100" w:afterAutospacing="1"/>
    </w:pPr>
    <w:rPr>
      <w:rFonts w:eastAsia="宋体"/>
      <w:kern w:val="0"/>
      <w:sz w:val="18"/>
      <w:szCs w:val="18"/>
    </w:rPr>
  </w:style>
  <w:style w:type="paragraph" w:customStyle="1" w:styleId="628">
    <w:name w:val="choi--A"/>
    <w:basedOn w:val="12"/>
    <w:qFormat/>
    <w:uiPriority w:val="0"/>
    <w:pPr>
      <w:spacing w:line="500" w:lineRule="exact"/>
      <w:ind w:firstLine="200" w:firstLineChars="200"/>
    </w:pPr>
    <w:rPr>
      <w:rFonts w:ascii="宋体" w:hAnsi="宋体"/>
      <w:sz w:val="24"/>
      <w:szCs w:val="24"/>
    </w:rPr>
  </w:style>
  <w:style w:type="table" w:customStyle="1" w:styleId="629">
    <w:name w:val="网格型1"/>
    <w:basedOn w:val="77"/>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0">
    <w:name w:val="正文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31">
    <w:name w:val="正文 New New New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122</Pages>
  <Words>59069</Words>
  <Characters>61341</Characters>
  <Lines>658</Lines>
  <Paragraphs>185</Paragraphs>
  <TotalTime>0</TotalTime>
  <ScaleCrop>false</ScaleCrop>
  <LinksUpToDate>false</LinksUpToDate>
  <CharactersWithSpaces>61552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2023-06-07T08:02:00Z</dcterms:created>
  <dc:creator>X</dc:creator>
  <cp:lastModifiedBy>AI人机</cp:lastModifiedBy>
  <dcterms:modified xsi:type="dcterms:W3CDTF">2025-05-18T07:29:36Z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5FA0F8C766AE4A8E89ABCACBEBA7ADA6_13</vt:lpwstr>
  </property>
  <property fmtid="{D5CDD505-2E9C-101B-9397-08002B2CF9AE}" pid="4" name="KSOTemplateDocerSaveRecord">
    <vt:lpwstr>eyJoZGlkIjoiMDFjZDk3NzRiMTVmNWM3ZGEwNGVkN2RhYTgwZTM2NjgiLCJ1c2VySWQiOiIxNjAxMzk4MzYzIn0=</vt:lpwstr>
  </property>
</Properties>
</file>