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13B37">
      <w:pPr>
        <w:spacing w:line="360" w:lineRule="auto"/>
        <w:ind w:firstLine="831" w:firstLineChars="378"/>
        <w:rPr>
          <w:b/>
          <w:sz w:val="30"/>
          <w:szCs w:val="30"/>
          <w:lang w:bidi="ar-SA"/>
        </w:rPr>
      </w:pPr>
      <w:bookmarkStart w:id="0" w:name="_Toc176923724"/>
      <w:bookmarkEnd w:id="0"/>
      <w:bookmarkStart w:id="1" w:name="_Toc179860350"/>
      <w:bookmarkEnd w:id="1"/>
      <w:bookmarkStart w:id="2" w:name="_Toc176925091"/>
      <w:bookmarkEnd w:id="2"/>
      <w:bookmarkStart w:id="3" w:name="_Toc363571535"/>
      <w:bookmarkEnd w:id="3"/>
      <w:bookmarkStart w:id="4" w:name="_Toc176857811"/>
      <w:bookmarkEnd w:id="4"/>
      <w:bookmarkStart w:id="5" w:name="_Toc32670"/>
      <w:bookmarkEnd w:id="5"/>
      <w:bookmarkStart w:id="6" w:name="_Toc176921260"/>
      <w:bookmarkEnd w:id="6"/>
      <w:r>
        <w:rPr>
          <w:rFonts w:hint="eastAsia" w:eastAsia="宋体"/>
          <w:lang w:eastAsia="zh-CN"/>
        </w:rPr>
        <w:drawing>
          <wp:anchor distT="0" distB="0" distL="114300" distR="114300" simplePos="0" relativeHeight="251659264" behindDoc="0" locked="0" layoutInCell="1" allowOverlap="1">
            <wp:simplePos x="0" y="0"/>
            <wp:positionH relativeFrom="column">
              <wp:posOffset>-386080</wp:posOffset>
            </wp:positionH>
            <wp:positionV relativeFrom="paragraph">
              <wp:posOffset>-328930</wp:posOffset>
            </wp:positionV>
            <wp:extent cx="6520815" cy="9222740"/>
            <wp:effectExtent l="0" t="0" r="1905" b="12700"/>
            <wp:wrapNone/>
            <wp:docPr id="1" name="图片 1" descr="招标文件封面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招标文件封面_00"/>
                    <pic:cNvPicPr>
                      <a:picLocks noChangeAspect="1"/>
                    </pic:cNvPicPr>
                  </pic:nvPicPr>
                  <pic:blipFill>
                    <a:blip r:embed="rId10"/>
                    <a:stretch>
                      <a:fillRect/>
                    </a:stretch>
                  </pic:blipFill>
                  <pic:spPr>
                    <a:xfrm>
                      <a:off x="0" y="0"/>
                      <a:ext cx="6520815" cy="9222740"/>
                    </a:xfrm>
                    <a:prstGeom prst="rect">
                      <a:avLst/>
                    </a:prstGeom>
                  </pic:spPr>
                </pic:pic>
              </a:graphicData>
            </a:graphic>
          </wp:anchor>
        </w:drawing>
      </w:r>
    </w:p>
    <w:p w14:paraId="13C1FA9D">
      <w:pPr>
        <w:pStyle w:val="2"/>
        <w:spacing w:line="360" w:lineRule="auto"/>
        <w:rPr>
          <w:rFonts w:ascii="宋体" w:hAnsi="宋体" w:eastAsia="宋体" w:cs="宋体"/>
          <w:sz w:val="30"/>
          <w:szCs w:val="30"/>
        </w:rPr>
        <w:sectPr>
          <w:footerReference r:id="rId3" w:type="default"/>
          <w:pgSz w:w="11906" w:h="16838"/>
          <w:pgMar w:top="1417" w:right="1417" w:bottom="1417" w:left="1417" w:header="0" w:footer="839" w:gutter="0"/>
          <w:pgNumType w:start="1"/>
          <w:cols w:space="0" w:num="1"/>
        </w:sectPr>
      </w:pPr>
    </w:p>
    <w:p w14:paraId="167851BA">
      <w:pPr>
        <w:pStyle w:val="2"/>
        <w:ind w:firstLine="883"/>
      </w:pPr>
      <w:bookmarkStart w:id="7" w:name="_Toc35513422"/>
      <w:bookmarkStart w:id="8" w:name="_Toc152234207"/>
      <w:r>
        <w:rPr>
          <w:rFonts w:hint="eastAsia"/>
        </w:rPr>
        <w:t>重要提示</w:t>
      </w:r>
      <w:bookmarkEnd w:id="7"/>
      <w:bookmarkEnd w:id="8"/>
    </w:p>
    <w:p w14:paraId="263B22A6">
      <w:pPr>
        <w:ind w:firstLine="492" w:firstLineChars="224"/>
        <w:jc w:val="center"/>
        <w:rPr>
          <w:bCs/>
        </w:rPr>
      </w:pPr>
    </w:p>
    <w:p w14:paraId="5E22ED97">
      <w:pPr>
        <w:ind w:firstLine="480" w:firstLineChars="200"/>
      </w:pPr>
      <w:r>
        <w:rPr>
          <w:rFonts w:hint="eastAsia"/>
          <w:sz w:val="24"/>
          <w:szCs w:val="24"/>
        </w:rPr>
        <w:t>本项目实施电子招投标，按照广州交易集团有限公司（广州公共资源交易中心）交易平台关于全流程电子化项目的相关指南进行操作。详见：广州交易集团有限公司（广州公共资源交易中心）网站最新指引。</w:t>
      </w:r>
      <w:r>
        <w:rPr>
          <w:rFonts w:hint="eastAsia"/>
        </w:rPr>
        <w:br w:type="page"/>
      </w:r>
    </w:p>
    <w:p w14:paraId="2389C16D">
      <w:pPr>
        <w:pStyle w:val="2"/>
        <w:spacing w:line="360" w:lineRule="auto"/>
        <w:rPr>
          <w:rFonts w:ascii="宋体" w:hAnsi="宋体" w:eastAsia="宋体" w:cs="宋体"/>
        </w:rPr>
      </w:pPr>
      <w:r>
        <w:rPr>
          <w:rFonts w:hint="eastAsia" w:ascii="宋体" w:hAnsi="宋体" w:eastAsia="宋体" w:cs="宋体"/>
        </w:rPr>
        <w:t>目</w:t>
      </w:r>
      <w:r>
        <w:rPr>
          <w:rFonts w:hint="eastAsia" w:ascii="宋体" w:hAnsi="宋体" w:eastAsia="宋体" w:cs="宋体"/>
          <w:lang w:val="en-US"/>
        </w:rPr>
        <w:t xml:space="preserve">   </w:t>
      </w:r>
      <w:r>
        <w:rPr>
          <w:rFonts w:hint="eastAsia" w:ascii="宋体" w:hAnsi="宋体" w:eastAsia="宋体" w:cs="宋体"/>
        </w:rPr>
        <w:t>录</w:t>
      </w:r>
    </w:p>
    <w:sdt>
      <w:sdtPr>
        <w:rPr>
          <w:b/>
          <w:bCs/>
          <w:sz w:val="28"/>
          <w:szCs w:val="28"/>
        </w:rPr>
        <w:id w:val="147482415"/>
        <w:docPartObj>
          <w:docPartGallery w:val="Table of Contents"/>
          <w:docPartUnique/>
        </w:docPartObj>
      </w:sdtPr>
      <w:sdtEndPr>
        <w:rPr>
          <w:b/>
          <w:bCs/>
          <w:sz w:val="21"/>
          <w:szCs w:val="21"/>
        </w:rPr>
      </w:sdtEndPr>
      <w:sdtContent>
        <w:p w14:paraId="02599E11">
          <w:pPr>
            <w:spacing w:line="360" w:lineRule="auto"/>
            <w:jc w:val="center"/>
            <w:rPr>
              <w:b/>
              <w:bCs/>
              <w:sz w:val="28"/>
              <w:szCs w:val="28"/>
            </w:rPr>
          </w:pPr>
        </w:p>
        <w:p w14:paraId="68F32EE7">
          <w:pPr>
            <w:pStyle w:val="23"/>
            <w:tabs>
              <w:tab w:val="right" w:leader="dot" w:pos="9746"/>
            </w:tabs>
            <w:spacing w:line="360" w:lineRule="auto"/>
            <w:rPr>
              <w:b/>
              <w:bCs/>
              <w:sz w:val="28"/>
              <w:szCs w:val="28"/>
            </w:rPr>
          </w:pPr>
          <w:r>
            <w:rPr>
              <w:b/>
              <w:bCs/>
              <w:sz w:val="28"/>
              <w:szCs w:val="28"/>
            </w:rPr>
            <w:fldChar w:fldCharType="begin"/>
          </w:r>
          <w:r>
            <w:rPr>
              <w:b/>
              <w:bCs/>
              <w:sz w:val="28"/>
              <w:szCs w:val="28"/>
            </w:rPr>
            <w:instrText xml:space="preserve">TOC \o "1-1" \h \u </w:instrText>
          </w:r>
          <w:r>
            <w:rPr>
              <w:b/>
              <w:bCs/>
              <w:sz w:val="28"/>
              <w:szCs w:val="28"/>
            </w:rPr>
            <w:fldChar w:fldCharType="separate"/>
          </w:r>
          <w:r>
            <w:fldChar w:fldCharType="begin"/>
          </w:r>
          <w:r>
            <w:instrText xml:space="preserve"> HYPERLINK \l "_Toc19406" </w:instrText>
          </w:r>
          <w:r>
            <w:fldChar w:fldCharType="separate"/>
          </w:r>
          <w:r>
            <w:rPr>
              <w:rFonts w:hint="eastAsia" w:ascii="Calibri" w:hAnsi="Calibri"/>
              <w:b/>
              <w:bCs/>
              <w:kern w:val="44"/>
              <w:sz w:val="28"/>
              <w:szCs w:val="28"/>
            </w:rPr>
            <w:t>第一章 招标公告</w:t>
          </w:r>
          <w:r>
            <w:rPr>
              <w:rFonts w:hint="eastAsia" w:ascii="宋体" w:hAnsi="宋体" w:cs="宋体"/>
              <w:b/>
              <w:bCs/>
              <w:sz w:val="28"/>
              <w:szCs w:val="28"/>
            </w:rPr>
            <w:t>...............................................</w:t>
          </w:r>
          <w:r>
            <w:rPr>
              <w:b/>
              <w:bCs/>
              <w:sz w:val="28"/>
              <w:szCs w:val="28"/>
            </w:rPr>
            <w:fldChar w:fldCharType="begin"/>
          </w:r>
          <w:r>
            <w:rPr>
              <w:b/>
              <w:bCs/>
              <w:sz w:val="28"/>
              <w:szCs w:val="28"/>
            </w:rPr>
            <w:instrText xml:space="preserve"> PAGEREF _Toc19406 \h </w:instrText>
          </w:r>
          <w:r>
            <w:rPr>
              <w:b/>
              <w:bCs/>
              <w:sz w:val="28"/>
              <w:szCs w:val="28"/>
            </w:rPr>
            <w:fldChar w:fldCharType="separate"/>
          </w:r>
          <w:r>
            <w:rPr>
              <w:b/>
              <w:bCs/>
              <w:sz w:val="28"/>
              <w:szCs w:val="28"/>
            </w:rPr>
            <w:t>1</w:t>
          </w:r>
          <w:r>
            <w:rPr>
              <w:b/>
              <w:bCs/>
              <w:sz w:val="28"/>
              <w:szCs w:val="28"/>
            </w:rPr>
            <w:fldChar w:fldCharType="end"/>
          </w:r>
          <w:r>
            <w:rPr>
              <w:b/>
              <w:bCs/>
              <w:sz w:val="28"/>
              <w:szCs w:val="28"/>
            </w:rPr>
            <w:fldChar w:fldCharType="end"/>
          </w:r>
        </w:p>
        <w:p w14:paraId="09295CEB">
          <w:pPr>
            <w:pStyle w:val="23"/>
            <w:tabs>
              <w:tab w:val="right" w:leader="dot" w:pos="9746"/>
            </w:tabs>
            <w:spacing w:line="360" w:lineRule="auto"/>
            <w:rPr>
              <w:b/>
              <w:bCs/>
              <w:sz w:val="28"/>
              <w:szCs w:val="28"/>
            </w:rPr>
          </w:pPr>
          <w:r>
            <w:fldChar w:fldCharType="begin"/>
          </w:r>
          <w:r>
            <w:instrText xml:space="preserve"> HYPERLINK \l "_Toc32062" </w:instrText>
          </w:r>
          <w:r>
            <w:fldChar w:fldCharType="separate"/>
          </w:r>
          <w:r>
            <w:rPr>
              <w:rFonts w:hint="eastAsia" w:ascii="宋体" w:hAnsi="宋体" w:cs="宋体"/>
              <w:b/>
              <w:bCs/>
              <w:sz w:val="28"/>
              <w:szCs w:val="28"/>
            </w:rPr>
            <w:t>第二章 投标人须知.............................................</w:t>
          </w:r>
          <w:r>
            <w:rPr>
              <w:rFonts w:hint="eastAsia"/>
              <w:b/>
              <w:bCs/>
              <w:sz w:val="28"/>
              <w:szCs w:val="28"/>
            </w:rPr>
            <w:t>2</w:t>
          </w:r>
          <w:r>
            <w:rPr>
              <w:rFonts w:hint="eastAsia"/>
              <w:b/>
              <w:bCs/>
              <w:sz w:val="28"/>
              <w:szCs w:val="28"/>
            </w:rPr>
            <w:fldChar w:fldCharType="end"/>
          </w:r>
        </w:p>
        <w:p w14:paraId="44815B43">
          <w:pPr>
            <w:pStyle w:val="23"/>
            <w:tabs>
              <w:tab w:val="right" w:leader="dot" w:pos="9746"/>
            </w:tabs>
            <w:spacing w:line="360" w:lineRule="auto"/>
            <w:rPr>
              <w:b/>
              <w:bCs/>
              <w:sz w:val="28"/>
              <w:szCs w:val="28"/>
            </w:rPr>
          </w:pPr>
          <w:r>
            <w:fldChar w:fldCharType="begin"/>
          </w:r>
          <w:r>
            <w:instrText xml:space="preserve"> HYPERLINK \l "_Toc5989" </w:instrText>
          </w:r>
          <w:r>
            <w:fldChar w:fldCharType="separate"/>
          </w:r>
          <w:r>
            <w:rPr>
              <w:rFonts w:hint="eastAsia" w:asciiTheme="minorEastAsia" w:hAnsiTheme="minorEastAsia" w:eastAsiaTheme="minorEastAsia"/>
              <w:b/>
              <w:bCs/>
              <w:sz w:val="28"/>
              <w:szCs w:val="28"/>
            </w:rPr>
            <w:t>第三章 评标办法（综合评估法）</w:t>
          </w:r>
          <w:r>
            <w:rPr>
              <w:rFonts w:hint="eastAsia" w:ascii="宋体" w:hAnsi="宋体" w:cs="宋体"/>
              <w:b/>
              <w:bCs/>
              <w:sz w:val="28"/>
              <w:szCs w:val="28"/>
            </w:rPr>
            <w:t>................................</w:t>
          </w:r>
          <w:r>
            <w:rPr>
              <w:rFonts w:hint="eastAsia"/>
              <w:b/>
              <w:bCs/>
              <w:sz w:val="28"/>
              <w:szCs w:val="28"/>
            </w:rPr>
            <w:t>2</w:t>
          </w:r>
          <w:r>
            <w:rPr>
              <w:rFonts w:hint="eastAsia"/>
              <w:b/>
              <w:bCs/>
              <w:sz w:val="28"/>
              <w:szCs w:val="28"/>
            </w:rPr>
            <w:fldChar w:fldCharType="end"/>
          </w:r>
          <w:r>
            <w:rPr>
              <w:rFonts w:hint="eastAsia"/>
              <w:b/>
              <w:bCs/>
              <w:sz w:val="28"/>
              <w:szCs w:val="28"/>
            </w:rPr>
            <w:t>5</w:t>
          </w:r>
        </w:p>
        <w:p w14:paraId="3BECC4D3">
          <w:pPr>
            <w:pStyle w:val="23"/>
            <w:tabs>
              <w:tab w:val="right" w:leader="dot" w:pos="9746"/>
            </w:tabs>
            <w:spacing w:line="360" w:lineRule="auto"/>
            <w:rPr>
              <w:b/>
              <w:bCs/>
              <w:sz w:val="28"/>
              <w:szCs w:val="28"/>
            </w:rPr>
          </w:pPr>
          <w:r>
            <w:fldChar w:fldCharType="begin"/>
          </w:r>
          <w:r>
            <w:instrText xml:space="preserve"> HYPERLINK \l "_Toc24117" </w:instrText>
          </w:r>
          <w:r>
            <w:fldChar w:fldCharType="separate"/>
          </w:r>
          <w:r>
            <w:rPr>
              <w:rFonts w:hint="eastAsia" w:ascii="宋体" w:hAnsi="宋体" w:cs="宋体"/>
              <w:b/>
              <w:bCs/>
              <w:sz w:val="28"/>
              <w:szCs w:val="28"/>
            </w:rPr>
            <w:t>第四章 合同条款及格式........................................</w:t>
          </w:r>
          <w:r>
            <w:rPr>
              <w:rFonts w:hint="eastAsia"/>
              <w:b/>
              <w:bCs/>
              <w:sz w:val="28"/>
              <w:szCs w:val="28"/>
            </w:rPr>
            <w:t>3</w:t>
          </w:r>
          <w:r>
            <w:rPr>
              <w:rFonts w:hint="eastAsia"/>
              <w:b/>
              <w:bCs/>
              <w:sz w:val="28"/>
              <w:szCs w:val="28"/>
            </w:rPr>
            <w:fldChar w:fldCharType="end"/>
          </w:r>
          <w:r>
            <w:rPr>
              <w:rFonts w:hint="eastAsia"/>
              <w:b/>
              <w:bCs/>
              <w:sz w:val="28"/>
              <w:szCs w:val="28"/>
            </w:rPr>
            <w:t>4</w:t>
          </w:r>
        </w:p>
        <w:p w14:paraId="6CBBCE03">
          <w:pPr>
            <w:pStyle w:val="23"/>
            <w:tabs>
              <w:tab w:val="right" w:leader="dot" w:pos="9746"/>
            </w:tabs>
            <w:spacing w:line="360" w:lineRule="auto"/>
            <w:rPr>
              <w:b/>
              <w:bCs/>
              <w:sz w:val="28"/>
              <w:szCs w:val="28"/>
            </w:rPr>
          </w:pPr>
          <w:r>
            <w:fldChar w:fldCharType="begin"/>
          </w:r>
          <w:r>
            <w:instrText xml:space="preserve"> HYPERLINK \l "_Toc12073" </w:instrText>
          </w:r>
          <w:r>
            <w:fldChar w:fldCharType="separate"/>
          </w:r>
          <w:r>
            <w:rPr>
              <w:rFonts w:hint="eastAsia" w:ascii="宋体" w:hAnsi="宋体" w:cs="宋体"/>
              <w:b/>
              <w:bCs/>
              <w:sz w:val="28"/>
              <w:szCs w:val="28"/>
            </w:rPr>
            <w:t>第五章 委托人要求............................................</w:t>
          </w:r>
          <w:r>
            <w:rPr>
              <w:rFonts w:hint="eastAsia"/>
              <w:b/>
              <w:bCs/>
              <w:sz w:val="28"/>
              <w:szCs w:val="28"/>
            </w:rPr>
            <w:t>3</w:t>
          </w:r>
          <w:r>
            <w:rPr>
              <w:rFonts w:hint="eastAsia"/>
              <w:b/>
              <w:bCs/>
              <w:sz w:val="28"/>
              <w:szCs w:val="28"/>
            </w:rPr>
            <w:fldChar w:fldCharType="end"/>
          </w:r>
          <w:r>
            <w:rPr>
              <w:rFonts w:hint="eastAsia"/>
              <w:b/>
              <w:bCs/>
              <w:sz w:val="28"/>
              <w:szCs w:val="28"/>
            </w:rPr>
            <w:t>5</w:t>
          </w:r>
        </w:p>
        <w:p w14:paraId="41F709B1">
          <w:pPr>
            <w:pStyle w:val="23"/>
            <w:tabs>
              <w:tab w:val="right" w:leader="dot" w:pos="9746"/>
            </w:tabs>
            <w:spacing w:line="360" w:lineRule="auto"/>
            <w:rPr>
              <w:b/>
              <w:bCs/>
              <w:sz w:val="28"/>
              <w:szCs w:val="28"/>
            </w:rPr>
          </w:pPr>
          <w:r>
            <w:fldChar w:fldCharType="begin"/>
          </w:r>
          <w:r>
            <w:instrText xml:space="preserve"> HYPERLINK \l "_Toc30980" </w:instrText>
          </w:r>
          <w:r>
            <w:fldChar w:fldCharType="separate"/>
          </w:r>
          <w:r>
            <w:rPr>
              <w:rFonts w:hint="eastAsia" w:ascii="宋体" w:hAnsi="宋体" w:cs="宋体"/>
              <w:b/>
              <w:bCs/>
              <w:sz w:val="28"/>
              <w:szCs w:val="28"/>
            </w:rPr>
            <w:t>第六章 投标文件格式..........................................</w:t>
          </w:r>
          <w:r>
            <w:rPr>
              <w:rFonts w:hint="eastAsia"/>
              <w:b/>
              <w:bCs/>
              <w:sz w:val="28"/>
              <w:szCs w:val="28"/>
            </w:rPr>
            <w:t>3</w:t>
          </w:r>
          <w:r>
            <w:rPr>
              <w:rFonts w:hint="eastAsia"/>
              <w:b/>
              <w:bCs/>
              <w:sz w:val="28"/>
              <w:szCs w:val="28"/>
            </w:rPr>
            <w:fldChar w:fldCharType="end"/>
          </w:r>
          <w:r>
            <w:rPr>
              <w:rFonts w:hint="eastAsia"/>
              <w:b/>
              <w:bCs/>
              <w:sz w:val="28"/>
              <w:szCs w:val="28"/>
            </w:rPr>
            <w:t>8</w:t>
          </w:r>
        </w:p>
        <w:p w14:paraId="14C21CA0">
          <w:pPr>
            <w:pStyle w:val="16"/>
            <w:tabs>
              <w:tab w:val="left" w:leader="dot" w:pos="8526"/>
            </w:tabs>
            <w:spacing w:before="304" w:line="360" w:lineRule="auto"/>
            <w:ind w:right="704"/>
          </w:pPr>
          <w:r>
            <w:rPr>
              <w:b/>
              <w:bCs/>
              <w:sz w:val="28"/>
              <w:szCs w:val="28"/>
            </w:rPr>
            <w:fldChar w:fldCharType="end"/>
          </w:r>
        </w:p>
      </w:sdtContent>
    </w:sdt>
    <w:p w14:paraId="5CECB3AD">
      <w:pPr>
        <w:pStyle w:val="2"/>
        <w:spacing w:line="360" w:lineRule="auto"/>
        <w:rPr>
          <w:rFonts w:ascii="宋体" w:hAnsi="宋体" w:eastAsia="宋体" w:cs="宋体"/>
        </w:rPr>
        <w:sectPr>
          <w:footerReference r:id="rId4" w:type="default"/>
          <w:pgSz w:w="11906" w:h="16838"/>
          <w:pgMar w:top="1417" w:right="1417" w:bottom="1417" w:left="1417" w:header="0" w:footer="839" w:gutter="0"/>
          <w:pgNumType w:start="1"/>
          <w:cols w:space="0" w:num="1"/>
        </w:sectPr>
      </w:pPr>
    </w:p>
    <w:p w14:paraId="0F6E3EA3">
      <w:pPr>
        <w:spacing w:line="240" w:lineRule="auto"/>
        <w:jc w:val="left"/>
        <w:outlineLvl w:val="9"/>
        <w:rPr>
          <w:lang w:val="en-US"/>
        </w:rPr>
      </w:pPr>
      <w:bookmarkStart w:id="9" w:name="_Toc19406"/>
      <w:bookmarkStart w:id="10" w:name="_Toc526786483"/>
      <w:bookmarkStart w:id="11" w:name="_Toc153"/>
      <w:bookmarkStart w:id="12" w:name="_Toc23825"/>
    </w:p>
    <w:p w14:paraId="3F4F8FF1">
      <w:pPr>
        <w:spacing w:line="360" w:lineRule="auto"/>
        <w:jc w:val="center"/>
        <w:outlineLvl w:val="0"/>
        <w:rPr>
          <w:rFonts w:ascii="Calibri" w:hAnsi="Calibri" w:cs="Times New Roman"/>
          <w:b/>
          <w:kern w:val="44"/>
          <w:sz w:val="44"/>
          <w:szCs w:val="20"/>
          <w:lang w:val="en-US" w:bidi="ar-SA"/>
        </w:rPr>
      </w:pPr>
      <w:r>
        <w:rPr>
          <w:rFonts w:hint="eastAsia" w:ascii="Calibri" w:hAnsi="Calibri" w:cs="Times New Roman"/>
          <w:b/>
          <w:kern w:val="44"/>
          <w:sz w:val="44"/>
          <w:szCs w:val="20"/>
          <w:lang w:val="en-US" w:bidi="ar-SA"/>
        </w:rPr>
        <w:t>第一章 招标公告</w:t>
      </w:r>
      <w:bookmarkEnd w:id="9"/>
      <w:bookmarkEnd w:id="10"/>
      <w:bookmarkEnd w:id="11"/>
      <w:bookmarkEnd w:id="12"/>
    </w:p>
    <w:p w14:paraId="7E1F34BA">
      <w:pPr>
        <w:spacing w:line="360" w:lineRule="auto"/>
        <w:jc w:val="center"/>
        <w:rPr>
          <w:bCs/>
          <w:kern w:val="2"/>
          <w:sz w:val="32"/>
          <w:szCs w:val="32"/>
          <w:lang w:val="en-US" w:bidi="ar-SA"/>
        </w:rPr>
        <w:sectPr>
          <w:footerReference r:id="rId5" w:type="default"/>
          <w:pgSz w:w="11906" w:h="16838"/>
          <w:pgMar w:top="1417" w:right="1417" w:bottom="1417" w:left="1417" w:header="850" w:footer="850" w:gutter="0"/>
          <w:pgNumType w:start="1"/>
          <w:cols w:space="0" w:num="1"/>
        </w:sectPr>
      </w:pPr>
      <w:bookmarkStart w:id="13" w:name="_Toc32062"/>
      <w:r>
        <w:rPr>
          <w:rFonts w:hint="eastAsia"/>
          <w:bCs/>
          <w:kern w:val="2"/>
          <w:sz w:val="32"/>
          <w:szCs w:val="32"/>
          <w:lang w:val="en-US" w:bidi="ar-SA"/>
        </w:rPr>
        <w:t>（另册）</w:t>
      </w:r>
    </w:p>
    <w:p w14:paraId="481B5B39">
      <w:pPr>
        <w:rPr>
          <w:lang w:val="en-US"/>
        </w:rPr>
      </w:pPr>
    </w:p>
    <w:p w14:paraId="66F5F307">
      <w:pPr>
        <w:pStyle w:val="2"/>
        <w:spacing w:line="360" w:lineRule="auto"/>
        <w:rPr>
          <w:rFonts w:ascii="宋体" w:hAnsi="宋体" w:eastAsia="宋体" w:cs="宋体"/>
        </w:rPr>
      </w:pPr>
      <w:r>
        <w:rPr>
          <w:rFonts w:hint="eastAsia" w:ascii="宋体" w:hAnsi="宋体" w:eastAsia="宋体" w:cs="宋体"/>
          <w:lang w:val="en-US"/>
        </w:rPr>
        <w:t xml:space="preserve">第二章 </w:t>
      </w:r>
      <w:r>
        <w:rPr>
          <w:rFonts w:hint="eastAsia" w:ascii="宋体" w:hAnsi="宋体" w:eastAsia="宋体" w:cs="宋体"/>
        </w:rPr>
        <w:t>投标人须知</w:t>
      </w:r>
      <w:bookmarkEnd w:id="13"/>
    </w:p>
    <w:p w14:paraId="63707A0E">
      <w:pPr>
        <w:jc w:val="center"/>
        <w:rPr>
          <w:b/>
        </w:rPr>
      </w:pPr>
      <w:r>
        <w:rPr>
          <w:rFonts w:hint="eastAsia"/>
          <w:b/>
          <w:kern w:val="2"/>
          <w:sz w:val="32"/>
          <w:szCs w:val="32"/>
          <w:lang w:val="en-US" w:bidi="ar-SA"/>
        </w:rPr>
        <w:t>投标人须知前附表</w:t>
      </w:r>
    </w:p>
    <w:tbl>
      <w:tblPr>
        <w:tblStyle w:val="19"/>
        <w:tblW w:w="99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2"/>
        <w:gridCol w:w="2808"/>
        <w:gridCol w:w="5919"/>
      </w:tblGrid>
      <w:tr w14:paraId="54771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1252" w:type="dxa"/>
            <w:vAlign w:val="center"/>
          </w:tcPr>
          <w:p w14:paraId="3A3705F9">
            <w:pPr>
              <w:autoSpaceDE/>
              <w:autoSpaceDN/>
              <w:adjustRightInd w:val="0"/>
              <w:snapToGrid w:val="0"/>
              <w:spacing w:line="400" w:lineRule="exact"/>
              <w:ind w:left="44" w:leftChars="20" w:right="44" w:rightChars="20"/>
              <w:jc w:val="center"/>
              <w:rPr>
                <w:b/>
                <w:kern w:val="2"/>
                <w:sz w:val="21"/>
                <w:szCs w:val="21"/>
                <w:lang w:val="en-US" w:bidi="ar-SA"/>
              </w:rPr>
            </w:pPr>
            <w:bookmarkStart w:id="14" w:name="_bookmark19"/>
            <w:bookmarkEnd w:id="14"/>
            <w:r>
              <w:rPr>
                <w:rFonts w:hint="eastAsia"/>
                <w:b/>
                <w:kern w:val="2"/>
                <w:sz w:val="21"/>
                <w:szCs w:val="21"/>
                <w:lang w:val="en-US" w:bidi="ar-SA"/>
              </w:rPr>
              <w:t>条款号</w:t>
            </w:r>
          </w:p>
        </w:tc>
        <w:tc>
          <w:tcPr>
            <w:tcW w:w="2808" w:type="dxa"/>
            <w:vAlign w:val="center"/>
          </w:tcPr>
          <w:p w14:paraId="5B7064AA">
            <w:pPr>
              <w:autoSpaceDE/>
              <w:autoSpaceDN/>
              <w:adjustRightInd w:val="0"/>
              <w:snapToGrid w:val="0"/>
              <w:spacing w:line="400" w:lineRule="exact"/>
              <w:ind w:left="44" w:leftChars="20" w:right="44" w:rightChars="20"/>
              <w:jc w:val="center"/>
              <w:rPr>
                <w:b/>
                <w:kern w:val="2"/>
                <w:sz w:val="21"/>
                <w:szCs w:val="21"/>
                <w:lang w:val="en-US" w:bidi="ar-SA"/>
              </w:rPr>
            </w:pPr>
            <w:r>
              <w:rPr>
                <w:rFonts w:hint="eastAsia"/>
                <w:b/>
                <w:kern w:val="2"/>
                <w:sz w:val="21"/>
                <w:szCs w:val="21"/>
                <w:lang w:val="en-US" w:bidi="ar-SA"/>
              </w:rPr>
              <w:t>条款名称</w:t>
            </w:r>
          </w:p>
        </w:tc>
        <w:tc>
          <w:tcPr>
            <w:tcW w:w="5919" w:type="dxa"/>
            <w:vAlign w:val="center"/>
          </w:tcPr>
          <w:p w14:paraId="39650DA2">
            <w:pPr>
              <w:autoSpaceDE/>
              <w:autoSpaceDN/>
              <w:adjustRightInd w:val="0"/>
              <w:snapToGrid w:val="0"/>
              <w:spacing w:line="400" w:lineRule="exact"/>
              <w:ind w:left="44" w:leftChars="20" w:right="44" w:rightChars="20"/>
              <w:jc w:val="center"/>
              <w:rPr>
                <w:b/>
                <w:kern w:val="2"/>
                <w:sz w:val="21"/>
                <w:szCs w:val="21"/>
                <w:lang w:val="en-US" w:bidi="ar-SA"/>
              </w:rPr>
            </w:pPr>
            <w:r>
              <w:rPr>
                <w:rFonts w:hint="eastAsia"/>
                <w:b/>
                <w:kern w:val="2"/>
                <w:sz w:val="21"/>
                <w:szCs w:val="21"/>
                <w:lang w:val="en-US" w:bidi="ar-SA"/>
              </w:rPr>
              <w:t>编列内容</w:t>
            </w:r>
          </w:p>
        </w:tc>
      </w:tr>
      <w:tr w14:paraId="43B35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3" w:hRule="atLeast"/>
          <w:jc w:val="center"/>
        </w:trPr>
        <w:tc>
          <w:tcPr>
            <w:tcW w:w="1252" w:type="dxa"/>
            <w:vAlign w:val="center"/>
          </w:tcPr>
          <w:p w14:paraId="4F62F0AC">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1.1.2</w:t>
            </w:r>
          </w:p>
        </w:tc>
        <w:tc>
          <w:tcPr>
            <w:tcW w:w="2808" w:type="dxa"/>
            <w:vAlign w:val="center"/>
          </w:tcPr>
          <w:p w14:paraId="1820B6A4">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招标人</w:t>
            </w:r>
          </w:p>
        </w:tc>
        <w:tc>
          <w:tcPr>
            <w:tcW w:w="5919" w:type="dxa"/>
            <w:vAlign w:val="center"/>
          </w:tcPr>
          <w:p w14:paraId="21A5FACB">
            <w:pPr>
              <w:autoSpaceDE/>
              <w:autoSpaceDN/>
              <w:adjustRightInd w:val="0"/>
              <w:snapToGrid w:val="0"/>
              <w:ind w:left="44" w:leftChars="20" w:right="44" w:rightChars="20"/>
              <w:rPr>
                <w:sz w:val="21"/>
                <w:szCs w:val="21"/>
                <w:u w:val="single"/>
                <w:lang w:val="en-US"/>
              </w:rPr>
            </w:pPr>
            <w:r>
              <w:rPr>
                <w:rFonts w:hint="eastAsia"/>
                <w:bCs/>
                <w:kern w:val="2"/>
                <w:sz w:val="21"/>
                <w:szCs w:val="21"/>
                <w:lang w:val="en-US" w:bidi="ar-SA"/>
              </w:rPr>
              <w:t>名称：</w:t>
            </w:r>
            <w:r>
              <w:rPr>
                <w:rFonts w:hint="eastAsia"/>
                <w:sz w:val="21"/>
                <w:szCs w:val="21"/>
                <w:u w:val="single"/>
                <w:lang w:val="en-US"/>
              </w:rPr>
              <w:t>广州市番禺区石碁镇桥山村股份合作经济社</w:t>
            </w:r>
          </w:p>
          <w:p w14:paraId="3496D580">
            <w:pPr>
              <w:autoSpaceDE/>
              <w:autoSpaceDN/>
              <w:adjustRightInd w:val="0"/>
              <w:snapToGrid w:val="0"/>
              <w:ind w:left="44" w:leftChars="20" w:right="44" w:rightChars="20"/>
              <w:rPr>
                <w:bCs/>
                <w:kern w:val="2"/>
                <w:sz w:val="21"/>
                <w:szCs w:val="21"/>
                <w:u w:val="single"/>
                <w:lang w:val="en-US" w:bidi="ar-SA"/>
              </w:rPr>
            </w:pPr>
            <w:r>
              <w:rPr>
                <w:rFonts w:hint="eastAsia"/>
                <w:sz w:val="21"/>
                <w:szCs w:val="21"/>
              </w:rPr>
              <w:t>地址：</w:t>
            </w:r>
            <w:r>
              <w:rPr>
                <w:rFonts w:hint="eastAsia"/>
                <w:sz w:val="21"/>
                <w:szCs w:val="21"/>
                <w:u w:val="single"/>
                <w:lang w:val="en-US" w:bidi="ar-SA"/>
              </w:rPr>
              <w:t>广州市番禺区石碁镇桥山村</w:t>
            </w:r>
          </w:p>
          <w:p w14:paraId="7F3416CA">
            <w:pPr>
              <w:autoSpaceDE/>
              <w:autoSpaceDN/>
              <w:adjustRightInd w:val="0"/>
              <w:snapToGrid w:val="0"/>
              <w:ind w:left="44" w:leftChars="20" w:right="44" w:rightChars="20"/>
              <w:rPr>
                <w:bCs/>
                <w:kern w:val="2"/>
                <w:sz w:val="21"/>
                <w:szCs w:val="21"/>
                <w:u w:val="single"/>
                <w:lang w:val="en-US" w:bidi="ar-SA"/>
              </w:rPr>
            </w:pPr>
            <w:r>
              <w:rPr>
                <w:rFonts w:hint="eastAsia"/>
                <w:sz w:val="21"/>
                <w:szCs w:val="21"/>
              </w:rPr>
              <w:t>联 系 人：</w:t>
            </w:r>
            <w:r>
              <w:rPr>
                <w:rFonts w:hint="eastAsia"/>
                <w:sz w:val="21"/>
                <w:szCs w:val="21"/>
                <w:u w:val="single"/>
                <w:lang w:val="en-US" w:bidi="ar-SA"/>
              </w:rPr>
              <w:t xml:space="preserve">曾生 </w:t>
            </w:r>
          </w:p>
          <w:p w14:paraId="1F08D904">
            <w:pPr>
              <w:autoSpaceDE/>
              <w:autoSpaceDN/>
              <w:adjustRightInd w:val="0"/>
              <w:snapToGrid w:val="0"/>
              <w:ind w:left="44" w:leftChars="20" w:right="44" w:rightChars="20"/>
              <w:rPr>
                <w:bCs/>
                <w:kern w:val="2"/>
                <w:sz w:val="21"/>
                <w:szCs w:val="21"/>
                <w:lang w:val="en-US" w:bidi="ar-SA"/>
              </w:rPr>
            </w:pPr>
            <w:r>
              <w:rPr>
                <w:rFonts w:hint="eastAsia"/>
                <w:sz w:val="21"/>
                <w:szCs w:val="21"/>
              </w:rPr>
              <w:t>电话：</w:t>
            </w:r>
            <w:r>
              <w:rPr>
                <w:rFonts w:hint="eastAsia"/>
                <w:sz w:val="21"/>
                <w:szCs w:val="21"/>
                <w:u w:val="single"/>
                <w:lang w:val="en-US"/>
              </w:rPr>
              <w:t>020-34555693</w:t>
            </w:r>
          </w:p>
        </w:tc>
      </w:tr>
      <w:tr w14:paraId="5E3BD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3" w:hRule="atLeast"/>
          <w:jc w:val="center"/>
        </w:trPr>
        <w:tc>
          <w:tcPr>
            <w:tcW w:w="1252" w:type="dxa"/>
            <w:vAlign w:val="center"/>
          </w:tcPr>
          <w:p w14:paraId="6F0E2EED">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1.1.3</w:t>
            </w:r>
          </w:p>
        </w:tc>
        <w:tc>
          <w:tcPr>
            <w:tcW w:w="2808" w:type="dxa"/>
            <w:vAlign w:val="center"/>
          </w:tcPr>
          <w:p w14:paraId="1476F828">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招标代理机构</w:t>
            </w:r>
          </w:p>
        </w:tc>
        <w:tc>
          <w:tcPr>
            <w:tcW w:w="5919" w:type="dxa"/>
            <w:vAlign w:val="center"/>
          </w:tcPr>
          <w:p w14:paraId="60897E84">
            <w:pPr>
              <w:adjustRightInd w:val="0"/>
              <w:snapToGrid w:val="0"/>
              <w:ind w:left="44" w:leftChars="20" w:right="44" w:rightChars="20"/>
              <w:rPr>
                <w:sz w:val="21"/>
                <w:szCs w:val="21"/>
                <w:u w:val="single"/>
              </w:rPr>
            </w:pPr>
            <w:r>
              <w:rPr>
                <w:rFonts w:hint="eastAsia"/>
                <w:sz w:val="21"/>
                <w:szCs w:val="21"/>
                <w:lang w:val="en-US"/>
              </w:rPr>
              <w:t>名称</w:t>
            </w:r>
            <w:r>
              <w:rPr>
                <w:rFonts w:hint="eastAsia"/>
                <w:sz w:val="21"/>
                <w:szCs w:val="21"/>
              </w:rPr>
              <w:t>：</w:t>
            </w:r>
            <w:r>
              <w:rPr>
                <w:rFonts w:hint="eastAsia"/>
                <w:sz w:val="21"/>
                <w:szCs w:val="21"/>
                <w:u w:val="single"/>
                <w:lang w:val="en-US"/>
              </w:rPr>
              <w:t>钺法咨询有限公司</w:t>
            </w:r>
          </w:p>
          <w:p w14:paraId="17F5D522">
            <w:pPr>
              <w:adjustRightInd w:val="0"/>
              <w:snapToGrid w:val="0"/>
              <w:ind w:left="44" w:leftChars="20" w:right="44" w:rightChars="20"/>
              <w:rPr>
                <w:sz w:val="21"/>
                <w:szCs w:val="21"/>
                <w:u w:val="single"/>
                <w:lang w:val="en-US"/>
              </w:rPr>
            </w:pPr>
            <w:r>
              <w:rPr>
                <w:rFonts w:hint="eastAsia"/>
                <w:sz w:val="21"/>
                <w:szCs w:val="21"/>
              </w:rPr>
              <w:t>地址：</w:t>
            </w:r>
            <w:r>
              <w:rPr>
                <w:rFonts w:hint="eastAsia"/>
                <w:sz w:val="21"/>
                <w:szCs w:val="21"/>
                <w:u w:val="single"/>
                <w:lang w:val="en-US"/>
              </w:rPr>
              <w:t>广州市海珠区新港东路90号</w:t>
            </w:r>
          </w:p>
          <w:p w14:paraId="52FF29B4">
            <w:pPr>
              <w:adjustRightInd w:val="0"/>
              <w:snapToGrid w:val="0"/>
              <w:ind w:left="44" w:leftChars="20" w:right="44" w:rightChars="20"/>
              <w:rPr>
                <w:sz w:val="21"/>
                <w:szCs w:val="21"/>
                <w:u w:val="single"/>
                <w:lang w:val="en-US"/>
              </w:rPr>
            </w:pPr>
            <w:r>
              <w:rPr>
                <w:rFonts w:hint="eastAsia"/>
                <w:sz w:val="21"/>
                <w:szCs w:val="21"/>
              </w:rPr>
              <w:t>联系人：</w:t>
            </w:r>
            <w:r>
              <w:rPr>
                <w:rFonts w:hint="eastAsia"/>
                <w:sz w:val="21"/>
                <w:szCs w:val="21"/>
                <w:u w:val="single"/>
                <w:lang w:val="en-US"/>
              </w:rPr>
              <w:t>李工</w:t>
            </w:r>
          </w:p>
          <w:p w14:paraId="100AA046">
            <w:pPr>
              <w:autoSpaceDE/>
              <w:autoSpaceDN/>
              <w:adjustRightInd w:val="0"/>
              <w:snapToGrid w:val="0"/>
              <w:ind w:left="44" w:leftChars="20" w:right="44" w:rightChars="20"/>
              <w:rPr>
                <w:bCs/>
                <w:kern w:val="2"/>
                <w:sz w:val="21"/>
                <w:szCs w:val="21"/>
                <w:lang w:val="en-US" w:bidi="ar-SA"/>
              </w:rPr>
            </w:pPr>
            <w:r>
              <w:rPr>
                <w:rFonts w:hint="eastAsia"/>
                <w:sz w:val="21"/>
                <w:szCs w:val="21"/>
              </w:rPr>
              <w:t>电话：</w:t>
            </w:r>
            <w:r>
              <w:rPr>
                <w:rFonts w:hint="eastAsia"/>
                <w:sz w:val="21"/>
                <w:szCs w:val="21"/>
                <w:u w:val="single"/>
                <w:lang w:val="en-US"/>
              </w:rPr>
              <w:t>020-89119819、4008738338</w:t>
            </w:r>
          </w:p>
        </w:tc>
      </w:tr>
      <w:tr w14:paraId="5A7C3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14:paraId="3DCF5D86">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1.1.4</w:t>
            </w:r>
          </w:p>
        </w:tc>
        <w:tc>
          <w:tcPr>
            <w:tcW w:w="2808" w:type="dxa"/>
            <w:vAlign w:val="center"/>
          </w:tcPr>
          <w:p w14:paraId="0AD5F8F2">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招标项目名称</w:t>
            </w:r>
          </w:p>
        </w:tc>
        <w:tc>
          <w:tcPr>
            <w:tcW w:w="5919" w:type="dxa"/>
            <w:vAlign w:val="center"/>
          </w:tcPr>
          <w:p w14:paraId="01E87C98">
            <w:pPr>
              <w:autoSpaceDE/>
              <w:autoSpaceDN/>
              <w:adjustRightInd w:val="0"/>
              <w:snapToGrid w:val="0"/>
              <w:ind w:left="44" w:leftChars="20" w:right="44" w:rightChars="20"/>
              <w:rPr>
                <w:bCs/>
                <w:kern w:val="2"/>
                <w:sz w:val="21"/>
                <w:szCs w:val="21"/>
                <w:lang w:val="en-US" w:bidi="ar-SA"/>
              </w:rPr>
            </w:pPr>
            <w:r>
              <w:rPr>
                <w:rFonts w:hint="eastAsia"/>
                <w:sz w:val="21"/>
                <w:szCs w:val="21"/>
                <w:u w:val="single"/>
                <w:lang w:val="en-US"/>
              </w:rPr>
              <w:t>番禺区桥山村村镇工业集聚区更新改造试点项目（一期、二期、三期）工程代建</w:t>
            </w:r>
          </w:p>
        </w:tc>
      </w:tr>
      <w:tr w14:paraId="5E3DE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52" w:type="dxa"/>
            <w:vAlign w:val="center"/>
          </w:tcPr>
          <w:p w14:paraId="6D43A2DD">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1.1.5</w:t>
            </w:r>
          </w:p>
        </w:tc>
        <w:tc>
          <w:tcPr>
            <w:tcW w:w="2808" w:type="dxa"/>
            <w:vAlign w:val="center"/>
          </w:tcPr>
          <w:p w14:paraId="090C742A">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项目建设地点</w:t>
            </w:r>
          </w:p>
        </w:tc>
        <w:tc>
          <w:tcPr>
            <w:tcW w:w="5919" w:type="dxa"/>
            <w:vAlign w:val="center"/>
          </w:tcPr>
          <w:p w14:paraId="255C6A42">
            <w:pPr>
              <w:autoSpaceDE/>
              <w:autoSpaceDN/>
              <w:adjustRightInd w:val="0"/>
              <w:snapToGrid w:val="0"/>
              <w:ind w:left="44" w:leftChars="20" w:right="44" w:rightChars="20"/>
              <w:rPr>
                <w:bCs/>
                <w:kern w:val="2"/>
                <w:sz w:val="21"/>
                <w:szCs w:val="21"/>
                <w:lang w:val="en-US" w:bidi="ar-SA"/>
              </w:rPr>
            </w:pPr>
            <w:r>
              <w:rPr>
                <w:rFonts w:hint="eastAsia"/>
                <w:sz w:val="21"/>
                <w:szCs w:val="21"/>
              </w:rPr>
              <w:t>详见招标公告</w:t>
            </w:r>
          </w:p>
        </w:tc>
      </w:tr>
      <w:tr w14:paraId="5612E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14:paraId="51217A76">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1.1.6</w:t>
            </w:r>
          </w:p>
        </w:tc>
        <w:tc>
          <w:tcPr>
            <w:tcW w:w="2808" w:type="dxa"/>
            <w:vAlign w:val="center"/>
          </w:tcPr>
          <w:p w14:paraId="2D3FE5AA">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项目建设规模</w:t>
            </w:r>
          </w:p>
        </w:tc>
        <w:tc>
          <w:tcPr>
            <w:tcW w:w="5919" w:type="dxa"/>
            <w:vAlign w:val="center"/>
          </w:tcPr>
          <w:p w14:paraId="60489217">
            <w:pPr>
              <w:autoSpaceDE/>
              <w:autoSpaceDN/>
              <w:adjustRightInd w:val="0"/>
              <w:snapToGrid w:val="0"/>
              <w:ind w:left="44" w:leftChars="20" w:right="44" w:rightChars="20"/>
              <w:rPr>
                <w:bCs/>
                <w:kern w:val="2"/>
                <w:sz w:val="21"/>
                <w:szCs w:val="21"/>
                <w:lang w:val="en-US" w:bidi="ar-SA"/>
              </w:rPr>
            </w:pPr>
            <w:r>
              <w:rPr>
                <w:rFonts w:hint="eastAsia"/>
                <w:sz w:val="21"/>
                <w:szCs w:val="21"/>
              </w:rPr>
              <w:t>详见招标公告</w:t>
            </w:r>
          </w:p>
        </w:tc>
      </w:tr>
      <w:tr w14:paraId="3B3B2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2" w:type="dxa"/>
            <w:vAlign w:val="center"/>
          </w:tcPr>
          <w:p w14:paraId="4A5AF63F">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1.1.7</w:t>
            </w:r>
          </w:p>
        </w:tc>
        <w:tc>
          <w:tcPr>
            <w:tcW w:w="2808" w:type="dxa"/>
            <w:vAlign w:val="center"/>
          </w:tcPr>
          <w:p w14:paraId="738505DE">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工程项目施工预计开工日期和建设周期</w:t>
            </w:r>
          </w:p>
        </w:tc>
        <w:tc>
          <w:tcPr>
            <w:tcW w:w="5919" w:type="dxa"/>
            <w:vAlign w:val="center"/>
          </w:tcPr>
          <w:p w14:paraId="76AC3CD7">
            <w:pPr>
              <w:adjustRightInd w:val="0"/>
              <w:snapToGrid w:val="0"/>
              <w:ind w:left="44" w:leftChars="20" w:right="44" w:rightChars="20"/>
              <w:rPr>
                <w:sz w:val="21"/>
                <w:szCs w:val="21"/>
                <w:lang w:val="en-US"/>
              </w:rPr>
            </w:pPr>
            <w:r>
              <w:rPr>
                <w:rFonts w:hint="eastAsia"/>
                <w:sz w:val="21"/>
                <w:szCs w:val="21"/>
              </w:rPr>
              <w:t>工程施工预计开工日期：</w:t>
            </w:r>
            <w:r>
              <w:rPr>
                <w:rFonts w:hint="eastAsia"/>
                <w:sz w:val="21"/>
                <w:szCs w:val="21"/>
                <w:lang w:bidi="ar"/>
              </w:rPr>
              <w:t>具体以施工项目的工期执行。</w:t>
            </w:r>
          </w:p>
        </w:tc>
      </w:tr>
      <w:tr w14:paraId="2B2C9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14:paraId="44A34B6F">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1.1.8</w:t>
            </w:r>
          </w:p>
        </w:tc>
        <w:tc>
          <w:tcPr>
            <w:tcW w:w="2808" w:type="dxa"/>
            <w:vAlign w:val="center"/>
          </w:tcPr>
          <w:p w14:paraId="3EF13334">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建筑安装工程费/工程概算</w:t>
            </w:r>
          </w:p>
        </w:tc>
        <w:tc>
          <w:tcPr>
            <w:tcW w:w="5919" w:type="dxa"/>
            <w:vAlign w:val="center"/>
          </w:tcPr>
          <w:p w14:paraId="42FB8ACC">
            <w:pPr>
              <w:autoSpaceDE/>
              <w:autoSpaceDN/>
              <w:adjustRightInd w:val="0"/>
              <w:snapToGrid w:val="0"/>
              <w:ind w:left="44" w:leftChars="20" w:right="44" w:rightChars="20"/>
              <w:rPr>
                <w:bCs/>
                <w:kern w:val="2"/>
                <w:sz w:val="21"/>
                <w:szCs w:val="21"/>
                <w:lang w:val="en-US" w:bidi="ar-SA"/>
              </w:rPr>
            </w:pPr>
            <w:r>
              <w:rPr>
                <w:rFonts w:hint="eastAsia"/>
                <w:sz w:val="21"/>
                <w:szCs w:val="21"/>
              </w:rPr>
              <w:t>详见招标公告</w:t>
            </w:r>
          </w:p>
        </w:tc>
      </w:tr>
      <w:tr w14:paraId="0B067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52" w:type="dxa"/>
            <w:vAlign w:val="center"/>
          </w:tcPr>
          <w:p w14:paraId="6447E735">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1.2.1</w:t>
            </w:r>
          </w:p>
        </w:tc>
        <w:tc>
          <w:tcPr>
            <w:tcW w:w="2808" w:type="dxa"/>
            <w:vAlign w:val="center"/>
          </w:tcPr>
          <w:p w14:paraId="661C8B62">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资金来源及比例</w:t>
            </w:r>
          </w:p>
        </w:tc>
        <w:tc>
          <w:tcPr>
            <w:tcW w:w="5919" w:type="dxa"/>
            <w:vAlign w:val="center"/>
          </w:tcPr>
          <w:p w14:paraId="3E806BDD">
            <w:pPr>
              <w:autoSpaceDE/>
              <w:autoSpaceDN/>
              <w:adjustRightInd w:val="0"/>
              <w:snapToGrid w:val="0"/>
              <w:ind w:left="44" w:leftChars="20" w:right="44" w:rightChars="20"/>
              <w:rPr>
                <w:bCs/>
                <w:kern w:val="2"/>
                <w:sz w:val="21"/>
                <w:szCs w:val="21"/>
                <w:lang w:val="en-US" w:bidi="ar-SA"/>
              </w:rPr>
            </w:pPr>
            <w:r>
              <w:rPr>
                <w:rFonts w:hint="eastAsia"/>
                <w:sz w:val="21"/>
                <w:szCs w:val="21"/>
              </w:rPr>
              <w:t>详见招标公告</w:t>
            </w:r>
          </w:p>
        </w:tc>
      </w:tr>
      <w:tr w14:paraId="3667C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14:paraId="2E053DFA">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1.2.2</w:t>
            </w:r>
          </w:p>
        </w:tc>
        <w:tc>
          <w:tcPr>
            <w:tcW w:w="2808" w:type="dxa"/>
            <w:vAlign w:val="center"/>
          </w:tcPr>
          <w:p w14:paraId="62B73922">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资金落实情况</w:t>
            </w:r>
          </w:p>
        </w:tc>
        <w:tc>
          <w:tcPr>
            <w:tcW w:w="5919" w:type="dxa"/>
            <w:vAlign w:val="center"/>
          </w:tcPr>
          <w:p w14:paraId="07E7C436">
            <w:pPr>
              <w:autoSpaceDE/>
              <w:autoSpaceDN/>
              <w:adjustRightInd w:val="0"/>
              <w:snapToGrid w:val="0"/>
              <w:ind w:left="44" w:leftChars="20" w:right="44" w:rightChars="20"/>
              <w:rPr>
                <w:bCs/>
                <w:kern w:val="2"/>
                <w:sz w:val="21"/>
                <w:szCs w:val="21"/>
                <w:lang w:val="en-US" w:bidi="ar-SA"/>
              </w:rPr>
            </w:pPr>
            <w:r>
              <w:rPr>
                <w:rFonts w:hint="eastAsia"/>
                <w:sz w:val="21"/>
                <w:szCs w:val="21"/>
                <w:u w:val="single"/>
                <w:lang w:val="en-US"/>
              </w:rPr>
              <w:t>资金</w:t>
            </w:r>
            <w:r>
              <w:rPr>
                <w:rFonts w:hint="eastAsia"/>
                <w:sz w:val="21"/>
                <w:szCs w:val="21"/>
                <w:u w:val="single"/>
              </w:rPr>
              <w:t>已落实</w:t>
            </w:r>
          </w:p>
        </w:tc>
      </w:tr>
      <w:tr w14:paraId="0D1D5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52" w:type="dxa"/>
            <w:vAlign w:val="center"/>
          </w:tcPr>
          <w:p w14:paraId="42D6FD88">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1.3.1</w:t>
            </w:r>
          </w:p>
        </w:tc>
        <w:tc>
          <w:tcPr>
            <w:tcW w:w="2808" w:type="dxa"/>
            <w:vAlign w:val="center"/>
          </w:tcPr>
          <w:p w14:paraId="49CA18AC">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招标范围</w:t>
            </w:r>
          </w:p>
        </w:tc>
        <w:tc>
          <w:tcPr>
            <w:tcW w:w="5919" w:type="dxa"/>
            <w:vAlign w:val="center"/>
          </w:tcPr>
          <w:p w14:paraId="6A795B2D">
            <w:pPr>
              <w:autoSpaceDE/>
              <w:autoSpaceDN/>
              <w:adjustRightInd w:val="0"/>
              <w:snapToGrid w:val="0"/>
              <w:ind w:left="44" w:leftChars="20" w:right="44" w:rightChars="20"/>
              <w:rPr>
                <w:bCs/>
                <w:kern w:val="2"/>
                <w:sz w:val="21"/>
                <w:szCs w:val="21"/>
                <w:lang w:val="en-US" w:bidi="ar-SA"/>
              </w:rPr>
            </w:pPr>
            <w:r>
              <w:rPr>
                <w:rFonts w:hint="eastAsia"/>
                <w:sz w:val="21"/>
                <w:szCs w:val="21"/>
              </w:rPr>
              <w:t>详见招标公告</w:t>
            </w:r>
          </w:p>
        </w:tc>
      </w:tr>
      <w:tr w14:paraId="1CB17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14:paraId="1788BDE9">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1.3.2</w:t>
            </w:r>
          </w:p>
        </w:tc>
        <w:tc>
          <w:tcPr>
            <w:tcW w:w="2808" w:type="dxa"/>
            <w:vAlign w:val="center"/>
          </w:tcPr>
          <w:p w14:paraId="7EACB3AF">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服务期限</w:t>
            </w:r>
          </w:p>
        </w:tc>
        <w:tc>
          <w:tcPr>
            <w:tcW w:w="5919" w:type="dxa"/>
            <w:vAlign w:val="center"/>
          </w:tcPr>
          <w:p w14:paraId="212F74E1">
            <w:pPr>
              <w:autoSpaceDE/>
              <w:autoSpaceDN/>
              <w:adjustRightInd w:val="0"/>
              <w:snapToGrid w:val="0"/>
              <w:ind w:left="44" w:leftChars="20" w:right="44" w:rightChars="20"/>
              <w:rPr>
                <w:sz w:val="21"/>
                <w:szCs w:val="21"/>
                <w:lang w:val="en-US"/>
              </w:rPr>
            </w:pPr>
            <w:r>
              <w:rPr>
                <w:rFonts w:hint="eastAsia"/>
                <w:sz w:val="21"/>
                <w:szCs w:val="21"/>
              </w:rPr>
              <w:t>详见招标公告</w:t>
            </w:r>
          </w:p>
        </w:tc>
      </w:tr>
      <w:tr w14:paraId="749DC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2" w:type="dxa"/>
            <w:vAlign w:val="center"/>
          </w:tcPr>
          <w:p w14:paraId="5756DAF9">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1.3.3</w:t>
            </w:r>
          </w:p>
        </w:tc>
        <w:tc>
          <w:tcPr>
            <w:tcW w:w="2808" w:type="dxa"/>
            <w:vAlign w:val="center"/>
          </w:tcPr>
          <w:p w14:paraId="5A334735">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质量标准</w:t>
            </w:r>
          </w:p>
        </w:tc>
        <w:tc>
          <w:tcPr>
            <w:tcW w:w="5919" w:type="dxa"/>
            <w:vAlign w:val="center"/>
          </w:tcPr>
          <w:p w14:paraId="5022CCAB">
            <w:pPr>
              <w:autoSpaceDE/>
              <w:autoSpaceDN/>
              <w:adjustRightInd w:val="0"/>
              <w:snapToGrid w:val="0"/>
              <w:ind w:left="44" w:leftChars="20" w:right="44" w:rightChars="20"/>
              <w:rPr>
                <w:sz w:val="21"/>
                <w:szCs w:val="21"/>
              </w:rPr>
            </w:pPr>
            <w:r>
              <w:rPr>
                <w:rFonts w:hint="eastAsia"/>
                <w:sz w:val="21"/>
                <w:szCs w:val="21"/>
              </w:rPr>
              <w:t>质量控制目标：竣工验收达到合格标准。</w:t>
            </w:r>
          </w:p>
        </w:tc>
      </w:tr>
      <w:tr w14:paraId="04F37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jc w:val="center"/>
        </w:trPr>
        <w:tc>
          <w:tcPr>
            <w:tcW w:w="1252" w:type="dxa"/>
            <w:vAlign w:val="center"/>
          </w:tcPr>
          <w:p w14:paraId="1573284C">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1.4.1</w:t>
            </w:r>
          </w:p>
        </w:tc>
        <w:tc>
          <w:tcPr>
            <w:tcW w:w="2808" w:type="dxa"/>
            <w:vAlign w:val="center"/>
          </w:tcPr>
          <w:p w14:paraId="11456C31">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投标人资质条件、能力、信誉</w:t>
            </w:r>
          </w:p>
        </w:tc>
        <w:tc>
          <w:tcPr>
            <w:tcW w:w="5919" w:type="dxa"/>
            <w:vAlign w:val="center"/>
          </w:tcPr>
          <w:p w14:paraId="37A4AD6A">
            <w:pPr>
              <w:autoSpaceDE/>
              <w:autoSpaceDN/>
              <w:adjustRightInd w:val="0"/>
              <w:snapToGrid w:val="0"/>
              <w:ind w:left="44" w:leftChars="20" w:right="44" w:rightChars="20"/>
              <w:rPr>
                <w:bCs/>
                <w:kern w:val="2"/>
                <w:sz w:val="21"/>
                <w:szCs w:val="21"/>
                <w:lang w:val="en-US" w:bidi="ar-SA"/>
              </w:rPr>
            </w:pPr>
            <w:r>
              <w:rPr>
                <w:rFonts w:hint="eastAsia"/>
                <w:sz w:val="21"/>
                <w:szCs w:val="21"/>
                <w:u w:val="single"/>
                <w:lang w:bidi="ar-SA"/>
              </w:rPr>
              <w:t>详见招标公告第3点“投标人资格要求”。</w:t>
            </w:r>
          </w:p>
        </w:tc>
      </w:tr>
      <w:tr w14:paraId="6F9DE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1252" w:type="dxa"/>
            <w:vAlign w:val="center"/>
          </w:tcPr>
          <w:p w14:paraId="59CFEF17">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1.4.2</w:t>
            </w:r>
          </w:p>
        </w:tc>
        <w:tc>
          <w:tcPr>
            <w:tcW w:w="2808" w:type="dxa"/>
            <w:vAlign w:val="center"/>
          </w:tcPr>
          <w:p w14:paraId="6DD24964">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是否接受联合体投标</w:t>
            </w:r>
          </w:p>
        </w:tc>
        <w:tc>
          <w:tcPr>
            <w:tcW w:w="5919" w:type="dxa"/>
            <w:vAlign w:val="center"/>
          </w:tcPr>
          <w:p w14:paraId="78DE5D00">
            <w:pPr>
              <w:adjustRightInd w:val="0"/>
              <w:snapToGrid w:val="0"/>
              <w:ind w:left="44" w:leftChars="20" w:right="44" w:rightChars="20"/>
              <w:rPr>
                <w:sz w:val="21"/>
                <w:szCs w:val="21"/>
              </w:rPr>
            </w:pPr>
            <w:r>
              <w:rPr>
                <w:rFonts w:hint="eastAsia"/>
                <w:sz w:val="21"/>
                <w:szCs w:val="21"/>
              </w:rPr>
              <w:t>□</w:t>
            </w:r>
            <w:r>
              <w:rPr>
                <w:rFonts w:hint="eastAsia"/>
                <w:position w:val="3"/>
                <w:sz w:val="21"/>
                <w:szCs w:val="21"/>
              </w:rPr>
              <w:t>不接受</w:t>
            </w:r>
          </w:p>
          <w:p w14:paraId="2D2EBE6F">
            <w:pPr>
              <w:adjustRightInd w:val="0"/>
              <w:snapToGrid w:val="0"/>
              <w:ind w:left="44" w:leftChars="20" w:right="44" w:rightChars="20"/>
              <w:rPr>
                <w:sz w:val="21"/>
                <w:szCs w:val="21"/>
              </w:rPr>
            </w:pPr>
            <w:r>
              <w:rPr>
                <w:rFonts w:hint="eastAsia"/>
                <w:sz w:val="21"/>
                <w:szCs w:val="21"/>
                <w:lang w:val="en-US"/>
              </w:rPr>
              <w:t>■</w:t>
            </w:r>
            <w:r>
              <w:rPr>
                <w:rFonts w:hint="eastAsia"/>
                <w:sz w:val="21"/>
                <w:szCs w:val="21"/>
              </w:rPr>
              <w:t>接受，应满足下列要求：</w:t>
            </w:r>
            <w:r>
              <w:rPr>
                <w:rFonts w:hint="eastAsia"/>
                <w:sz w:val="21"/>
                <w:szCs w:val="21"/>
                <w:u w:val="single"/>
              </w:rPr>
              <w:t xml:space="preserve">详见招标公告 </w:t>
            </w:r>
          </w:p>
        </w:tc>
      </w:tr>
      <w:tr w14:paraId="2EFF8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252" w:type="dxa"/>
            <w:vAlign w:val="center"/>
          </w:tcPr>
          <w:p w14:paraId="2152B3EC">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1.4.3</w:t>
            </w:r>
          </w:p>
        </w:tc>
        <w:tc>
          <w:tcPr>
            <w:tcW w:w="2808" w:type="dxa"/>
            <w:vAlign w:val="center"/>
          </w:tcPr>
          <w:p w14:paraId="64DD179E">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投标人不得存在的其他情形</w:t>
            </w:r>
          </w:p>
        </w:tc>
        <w:tc>
          <w:tcPr>
            <w:tcW w:w="5919" w:type="dxa"/>
            <w:vAlign w:val="center"/>
          </w:tcPr>
          <w:p w14:paraId="4490B628">
            <w:pPr>
              <w:adjustRightInd w:val="0"/>
              <w:snapToGrid w:val="0"/>
              <w:ind w:left="44" w:leftChars="20" w:right="44" w:rightChars="20"/>
              <w:rPr>
                <w:sz w:val="21"/>
                <w:szCs w:val="21"/>
                <w:u w:val="single"/>
              </w:rPr>
            </w:pPr>
            <w:r>
              <w:rPr>
                <w:rFonts w:hint="eastAsia"/>
                <w:sz w:val="21"/>
                <w:szCs w:val="21"/>
                <w:u w:val="single"/>
                <w:lang w:val="en-US"/>
              </w:rPr>
              <w:t>/</w:t>
            </w:r>
          </w:p>
        </w:tc>
      </w:tr>
      <w:tr w14:paraId="6D4E1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6D78CD1D">
            <w:pPr>
              <w:snapToGrid w:val="0"/>
              <w:spacing w:line="360" w:lineRule="auto"/>
              <w:jc w:val="center"/>
              <w:rPr>
                <w:sz w:val="21"/>
                <w:szCs w:val="21"/>
              </w:rPr>
            </w:pPr>
            <w:r>
              <w:rPr>
                <w:rFonts w:hint="eastAsia"/>
                <w:sz w:val="24"/>
                <w:szCs w:val="24"/>
              </w:rPr>
              <w:t>1.5</w:t>
            </w:r>
          </w:p>
        </w:tc>
        <w:tc>
          <w:tcPr>
            <w:tcW w:w="2808" w:type="dxa"/>
            <w:vAlign w:val="center"/>
          </w:tcPr>
          <w:p w14:paraId="3A6621D7">
            <w:pPr>
              <w:snapToGrid w:val="0"/>
              <w:spacing w:line="360" w:lineRule="auto"/>
              <w:jc w:val="center"/>
              <w:rPr>
                <w:sz w:val="21"/>
                <w:szCs w:val="21"/>
              </w:rPr>
            </w:pPr>
            <w:r>
              <w:rPr>
                <w:rFonts w:hint="eastAsia"/>
                <w:sz w:val="21"/>
                <w:szCs w:val="21"/>
              </w:rPr>
              <w:t>费用承担</w:t>
            </w:r>
          </w:p>
        </w:tc>
        <w:tc>
          <w:tcPr>
            <w:tcW w:w="5919" w:type="dxa"/>
            <w:vAlign w:val="center"/>
          </w:tcPr>
          <w:p w14:paraId="418541D6">
            <w:pPr>
              <w:snapToGrid w:val="0"/>
              <w:rPr>
                <w:sz w:val="21"/>
                <w:szCs w:val="21"/>
              </w:rPr>
            </w:pPr>
            <w:r>
              <w:rPr>
                <w:rFonts w:hint="eastAsia"/>
                <w:sz w:val="21"/>
                <w:szCs w:val="21"/>
              </w:rPr>
              <w:t>1.投标人准备和参加投标活动发生的费用自理；</w:t>
            </w:r>
          </w:p>
          <w:p w14:paraId="492B8085">
            <w:pPr>
              <w:snapToGrid w:val="0"/>
              <w:rPr>
                <w:sz w:val="21"/>
                <w:szCs w:val="21"/>
                <w:lang w:val="en-US"/>
              </w:rPr>
            </w:pPr>
            <w:r>
              <w:rPr>
                <w:rFonts w:hint="eastAsia"/>
                <w:sz w:val="21"/>
                <w:szCs w:val="21"/>
              </w:rPr>
              <w:t>2.中标人按《广州市发展改革委转发省发展改革委关于规范公共资源交易服务收费及有关问题的通知》（穗发改〔2017〕811号）文件的规定，向广州交易集团有限公司（广州公共资源交易中心）缴纳交易服务费，其费用包含在中标人投标报价中，招标人不另行支付。</w:t>
            </w:r>
          </w:p>
        </w:tc>
      </w:tr>
      <w:tr w14:paraId="3336E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58F8559F">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1.9.1</w:t>
            </w:r>
          </w:p>
        </w:tc>
        <w:tc>
          <w:tcPr>
            <w:tcW w:w="2808" w:type="dxa"/>
            <w:vAlign w:val="center"/>
          </w:tcPr>
          <w:p w14:paraId="313A082E">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踏勘现场</w:t>
            </w:r>
          </w:p>
        </w:tc>
        <w:tc>
          <w:tcPr>
            <w:tcW w:w="5919" w:type="dxa"/>
            <w:vAlign w:val="center"/>
          </w:tcPr>
          <w:p w14:paraId="6E747FC8">
            <w:pPr>
              <w:pStyle w:val="8"/>
              <w:adjustRightInd w:val="0"/>
              <w:snapToGrid w:val="0"/>
              <w:spacing w:after="0"/>
              <w:ind w:left="44" w:leftChars="20" w:right="44" w:rightChars="20"/>
              <w:rPr>
                <w:sz w:val="21"/>
                <w:szCs w:val="21"/>
                <w:lang w:val="en-US"/>
              </w:rPr>
            </w:pPr>
            <w:r>
              <w:rPr>
                <w:rFonts w:hint="eastAsia"/>
                <w:sz w:val="21"/>
                <w:szCs w:val="21"/>
                <w:lang w:val="en-US"/>
              </w:rPr>
              <w:t>■不组织，</w:t>
            </w:r>
            <w:r>
              <w:rPr>
                <w:rFonts w:hint="eastAsia"/>
                <w:sz w:val="21"/>
                <w:szCs w:val="21"/>
                <w:u w:val="single"/>
                <w:lang w:bidi="ar-SA"/>
              </w:rPr>
              <w:t>由投标人自行现场勘察。</w:t>
            </w:r>
          </w:p>
          <w:p w14:paraId="3DBC2929">
            <w:pPr>
              <w:pStyle w:val="8"/>
              <w:adjustRightInd w:val="0"/>
              <w:snapToGrid w:val="0"/>
              <w:spacing w:after="0"/>
              <w:ind w:left="44" w:leftChars="20" w:right="44" w:rightChars="20"/>
              <w:rPr>
                <w:sz w:val="21"/>
                <w:szCs w:val="21"/>
                <w:lang w:val="en-US"/>
              </w:rPr>
            </w:pPr>
            <w:r>
              <w:rPr>
                <w:rFonts w:hint="eastAsia"/>
                <w:sz w:val="21"/>
                <w:szCs w:val="21"/>
                <w:lang w:val="en-US"/>
              </w:rPr>
              <w:t>□组织，踏勘时间：/</w:t>
            </w:r>
          </w:p>
          <w:p w14:paraId="19D66CD8">
            <w:pPr>
              <w:pStyle w:val="8"/>
              <w:adjustRightInd w:val="0"/>
              <w:snapToGrid w:val="0"/>
              <w:spacing w:after="0"/>
              <w:ind w:left="44" w:leftChars="20" w:right="44" w:rightChars="20" w:firstLine="840" w:firstLineChars="400"/>
              <w:rPr>
                <w:sz w:val="21"/>
                <w:szCs w:val="21"/>
              </w:rPr>
            </w:pPr>
            <w:r>
              <w:rPr>
                <w:rFonts w:hint="eastAsia"/>
                <w:sz w:val="21"/>
                <w:szCs w:val="21"/>
                <w:lang w:val="en-US"/>
              </w:rPr>
              <w:t>踏勘集中地点：/</w:t>
            </w:r>
          </w:p>
        </w:tc>
      </w:tr>
      <w:tr w14:paraId="7DF4A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50A015BD">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1.10.1</w:t>
            </w:r>
          </w:p>
        </w:tc>
        <w:tc>
          <w:tcPr>
            <w:tcW w:w="2808" w:type="dxa"/>
            <w:vAlign w:val="center"/>
          </w:tcPr>
          <w:p w14:paraId="34D94060">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投标预备会</w:t>
            </w:r>
          </w:p>
        </w:tc>
        <w:tc>
          <w:tcPr>
            <w:tcW w:w="5919" w:type="dxa"/>
            <w:vAlign w:val="center"/>
          </w:tcPr>
          <w:p w14:paraId="1FEA51B3">
            <w:pPr>
              <w:pStyle w:val="8"/>
              <w:adjustRightInd w:val="0"/>
              <w:snapToGrid w:val="0"/>
              <w:spacing w:after="0"/>
              <w:ind w:left="44" w:leftChars="20" w:right="44" w:rightChars="20"/>
              <w:rPr>
                <w:sz w:val="21"/>
                <w:szCs w:val="21"/>
                <w:lang w:val="en-US"/>
              </w:rPr>
            </w:pPr>
            <w:r>
              <w:rPr>
                <w:rFonts w:hint="eastAsia"/>
                <w:sz w:val="21"/>
                <w:szCs w:val="21"/>
                <w:lang w:val="en-US"/>
              </w:rPr>
              <w:t>■不召开</w:t>
            </w:r>
          </w:p>
          <w:p w14:paraId="55B342B4">
            <w:pPr>
              <w:adjustRightInd w:val="0"/>
              <w:snapToGrid w:val="0"/>
              <w:ind w:left="44" w:leftChars="20" w:right="44" w:rightChars="20"/>
              <w:rPr>
                <w:sz w:val="21"/>
                <w:szCs w:val="21"/>
              </w:rPr>
            </w:pPr>
            <w:r>
              <w:rPr>
                <w:rFonts w:hint="eastAsia"/>
                <w:sz w:val="21"/>
                <w:szCs w:val="21"/>
              </w:rPr>
              <w:t>□召开，召开时间：</w:t>
            </w:r>
            <w:r>
              <w:rPr>
                <w:rFonts w:hint="eastAsia"/>
                <w:sz w:val="21"/>
                <w:szCs w:val="21"/>
                <w:u w:val="single"/>
              </w:rPr>
              <w:t xml:space="preserve"> / </w:t>
            </w:r>
          </w:p>
          <w:p w14:paraId="15F1FAE6">
            <w:pPr>
              <w:adjustRightInd w:val="0"/>
              <w:snapToGrid w:val="0"/>
              <w:ind w:left="44" w:leftChars="20" w:right="44" w:rightChars="20" w:firstLine="840" w:firstLineChars="400"/>
              <w:rPr>
                <w:sz w:val="21"/>
                <w:szCs w:val="21"/>
              </w:rPr>
            </w:pPr>
            <w:r>
              <w:rPr>
                <w:rFonts w:hint="eastAsia"/>
                <w:sz w:val="21"/>
                <w:szCs w:val="21"/>
              </w:rPr>
              <w:t>召开地点：</w:t>
            </w:r>
            <w:r>
              <w:rPr>
                <w:rFonts w:hint="eastAsia"/>
                <w:sz w:val="21"/>
                <w:szCs w:val="21"/>
                <w:u w:val="single"/>
              </w:rPr>
              <w:t xml:space="preserve"> / </w:t>
            </w:r>
          </w:p>
        </w:tc>
      </w:tr>
      <w:tr w14:paraId="0E4E4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252" w:type="dxa"/>
            <w:vMerge w:val="restart"/>
            <w:vAlign w:val="center"/>
          </w:tcPr>
          <w:p w14:paraId="11704435">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1.10.2</w:t>
            </w:r>
          </w:p>
        </w:tc>
        <w:tc>
          <w:tcPr>
            <w:tcW w:w="2808" w:type="dxa"/>
            <w:vMerge w:val="restart"/>
            <w:vAlign w:val="center"/>
          </w:tcPr>
          <w:p w14:paraId="6A9659B5">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投标人在投标预备会前提出问题</w:t>
            </w:r>
          </w:p>
        </w:tc>
        <w:tc>
          <w:tcPr>
            <w:tcW w:w="5919" w:type="dxa"/>
            <w:vAlign w:val="center"/>
          </w:tcPr>
          <w:p w14:paraId="20B71A04">
            <w:pPr>
              <w:adjustRightInd w:val="0"/>
              <w:snapToGrid w:val="0"/>
              <w:ind w:left="44" w:leftChars="20" w:right="44" w:rightChars="20"/>
              <w:rPr>
                <w:sz w:val="21"/>
                <w:szCs w:val="21"/>
              </w:rPr>
            </w:pPr>
            <w:r>
              <w:rPr>
                <w:rFonts w:hint="eastAsia"/>
                <w:sz w:val="21"/>
                <w:szCs w:val="21"/>
              </w:rPr>
              <w:t>时间：</w:t>
            </w:r>
            <w:r>
              <w:rPr>
                <w:rFonts w:hint="eastAsia"/>
                <w:sz w:val="21"/>
                <w:szCs w:val="21"/>
                <w:u w:val="single"/>
              </w:rPr>
              <w:t xml:space="preserve"> / </w:t>
            </w:r>
          </w:p>
        </w:tc>
      </w:tr>
      <w:tr w14:paraId="5422C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252" w:type="dxa"/>
            <w:vMerge w:val="continue"/>
            <w:vAlign w:val="center"/>
          </w:tcPr>
          <w:p w14:paraId="23E88B2C">
            <w:pPr>
              <w:adjustRightInd w:val="0"/>
              <w:snapToGrid w:val="0"/>
              <w:spacing w:line="400" w:lineRule="exact"/>
              <w:ind w:left="44" w:leftChars="20" w:right="44" w:rightChars="20"/>
              <w:jc w:val="center"/>
              <w:rPr>
                <w:bCs/>
                <w:kern w:val="2"/>
                <w:sz w:val="21"/>
                <w:szCs w:val="21"/>
                <w:lang w:val="en-US" w:bidi="ar-SA"/>
              </w:rPr>
            </w:pPr>
          </w:p>
        </w:tc>
        <w:tc>
          <w:tcPr>
            <w:tcW w:w="2808" w:type="dxa"/>
            <w:vMerge w:val="continue"/>
            <w:vAlign w:val="center"/>
          </w:tcPr>
          <w:p w14:paraId="5F3F8950">
            <w:pPr>
              <w:adjustRightInd w:val="0"/>
              <w:snapToGrid w:val="0"/>
              <w:spacing w:line="400" w:lineRule="exact"/>
              <w:ind w:left="44" w:leftChars="20" w:right="44" w:rightChars="20"/>
              <w:jc w:val="center"/>
              <w:rPr>
                <w:bCs/>
                <w:kern w:val="2"/>
                <w:sz w:val="21"/>
                <w:szCs w:val="21"/>
                <w:lang w:val="en-US" w:bidi="ar-SA"/>
              </w:rPr>
            </w:pPr>
          </w:p>
        </w:tc>
        <w:tc>
          <w:tcPr>
            <w:tcW w:w="5919" w:type="dxa"/>
            <w:vAlign w:val="center"/>
          </w:tcPr>
          <w:p w14:paraId="270BFFF2">
            <w:pPr>
              <w:adjustRightInd w:val="0"/>
              <w:snapToGrid w:val="0"/>
              <w:ind w:left="44" w:leftChars="20" w:right="44" w:rightChars="20"/>
              <w:rPr>
                <w:sz w:val="21"/>
                <w:szCs w:val="21"/>
              </w:rPr>
            </w:pPr>
            <w:r>
              <w:rPr>
                <w:rFonts w:hint="eastAsia"/>
                <w:sz w:val="21"/>
                <w:szCs w:val="21"/>
              </w:rPr>
              <w:t>形式：</w:t>
            </w:r>
            <w:r>
              <w:rPr>
                <w:rFonts w:hint="eastAsia"/>
                <w:sz w:val="21"/>
                <w:szCs w:val="21"/>
                <w:u w:val="single"/>
              </w:rPr>
              <w:t xml:space="preserve"> / </w:t>
            </w:r>
          </w:p>
        </w:tc>
      </w:tr>
      <w:tr w14:paraId="463E5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252" w:type="dxa"/>
            <w:vAlign w:val="center"/>
          </w:tcPr>
          <w:p w14:paraId="379A812A">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1.10.3</w:t>
            </w:r>
          </w:p>
        </w:tc>
        <w:tc>
          <w:tcPr>
            <w:tcW w:w="2808" w:type="dxa"/>
            <w:vAlign w:val="center"/>
          </w:tcPr>
          <w:p w14:paraId="615B955F">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招标文件澄清发出的形式</w:t>
            </w:r>
          </w:p>
        </w:tc>
        <w:tc>
          <w:tcPr>
            <w:tcW w:w="5919" w:type="dxa"/>
            <w:vAlign w:val="center"/>
          </w:tcPr>
          <w:p w14:paraId="09DF4F04">
            <w:pPr>
              <w:adjustRightInd w:val="0"/>
              <w:snapToGrid w:val="0"/>
              <w:ind w:left="44" w:leftChars="20" w:right="44" w:rightChars="20"/>
              <w:rPr>
                <w:sz w:val="21"/>
                <w:szCs w:val="21"/>
              </w:rPr>
            </w:pPr>
            <w:r>
              <w:rPr>
                <w:rFonts w:hint="eastAsia"/>
                <w:sz w:val="21"/>
                <w:szCs w:val="21"/>
                <w:u w:val="single"/>
              </w:rPr>
              <w:t xml:space="preserve">/ </w:t>
            </w:r>
            <w:r>
              <w:rPr>
                <w:rFonts w:hint="eastAsia"/>
                <w:sz w:val="21"/>
                <w:szCs w:val="21"/>
              </w:rPr>
              <w:t xml:space="preserve"> （此为投标预备会的答疑澄清）</w:t>
            </w:r>
          </w:p>
        </w:tc>
      </w:tr>
      <w:tr w14:paraId="13418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1252" w:type="dxa"/>
            <w:vAlign w:val="center"/>
          </w:tcPr>
          <w:p w14:paraId="6AF1191E">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1.12.1</w:t>
            </w:r>
          </w:p>
        </w:tc>
        <w:tc>
          <w:tcPr>
            <w:tcW w:w="2808" w:type="dxa"/>
            <w:vAlign w:val="center"/>
          </w:tcPr>
          <w:p w14:paraId="4CCE914B">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实质性要求和条件</w:t>
            </w:r>
          </w:p>
        </w:tc>
        <w:tc>
          <w:tcPr>
            <w:tcW w:w="5919" w:type="dxa"/>
            <w:vAlign w:val="center"/>
          </w:tcPr>
          <w:p w14:paraId="385DB002">
            <w:pPr>
              <w:pStyle w:val="8"/>
              <w:adjustRightInd w:val="0"/>
              <w:snapToGrid w:val="0"/>
              <w:spacing w:after="0"/>
              <w:ind w:left="44" w:leftChars="20" w:right="44" w:rightChars="20"/>
              <w:rPr>
                <w:sz w:val="21"/>
                <w:szCs w:val="21"/>
              </w:rPr>
            </w:pPr>
            <w:r>
              <w:rPr>
                <w:rFonts w:hint="eastAsia"/>
                <w:sz w:val="21"/>
                <w:szCs w:val="21"/>
                <w:u w:val="single"/>
                <w:lang w:val="en-US"/>
              </w:rPr>
              <w:t>/</w:t>
            </w:r>
          </w:p>
        </w:tc>
      </w:tr>
      <w:tr w14:paraId="5D521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598047CD">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1.12.3</w:t>
            </w:r>
          </w:p>
        </w:tc>
        <w:tc>
          <w:tcPr>
            <w:tcW w:w="2808" w:type="dxa"/>
            <w:vAlign w:val="center"/>
          </w:tcPr>
          <w:p w14:paraId="0EC3E3A3">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偏差</w:t>
            </w:r>
          </w:p>
        </w:tc>
        <w:tc>
          <w:tcPr>
            <w:tcW w:w="5919" w:type="dxa"/>
          </w:tcPr>
          <w:p w14:paraId="606803E7">
            <w:pPr>
              <w:adjustRightInd w:val="0"/>
              <w:snapToGrid w:val="0"/>
              <w:ind w:left="44" w:leftChars="20" w:right="44" w:rightChars="20"/>
              <w:rPr>
                <w:sz w:val="21"/>
                <w:szCs w:val="21"/>
              </w:rPr>
            </w:pPr>
            <w:r>
              <w:rPr>
                <w:rFonts w:hint="eastAsia"/>
                <w:sz w:val="21"/>
                <w:szCs w:val="21"/>
              </w:rPr>
              <w:t>■不允许</w:t>
            </w:r>
          </w:p>
          <w:p w14:paraId="1F2ECD86">
            <w:pPr>
              <w:pStyle w:val="8"/>
              <w:autoSpaceDE/>
              <w:autoSpaceDN/>
              <w:adjustRightInd w:val="0"/>
              <w:snapToGrid w:val="0"/>
              <w:spacing w:after="0"/>
              <w:ind w:left="44" w:leftChars="20" w:right="44" w:rightChars="20"/>
              <w:jc w:val="both"/>
              <w:rPr>
                <w:kern w:val="2"/>
                <w:sz w:val="21"/>
                <w:szCs w:val="21"/>
                <w:lang w:val="en-US" w:bidi="ar-SA"/>
              </w:rPr>
            </w:pPr>
            <w:r>
              <w:rPr>
                <w:rFonts w:hint="eastAsia"/>
                <w:kern w:val="2"/>
                <w:sz w:val="21"/>
                <w:szCs w:val="21"/>
                <w:lang w:val="en-US" w:bidi="ar-SA"/>
              </w:rPr>
              <w:t>□允许，偏差范围：/</w:t>
            </w:r>
          </w:p>
          <w:p w14:paraId="626C60DE">
            <w:pPr>
              <w:pStyle w:val="8"/>
              <w:autoSpaceDE/>
              <w:autoSpaceDN/>
              <w:adjustRightInd w:val="0"/>
              <w:snapToGrid w:val="0"/>
              <w:spacing w:after="0"/>
              <w:ind w:left="44" w:leftChars="20" w:right="44" w:rightChars="20" w:firstLine="840" w:firstLineChars="400"/>
              <w:jc w:val="both"/>
              <w:rPr>
                <w:sz w:val="21"/>
                <w:szCs w:val="21"/>
              </w:rPr>
            </w:pPr>
            <w:r>
              <w:rPr>
                <w:rFonts w:hint="eastAsia"/>
                <w:kern w:val="2"/>
                <w:sz w:val="21"/>
                <w:szCs w:val="21"/>
                <w:lang w:val="en-US" w:bidi="ar-SA"/>
              </w:rPr>
              <w:t>偏差幅度：/</w:t>
            </w:r>
          </w:p>
        </w:tc>
      </w:tr>
      <w:tr w14:paraId="7E77B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1252" w:type="dxa"/>
            <w:vAlign w:val="center"/>
          </w:tcPr>
          <w:p w14:paraId="2A72487D">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2.1</w:t>
            </w:r>
          </w:p>
        </w:tc>
        <w:tc>
          <w:tcPr>
            <w:tcW w:w="2808" w:type="dxa"/>
            <w:vAlign w:val="center"/>
          </w:tcPr>
          <w:p w14:paraId="7BB66A59">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构成招标文件的其他资料</w:t>
            </w:r>
          </w:p>
        </w:tc>
        <w:tc>
          <w:tcPr>
            <w:tcW w:w="5919" w:type="dxa"/>
            <w:vAlign w:val="center"/>
          </w:tcPr>
          <w:p w14:paraId="1043EF85">
            <w:pPr>
              <w:adjustRightInd w:val="0"/>
              <w:snapToGrid w:val="0"/>
              <w:ind w:left="44" w:leftChars="20" w:right="44" w:rightChars="20"/>
              <w:rPr>
                <w:sz w:val="21"/>
                <w:szCs w:val="21"/>
              </w:rPr>
            </w:pPr>
            <w:r>
              <w:rPr>
                <w:rFonts w:hint="eastAsia"/>
                <w:sz w:val="21"/>
                <w:szCs w:val="21"/>
                <w:u w:val="single"/>
                <w:lang w:val="en-US"/>
              </w:rPr>
              <w:t>补充公告、答疑纪要、澄清文件等（如有）。</w:t>
            </w:r>
            <w:r>
              <w:rPr>
                <w:rFonts w:hint="eastAsia"/>
                <w:sz w:val="21"/>
                <w:szCs w:val="21"/>
                <w:u w:val="single"/>
              </w:rPr>
              <w:t xml:space="preserve"> </w:t>
            </w:r>
          </w:p>
        </w:tc>
      </w:tr>
      <w:tr w14:paraId="59661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jc w:val="center"/>
        </w:trPr>
        <w:tc>
          <w:tcPr>
            <w:tcW w:w="1252" w:type="dxa"/>
            <w:vMerge w:val="restart"/>
            <w:vAlign w:val="center"/>
          </w:tcPr>
          <w:p w14:paraId="4ECA4D92">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2.2.1</w:t>
            </w:r>
          </w:p>
        </w:tc>
        <w:tc>
          <w:tcPr>
            <w:tcW w:w="2808" w:type="dxa"/>
            <w:vMerge w:val="restart"/>
            <w:vAlign w:val="center"/>
          </w:tcPr>
          <w:p w14:paraId="282824E6">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投标人要求澄清招标文件</w:t>
            </w:r>
          </w:p>
        </w:tc>
        <w:tc>
          <w:tcPr>
            <w:tcW w:w="5919" w:type="dxa"/>
            <w:tcBorders>
              <w:bottom w:val="single" w:color="auto" w:sz="4" w:space="0"/>
            </w:tcBorders>
            <w:vAlign w:val="center"/>
          </w:tcPr>
          <w:p w14:paraId="146CCF5A">
            <w:pPr>
              <w:adjustRightInd w:val="0"/>
              <w:snapToGrid w:val="0"/>
              <w:ind w:left="44" w:leftChars="20" w:right="44" w:rightChars="20"/>
              <w:rPr>
                <w:sz w:val="21"/>
                <w:szCs w:val="21"/>
              </w:rPr>
            </w:pPr>
            <w:r>
              <w:rPr>
                <w:rFonts w:hint="eastAsia"/>
                <w:sz w:val="21"/>
                <w:szCs w:val="21"/>
              </w:rPr>
              <w:t>时间：</w:t>
            </w:r>
            <w:r>
              <w:rPr>
                <w:rFonts w:hint="eastAsia"/>
                <w:sz w:val="21"/>
                <w:szCs w:val="21"/>
                <w:u w:val="single"/>
              </w:rPr>
              <w:t>在提交投标文件截止时间18天前提出。</w:t>
            </w:r>
          </w:p>
        </w:tc>
      </w:tr>
      <w:tr w14:paraId="70C31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7" w:hRule="atLeast"/>
          <w:jc w:val="center"/>
        </w:trPr>
        <w:tc>
          <w:tcPr>
            <w:tcW w:w="1252" w:type="dxa"/>
            <w:vMerge w:val="continue"/>
            <w:vAlign w:val="center"/>
          </w:tcPr>
          <w:p w14:paraId="501B81EB">
            <w:pPr>
              <w:adjustRightInd w:val="0"/>
              <w:snapToGrid w:val="0"/>
              <w:spacing w:line="400" w:lineRule="exact"/>
              <w:ind w:left="44" w:leftChars="20" w:right="44" w:rightChars="20"/>
              <w:jc w:val="center"/>
              <w:rPr>
                <w:sz w:val="21"/>
                <w:szCs w:val="21"/>
              </w:rPr>
            </w:pPr>
          </w:p>
        </w:tc>
        <w:tc>
          <w:tcPr>
            <w:tcW w:w="2808" w:type="dxa"/>
            <w:vMerge w:val="continue"/>
            <w:vAlign w:val="center"/>
          </w:tcPr>
          <w:p w14:paraId="09325B10">
            <w:pPr>
              <w:adjustRightInd w:val="0"/>
              <w:snapToGrid w:val="0"/>
              <w:spacing w:line="400" w:lineRule="exact"/>
              <w:ind w:left="44" w:leftChars="20" w:right="44" w:rightChars="20"/>
              <w:jc w:val="center"/>
              <w:rPr>
                <w:sz w:val="21"/>
                <w:szCs w:val="21"/>
              </w:rPr>
            </w:pPr>
          </w:p>
        </w:tc>
        <w:tc>
          <w:tcPr>
            <w:tcW w:w="5919" w:type="dxa"/>
            <w:tcBorders>
              <w:top w:val="single" w:color="auto" w:sz="4" w:space="0"/>
            </w:tcBorders>
            <w:vAlign w:val="center"/>
          </w:tcPr>
          <w:p w14:paraId="117916FB">
            <w:pPr>
              <w:pStyle w:val="18"/>
              <w:snapToGrid w:val="0"/>
              <w:spacing w:line="240" w:lineRule="auto"/>
              <w:ind w:right="183" w:rightChars="83" w:firstLine="0"/>
              <w:rPr>
                <w:rFonts w:eastAsia="Times New Roman"/>
                <w:szCs w:val="21"/>
                <w:u w:val="single"/>
              </w:rPr>
            </w:pPr>
            <w:r>
              <w:rPr>
                <w:rFonts w:hint="eastAsia"/>
                <w:szCs w:val="21"/>
              </w:rPr>
              <w:t>形式：</w:t>
            </w:r>
            <w:r>
              <w:rPr>
                <w:rFonts w:hint="eastAsia"/>
                <w:szCs w:val="21"/>
                <w:u w:val="single"/>
              </w:rPr>
              <w:t>招标答疑采用网上答疑方式进行。投标人若对招标文件（包括合同、招标控制价(</w:t>
            </w:r>
            <w:r>
              <w:rPr>
                <w:rFonts w:hint="eastAsia"/>
                <w:szCs w:val="21"/>
                <w:u w:val="single"/>
                <w:lang w:bidi="ar-SA"/>
              </w:rPr>
              <w:t>最高投标限价）</w:t>
            </w:r>
            <w:r>
              <w:rPr>
                <w:rFonts w:hint="eastAsia"/>
                <w:szCs w:val="21"/>
                <w:u w:val="single"/>
              </w:rPr>
              <w:t>)</w:t>
            </w:r>
            <w:r>
              <w:rPr>
                <w:rFonts w:hint="eastAsia"/>
                <w:szCs w:val="21"/>
                <w:u w:val="single"/>
                <w:lang w:bidi="ar-SA"/>
              </w:rPr>
              <w:t>有疑问的，可在规定的时间内通过</w:t>
            </w:r>
            <w:r>
              <w:rPr>
                <w:rFonts w:hint="eastAsia"/>
                <w:szCs w:val="21"/>
                <w:u w:val="single"/>
              </w:rPr>
              <w:t>广州交易集团有限公司（广州公共资源交易中心）</w:t>
            </w:r>
            <w:r>
              <w:rPr>
                <w:rFonts w:hint="eastAsia"/>
                <w:szCs w:val="21"/>
                <w:u w:val="single"/>
                <w:lang w:bidi="ar-SA"/>
              </w:rPr>
              <w:t>网站进入提问区域将问题提交给招标人或招标代理人，提问一律不得署名。</w:t>
            </w:r>
          </w:p>
          <w:p w14:paraId="5B3993EF">
            <w:pPr>
              <w:pStyle w:val="18"/>
              <w:snapToGrid w:val="0"/>
              <w:spacing w:line="240" w:lineRule="auto"/>
              <w:ind w:right="-29" w:rightChars="-13" w:firstLineChars="200"/>
              <w:jc w:val="both"/>
              <w:rPr>
                <w:szCs w:val="21"/>
              </w:rPr>
            </w:pPr>
            <w:r>
              <w:rPr>
                <w:rFonts w:hint="eastAsia"/>
                <w:szCs w:val="21"/>
                <w:u w:val="single"/>
                <w:lang w:bidi="ar-SA"/>
              </w:rPr>
              <w:t>具体要求：按照广州公共资源交易平台关于全流程电子化项目的相关指南进行操作，详见</w:t>
            </w:r>
            <w:r>
              <w:rPr>
                <w:rFonts w:hint="eastAsia"/>
                <w:szCs w:val="21"/>
                <w:u w:val="single"/>
              </w:rPr>
              <w:t>广州交易集团有限公司（广州公共资源交易中心）</w:t>
            </w:r>
            <w:r>
              <w:rPr>
                <w:rFonts w:hint="eastAsia"/>
                <w:szCs w:val="21"/>
                <w:u w:val="single"/>
                <w:lang w:bidi="ar-SA"/>
              </w:rPr>
              <w:t>网站发布的最新版操作指引</w:t>
            </w:r>
            <w:r>
              <w:rPr>
                <w:rFonts w:hint="eastAsia"/>
                <w:szCs w:val="21"/>
                <w:u w:val="single"/>
              </w:rPr>
              <w:t>。</w:t>
            </w:r>
          </w:p>
        </w:tc>
      </w:tr>
      <w:tr w14:paraId="5E9E6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jc w:val="center"/>
        </w:trPr>
        <w:tc>
          <w:tcPr>
            <w:tcW w:w="1252" w:type="dxa"/>
            <w:vAlign w:val="center"/>
          </w:tcPr>
          <w:p w14:paraId="1808E6DC">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2.2.2</w:t>
            </w:r>
          </w:p>
        </w:tc>
        <w:tc>
          <w:tcPr>
            <w:tcW w:w="2808" w:type="dxa"/>
            <w:vAlign w:val="center"/>
          </w:tcPr>
          <w:p w14:paraId="128ECF6E">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招标文件澄清发出的形式</w:t>
            </w:r>
          </w:p>
        </w:tc>
        <w:tc>
          <w:tcPr>
            <w:tcW w:w="5919" w:type="dxa"/>
            <w:vAlign w:val="center"/>
          </w:tcPr>
          <w:p w14:paraId="74001B3A">
            <w:pPr>
              <w:adjustRightInd w:val="0"/>
              <w:snapToGrid w:val="0"/>
              <w:ind w:left="110" w:leftChars="50"/>
              <w:rPr>
                <w:sz w:val="21"/>
                <w:szCs w:val="21"/>
              </w:rPr>
            </w:pPr>
            <w:r>
              <w:rPr>
                <w:rFonts w:hint="eastAsia"/>
                <w:sz w:val="21"/>
                <w:szCs w:val="21"/>
              </w:rPr>
              <w:t>时间：在投标截止时间15日前。</w:t>
            </w:r>
          </w:p>
          <w:p w14:paraId="7F9C2B10">
            <w:pPr>
              <w:adjustRightInd w:val="0"/>
              <w:snapToGrid w:val="0"/>
              <w:ind w:left="44" w:leftChars="20" w:right="44" w:rightChars="20"/>
              <w:rPr>
                <w:sz w:val="21"/>
                <w:szCs w:val="21"/>
              </w:rPr>
            </w:pPr>
            <w:r>
              <w:rPr>
                <w:rFonts w:hint="eastAsia"/>
                <w:sz w:val="21"/>
                <w:szCs w:val="21"/>
              </w:rPr>
              <w:t>形式：通过广州交易集团有限公司（广州公共资源交易中心）网站</w:t>
            </w:r>
            <w:r>
              <w:rPr>
                <w:rFonts w:hint="eastAsia"/>
                <w:sz w:val="21"/>
                <w:szCs w:val="21"/>
                <w:u w:val="single"/>
              </w:rPr>
              <w:t>“</w:t>
            </w:r>
            <w:r>
              <w:fldChar w:fldCharType="begin"/>
            </w:r>
            <w:r>
              <w:instrText xml:space="preserve"> HYPERLINK "http://ggzy.gz.gov.cn/xmcxjsgc/index.jhtml" </w:instrText>
            </w:r>
            <w:r>
              <w:fldChar w:fldCharType="separate"/>
            </w:r>
            <w:r>
              <w:rPr>
                <w:rStyle w:val="22"/>
                <w:rFonts w:hint="eastAsia"/>
                <w:color w:val="auto"/>
                <w:sz w:val="21"/>
                <w:szCs w:val="21"/>
                <w:u w:val="single"/>
              </w:rPr>
              <w:t>项目查询(日程安排、答疑纪要)</w:t>
            </w:r>
            <w:r>
              <w:rPr>
                <w:rStyle w:val="22"/>
                <w:rFonts w:hint="eastAsia"/>
                <w:color w:val="auto"/>
                <w:sz w:val="21"/>
                <w:szCs w:val="21"/>
                <w:u w:val="single"/>
              </w:rPr>
              <w:fldChar w:fldCharType="end"/>
            </w:r>
            <w:r>
              <w:rPr>
                <w:rFonts w:hint="eastAsia"/>
                <w:sz w:val="21"/>
                <w:szCs w:val="21"/>
                <w:u w:val="single"/>
              </w:rPr>
              <w:t>”</w:t>
            </w:r>
            <w:r>
              <w:rPr>
                <w:rFonts w:hint="eastAsia"/>
                <w:sz w:val="21"/>
                <w:szCs w:val="21"/>
              </w:rPr>
              <w:t>专区网上公开发布。</w:t>
            </w:r>
          </w:p>
        </w:tc>
      </w:tr>
      <w:tr w14:paraId="472C8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252" w:type="dxa"/>
            <w:vMerge w:val="restart"/>
            <w:vAlign w:val="center"/>
          </w:tcPr>
          <w:p w14:paraId="3A5FE930">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2.2.3</w:t>
            </w:r>
          </w:p>
        </w:tc>
        <w:tc>
          <w:tcPr>
            <w:tcW w:w="2808" w:type="dxa"/>
            <w:vMerge w:val="restart"/>
            <w:vAlign w:val="center"/>
          </w:tcPr>
          <w:p w14:paraId="014CC692">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投标人确认收到招标文件澄清</w:t>
            </w:r>
          </w:p>
        </w:tc>
        <w:tc>
          <w:tcPr>
            <w:tcW w:w="5919" w:type="dxa"/>
            <w:tcBorders>
              <w:bottom w:val="single" w:color="auto" w:sz="4" w:space="0"/>
            </w:tcBorders>
            <w:vAlign w:val="center"/>
          </w:tcPr>
          <w:p w14:paraId="43C58CF6">
            <w:pPr>
              <w:spacing w:before="40" w:after="40"/>
              <w:rPr>
                <w:sz w:val="21"/>
                <w:szCs w:val="21"/>
              </w:rPr>
            </w:pPr>
            <w:r>
              <w:rPr>
                <w:rFonts w:hint="eastAsia"/>
                <w:sz w:val="21"/>
                <w:szCs w:val="21"/>
              </w:rPr>
              <w:t>时间：发出即视作收到。</w:t>
            </w:r>
          </w:p>
        </w:tc>
      </w:tr>
      <w:tr w14:paraId="0A7F6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jc w:val="center"/>
        </w:trPr>
        <w:tc>
          <w:tcPr>
            <w:tcW w:w="1252" w:type="dxa"/>
            <w:vMerge w:val="continue"/>
            <w:vAlign w:val="center"/>
          </w:tcPr>
          <w:p w14:paraId="45BB28C8">
            <w:pPr>
              <w:adjustRightInd w:val="0"/>
              <w:snapToGrid w:val="0"/>
              <w:spacing w:line="400" w:lineRule="exact"/>
              <w:ind w:left="44" w:leftChars="20" w:right="44" w:rightChars="20"/>
              <w:jc w:val="center"/>
              <w:rPr>
                <w:sz w:val="21"/>
                <w:szCs w:val="21"/>
              </w:rPr>
            </w:pPr>
          </w:p>
        </w:tc>
        <w:tc>
          <w:tcPr>
            <w:tcW w:w="2808" w:type="dxa"/>
            <w:vMerge w:val="continue"/>
            <w:vAlign w:val="center"/>
          </w:tcPr>
          <w:p w14:paraId="748FF522">
            <w:pPr>
              <w:adjustRightInd w:val="0"/>
              <w:snapToGrid w:val="0"/>
              <w:spacing w:line="400" w:lineRule="exact"/>
              <w:ind w:left="44" w:leftChars="20" w:right="44" w:rightChars="20"/>
              <w:jc w:val="center"/>
              <w:rPr>
                <w:sz w:val="21"/>
                <w:szCs w:val="21"/>
              </w:rPr>
            </w:pPr>
          </w:p>
        </w:tc>
        <w:tc>
          <w:tcPr>
            <w:tcW w:w="5919" w:type="dxa"/>
            <w:tcBorders>
              <w:top w:val="single" w:color="auto" w:sz="4" w:space="0"/>
            </w:tcBorders>
            <w:vAlign w:val="center"/>
          </w:tcPr>
          <w:p w14:paraId="7BD79DE3">
            <w:pPr>
              <w:spacing w:before="40" w:after="40"/>
              <w:rPr>
                <w:sz w:val="21"/>
                <w:szCs w:val="21"/>
              </w:rPr>
            </w:pPr>
            <w:r>
              <w:rPr>
                <w:rFonts w:hint="eastAsia"/>
                <w:sz w:val="21"/>
                <w:szCs w:val="21"/>
              </w:rPr>
              <w:t>形式招标文件澄清（招标答疑纪要）一经在广州交易集团有限公司（广州公共资源交易中心）网站发布，视作已发放给所有投标人。</w:t>
            </w:r>
          </w:p>
        </w:tc>
      </w:tr>
      <w:tr w14:paraId="4656E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1252" w:type="dxa"/>
            <w:vAlign w:val="center"/>
          </w:tcPr>
          <w:p w14:paraId="39713D57">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2.3.1</w:t>
            </w:r>
          </w:p>
        </w:tc>
        <w:tc>
          <w:tcPr>
            <w:tcW w:w="2808" w:type="dxa"/>
            <w:vAlign w:val="center"/>
          </w:tcPr>
          <w:p w14:paraId="0AAA8480">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招标文件修改发出的形式</w:t>
            </w:r>
          </w:p>
        </w:tc>
        <w:tc>
          <w:tcPr>
            <w:tcW w:w="5919" w:type="dxa"/>
            <w:vAlign w:val="center"/>
          </w:tcPr>
          <w:p w14:paraId="2DD8B722">
            <w:pPr>
              <w:spacing w:before="40" w:after="40"/>
              <w:rPr>
                <w:sz w:val="21"/>
                <w:szCs w:val="21"/>
              </w:rPr>
            </w:pPr>
            <w:r>
              <w:rPr>
                <w:rFonts w:hint="eastAsia"/>
                <w:sz w:val="21"/>
                <w:szCs w:val="21"/>
                <w:u w:val="single"/>
              </w:rPr>
              <w:t>以补充公告或项目答疑澄清的方式在广州交易集团有限公司（广州公共资源交易中心）网站发布。</w:t>
            </w:r>
          </w:p>
        </w:tc>
      </w:tr>
      <w:tr w14:paraId="494B1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252" w:type="dxa"/>
            <w:vMerge w:val="restart"/>
            <w:vAlign w:val="center"/>
          </w:tcPr>
          <w:p w14:paraId="4D4D447B">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2.3.2</w:t>
            </w:r>
          </w:p>
        </w:tc>
        <w:tc>
          <w:tcPr>
            <w:tcW w:w="2808" w:type="dxa"/>
            <w:vMerge w:val="restart"/>
            <w:vAlign w:val="center"/>
          </w:tcPr>
          <w:p w14:paraId="28746358">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投标人确认收到招标文件修改</w:t>
            </w:r>
          </w:p>
        </w:tc>
        <w:tc>
          <w:tcPr>
            <w:tcW w:w="5919" w:type="dxa"/>
            <w:vAlign w:val="center"/>
          </w:tcPr>
          <w:p w14:paraId="439BAC20">
            <w:pPr>
              <w:adjustRightInd w:val="0"/>
              <w:snapToGrid w:val="0"/>
              <w:ind w:left="44" w:leftChars="20" w:right="44" w:rightChars="20"/>
              <w:rPr>
                <w:sz w:val="21"/>
                <w:szCs w:val="21"/>
              </w:rPr>
            </w:pPr>
            <w:r>
              <w:rPr>
                <w:rFonts w:hint="eastAsia"/>
                <w:sz w:val="21"/>
                <w:szCs w:val="21"/>
              </w:rPr>
              <w:t>时间：</w:t>
            </w:r>
            <w:r>
              <w:rPr>
                <w:rFonts w:hint="eastAsia"/>
                <w:sz w:val="21"/>
                <w:szCs w:val="21"/>
                <w:u w:val="single"/>
              </w:rPr>
              <w:t>发出即视作收到。</w:t>
            </w:r>
          </w:p>
        </w:tc>
      </w:tr>
      <w:tr w14:paraId="5F779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1252" w:type="dxa"/>
            <w:vMerge w:val="continue"/>
            <w:vAlign w:val="center"/>
          </w:tcPr>
          <w:p w14:paraId="5CC4771B">
            <w:pPr>
              <w:adjustRightInd w:val="0"/>
              <w:snapToGrid w:val="0"/>
              <w:spacing w:line="400" w:lineRule="exact"/>
              <w:ind w:left="44" w:leftChars="20" w:right="44" w:rightChars="20"/>
              <w:jc w:val="center"/>
              <w:rPr>
                <w:bCs/>
                <w:kern w:val="2"/>
                <w:sz w:val="21"/>
                <w:szCs w:val="21"/>
                <w:lang w:val="en-US" w:bidi="ar-SA"/>
              </w:rPr>
            </w:pPr>
          </w:p>
        </w:tc>
        <w:tc>
          <w:tcPr>
            <w:tcW w:w="2808" w:type="dxa"/>
            <w:vMerge w:val="continue"/>
            <w:vAlign w:val="center"/>
          </w:tcPr>
          <w:p w14:paraId="22999A69">
            <w:pPr>
              <w:adjustRightInd w:val="0"/>
              <w:snapToGrid w:val="0"/>
              <w:spacing w:line="400" w:lineRule="exact"/>
              <w:ind w:left="44" w:leftChars="20" w:right="44" w:rightChars="20"/>
              <w:jc w:val="center"/>
              <w:rPr>
                <w:bCs/>
                <w:kern w:val="2"/>
                <w:sz w:val="21"/>
                <w:szCs w:val="21"/>
                <w:lang w:val="en-US" w:bidi="ar-SA"/>
              </w:rPr>
            </w:pPr>
          </w:p>
        </w:tc>
        <w:tc>
          <w:tcPr>
            <w:tcW w:w="5919" w:type="dxa"/>
            <w:vAlign w:val="center"/>
          </w:tcPr>
          <w:p w14:paraId="7AB4D6BB">
            <w:pPr>
              <w:adjustRightInd w:val="0"/>
              <w:snapToGrid w:val="0"/>
              <w:ind w:left="44" w:leftChars="20" w:right="44" w:rightChars="20"/>
              <w:rPr>
                <w:sz w:val="21"/>
                <w:szCs w:val="21"/>
              </w:rPr>
            </w:pPr>
            <w:r>
              <w:rPr>
                <w:rFonts w:hint="eastAsia"/>
                <w:sz w:val="21"/>
                <w:szCs w:val="21"/>
              </w:rPr>
              <w:t>形式：</w:t>
            </w:r>
            <w:r>
              <w:rPr>
                <w:rFonts w:hint="eastAsia"/>
                <w:sz w:val="21"/>
                <w:szCs w:val="21"/>
                <w:u w:val="single"/>
                <w:lang w:bidi="ar-SA"/>
              </w:rPr>
              <w:t>招标文件修改一经在</w:t>
            </w:r>
            <w:r>
              <w:rPr>
                <w:rFonts w:hint="eastAsia"/>
                <w:sz w:val="21"/>
                <w:szCs w:val="21"/>
                <w:u w:val="single"/>
              </w:rPr>
              <w:t>广州交易集团有限公司（广州公共资源交易中心）</w:t>
            </w:r>
            <w:r>
              <w:rPr>
                <w:rFonts w:hint="eastAsia"/>
                <w:sz w:val="21"/>
                <w:szCs w:val="21"/>
                <w:u w:val="single"/>
                <w:lang w:bidi="ar-SA"/>
              </w:rPr>
              <w:t>网站发布，视作已发放给所有投标人，无需确认。潜在投标人应自行关注招标公告公布的网站公告，招标人不再一一通知。投标人因自身贻误行为导致投标失败的，责任自负。</w:t>
            </w:r>
          </w:p>
        </w:tc>
      </w:tr>
      <w:tr w14:paraId="7032C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1252" w:type="dxa"/>
            <w:vAlign w:val="center"/>
          </w:tcPr>
          <w:p w14:paraId="1721CA62">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3.1.1</w:t>
            </w:r>
          </w:p>
        </w:tc>
        <w:tc>
          <w:tcPr>
            <w:tcW w:w="2808" w:type="dxa"/>
            <w:vAlign w:val="center"/>
          </w:tcPr>
          <w:p w14:paraId="7D06853C">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构成投标文件的其他资料</w:t>
            </w:r>
          </w:p>
        </w:tc>
        <w:tc>
          <w:tcPr>
            <w:tcW w:w="5919" w:type="dxa"/>
            <w:vAlign w:val="center"/>
          </w:tcPr>
          <w:p w14:paraId="060D7CED">
            <w:pPr>
              <w:adjustRightInd w:val="0"/>
              <w:snapToGrid w:val="0"/>
              <w:ind w:left="44" w:leftChars="20" w:right="44" w:rightChars="20"/>
              <w:rPr>
                <w:sz w:val="21"/>
                <w:szCs w:val="21"/>
              </w:rPr>
            </w:pPr>
            <w:r>
              <w:rPr>
                <w:rFonts w:hint="eastAsia"/>
                <w:sz w:val="21"/>
                <w:szCs w:val="21"/>
                <w:u w:val="single"/>
              </w:rPr>
              <w:t>满足本项目评审要求的其他资料。</w:t>
            </w:r>
          </w:p>
        </w:tc>
      </w:tr>
      <w:tr w14:paraId="7F4A0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1252" w:type="dxa"/>
            <w:vAlign w:val="center"/>
          </w:tcPr>
          <w:p w14:paraId="6C00DA8C">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3.2.1</w:t>
            </w:r>
          </w:p>
        </w:tc>
        <w:tc>
          <w:tcPr>
            <w:tcW w:w="2808" w:type="dxa"/>
            <w:vAlign w:val="center"/>
          </w:tcPr>
          <w:p w14:paraId="602C8FBD">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增值税税金的计算方法</w:t>
            </w:r>
          </w:p>
        </w:tc>
        <w:tc>
          <w:tcPr>
            <w:tcW w:w="5919" w:type="dxa"/>
            <w:vAlign w:val="center"/>
          </w:tcPr>
          <w:p w14:paraId="19FA880E">
            <w:pPr>
              <w:adjustRightInd w:val="0"/>
              <w:snapToGrid w:val="0"/>
              <w:ind w:left="44" w:leftChars="20" w:right="44" w:rightChars="20"/>
              <w:rPr>
                <w:sz w:val="21"/>
                <w:szCs w:val="21"/>
              </w:rPr>
            </w:pPr>
            <w:r>
              <w:rPr>
                <w:rFonts w:hint="eastAsia"/>
                <w:sz w:val="21"/>
                <w:szCs w:val="21"/>
                <w:u w:val="single"/>
                <w:lang w:bidi="ar-SA"/>
              </w:rPr>
              <w:t>一般计税方法。</w:t>
            </w:r>
          </w:p>
        </w:tc>
      </w:tr>
      <w:tr w14:paraId="65116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1252" w:type="dxa"/>
            <w:vAlign w:val="center"/>
          </w:tcPr>
          <w:p w14:paraId="0C97E93C">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3.2.3</w:t>
            </w:r>
          </w:p>
        </w:tc>
        <w:tc>
          <w:tcPr>
            <w:tcW w:w="2808" w:type="dxa"/>
            <w:vAlign w:val="center"/>
          </w:tcPr>
          <w:p w14:paraId="47D14BE2">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报价方式</w:t>
            </w:r>
          </w:p>
        </w:tc>
        <w:tc>
          <w:tcPr>
            <w:tcW w:w="5919" w:type="dxa"/>
            <w:vAlign w:val="center"/>
          </w:tcPr>
          <w:p w14:paraId="60609161">
            <w:pPr>
              <w:adjustRightInd w:val="0"/>
              <w:snapToGrid w:val="0"/>
              <w:ind w:left="44" w:leftChars="20" w:right="44" w:rightChars="20"/>
              <w:rPr>
                <w:sz w:val="21"/>
                <w:szCs w:val="21"/>
              </w:rPr>
            </w:pPr>
            <w:r>
              <w:rPr>
                <w:rFonts w:hint="eastAsia"/>
                <w:sz w:val="21"/>
                <w:szCs w:val="21"/>
                <w:u w:val="single"/>
              </w:rPr>
              <w:t>按招标文件第六章“投标文件格式”的要求。</w:t>
            </w:r>
          </w:p>
        </w:tc>
      </w:tr>
      <w:tr w14:paraId="409EB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jc w:val="center"/>
        </w:trPr>
        <w:tc>
          <w:tcPr>
            <w:tcW w:w="1252" w:type="dxa"/>
            <w:vAlign w:val="center"/>
          </w:tcPr>
          <w:p w14:paraId="1ED1757C">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3.2.4</w:t>
            </w:r>
          </w:p>
        </w:tc>
        <w:tc>
          <w:tcPr>
            <w:tcW w:w="2808" w:type="dxa"/>
            <w:vAlign w:val="center"/>
          </w:tcPr>
          <w:p w14:paraId="1CEE6B5B">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最高投标限价</w:t>
            </w:r>
          </w:p>
        </w:tc>
        <w:tc>
          <w:tcPr>
            <w:tcW w:w="5919" w:type="dxa"/>
            <w:vAlign w:val="center"/>
          </w:tcPr>
          <w:p w14:paraId="06F5F9C2">
            <w:pPr>
              <w:adjustRightInd w:val="0"/>
              <w:snapToGrid w:val="0"/>
              <w:ind w:left="44" w:leftChars="20" w:right="44" w:rightChars="20"/>
              <w:rPr>
                <w:sz w:val="21"/>
                <w:szCs w:val="21"/>
              </w:rPr>
            </w:pPr>
            <w:r>
              <w:rPr>
                <w:rFonts w:hint="eastAsia"/>
                <w:sz w:val="21"/>
                <w:szCs w:val="21"/>
              </w:rPr>
              <w:t>□无</w:t>
            </w:r>
          </w:p>
          <w:p w14:paraId="6F558CD3">
            <w:pPr>
              <w:tabs>
                <w:tab w:val="left" w:pos="7513"/>
              </w:tabs>
              <w:adjustRightInd w:val="0"/>
              <w:snapToGrid w:val="0"/>
              <w:ind w:left="44" w:leftChars="20" w:right="44" w:rightChars="20"/>
              <w:rPr>
                <w:sz w:val="21"/>
                <w:szCs w:val="21"/>
                <w:lang w:val="en-US"/>
              </w:rPr>
            </w:pPr>
            <w:r>
              <w:rPr>
                <w:rFonts w:hint="eastAsia"/>
                <w:sz w:val="21"/>
                <w:szCs w:val="21"/>
              </w:rPr>
              <w:t>■有，</w:t>
            </w:r>
            <w:r>
              <w:rPr>
                <w:rFonts w:hint="eastAsia"/>
                <w:sz w:val="21"/>
                <w:szCs w:val="21"/>
                <w:u w:val="single"/>
              </w:rPr>
              <w:t>最高投标限价（即招标控制价）：</w:t>
            </w:r>
            <w:r>
              <w:rPr>
                <w:rFonts w:hint="eastAsia"/>
                <w:sz w:val="21"/>
                <w:szCs w:val="21"/>
                <w:u w:val="single"/>
                <w:lang w:val="en-US"/>
              </w:rPr>
              <w:t>人民币590.05万元。（其中一期最高投标限价：265.88万元；二期最高投标限价：187.93万元；三期最高投标限价：136.24万元）</w:t>
            </w:r>
          </w:p>
          <w:p w14:paraId="60375CD1">
            <w:pPr>
              <w:pStyle w:val="5"/>
              <w:ind w:firstLine="0"/>
              <w:rPr>
                <w:sz w:val="21"/>
                <w:szCs w:val="21"/>
                <w:lang w:val="en-US"/>
              </w:rPr>
            </w:pPr>
            <w:r>
              <w:rPr>
                <w:rFonts w:hint="eastAsia"/>
                <w:sz w:val="21"/>
                <w:szCs w:val="21"/>
                <w:u w:val="single"/>
              </w:rPr>
              <w:t>注：投标报价不得超过以上最高投标限价。</w:t>
            </w:r>
          </w:p>
        </w:tc>
      </w:tr>
      <w:tr w14:paraId="545EA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2BC7E9DD">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3.2.5</w:t>
            </w:r>
          </w:p>
        </w:tc>
        <w:tc>
          <w:tcPr>
            <w:tcW w:w="2808" w:type="dxa"/>
            <w:vAlign w:val="center"/>
          </w:tcPr>
          <w:p w14:paraId="516123C0">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投标报价的其他要求</w:t>
            </w:r>
          </w:p>
        </w:tc>
        <w:tc>
          <w:tcPr>
            <w:tcW w:w="5919" w:type="dxa"/>
            <w:vAlign w:val="center"/>
          </w:tcPr>
          <w:p w14:paraId="16CF0749">
            <w:pPr>
              <w:adjustRightInd w:val="0"/>
              <w:snapToGrid w:val="0"/>
              <w:ind w:left="44" w:leftChars="20" w:right="44" w:rightChars="20"/>
              <w:rPr>
                <w:sz w:val="21"/>
                <w:szCs w:val="21"/>
              </w:rPr>
            </w:pPr>
            <w:r>
              <w:rPr>
                <w:rFonts w:hint="eastAsia"/>
                <w:sz w:val="21"/>
                <w:szCs w:val="21"/>
                <w:u w:val="single"/>
              </w:rPr>
              <w:t>投标人必须详细审阅全部招标文件及</w:t>
            </w:r>
            <w:r>
              <w:rPr>
                <w:rFonts w:hint="eastAsia"/>
                <w:sz w:val="21"/>
                <w:szCs w:val="21"/>
                <w:u w:val="single"/>
                <w:lang w:val="en-US"/>
              </w:rPr>
              <w:t>委托人要求</w:t>
            </w:r>
            <w:r>
              <w:rPr>
                <w:rFonts w:hint="eastAsia"/>
                <w:sz w:val="21"/>
                <w:szCs w:val="21"/>
                <w:u w:val="single"/>
              </w:rPr>
              <w:t>等,充分考虑职责和义务,全面地理解招标文件对投标报价的要求,并按招标人提出的条件及内容进行报价。</w:t>
            </w:r>
          </w:p>
        </w:tc>
      </w:tr>
      <w:tr w14:paraId="19A6D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252" w:type="dxa"/>
            <w:vAlign w:val="center"/>
          </w:tcPr>
          <w:p w14:paraId="776C05A2">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3.3.1</w:t>
            </w:r>
          </w:p>
        </w:tc>
        <w:tc>
          <w:tcPr>
            <w:tcW w:w="2808" w:type="dxa"/>
            <w:vAlign w:val="center"/>
          </w:tcPr>
          <w:p w14:paraId="156ADA59">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投标有效期</w:t>
            </w:r>
          </w:p>
        </w:tc>
        <w:tc>
          <w:tcPr>
            <w:tcW w:w="5919" w:type="dxa"/>
            <w:vAlign w:val="center"/>
          </w:tcPr>
          <w:p w14:paraId="7A9C739B">
            <w:pPr>
              <w:adjustRightInd w:val="0"/>
              <w:snapToGrid w:val="0"/>
              <w:ind w:left="44" w:leftChars="20" w:right="44" w:rightChars="20"/>
              <w:rPr>
                <w:sz w:val="21"/>
                <w:szCs w:val="21"/>
              </w:rPr>
            </w:pPr>
            <w:r>
              <w:rPr>
                <w:rFonts w:hint="eastAsia"/>
                <w:sz w:val="21"/>
                <w:szCs w:val="21"/>
                <w:u w:val="single"/>
              </w:rPr>
              <w:t>90</w:t>
            </w:r>
            <w:r>
              <w:rPr>
                <w:rFonts w:hint="eastAsia"/>
                <w:sz w:val="21"/>
                <w:szCs w:val="21"/>
                <w:u w:val="single"/>
                <w:lang w:bidi="ar-SA"/>
              </w:rPr>
              <w:t>日历天（从投标截止之日算起）。</w:t>
            </w:r>
          </w:p>
        </w:tc>
      </w:tr>
      <w:tr w14:paraId="3CE16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1252" w:type="dxa"/>
            <w:vAlign w:val="center"/>
          </w:tcPr>
          <w:p w14:paraId="6ED7D62C">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3.4.1</w:t>
            </w:r>
          </w:p>
        </w:tc>
        <w:tc>
          <w:tcPr>
            <w:tcW w:w="2808" w:type="dxa"/>
            <w:vAlign w:val="center"/>
          </w:tcPr>
          <w:p w14:paraId="1B78D788">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投标保证金</w:t>
            </w:r>
          </w:p>
        </w:tc>
        <w:tc>
          <w:tcPr>
            <w:tcW w:w="5919" w:type="dxa"/>
            <w:vAlign w:val="center"/>
          </w:tcPr>
          <w:p w14:paraId="6CCE21C5">
            <w:pPr>
              <w:pStyle w:val="8"/>
              <w:topLinePunct/>
              <w:rPr>
                <w:sz w:val="21"/>
                <w:szCs w:val="21"/>
                <w:lang w:bidi="ar-SA"/>
              </w:rPr>
            </w:pPr>
            <w:r>
              <w:rPr>
                <w:rFonts w:hint="eastAsia"/>
                <w:sz w:val="21"/>
                <w:szCs w:val="21"/>
                <w:lang w:bidi="ar-SA"/>
              </w:rPr>
              <w:t>是否要求投标人递交投标保证金：</w:t>
            </w:r>
          </w:p>
          <w:p w14:paraId="5D7A17D2">
            <w:pPr>
              <w:pStyle w:val="8"/>
              <w:topLinePunct/>
              <w:rPr>
                <w:sz w:val="21"/>
                <w:szCs w:val="21"/>
                <w:lang w:bidi="ar-SA"/>
              </w:rPr>
            </w:pPr>
            <w:r>
              <w:rPr>
                <w:rFonts w:hint="eastAsia"/>
                <w:sz w:val="21"/>
                <w:szCs w:val="21"/>
                <w:lang w:bidi="ar-SA"/>
              </w:rPr>
              <w:t>□要求，投标保证金的形式：</w:t>
            </w:r>
          </w:p>
          <w:p w14:paraId="7234908A">
            <w:pPr>
              <w:pStyle w:val="8"/>
              <w:topLinePunct/>
              <w:rPr>
                <w:sz w:val="21"/>
                <w:szCs w:val="21"/>
                <w:lang w:bidi="ar-SA"/>
              </w:rPr>
            </w:pPr>
            <w:r>
              <w:rPr>
                <w:rFonts w:hint="eastAsia"/>
                <w:sz w:val="21"/>
                <w:szCs w:val="21"/>
                <w:lang w:bidi="ar-SA"/>
              </w:rPr>
              <w:t>投标保证金的金额：</w:t>
            </w:r>
          </w:p>
          <w:p w14:paraId="3EC43000">
            <w:pPr>
              <w:pStyle w:val="8"/>
              <w:topLinePunct/>
              <w:rPr>
                <w:sz w:val="21"/>
                <w:szCs w:val="21"/>
                <w:lang w:val="en-US"/>
              </w:rPr>
            </w:pPr>
            <w:r>
              <w:rPr>
                <w:rFonts w:hint="eastAsia"/>
                <w:sz w:val="21"/>
                <w:szCs w:val="21"/>
                <w:lang w:bidi="ar-SA"/>
              </w:rPr>
              <w:t>■不要求</w:t>
            </w:r>
          </w:p>
        </w:tc>
      </w:tr>
      <w:tr w14:paraId="0C1EA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1252" w:type="dxa"/>
            <w:vAlign w:val="center"/>
          </w:tcPr>
          <w:p w14:paraId="26C0A551">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3.4.4</w:t>
            </w:r>
          </w:p>
        </w:tc>
        <w:tc>
          <w:tcPr>
            <w:tcW w:w="2808" w:type="dxa"/>
            <w:vAlign w:val="center"/>
          </w:tcPr>
          <w:p w14:paraId="01C98368">
            <w:pPr>
              <w:adjustRightInd w:val="0"/>
              <w:snapToGrid w:val="0"/>
              <w:ind w:left="44" w:leftChars="20" w:right="44" w:rightChars="20"/>
              <w:jc w:val="center"/>
              <w:rPr>
                <w:bCs/>
                <w:kern w:val="2"/>
                <w:sz w:val="21"/>
                <w:szCs w:val="21"/>
                <w:lang w:val="en-US" w:bidi="ar-SA"/>
              </w:rPr>
            </w:pPr>
            <w:r>
              <w:rPr>
                <w:rFonts w:hint="eastAsia"/>
                <w:sz w:val="21"/>
                <w:szCs w:val="21"/>
              </w:rPr>
              <w:t>其他可以不予退还投标保证金的情形</w:t>
            </w:r>
          </w:p>
        </w:tc>
        <w:tc>
          <w:tcPr>
            <w:tcW w:w="5919" w:type="dxa"/>
            <w:vAlign w:val="center"/>
          </w:tcPr>
          <w:p w14:paraId="749F796F">
            <w:pPr>
              <w:adjustRightInd w:val="0"/>
              <w:snapToGrid w:val="0"/>
              <w:ind w:left="44" w:leftChars="20" w:right="44" w:rightChars="20"/>
              <w:jc w:val="center"/>
              <w:rPr>
                <w:sz w:val="21"/>
                <w:szCs w:val="21"/>
              </w:rPr>
            </w:pPr>
            <w:r>
              <w:rPr>
                <w:rFonts w:hint="eastAsia"/>
                <w:sz w:val="21"/>
                <w:szCs w:val="21"/>
                <w:u w:val="single"/>
                <w:lang w:bidi="ar-SA"/>
              </w:rPr>
              <w:t>/</w:t>
            </w:r>
          </w:p>
        </w:tc>
      </w:tr>
      <w:tr w14:paraId="4E7A8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252" w:type="dxa"/>
            <w:vAlign w:val="center"/>
          </w:tcPr>
          <w:p w14:paraId="1B765114">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3.5</w:t>
            </w:r>
          </w:p>
        </w:tc>
        <w:tc>
          <w:tcPr>
            <w:tcW w:w="2808" w:type="dxa"/>
            <w:vAlign w:val="center"/>
          </w:tcPr>
          <w:p w14:paraId="3DC6FCDD">
            <w:pPr>
              <w:jc w:val="center"/>
              <w:rPr>
                <w:sz w:val="21"/>
                <w:szCs w:val="21"/>
                <w:lang w:val="en-US"/>
              </w:rPr>
            </w:pPr>
            <w:r>
              <w:rPr>
                <w:rFonts w:hint="eastAsia"/>
                <w:sz w:val="21"/>
                <w:szCs w:val="21"/>
                <w:lang w:bidi="ar-SA"/>
              </w:rPr>
              <w:t>资格审查资料的特殊要求</w:t>
            </w:r>
          </w:p>
        </w:tc>
        <w:tc>
          <w:tcPr>
            <w:tcW w:w="5919" w:type="dxa"/>
            <w:vAlign w:val="center"/>
          </w:tcPr>
          <w:p w14:paraId="09C75930">
            <w:pPr>
              <w:pStyle w:val="27"/>
              <w:rPr>
                <w:rFonts w:cs="宋体"/>
                <w:sz w:val="21"/>
                <w:lang w:bidi="ar-SA"/>
              </w:rPr>
            </w:pPr>
            <w:r>
              <w:rPr>
                <w:rFonts w:hint="eastAsia" w:cs="宋体"/>
                <w:sz w:val="21"/>
                <w:lang w:bidi="ar-SA"/>
              </w:rPr>
              <w:t>■无</w:t>
            </w:r>
          </w:p>
          <w:p w14:paraId="235E94DE">
            <w:pPr>
              <w:pStyle w:val="27"/>
              <w:rPr>
                <w:sz w:val="21"/>
              </w:rPr>
            </w:pPr>
            <w:r>
              <w:rPr>
                <w:rFonts w:hint="eastAsia" w:cs="宋体"/>
                <w:sz w:val="21"/>
                <w:lang w:bidi="ar-SA"/>
              </w:rPr>
              <w:t>□有，具体要求：</w:t>
            </w:r>
            <w:r>
              <w:rPr>
                <w:rFonts w:hint="eastAsia" w:cs="宋体"/>
                <w:sz w:val="21"/>
                <w:u w:val="single"/>
                <w:lang w:val="en-US" w:bidi="ar-SA"/>
              </w:rPr>
              <w:t>/</w:t>
            </w:r>
          </w:p>
        </w:tc>
      </w:tr>
      <w:tr w14:paraId="4AB28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1252" w:type="dxa"/>
            <w:vAlign w:val="center"/>
          </w:tcPr>
          <w:p w14:paraId="12F7FE6A">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3.5.2</w:t>
            </w:r>
          </w:p>
        </w:tc>
        <w:tc>
          <w:tcPr>
            <w:tcW w:w="2808" w:type="dxa"/>
            <w:vAlign w:val="center"/>
          </w:tcPr>
          <w:p w14:paraId="11B4D460">
            <w:pPr>
              <w:spacing w:before="40" w:after="40"/>
              <w:jc w:val="center"/>
              <w:rPr>
                <w:sz w:val="21"/>
                <w:szCs w:val="21"/>
                <w:lang w:val="en-US"/>
              </w:rPr>
            </w:pPr>
            <w:r>
              <w:rPr>
                <w:rFonts w:hint="eastAsia"/>
                <w:sz w:val="21"/>
                <w:szCs w:val="21"/>
                <w:lang w:bidi="ar-SA"/>
              </w:rPr>
              <w:t>近年财务状况的年份要求</w:t>
            </w:r>
          </w:p>
        </w:tc>
        <w:tc>
          <w:tcPr>
            <w:tcW w:w="5919" w:type="dxa"/>
            <w:vAlign w:val="center"/>
          </w:tcPr>
          <w:p w14:paraId="69D13DF8">
            <w:pPr>
              <w:spacing w:before="40" w:after="40"/>
              <w:jc w:val="center"/>
              <w:rPr>
                <w:sz w:val="21"/>
                <w:szCs w:val="21"/>
              </w:rPr>
            </w:pPr>
            <w:r>
              <w:rPr>
                <w:rFonts w:hint="eastAsia"/>
                <w:sz w:val="21"/>
                <w:szCs w:val="21"/>
                <w:lang w:bidi="ar-SA"/>
              </w:rPr>
              <w:t>/</w:t>
            </w:r>
          </w:p>
        </w:tc>
      </w:tr>
      <w:tr w14:paraId="149CF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252" w:type="dxa"/>
            <w:vAlign w:val="center"/>
          </w:tcPr>
          <w:p w14:paraId="65C85B34">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3.5.3</w:t>
            </w:r>
          </w:p>
        </w:tc>
        <w:tc>
          <w:tcPr>
            <w:tcW w:w="2808" w:type="dxa"/>
            <w:vAlign w:val="center"/>
          </w:tcPr>
          <w:p w14:paraId="2BA5AB0B">
            <w:pPr>
              <w:spacing w:before="40" w:after="40"/>
              <w:jc w:val="center"/>
              <w:rPr>
                <w:sz w:val="21"/>
                <w:szCs w:val="21"/>
                <w:lang w:val="en-US"/>
              </w:rPr>
            </w:pPr>
            <w:r>
              <w:rPr>
                <w:rFonts w:hint="eastAsia"/>
                <w:sz w:val="21"/>
                <w:szCs w:val="21"/>
                <w:lang w:bidi="ar-SA"/>
              </w:rPr>
              <w:t>近年完成的类似项目情况的时间要求</w:t>
            </w:r>
          </w:p>
        </w:tc>
        <w:tc>
          <w:tcPr>
            <w:tcW w:w="5919" w:type="dxa"/>
            <w:vAlign w:val="center"/>
          </w:tcPr>
          <w:p w14:paraId="0CD9520E">
            <w:pPr>
              <w:pStyle w:val="7"/>
              <w:spacing w:before="40" w:after="40"/>
              <w:jc w:val="center"/>
              <w:rPr>
                <w:sz w:val="21"/>
                <w:szCs w:val="21"/>
              </w:rPr>
            </w:pPr>
            <w:r>
              <w:rPr>
                <w:rFonts w:hint="eastAsia"/>
                <w:sz w:val="21"/>
                <w:szCs w:val="21"/>
                <w:u w:val="single"/>
                <w:lang w:bidi="ar-SA"/>
              </w:rPr>
              <w:t>/</w:t>
            </w:r>
          </w:p>
        </w:tc>
      </w:tr>
      <w:tr w14:paraId="5DCF6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1252" w:type="dxa"/>
            <w:vAlign w:val="center"/>
          </w:tcPr>
          <w:p w14:paraId="0188ADEB">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3.5.5</w:t>
            </w:r>
          </w:p>
        </w:tc>
        <w:tc>
          <w:tcPr>
            <w:tcW w:w="2808" w:type="dxa"/>
            <w:vAlign w:val="center"/>
          </w:tcPr>
          <w:p w14:paraId="59762083">
            <w:pPr>
              <w:spacing w:before="40" w:after="40"/>
              <w:jc w:val="center"/>
              <w:rPr>
                <w:sz w:val="21"/>
                <w:szCs w:val="21"/>
                <w:lang w:val="en-US"/>
              </w:rPr>
            </w:pPr>
            <w:r>
              <w:rPr>
                <w:rFonts w:hint="eastAsia"/>
                <w:sz w:val="21"/>
                <w:szCs w:val="21"/>
                <w:lang w:bidi="ar-SA"/>
              </w:rPr>
              <w:t>近年发生的诉讼及仲裁情况的时间要求</w:t>
            </w:r>
          </w:p>
        </w:tc>
        <w:tc>
          <w:tcPr>
            <w:tcW w:w="5919" w:type="dxa"/>
            <w:vAlign w:val="center"/>
          </w:tcPr>
          <w:p w14:paraId="210F721E">
            <w:pPr>
              <w:spacing w:before="40" w:after="40"/>
              <w:jc w:val="center"/>
              <w:rPr>
                <w:sz w:val="21"/>
                <w:szCs w:val="21"/>
              </w:rPr>
            </w:pPr>
            <w:r>
              <w:rPr>
                <w:rFonts w:hint="eastAsia"/>
                <w:sz w:val="21"/>
                <w:szCs w:val="21"/>
                <w:lang w:bidi="ar-SA"/>
              </w:rPr>
              <w:t>/</w:t>
            </w:r>
          </w:p>
        </w:tc>
      </w:tr>
      <w:tr w14:paraId="13EB6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2513C750">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3.6.1</w:t>
            </w:r>
          </w:p>
        </w:tc>
        <w:tc>
          <w:tcPr>
            <w:tcW w:w="2808" w:type="dxa"/>
            <w:vAlign w:val="center"/>
          </w:tcPr>
          <w:p w14:paraId="47C79C21">
            <w:pPr>
              <w:pStyle w:val="25"/>
              <w:adjustRightInd w:val="0"/>
              <w:snapToGrid w:val="0"/>
              <w:ind w:left="44" w:leftChars="20" w:right="44" w:rightChars="20"/>
              <w:jc w:val="center"/>
              <w:rPr>
                <w:sz w:val="21"/>
                <w:szCs w:val="21"/>
                <w:lang w:val="en-US"/>
              </w:rPr>
            </w:pPr>
            <w:r>
              <w:rPr>
                <w:rFonts w:hint="eastAsia"/>
                <w:sz w:val="21"/>
                <w:szCs w:val="21"/>
              </w:rPr>
              <w:t>是否允许递交备选投标方案</w:t>
            </w:r>
          </w:p>
        </w:tc>
        <w:tc>
          <w:tcPr>
            <w:tcW w:w="5919" w:type="dxa"/>
            <w:vAlign w:val="center"/>
          </w:tcPr>
          <w:p w14:paraId="715487A5">
            <w:pPr>
              <w:pStyle w:val="25"/>
              <w:adjustRightInd w:val="0"/>
              <w:snapToGrid w:val="0"/>
              <w:spacing w:before="54"/>
              <w:ind w:left="44" w:leftChars="20" w:right="44" w:rightChars="20"/>
              <w:rPr>
                <w:sz w:val="21"/>
                <w:szCs w:val="21"/>
              </w:rPr>
            </w:pPr>
            <w:r>
              <w:rPr>
                <w:rFonts w:hint="eastAsia" w:ascii="仿宋" w:hAnsi="仿宋" w:eastAsia="仿宋" w:cs="仿宋"/>
                <w:sz w:val="21"/>
                <w:szCs w:val="21"/>
              </w:rPr>
              <w:t>■</w:t>
            </w:r>
            <w:r>
              <w:rPr>
                <w:rFonts w:hint="eastAsia"/>
                <w:sz w:val="21"/>
                <w:szCs w:val="21"/>
              </w:rPr>
              <w:t>不允许</w:t>
            </w:r>
          </w:p>
          <w:p w14:paraId="3F9B761B">
            <w:pPr>
              <w:pStyle w:val="25"/>
              <w:adjustRightInd w:val="0"/>
              <w:snapToGrid w:val="0"/>
              <w:spacing w:before="66"/>
              <w:ind w:left="44" w:leftChars="20" w:right="44" w:rightChars="20"/>
              <w:rPr>
                <w:sz w:val="21"/>
                <w:szCs w:val="21"/>
              </w:rPr>
            </w:pPr>
            <w:r>
              <w:rPr>
                <w:rFonts w:hint="eastAsia"/>
                <w:sz w:val="21"/>
                <w:szCs w:val="21"/>
              </w:rPr>
              <w:t>□允许</w:t>
            </w:r>
          </w:p>
        </w:tc>
      </w:tr>
      <w:tr w14:paraId="46A30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jc w:val="center"/>
        </w:trPr>
        <w:tc>
          <w:tcPr>
            <w:tcW w:w="1252" w:type="dxa"/>
            <w:vAlign w:val="center"/>
          </w:tcPr>
          <w:p w14:paraId="341E1033">
            <w:pPr>
              <w:spacing w:before="40" w:after="40"/>
              <w:jc w:val="center"/>
              <w:rPr>
                <w:sz w:val="21"/>
                <w:szCs w:val="21"/>
              </w:rPr>
            </w:pPr>
            <w:r>
              <w:rPr>
                <w:rFonts w:hint="eastAsia"/>
                <w:sz w:val="21"/>
                <w:szCs w:val="21"/>
                <w:lang w:bidi="ar-SA"/>
              </w:rPr>
              <w:t>3.7.3A（2）</w:t>
            </w:r>
          </w:p>
        </w:tc>
        <w:tc>
          <w:tcPr>
            <w:tcW w:w="2808" w:type="dxa"/>
            <w:vAlign w:val="center"/>
          </w:tcPr>
          <w:p w14:paraId="7AC4BA4A">
            <w:pPr>
              <w:spacing w:before="40" w:after="40"/>
              <w:jc w:val="center"/>
              <w:rPr>
                <w:sz w:val="21"/>
                <w:szCs w:val="21"/>
              </w:rPr>
            </w:pPr>
            <w:r>
              <w:rPr>
                <w:rFonts w:hint="eastAsia"/>
                <w:sz w:val="21"/>
                <w:szCs w:val="21"/>
                <w:lang w:bidi="ar-SA"/>
              </w:rPr>
              <w:t>投标文件副本份数及其他要求</w:t>
            </w:r>
          </w:p>
        </w:tc>
        <w:tc>
          <w:tcPr>
            <w:tcW w:w="5919" w:type="dxa"/>
            <w:vAlign w:val="center"/>
          </w:tcPr>
          <w:p w14:paraId="3AD6A5C3">
            <w:pPr>
              <w:spacing w:before="40" w:after="40"/>
              <w:jc w:val="center"/>
              <w:rPr>
                <w:sz w:val="21"/>
                <w:szCs w:val="21"/>
              </w:rPr>
            </w:pPr>
            <w:r>
              <w:rPr>
                <w:rFonts w:hint="eastAsia"/>
                <w:sz w:val="21"/>
                <w:szCs w:val="21"/>
                <w:lang w:bidi="ar-SA"/>
              </w:rPr>
              <w:t>/</w:t>
            </w:r>
          </w:p>
        </w:tc>
      </w:tr>
      <w:tr w14:paraId="253CB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1252" w:type="dxa"/>
            <w:vAlign w:val="center"/>
          </w:tcPr>
          <w:p w14:paraId="20E1409C">
            <w:pPr>
              <w:spacing w:before="40" w:after="40"/>
              <w:jc w:val="center"/>
              <w:rPr>
                <w:sz w:val="21"/>
                <w:szCs w:val="21"/>
              </w:rPr>
            </w:pPr>
            <w:r>
              <w:rPr>
                <w:rFonts w:hint="eastAsia"/>
                <w:sz w:val="21"/>
                <w:szCs w:val="21"/>
                <w:lang w:bidi="ar-SA"/>
              </w:rPr>
              <w:t>3.7.3A（3）</w:t>
            </w:r>
          </w:p>
        </w:tc>
        <w:tc>
          <w:tcPr>
            <w:tcW w:w="2808" w:type="dxa"/>
            <w:vAlign w:val="center"/>
          </w:tcPr>
          <w:p w14:paraId="4E1E80F1">
            <w:pPr>
              <w:spacing w:before="40" w:after="40"/>
              <w:jc w:val="center"/>
              <w:rPr>
                <w:sz w:val="21"/>
                <w:szCs w:val="21"/>
              </w:rPr>
            </w:pPr>
            <w:r>
              <w:rPr>
                <w:rFonts w:hint="eastAsia"/>
                <w:sz w:val="21"/>
                <w:szCs w:val="21"/>
                <w:lang w:bidi="ar-SA"/>
              </w:rPr>
              <w:t>投标文件是否需分册装订</w:t>
            </w:r>
          </w:p>
        </w:tc>
        <w:tc>
          <w:tcPr>
            <w:tcW w:w="5919" w:type="dxa"/>
            <w:vAlign w:val="center"/>
          </w:tcPr>
          <w:p w14:paraId="0BFA8FE0">
            <w:pPr>
              <w:spacing w:before="40" w:after="40"/>
              <w:jc w:val="center"/>
              <w:rPr>
                <w:sz w:val="21"/>
                <w:szCs w:val="21"/>
              </w:rPr>
            </w:pPr>
            <w:r>
              <w:rPr>
                <w:rFonts w:hint="eastAsia"/>
                <w:sz w:val="21"/>
                <w:szCs w:val="21"/>
                <w:lang w:bidi="ar-SA"/>
              </w:rPr>
              <w:t>/</w:t>
            </w:r>
          </w:p>
        </w:tc>
      </w:tr>
      <w:tr w14:paraId="18E94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252" w:type="dxa"/>
            <w:vAlign w:val="center"/>
          </w:tcPr>
          <w:p w14:paraId="50D9FB83">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3.7.3（B）</w:t>
            </w:r>
          </w:p>
        </w:tc>
        <w:tc>
          <w:tcPr>
            <w:tcW w:w="2808" w:type="dxa"/>
            <w:vAlign w:val="center"/>
          </w:tcPr>
          <w:p w14:paraId="065B6CC5">
            <w:pPr>
              <w:spacing w:before="40" w:after="40"/>
              <w:jc w:val="center"/>
              <w:rPr>
                <w:bCs/>
                <w:kern w:val="2"/>
                <w:sz w:val="21"/>
                <w:szCs w:val="21"/>
                <w:lang w:val="en-US" w:bidi="ar-SA"/>
              </w:rPr>
            </w:pPr>
            <w:r>
              <w:rPr>
                <w:rFonts w:hint="eastAsia"/>
                <w:sz w:val="21"/>
                <w:szCs w:val="21"/>
                <w:lang w:bidi="ar-SA"/>
              </w:rPr>
              <w:t>投标文件所附证书证件要求</w:t>
            </w:r>
          </w:p>
        </w:tc>
        <w:tc>
          <w:tcPr>
            <w:tcW w:w="5919" w:type="dxa"/>
            <w:vAlign w:val="center"/>
          </w:tcPr>
          <w:p w14:paraId="60A03E3B">
            <w:pPr>
              <w:spacing w:before="40" w:after="40"/>
              <w:rPr>
                <w:sz w:val="21"/>
                <w:szCs w:val="21"/>
                <w:u w:val="single"/>
                <w:lang w:bidi="ar-SA"/>
              </w:rPr>
            </w:pPr>
            <w:r>
              <w:rPr>
                <w:rFonts w:hint="eastAsia"/>
                <w:sz w:val="21"/>
                <w:szCs w:val="21"/>
                <w:u w:val="single"/>
              </w:rPr>
              <w:t>投标文件全部采用电子文档，投标文件所附</w:t>
            </w:r>
            <w:r>
              <w:rPr>
                <w:rFonts w:hint="eastAsia"/>
                <w:sz w:val="21"/>
                <w:szCs w:val="21"/>
                <w:u w:val="single"/>
                <w:lang w:bidi="ar-SA"/>
              </w:rPr>
              <w:t>证书证件均为原件扫描件或电子证书，并采用单位数字证书，按照招标文件要求在相应位置加盖电子印章。</w:t>
            </w:r>
          </w:p>
          <w:p w14:paraId="1B42E1EF">
            <w:pPr>
              <w:spacing w:before="40" w:after="40"/>
              <w:rPr>
                <w:sz w:val="21"/>
                <w:szCs w:val="21"/>
              </w:rPr>
            </w:pPr>
            <w:r>
              <w:rPr>
                <w:rFonts w:hint="eastAsia"/>
                <w:sz w:val="21"/>
                <w:szCs w:val="21"/>
                <w:u w:val="single"/>
                <w:lang w:bidi="ar-SA"/>
              </w:rPr>
              <w:t>按照广州公共资源交易平台关于全流程电子化项目的相关指南进行操作，详见</w:t>
            </w:r>
            <w:r>
              <w:rPr>
                <w:rFonts w:hint="eastAsia"/>
                <w:sz w:val="21"/>
                <w:szCs w:val="21"/>
                <w:u w:val="single"/>
              </w:rPr>
              <w:t>广州交易集团有限公司（广州公共资源交易中心）</w:t>
            </w:r>
            <w:r>
              <w:rPr>
                <w:rFonts w:hint="eastAsia"/>
                <w:sz w:val="21"/>
                <w:szCs w:val="21"/>
                <w:u w:val="single"/>
                <w:lang w:bidi="ar-SA"/>
              </w:rPr>
              <w:t>网站发布的最新版操作指引</w:t>
            </w:r>
            <w:r>
              <w:rPr>
                <w:rFonts w:hint="eastAsia"/>
                <w:sz w:val="21"/>
                <w:szCs w:val="21"/>
                <w:u w:val="single"/>
              </w:rPr>
              <w:t>。</w:t>
            </w:r>
          </w:p>
        </w:tc>
      </w:tr>
      <w:tr w14:paraId="6857B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0E33E2C3">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3.7.3（B）</w:t>
            </w:r>
          </w:p>
        </w:tc>
        <w:tc>
          <w:tcPr>
            <w:tcW w:w="2808" w:type="dxa"/>
            <w:vAlign w:val="center"/>
          </w:tcPr>
          <w:p w14:paraId="258BF341">
            <w:pPr>
              <w:spacing w:before="40" w:after="40"/>
              <w:jc w:val="center"/>
              <w:rPr>
                <w:bCs/>
                <w:kern w:val="2"/>
                <w:sz w:val="21"/>
                <w:szCs w:val="21"/>
                <w:lang w:val="en-US" w:bidi="ar-SA"/>
              </w:rPr>
            </w:pPr>
            <w:r>
              <w:rPr>
                <w:rFonts w:hint="eastAsia"/>
                <w:sz w:val="21"/>
                <w:szCs w:val="21"/>
                <w:lang w:bidi="ar-SA"/>
              </w:rPr>
              <w:t>投标文件签字或盖章要求</w:t>
            </w:r>
          </w:p>
        </w:tc>
        <w:tc>
          <w:tcPr>
            <w:tcW w:w="5919" w:type="dxa"/>
            <w:vAlign w:val="center"/>
          </w:tcPr>
          <w:p w14:paraId="7BDA6347">
            <w:pPr>
              <w:spacing w:before="40" w:after="40"/>
              <w:rPr>
                <w:sz w:val="21"/>
                <w:szCs w:val="21"/>
                <w:lang w:val="en-US"/>
              </w:rPr>
            </w:pPr>
            <w:r>
              <w:rPr>
                <w:rFonts w:hint="eastAsia"/>
                <w:sz w:val="21"/>
                <w:szCs w:val="21"/>
                <w:u w:val="single"/>
                <w:lang w:bidi="ar-SA"/>
              </w:rPr>
              <w:t>投标文件中需个人签字或盖章的，应加盖个人电子印章或在线下完成后扫描上传。投标文件按招标文件要求加盖单位电子印章。按照广州公共资源交易平台关于全流程电子化项目的相关指南进行操作，详见</w:t>
            </w:r>
            <w:r>
              <w:rPr>
                <w:rFonts w:hint="eastAsia"/>
                <w:sz w:val="21"/>
                <w:szCs w:val="21"/>
                <w:u w:val="single"/>
              </w:rPr>
              <w:t>广州交易集团有限公司（广州公共资源交易中心）</w:t>
            </w:r>
            <w:r>
              <w:rPr>
                <w:rFonts w:hint="eastAsia"/>
                <w:sz w:val="21"/>
                <w:szCs w:val="21"/>
                <w:u w:val="single"/>
                <w:lang w:bidi="ar-SA"/>
              </w:rPr>
              <w:t>网站发布的最新版操作指引。</w:t>
            </w:r>
            <w:r>
              <w:rPr>
                <w:rFonts w:hint="eastAsia"/>
                <w:sz w:val="21"/>
                <w:szCs w:val="21"/>
                <w:u w:val="single"/>
              </w:rPr>
              <w:t>如不按上述要求编制引起系统无法检索、读取相关信息的，其后果由投标人承担。</w:t>
            </w:r>
            <w:r>
              <w:rPr>
                <w:rFonts w:hint="eastAsia"/>
                <w:b/>
                <w:bCs/>
                <w:sz w:val="21"/>
                <w:szCs w:val="21"/>
                <w:u w:val="single"/>
                <w:lang w:val="en-US"/>
              </w:rPr>
              <w:t>联合体投标时，除“联合体共同投标协议书”需由联合体各方分别按要求进行签字或盖章外，其他资料若需要签字或盖章的均可由联合体主办方（主办方）签字或盖章即可；投标资料封面及其他内容及落款中的“投标人”应填写联合体各方的单位全称【格式示例为：（主）单位全称（成）单位全称】，由联合体主办方按要求签字或盖章即可。电子签章由主办方进行签章即可。</w:t>
            </w:r>
          </w:p>
        </w:tc>
      </w:tr>
      <w:tr w14:paraId="06742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1252" w:type="dxa"/>
            <w:vAlign w:val="center"/>
          </w:tcPr>
          <w:p w14:paraId="7B67E77B">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4.1.1（B）</w:t>
            </w:r>
          </w:p>
        </w:tc>
        <w:tc>
          <w:tcPr>
            <w:tcW w:w="2808" w:type="dxa"/>
            <w:vAlign w:val="center"/>
          </w:tcPr>
          <w:p w14:paraId="1892A95E">
            <w:pPr>
              <w:spacing w:before="40" w:after="40"/>
              <w:jc w:val="center"/>
              <w:rPr>
                <w:bCs/>
                <w:kern w:val="2"/>
                <w:sz w:val="21"/>
                <w:szCs w:val="21"/>
                <w:lang w:val="en-US" w:bidi="ar-SA"/>
              </w:rPr>
            </w:pPr>
            <w:r>
              <w:rPr>
                <w:rFonts w:hint="eastAsia"/>
                <w:sz w:val="21"/>
                <w:szCs w:val="21"/>
                <w:lang w:bidi="ar-SA"/>
              </w:rPr>
              <w:t>投标文件加密要求</w:t>
            </w:r>
          </w:p>
        </w:tc>
        <w:tc>
          <w:tcPr>
            <w:tcW w:w="5919" w:type="dxa"/>
            <w:vAlign w:val="center"/>
          </w:tcPr>
          <w:p w14:paraId="6E18CDC4">
            <w:pPr>
              <w:spacing w:before="40" w:after="40"/>
              <w:rPr>
                <w:sz w:val="21"/>
                <w:szCs w:val="21"/>
                <w:u w:val="single"/>
                <w:lang w:bidi="ar-SA"/>
              </w:rPr>
            </w:pPr>
            <w:r>
              <w:rPr>
                <w:rFonts w:hint="eastAsia"/>
                <w:sz w:val="21"/>
                <w:szCs w:val="21"/>
                <w:u w:val="single"/>
                <w:lang w:bidi="ar-SA"/>
              </w:rPr>
              <w:t>（1）递交的电子投标文件必须进行加密。</w:t>
            </w:r>
          </w:p>
          <w:p w14:paraId="11B347A4">
            <w:pPr>
              <w:spacing w:before="40" w:after="40"/>
              <w:rPr>
                <w:sz w:val="21"/>
                <w:szCs w:val="21"/>
                <w:u w:val="single"/>
                <w:lang w:bidi="ar-SA"/>
              </w:rPr>
            </w:pPr>
            <w:r>
              <w:rPr>
                <w:rFonts w:hint="eastAsia"/>
                <w:sz w:val="21"/>
                <w:szCs w:val="21"/>
                <w:u w:val="single"/>
                <w:lang w:bidi="ar-SA"/>
              </w:rPr>
              <w:t>按照广州公共资源交易平台关于全流程电子化项目的相关指南进行操作，详见</w:t>
            </w:r>
            <w:r>
              <w:rPr>
                <w:rFonts w:hint="eastAsia"/>
                <w:sz w:val="21"/>
                <w:szCs w:val="21"/>
                <w:u w:val="single"/>
              </w:rPr>
              <w:t>广州交易集团有限公司（广州公共资源交易中心）</w:t>
            </w:r>
            <w:r>
              <w:rPr>
                <w:rFonts w:hint="eastAsia"/>
                <w:sz w:val="21"/>
                <w:szCs w:val="21"/>
                <w:u w:val="single"/>
                <w:lang w:bidi="ar-SA"/>
              </w:rPr>
              <w:t>网站发布的最新版操作指引</w:t>
            </w:r>
            <w:r>
              <w:rPr>
                <w:rFonts w:hint="eastAsia"/>
                <w:sz w:val="21"/>
                <w:szCs w:val="21"/>
                <w:u w:val="single"/>
              </w:rPr>
              <w:t>。</w:t>
            </w:r>
          </w:p>
          <w:p w14:paraId="3E1537DF">
            <w:pPr>
              <w:spacing w:before="40" w:after="40"/>
              <w:rPr>
                <w:sz w:val="21"/>
                <w:szCs w:val="21"/>
              </w:rPr>
            </w:pPr>
            <w:r>
              <w:rPr>
                <w:rFonts w:hint="eastAsia"/>
                <w:sz w:val="21"/>
                <w:szCs w:val="21"/>
                <w:u w:val="single"/>
                <w:lang w:bidi="ar-SA"/>
              </w:rPr>
              <w:t>（2）未按要求加密的投标文件，电子招标投标交易平台将予以拒收。</w:t>
            </w:r>
          </w:p>
        </w:tc>
      </w:tr>
      <w:tr w14:paraId="63ABC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09A08A5D">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4.1.2</w:t>
            </w:r>
          </w:p>
        </w:tc>
        <w:tc>
          <w:tcPr>
            <w:tcW w:w="2808" w:type="dxa"/>
            <w:vAlign w:val="center"/>
          </w:tcPr>
          <w:p w14:paraId="47B690C6">
            <w:pPr>
              <w:adjustRightInd w:val="0"/>
              <w:snapToGrid w:val="0"/>
              <w:ind w:left="44" w:leftChars="20" w:right="44" w:rightChars="20"/>
              <w:jc w:val="center"/>
              <w:rPr>
                <w:bCs/>
                <w:kern w:val="2"/>
                <w:sz w:val="21"/>
                <w:szCs w:val="21"/>
                <w:lang w:val="en-US" w:bidi="ar-SA"/>
              </w:rPr>
            </w:pPr>
            <w:r>
              <w:rPr>
                <w:rFonts w:hint="eastAsia"/>
                <w:sz w:val="21"/>
                <w:szCs w:val="21"/>
              </w:rPr>
              <w:t>封套上应载明的信息</w:t>
            </w:r>
          </w:p>
        </w:tc>
        <w:tc>
          <w:tcPr>
            <w:tcW w:w="5919" w:type="dxa"/>
            <w:vAlign w:val="center"/>
          </w:tcPr>
          <w:p w14:paraId="69FFDD54">
            <w:pPr>
              <w:rPr>
                <w:b/>
                <w:sz w:val="21"/>
                <w:szCs w:val="21"/>
                <w:u w:val="single"/>
                <w:lang w:bidi="ar-SA"/>
              </w:rPr>
            </w:pPr>
            <w:r>
              <w:rPr>
                <w:rFonts w:hint="eastAsia"/>
                <w:b/>
                <w:sz w:val="21"/>
                <w:szCs w:val="21"/>
                <w:u w:val="single"/>
                <w:lang w:bidi="ar-SA"/>
              </w:rPr>
              <w:t>如有提交投标文件光盘（备用），封套上应注明如下信息：</w:t>
            </w:r>
          </w:p>
          <w:p w14:paraId="5B4C16EB">
            <w:pPr>
              <w:pStyle w:val="8"/>
              <w:adjustRightInd w:val="0"/>
              <w:snapToGrid w:val="0"/>
              <w:spacing w:after="0"/>
              <w:ind w:left="44" w:leftChars="20" w:right="44" w:rightChars="20"/>
              <w:rPr>
                <w:sz w:val="21"/>
                <w:szCs w:val="21"/>
                <w:u w:val="single"/>
                <w:lang w:val="en-US"/>
              </w:rPr>
            </w:pPr>
            <w:r>
              <w:rPr>
                <w:rFonts w:hint="eastAsia"/>
                <w:sz w:val="21"/>
                <w:szCs w:val="21"/>
                <w:lang w:val="en-US"/>
              </w:rPr>
              <w:t>招标人名称：</w:t>
            </w:r>
            <w:r>
              <w:rPr>
                <w:rFonts w:hint="eastAsia"/>
                <w:sz w:val="21"/>
                <w:szCs w:val="21"/>
                <w:u w:val="single"/>
                <w:lang w:val="en-US"/>
              </w:rPr>
              <w:t xml:space="preserve">                    </w:t>
            </w:r>
          </w:p>
          <w:p w14:paraId="5796B0D4">
            <w:pPr>
              <w:pStyle w:val="8"/>
              <w:adjustRightInd w:val="0"/>
              <w:snapToGrid w:val="0"/>
              <w:spacing w:after="0"/>
              <w:ind w:left="44" w:leftChars="20" w:right="44" w:rightChars="20"/>
              <w:rPr>
                <w:sz w:val="21"/>
                <w:szCs w:val="21"/>
                <w:u w:val="single"/>
                <w:lang w:val="en-US"/>
              </w:rPr>
            </w:pPr>
            <w:r>
              <w:rPr>
                <w:rFonts w:hint="eastAsia"/>
                <w:sz w:val="21"/>
                <w:szCs w:val="21"/>
                <w:lang w:val="en-US"/>
              </w:rPr>
              <w:t>招标人地址：</w:t>
            </w:r>
            <w:r>
              <w:rPr>
                <w:rFonts w:hint="eastAsia"/>
                <w:sz w:val="21"/>
                <w:szCs w:val="21"/>
                <w:u w:val="single"/>
                <w:lang w:val="en-US"/>
              </w:rPr>
              <w:t xml:space="preserve">                    </w:t>
            </w:r>
          </w:p>
          <w:p w14:paraId="2C9EB150">
            <w:pPr>
              <w:pStyle w:val="8"/>
              <w:adjustRightInd w:val="0"/>
              <w:snapToGrid w:val="0"/>
              <w:spacing w:after="0"/>
              <w:ind w:left="44" w:leftChars="20" w:right="44" w:rightChars="20"/>
              <w:rPr>
                <w:sz w:val="21"/>
                <w:szCs w:val="21"/>
                <w:lang w:val="en-US"/>
              </w:rPr>
            </w:pPr>
            <w:r>
              <w:rPr>
                <w:rFonts w:hint="eastAsia"/>
                <w:sz w:val="21"/>
                <w:szCs w:val="21"/>
                <w:u w:val="single"/>
                <w:lang w:val="en-US"/>
              </w:rPr>
              <w:t xml:space="preserve">          （项目名称）</w:t>
            </w:r>
            <w:r>
              <w:rPr>
                <w:rFonts w:hint="eastAsia"/>
                <w:sz w:val="21"/>
                <w:szCs w:val="21"/>
                <w:lang w:val="en-US"/>
              </w:rPr>
              <w:t>投标文件</w:t>
            </w:r>
            <w:r>
              <w:rPr>
                <w:rFonts w:hint="eastAsia"/>
                <w:sz w:val="21"/>
                <w:szCs w:val="21"/>
                <w:u w:val="single"/>
                <w:lang w:bidi="ar-SA"/>
              </w:rPr>
              <w:t>光盘（备用）</w:t>
            </w:r>
          </w:p>
          <w:p w14:paraId="779F7B23">
            <w:pPr>
              <w:pStyle w:val="8"/>
              <w:adjustRightInd w:val="0"/>
              <w:snapToGrid w:val="0"/>
              <w:spacing w:after="0"/>
              <w:ind w:left="44" w:leftChars="20" w:right="44" w:rightChars="20"/>
              <w:rPr>
                <w:sz w:val="21"/>
                <w:szCs w:val="21"/>
                <w:u w:val="single"/>
                <w:lang w:val="en-US"/>
              </w:rPr>
            </w:pPr>
            <w:r>
              <w:rPr>
                <w:rFonts w:hint="eastAsia"/>
                <w:sz w:val="21"/>
                <w:szCs w:val="21"/>
                <w:lang w:val="en-US"/>
              </w:rPr>
              <w:t>招标项目编号：</w:t>
            </w:r>
            <w:r>
              <w:rPr>
                <w:rFonts w:hint="eastAsia"/>
                <w:sz w:val="21"/>
                <w:szCs w:val="21"/>
                <w:u w:val="single"/>
                <w:lang w:val="en-US"/>
              </w:rPr>
              <w:t xml:space="preserve">                   </w:t>
            </w:r>
          </w:p>
          <w:p w14:paraId="379D8D20">
            <w:pPr>
              <w:pStyle w:val="8"/>
              <w:adjustRightInd w:val="0"/>
              <w:snapToGrid w:val="0"/>
              <w:ind w:left="44" w:leftChars="20" w:right="44" w:rightChars="20"/>
              <w:rPr>
                <w:sz w:val="21"/>
                <w:szCs w:val="21"/>
                <w:u w:val="single"/>
                <w:lang w:bidi="ar-SA"/>
              </w:rPr>
            </w:pPr>
            <w:r>
              <w:rPr>
                <w:rFonts w:hint="eastAsia"/>
                <w:sz w:val="21"/>
                <w:szCs w:val="21"/>
                <w:lang w:bidi="ar-SA"/>
              </w:rPr>
              <w:t>投标人名称：</w:t>
            </w:r>
            <w:r>
              <w:rPr>
                <w:rFonts w:hint="eastAsia"/>
                <w:sz w:val="21"/>
                <w:szCs w:val="21"/>
                <w:u w:val="single"/>
                <w:lang w:bidi="ar-SA"/>
              </w:rPr>
              <w:t xml:space="preserve">                    </w:t>
            </w:r>
          </w:p>
          <w:p w14:paraId="3B56BA52">
            <w:pPr>
              <w:pStyle w:val="8"/>
              <w:adjustRightInd w:val="0"/>
              <w:snapToGrid w:val="0"/>
              <w:ind w:left="44" w:leftChars="20" w:right="44" w:rightChars="20"/>
              <w:rPr>
                <w:sz w:val="21"/>
                <w:szCs w:val="21"/>
                <w:lang w:bidi="ar-SA"/>
              </w:rPr>
            </w:pPr>
            <w:r>
              <w:rPr>
                <w:rFonts w:hint="eastAsia"/>
                <w:sz w:val="21"/>
                <w:szCs w:val="21"/>
                <w:lang w:bidi="ar-SA"/>
              </w:rPr>
              <w:t>投标人地址：</w:t>
            </w:r>
            <w:r>
              <w:rPr>
                <w:rFonts w:hint="eastAsia"/>
                <w:sz w:val="21"/>
                <w:szCs w:val="21"/>
                <w:u w:val="single"/>
                <w:lang w:bidi="ar-SA"/>
              </w:rPr>
              <w:t xml:space="preserve">                    </w:t>
            </w:r>
          </w:p>
          <w:p w14:paraId="7EAFF8E1">
            <w:pPr>
              <w:pStyle w:val="8"/>
              <w:adjustRightInd w:val="0"/>
              <w:snapToGrid w:val="0"/>
              <w:spacing w:after="0"/>
              <w:ind w:left="44" w:leftChars="20" w:right="44" w:rightChars="20"/>
              <w:rPr>
                <w:sz w:val="21"/>
                <w:szCs w:val="21"/>
                <w:u w:val="single"/>
                <w:lang w:val="en-US"/>
              </w:rPr>
            </w:pPr>
            <w:r>
              <w:rPr>
                <w:rFonts w:hint="eastAsia"/>
                <w:sz w:val="21"/>
                <w:szCs w:val="21"/>
                <w:lang w:bidi="ar-SA"/>
              </w:rPr>
              <w:t>联系人及电话：</w:t>
            </w:r>
            <w:r>
              <w:rPr>
                <w:rFonts w:hint="eastAsia"/>
                <w:sz w:val="21"/>
                <w:szCs w:val="21"/>
                <w:u w:val="single"/>
                <w:lang w:bidi="ar-SA"/>
              </w:rPr>
              <w:t xml:space="preserve">                  </w:t>
            </w:r>
          </w:p>
          <w:p w14:paraId="6D88D035">
            <w:pPr>
              <w:pStyle w:val="8"/>
              <w:adjustRightInd w:val="0"/>
              <w:snapToGrid w:val="0"/>
              <w:spacing w:after="0"/>
              <w:ind w:left="44" w:leftChars="20" w:right="44" w:rightChars="20"/>
              <w:rPr>
                <w:sz w:val="21"/>
                <w:szCs w:val="21"/>
              </w:rPr>
            </w:pPr>
            <w:r>
              <w:rPr>
                <w:rFonts w:hint="eastAsia"/>
                <w:sz w:val="21"/>
                <w:szCs w:val="21"/>
                <w:lang w:val="en-US"/>
              </w:rPr>
              <w:t>在</w:t>
            </w:r>
            <w:r>
              <w:rPr>
                <w:rFonts w:hint="eastAsia"/>
                <w:sz w:val="21"/>
                <w:szCs w:val="21"/>
                <w:u w:val="single"/>
                <w:lang w:val="en-US"/>
              </w:rPr>
              <w:t xml:space="preserve">    </w:t>
            </w:r>
            <w:r>
              <w:rPr>
                <w:rFonts w:hint="eastAsia"/>
                <w:sz w:val="21"/>
                <w:szCs w:val="21"/>
                <w:lang w:val="en-US"/>
              </w:rPr>
              <w:t>年</w:t>
            </w:r>
            <w:r>
              <w:rPr>
                <w:rFonts w:hint="eastAsia"/>
                <w:sz w:val="21"/>
                <w:szCs w:val="21"/>
                <w:u w:val="single"/>
                <w:lang w:val="en-US"/>
              </w:rPr>
              <w:t xml:space="preserve">    </w:t>
            </w:r>
            <w:r>
              <w:rPr>
                <w:rFonts w:hint="eastAsia"/>
                <w:sz w:val="21"/>
                <w:szCs w:val="21"/>
                <w:lang w:val="en-US"/>
              </w:rPr>
              <w:t>月</w:t>
            </w:r>
            <w:r>
              <w:rPr>
                <w:rFonts w:hint="eastAsia"/>
                <w:sz w:val="21"/>
                <w:szCs w:val="21"/>
                <w:u w:val="single"/>
                <w:lang w:val="en-US"/>
              </w:rPr>
              <w:t xml:space="preserve">    </w:t>
            </w:r>
            <w:r>
              <w:rPr>
                <w:rFonts w:hint="eastAsia"/>
                <w:sz w:val="21"/>
                <w:szCs w:val="21"/>
                <w:lang w:val="en-US"/>
              </w:rPr>
              <w:t>日</w:t>
            </w:r>
            <w:r>
              <w:rPr>
                <w:rFonts w:hint="eastAsia"/>
                <w:sz w:val="21"/>
                <w:szCs w:val="21"/>
                <w:u w:val="single"/>
                <w:lang w:val="en-US"/>
              </w:rPr>
              <w:t xml:space="preserve">    </w:t>
            </w:r>
            <w:r>
              <w:rPr>
                <w:rFonts w:hint="eastAsia"/>
                <w:sz w:val="21"/>
                <w:szCs w:val="21"/>
                <w:lang w:val="en-US"/>
              </w:rPr>
              <w:t>时</w:t>
            </w:r>
            <w:r>
              <w:rPr>
                <w:rFonts w:hint="eastAsia"/>
                <w:sz w:val="21"/>
                <w:szCs w:val="21"/>
                <w:u w:val="single"/>
                <w:lang w:val="en-US"/>
              </w:rPr>
              <w:t xml:space="preserve">    </w:t>
            </w:r>
            <w:r>
              <w:rPr>
                <w:rFonts w:hint="eastAsia"/>
                <w:sz w:val="21"/>
                <w:szCs w:val="21"/>
                <w:lang w:val="en-US"/>
              </w:rPr>
              <w:t>分前不得开启</w:t>
            </w:r>
          </w:p>
        </w:tc>
      </w:tr>
      <w:tr w14:paraId="030B1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252" w:type="dxa"/>
            <w:vAlign w:val="center"/>
          </w:tcPr>
          <w:p w14:paraId="239CD0A9">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4.2.1</w:t>
            </w:r>
          </w:p>
        </w:tc>
        <w:tc>
          <w:tcPr>
            <w:tcW w:w="2808" w:type="dxa"/>
            <w:vAlign w:val="center"/>
          </w:tcPr>
          <w:p w14:paraId="0657B1BE">
            <w:pPr>
              <w:jc w:val="center"/>
              <w:rPr>
                <w:bCs/>
                <w:kern w:val="2"/>
                <w:sz w:val="21"/>
                <w:szCs w:val="21"/>
                <w:lang w:val="en-US" w:bidi="ar-SA"/>
              </w:rPr>
            </w:pPr>
            <w:r>
              <w:rPr>
                <w:rFonts w:hint="eastAsia"/>
                <w:sz w:val="21"/>
                <w:szCs w:val="21"/>
                <w:lang w:bidi="ar-SA"/>
              </w:rPr>
              <w:t>投标截止时间</w:t>
            </w:r>
          </w:p>
        </w:tc>
        <w:tc>
          <w:tcPr>
            <w:tcW w:w="5919" w:type="dxa"/>
            <w:vAlign w:val="center"/>
          </w:tcPr>
          <w:p w14:paraId="3BD80DE4">
            <w:pPr>
              <w:spacing w:before="40" w:after="40"/>
              <w:rPr>
                <w:sz w:val="21"/>
                <w:szCs w:val="21"/>
                <w:lang w:bidi="ar-SA"/>
              </w:rPr>
            </w:pPr>
            <w:r>
              <w:rPr>
                <w:rFonts w:hint="eastAsia"/>
                <w:sz w:val="21"/>
                <w:szCs w:val="21"/>
                <w:u w:val="single"/>
                <w:lang w:bidi="ar-SA"/>
              </w:rPr>
              <w:t xml:space="preserve"> </w:t>
            </w:r>
            <w:r>
              <w:rPr>
                <w:rFonts w:hint="eastAsia"/>
                <w:sz w:val="21"/>
                <w:szCs w:val="21"/>
                <w:u w:val="single"/>
                <w:lang w:val="en-US" w:bidi="ar-SA"/>
              </w:rPr>
              <w:t xml:space="preserve">      </w:t>
            </w:r>
            <w:r>
              <w:rPr>
                <w:rFonts w:hint="eastAsia"/>
                <w:sz w:val="21"/>
                <w:szCs w:val="21"/>
                <w:u w:val="single"/>
                <w:lang w:bidi="ar-SA"/>
              </w:rPr>
              <w:t xml:space="preserve"> </w:t>
            </w:r>
            <w:r>
              <w:rPr>
                <w:rFonts w:hint="eastAsia"/>
                <w:sz w:val="21"/>
                <w:szCs w:val="21"/>
                <w:lang w:bidi="ar-SA"/>
              </w:rPr>
              <w:t>年</w:t>
            </w:r>
            <w:r>
              <w:rPr>
                <w:rFonts w:hint="eastAsia"/>
                <w:sz w:val="21"/>
                <w:szCs w:val="21"/>
                <w:u w:val="single"/>
                <w:lang w:bidi="ar-SA"/>
              </w:rPr>
              <w:t xml:space="preserve">   </w:t>
            </w:r>
            <w:r>
              <w:rPr>
                <w:rFonts w:hint="eastAsia"/>
                <w:sz w:val="21"/>
                <w:szCs w:val="21"/>
                <w:lang w:bidi="ar-SA"/>
              </w:rPr>
              <w:t>月</w:t>
            </w:r>
            <w:r>
              <w:rPr>
                <w:rFonts w:hint="eastAsia"/>
                <w:sz w:val="21"/>
                <w:szCs w:val="21"/>
                <w:u w:val="single"/>
                <w:lang w:bidi="ar-SA"/>
              </w:rPr>
              <w:t xml:space="preserve">   </w:t>
            </w:r>
            <w:r>
              <w:rPr>
                <w:rFonts w:hint="eastAsia"/>
                <w:sz w:val="21"/>
                <w:szCs w:val="21"/>
                <w:lang w:bidi="ar-SA"/>
              </w:rPr>
              <w:t>日</w:t>
            </w:r>
            <w:r>
              <w:rPr>
                <w:rFonts w:hint="eastAsia"/>
                <w:sz w:val="21"/>
                <w:szCs w:val="21"/>
                <w:u w:val="single"/>
                <w:lang w:bidi="ar-SA"/>
              </w:rPr>
              <w:t xml:space="preserve">   </w:t>
            </w:r>
            <w:r>
              <w:rPr>
                <w:rFonts w:hint="eastAsia"/>
                <w:sz w:val="21"/>
                <w:szCs w:val="21"/>
                <w:lang w:bidi="ar-SA"/>
              </w:rPr>
              <w:t>时</w:t>
            </w:r>
            <w:r>
              <w:rPr>
                <w:rFonts w:hint="eastAsia"/>
                <w:sz w:val="21"/>
                <w:szCs w:val="21"/>
                <w:u w:val="single"/>
                <w:lang w:bidi="ar-SA"/>
              </w:rPr>
              <w:t xml:space="preserve">   </w:t>
            </w:r>
            <w:r>
              <w:rPr>
                <w:rFonts w:hint="eastAsia"/>
                <w:sz w:val="21"/>
                <w:szCs w:val="21"/>
                <w:lang w:bidi="ar-SA"/>
              </w:rPr>
              <w:t>分（北京时间）</w:t>
            </w:r>
          </w:p>
          <w:p w14:paraId="0E9816DB">
            <w:pPr>
              <w:rPr>
                <w:sz w:val="21"/>
                <w:szCs w:val="21"/>
              </w:rPr>
            </w:pPr>
            <w:r>
              <w:rPr>
                <w:rFonts w:hint="eastAsia"/>
                <w:sz w:val="21"/>
                <w:szCs w:val="21"/>
                <w:u w:val="single"/>
                <w:lang w:bidi="ar-SA"/>
              </w:rPr>
              <w:t>上述时间是否有改变，请密切留意</w:t>
            </w:r>
            <w:r>
              <w:rPr>
                <w:rFonts w:hint="eastAsia"/>
                <w:sz w:val="21"/>
                <w:szCs w:val="21"/>
                <w:u w:val="single"/>
              </w:rPr>
              <w:t>广州交易集团有限公司（广州公共资源交易中心）</w:t>
            </w:r>
            <w:r>
              <w:rPr>
                <w:rFonts w:hint="eastAsia"/>
                <w:sz w:val="21"/>
                <w:szCs w:val="21"/>
                <w:u w:val="single"/>
                <w:lang w:bidi="ar-SA"/>
              </w:rPr>
              <w:t>网站的相关信息。</w:t>
            </w:r>
          </w:p>
        </w:tc>
      </w:tr>
      <w:tr w14:paraId="6595A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38ABCE2B">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4.2.2</w:t>
            </w:r>
          </w:p>
        </w:tc>
        <w:tc>
          <w:tcPr>
            <w:tcW w:w="2808" w:type="dxa"/>
            <w:vAlign w:val="center"/>
          </w:tcPr>
          <w:p w14:paraId="251A4706">
            <w:pPr>
              <w:adjustRightInd w:val="0"/>
              <w:snapToGrid w:val="0"/>
              <w:ind w:left="44" w:leftChars="20" w:right="44" w:rightChars="20"/>
              <w:jc w:val="center"/>
              <w:rPr>
                <w:bCs/>
                <w:kern w:val="2"/>
                <w:sz w:val="21"/>
                <w:szCs w:val="21"/>
                <w:lang w:val="en-US" w:bidi="ar-SA"/>
              </w:rPr>
            </w:pPr>
            <w:r>
              <w:rPr>
                <w:rFonts w:hint="eastAsia"/>
                <w:sz w:val="21"/>
                <w:szCs w:val="21"/>
              </w:rPr>
              <w:t>递交电子投标文件交易平台</w:t>
            </w:r>
          </w:p>
        </w:tc>
        <w:tc>
          <w:tcPr>
            <w:tcW w:w="5919" w:type="dxa"/>
            <w:vAlign w:val="center"/>
          </w:tcPr>
          <w:p w14:paraId="6BD6F5B3">
            <w:pPr>
              <w:adjustRightInd w:val="0"/>
              <w:snapToGrid w:val="0"/>
              <w:ind w:left="44" w:leftChars="20" w:right="44" w:rightChars="20"/>
              <w:rPr>
                <w:sz w:val="21"/>
                <w:szCs w:val="21"/>
                <w:u w:val="single"/>
              </w:rPr>
            </w:pPr>
            <w:r>
              <w:rPr>
                <w:rFonts w:hint="eastAsia"/>
                <w:sz w:val="21"/>
                <w:szCs w:val="21"/>
                <w:u w:val="single"/>
              </w:rPr>
              <w:t xml:space="preserve">1.递交方式：网上递交投标文件 </w:t>
            </w:r>
          </w:p>
          <w:p w14:paraId="34DE0058">
            <w:pPr>
              <w:adjustRightInd w:val="0"/>
              <w:snapToGrid w:val="0"/>
              <w:ind w:left="44" w:leftChars="20" w:right="44" w:rightChars="20"/>
              <w:rPr>
                <w:sz w:val="21"/>
                <w:szCs w:val="21"/>
                <w:u w:val="single"/>
              </w:rPr>
            </w:pPr>
            <w:r>
              <w:rPr>
                <w:rFonts w:hint="eastAsia"/>
                <w:sz w:val="21"/>
                <w:szCs w:val="21"/>
                <w:u w:val="single"/>
              </w:rPr>
              <w:t xml:space="preserve">2.交易平台：广州交易集团有限公司（广州公共资源交易中心）网站。 </w:t>
            </w:r>
          </w:p>
          <w:p w14:paraId="54602F2B">
            <w:pPr>
              <w:adjustRightInd w:val="0"/>
              <w:snapToGrid w:val="0"/>
              <w:ind w:left="44" w:leftChars="20" w:right="44" w:rightChars="20"/>
              <w:rPr>
                <w:sz w:val="21"/>
                <w:szCs w:val="21"/>
              </w:rPr>
            </w:pPr>
            <w:r>
              <w:rPr>
                <w:rFonts w:hint="eastAsia"/>
                <w:sz w:val="21"/>
                <w:szCs w:val="21"/>
                <w:u w:val="single"/>
              </w:rPr>
              <w:t>3.上述时间是否有改变，请密切留意招标答疑纪要的相关信息。</w:t>
            </w:r>
          </w:p>
        </w:tc>
      </w:tr>
      <w:tr w14:paraId="10B0A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2" w:type="dxa"/>
            <w:vAlign w:val="center"/>
          </w:tcPr>
          <w:p w14:paraId="53AD857F">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4.2.3</w:t>
            </w:r>
          </w:p>
        </w:tc>
        <w:tc>
          <w:tcPr>
            <w:tcW w:w="2808" w:type="dxa"/>
            <w:vAlign w:val="center"/>
          </w:tcPr>
          <w:p w14:paraId="46DE72F5">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投标文件是否退还</w:t>
            </w:r>
          </w:p>
        </w:tc>
        <w:tc>
          <w:tcPr>
            <w:tcW w:w="5919" w:type="dxa"/>
            <w:vAlign w:val="center"/>
          </w:tcPr>
          <w:p w14:paraId="0996AA73">
            <w:pPr>
              <w:pStyle w:val="8"/>
              <w:adjustRightInd w:val="0"/>
              <w:snapToGrid w:val="0"/>
              <w:spacing w:after="0"/>
              <w:ind w:left="44" w:leftChars="20" w:right="44" w:rightChars="20"/>
              <w:rPr>
                <w:sz w:val="21"/>
                <w:szCs w:val="21"/>
                <w:lang w:val="en-US"/>
              </w:rPr>
            </w:pPr>
            <w:r>
              <w:rPr>
                <w:rFonts w:hint="eastAsia"/>
                <w:sz w:val="21"/>
                <w:szCs w:val="21"/>
                <w:lang w:val="en-US"/>
              </w:rPr>
              <w:t>■否</w:t>
            </w:r>
          </w:p>
          <w:p w14:paraId="12AC7D9D">
            <w:pPr>
              <w:pStyle w:val="8"/>
              <w:adjustRightInd w:val="0"/>
              <w:snapToGrid w:val="0"/>
              <w:spacing w:after="0"/>
              <w:ind w:left="44" w:leftChars="20" w:right="44" w:rightChars="20"/>
              <w:rPr>
                <w:sz w:val="21"/>
                <w:szCs w:val="21"/>
              </w:rPr>
            </w:pPr>
            <w:r>
              <w:rPr>
                <w:rFonts w:hint="eastAsia"/>
                <w:sz w:val="21"/>
                <w:szCs w:val="21"/>
                <w:lang w:val="en-US"/>
              </w:rPr>
              <w:t>□是，退还时间：</w:t>
            </w:r>
          </w:p>
        </w:tc>
      </w:tr>
      <w:tr w14:paraId="3F349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7AAB4319">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4.3</w:t>
            </w:r>
          </w:p>
        </w:tc>
        <w:tc>
          <w:tcPr>
            <w:tcW w:w="2808" w:type="dxa"/>
            <w:vAlign w:val="center"/>
          </w:tcPr>
          <w:p w14:paraId="0F4A0423">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投标文件的修改与撤回</w:t>
            </w:r>
          </w:p>
        </w:tc>
        <w:tc>
          <w:tcPr>
            <w:tcW w:w="5919" w:type="dxa"/>
            <w:vAlign w:val="center"/>
          </w:tcPr>
          <w:p w14:paraId="7C90A58C">
            <w:pPr>
              <w:adjustRightInd w:val="0"/>
              <w:snapToGrid w:val="0"/>
              <w:ind w:left="44" w:leftChars="20" w:right="44" w:rightChars="20"/>
              <w:rPr>
                <w:sz w:val="21"/>
                <w:szCs w:val="21"/>
              </w:rPr>
            </w:pPr>
            <w:r>
              <w:rPr>
                <w:rFonts w:hint="eastAsia"/>
                <w:sz w:val="21"/>
                <w:szCs w:val="21"/>
                <w:u w:val="single"/>
              </w:rPr>
              <w:t>投标人修改或撤回已递交的投标文件，需在交易平台发出撤回通知，并按要求加盖电子印章。电子招标投标交易平台收到通知后，即时向投标人发出确认回执通知。</w:t>
            </w:r>
          </w:p>
        </w:tc>
      </w:tr>
      <w:tr w14:paraId="5495D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49EFD889">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5.1（B）</w:t>
            </w:r>
          </w:p>
        </w:tc>
        <w:tc>
          <w:tcPr>
            <w:tcW w:w="2808" w:type="dxa"/>
            <w:vAlign w:val="center"/>
          </w:tcPr>
          <w:p w14:paraId="677F4E4D">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开标时间和地点</w:t>
            </w:r>
          </w:p>
        </w:tc>
        <w:tc>
          <w:tcPr>
            <w:tcW w:w="5919" w:type="dxa"/>
            <w:vAlign w:val="center"/>
          </w:tcPr>
          <w:p w14:paraId="76E9A15C">
            <w:pPr>
              <w:adjustRightInd w:val="0"/>
              <w:snapToGrid w:val="0"/>
              <w:ind w:left="110" w:leftChars="50"/>
              <w:rPr>
                <w:sz w:val="21"/>
                <w:szCs w:val="21"/>
                <w:lang w:val="en-US"/>
              </w:rPr>
            </w:pPr>
            <w:r>
              <w:rPr>
                <w:rFonts w:hint="eastAsia"/>
                <w:sz w:val="21"/>
                <w:szCs w:val="21"/>
              </w:rPr>
              <w:t>具体开标时间、开标地点详见广州交易集团有限公司</w:t>
            </w:r>
            <w:r>
              <w:rPr>
                <w:rFonts w:hint="eastAsia"/>
                <w:sz w:val="21"/>
                <w:szCs w:val="21"/>
                <w:lang w:val="en-US"/>
              </w:rPr>
              <w:t>（</w:t>
            </w:r>
            <w:r>
              <w:rPr>
                <w:rFonts w:hint="eastAsia"/>
                <w:sz w:val="21"/>
                <w:szCs w:val="21"/>
              </w:rPr>
              <w:t>广州公共资源交易中心</w:t>
            </w:r>
            <w:r>
              <w:rPr>
                <w:rFonts w:hint="eastAsia"/>
                <w:sz w:val="21"/>
                <w:szCs w:val="21"/>
                <w:lang w:val="en-US"/>
              </w:rPr>
              <w:t>）</w:t>
            </w:r>
            <w:r>
              <w:rPr>
                <w:rFonts w:hint="eastAsia"/>
                <w:sz w:val="21"/>
                <w:szCs w:val="21"/>
              </w:rPr>
              <w:t>网站</w:t>
            </w:r>
            <w:r>
              <w:rPr>
                <w:rFonts w:hint="eastAsia"/>
                <w:sz w:val="21"/>
                <w:szCs w:val="21"/>
                <w:lang w:val="en-US"/>
              </w:rPr>
              <w:t>（http://www.gzggzy.cn）</w:t>
            </w:r>
            <w:r>
              <w:rPr>
                <w:rFonts w:hint="eastAsia"/>
                <w:sz w:val="21"/>
                <w:szCs w:val="21"/>
              </w:rPr>
              <w:t>的项目查询</w:t>
            </w:r>
            <w:r>
              <w:rPr>
                <w:rFonts w:hint="eastAsia"/>
                <w:sz w:val="21"/>
                <w:szCs w:val="21"/>
                <w:lang w:val="en-US"/>
              </w:rPr>
              <w:t>(</w:t>
            </w:r>
            <w:r>
              <w:rPr>
                <w:rFonts w:hint="eastAsia"/>
                <w:sz w:val="21"/>
                <w:szCs w:val="21"/>
              </w:rPr>
              <w:t>日程安排、答疑纪要</w:t>
            </w:r>
            <w:r>
              <w:rPr>
                <w:rFonts w:hint="eastAsia"/>
                <w:sz w:val="21"/>
                <w:szCs w:val="21"/>
                <w:lang w:val="en-US"/>
              </w:rPr>
              <w:t>)</w:t>
            </w:r>
            <w:r>
              <w:rPr>
                <w:rFonts w:hint="eastAsia"/>
                <w:sz w:val="21"/>
                <w:szCs w:val="21"/>
              </w:rPr>
              <w:t>中输入本项目编号或项目名称进行查询。</w:t>
            </w:r>
          </w:p>
          <w:p w14:paraId="4F860249">
            <w:pPr>
              <w:adjustRightInd w:val="0"/>
              <w:snapToGrid w:val="0"/>
              <w:ind w:left="110" w:leftChars="50"/>
              <w:rPr>
                <w:sz w:val="21"/>
                <w:szCs w:val="21"/>
              </w:rPr>
            </w:pPr>
            <w:r>
              <w:rPr>
                <w:rFonts w:hint="eastAsia"/>
                <w:sz w:val="21"/>
                <w:szCs w:val="21"/>
              </w:rPr>
              <w:t>在广州交易集团有限公司（广州公共资源交易中心）公开开标，并邀请所有投标人的法定代表人（单位负责人）或其委托代理人准时参加。开标时，投标人代表有权出席开标会，也可以自主决定不参加开标会。也可选择参加在线开标，在线开标具体按照交易平台相关指南进行操作。</w:t>
            </w:r>
          </w:p>
          <w:p w14:paraId="60CC8FEA">
            <w:pPr>
              <w:adjustRightInd w:val="0"/>
              <w:snapToGrid w:val="0"/>
              <w:ind w:left="44" w:leftChars="20" w:right="44" w:rightChars="20"/>
              <w:rPr>
                <w:sz w:val="21"/>
                <w:szCs w:val="21"/>
              </w:rPr>
            </w:pPr>
            <w:r>
              <w:rPr>
                <w:rFonts w:hint="eastAsia"/>
                <w:b/>
                <w:bCs/>
                <w:sz w:val="21"/>
                <w:szCs w:val="21"/>
                <w:u w:val="single"/>
              </w:rPr>
              <w:t>上述时间及地点是否有改变，请密切留意补充公告（如有）和招标答疑纪要（如有）的相关信息。</w:t>
            </w:r>
          </w:p>
        </w:tc>
      </w:tr>
      <w:tr w14:paraId="1381A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644EF1C2">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5.2（B）</w:t>
            </w:r>
          </w:p>
        </w:tc>
        <w:tc>
          <w:tcPr>
            <w:tcW w:w="2808" w:type="dxa"/>
            <w:vAlign w:val="center"/>
          </w:tcPr>
          <w:p w14:paraId="089DB8BF">
            <w:pPr>
              <w:adjustRightInd w:val="0"/>
              <w:snapToGrid w:val="0"/>
              <w:ind w:left="44" w:leftChars="20" w:right="44" w:rightChars="20"/>
              <w:jc w:val="center"/>
              <w:rPr>
                <w:bCs/>
                <w:kern w:val="2"/>
                <w:sz w:val="21"/>
                <w:szCs w:val="21"/>
                <w:lang w:val="en-US" w:bidi="ar-SA"/>
              </w:rPr>
            </w:pPr>
            <w:r>
              <w:rPr>
                <w:rFonts w:hint="eastAsia"/>
                <w:sz w:val="21"/>
                <w:szCs w:val="21"/>
              </w:rPr>
              <w:t>开标程序</w:t>
            </w:r>
          </w:p>
        </w:tc>
        <w:tc>
          <w:tcPr>
            <w:tcW w:w="5919" w:type="dxa"/>
            <w:vAlign w:val="center"/>
          </w:tcPr>
          <w:p w14:paraId="242BE71A">
            <w:pPr>
              <w:pStyle w:val="5"/>
              <w:adjustRightInd w:val="0"/>
              <w:snapToGrid w:val="0"/>
              <w:ind w:right="44" w:rightChars="20" w:firstLine="0"/>
              <w:rPr>
                <w:sz w:val="21"/>
                <w:szCs w:val="21"/>
              </w:rPr>
            </w:pPr>
            <w:r>
              <w:rPr>
                <w:rFonts w:hint="eastAsia"/>
                <w:sz w:val="21"/>
                <w:szCs w:val="21"/>
              </w:rPr>
              <w:t>电子招投标项目开标按下列程序进行：</w:t>
            </w:r>
          </w:p>
          <w:p w14:paraId="31BB4443">
            <w:pPr>
              <w:pStyle w:val="5"/>
              <w:adjustRightInd w:val="0"/>
              <w:snapToGrid w:val="0"/>
              <w:ind w:right="44" w:rightChars="20" w:firstLine="0"/>
              <w:rPr>
                <w:sz w:val="21"/>
                <w:szCs w:val="21"/>
              </w:rPr>
            </w:pPr>
            <w:r>
              <w:rPr>
                <w:rFonts w:hint="eastAsia"/>
                <w:sz w:val="21"/>
                <w:szCs w:val="21"/>
              </w:rPr>
              <w:t>5.2.1主持人按下列程序进行开标：</w:t>
            </w:r>
          </w:p>
          <w:p w14:paraId="7B14D5E0">
            <w:pPr>
              <w:pStyle w:val="5"/>
              <w:adjustRightInd w:val="0"/>
              <w:snapToGrid w:val="0"/>
              <w:ind w:right="44" w:rightChars="20" w:firstLine="0"/>
              <w:rPr>
                <w:sz w:val="21"/>
                <w:szCs w:val="21"/>
              </w:rPr>
            </w:pPr>
            <w:r>
              <w:rPr>
                <w:rFonts w:hint="eastAsia"/>
                <w:sz w:val="21"/>
                <w:szCs w:val="21"/>
              </w:rPr>
              <w:t>（1）宣布开标纪律；</w:t>
            </w:r>
          </w:p>
          <w:p w14:paraId="103E9E42">
            <w:pPr>
              <w:pStyle w:val="5"/>
              <w:adjustRightInd w:val="0"/>
              <w:snapToGrid w:val="0"/>
              <w:ind w:right="44" w:rightChars="20" w:firstLine="0"/>
              <w:rPr>
                <w:sz w:val="21"/>
                <w:szCs w:val="21"/>
                <w:lang w:val="en-US"/>
              </w:rPr>
            </w:pPr>
            <w:r>
              <w:rPr>
                <w:rFonts w:hint="eastAsia"/>
                <w:sz w:val="21"/>
                <w:szCs w:val="21"/>
              </w:rPr>
              <w:t>（2）投标人通过电子招标投标交易平台对已递交的电子投标文件进行解密</w:t>
            </w:r>
            <w:r>
              <w:rPr>
                <w:rFonts w:hint="eastAsia"/>
                <w:sz w:val="21"/>
                <w:szCs w:val="21"/>
                <w:lang w:val="en-US"/>
              </w:rPr>
              <w:t>；</w:t>
            </w:r>
          </w:p>
          <w:p w14:paraId="2288C70F">
            <w:pPr>
              <w:pStyle w:val="5"/>
              <w:adjustRightInd w:val="0"/>
              <w:snapToGrid w:val="0"/>
              <w:ind w:right="44" w:rightChars="20" w:firstLine="0"/>
              <w:rPr>
                <w:sz w:val="21"/>
                <w:szCs w:val="21"/>
              </w:rPr>
            </w:pPr>
            <w:r>
              <w:rPr>
                <w:rFonts w:hint="eastAsia"/>
                <w:sz w:val="21"/>
                <w:szCs w:val="21"/>
              </w:rPr>
              <w:t>（</w:t>
            </w:r>
            <w:r>
              <w:rPr>
                <w:rFonts w:hint="eastAsia"/>
                <w:sz w:val="21"/>
                <w:szCs w:val="21"/>
                <w:lang w:val="en-US"/>
              </w:rPr>
              <w:t>3）</w:t>
            </w:r>
            <w:r>
              <w:rPr>
                <w:rFonts w:hint="eastAsia"/>
                <w:sz w:val="21"/>
                <w:szCs w:val="21"/>
              </w:rPr>
              <w:t>公布在投标截止时间前递交投标文件的投标人名称，宣布开标人、唱标人、记录人、监标人等有关人员姓名；</w:t>
            </w:r>
            <w:r>
              <w:rPr>
                <w:rFonts w:hint="eastAsia"/>
                <w:sz w:val="21"/>
                <w:szCs w:val="21"/>
                <w:lang w:val="en-US"/>
              </w:rPr>
              <w:t>招标人（招标代理）</w:t>
            </w:r>
            <w:r>
              <w:rPr>
                <w:rFonts w:hint="eastAsia"/>
                <w:sz w:val="21"/>
                <w:szCs w:val="21"/>
              </w:rPr>
              <w:t>对所有已</w:t>
            </w:r>
            <w:r>
              <w:rPr>
                <w:rFonts w:hint="eastAsia"/>
                <w:sz w:val="21"/>
                <w:szCs w:val="21"/>
                <w:lang w:val="en-US"/>
              </w:rPr>
              <w:t>完成投标人解密</w:t>
            </w:r>
            <w:r>
              <w:rPr>
                <w:rFonts w:hint="eastAsia"/>
                <w:sz w:val="21"/>
                <w:szCs w:val="21"/>
              </w:rPr>
              <w:t>的电子投标文件进行招标人解密；</w:t>
            </w:r>
          </w:p>
          <w:p w14:paraId="1D08F858">
            <w:pPr>
              <w:pStyle w:val="5"/>
              <w:adjustRightInd w:val="0"/>
              <w:snapToGrid w:val="0"/>
              <w:ind w:right="44" w:rightChars="20" w:firstLine="0"/>
              <w:rPr>
                <w:sz w:val="21"/>
                <w:szCs w:val="21"/>
              </w:rPr>
            </w:pPr>
            <w:r>
              <w:rPr>
                <w:rFonts w:hint="eastAsia"/>
                <w:sz w:val="21"/>
                <w:szCs w:val="21"/>
              </w:rPr>
              <w:t>（4）公布招标项目名称、投标人名称、投标报价、服务期</w:t>
            </w:r>
            <w:r>
              <w:rPr>
                <w:rFonts w:hint="eastAsia"/>
                <w:sz w:val="21"/>
                <w:szCs w:val="21"/>
                <w:lang w:val="en-US"/>
              </w:rPr>
              <w:t>限</w:t>
            </w:r>
            <w:r>
              <w:rPr>
                <w:rFonts w:hint="eastAsia"/>
                <w:sz w:val="21"/>
                <w:szCs w:val="21"/>
              </w:rPr>
              <w:t>及其他内容，并记录在案；</w:t>
            </w:r>
          </w:p>
          <w:p w14:paraId="2797177E">
            <w:pPr>
              <w:pStyle w:val="5"/>
              <w:adjustRightInd w:val="0"/>
              <w:snapToGrid w:val="0"/>
              <w:ind w:right="44" w:rightChars="20" w:firstLine="0"/>
              <w:rPr>
                <w:sz w:val="21"/>
                <w:szCs w:val="21"/>
              </w:rPr>
            </w:pPr>
            <w:r>
              <w:rPr>
                <w:rFonts w:hint="eastAsia"/>
                <w:sz w:val="21"/>
                <w:szCs w:val="21"/>
              </w:rPr>
              <w:t>（5）投标人代表、招标人代表、监标人、记录人等有关人员在开标记录上签字确认；若有关人员不签字的，不影响开标程序；</w:t>
            </w:r>
          </w:p>
          <w:p w14:paraId="57849452">
            <w:pPr>
              <w:pStyle w:val="5"/>
              <w:adjustRightInd w:val="0"/>
              <w:snapToGrid w:val="0"/>
              <w:ind w:right="44" w:rightChars="20" w:firstLine="0"/>
              <w:rPr>
                <w:sz w:val="21"/>
                <w:szCs w:val="21"/>
              </w:rPr>
            </w:pPr>
            <w:r>
              <w:rPr>
                <w:rFonts w:hint="eastAsia"/>
                <w:sz w:val="21"/>
                <w:szCs w:val="21"/>
              </w:rPr>
              <w:t>（6）开标结束。</w:t>
            </w:r>
          </w:p>
          <w:p w14:paraId="0226240D">
            <w:pPr>
              <w:pStyle w:val="5"/>
              <w:adjustRightInd w:val="0"/>
              <w:snapToGrid w:val="0"/>
              <w:ind w:right="44" w:rightChars="20" w:firstLine="0"/>
              <w:rPr>
                <w:sz w:val="21"/>
                <w:szCs w:val="21"/>
              </w:rPr>
            </w:pPr>
            <w:r>
              <w:rPr>
                <w:rFonts w:hint="eastAsia"/>
                <w:sz w:val="21"/>
                <w:szCs w:val="21"/>
              </w:rPr>
              <w:t>5.2.2投标截止时间前未完成投标文件传输的或因投标人之外的原因造成投标文件未解密的，视为投标人撤回其投标文件。因投标人原因造成投标文件未解密的或未在投标截止时间后半小时内解密的，视为撤销其投标文件。</w:t>
            </w:r>
          </w:p>
          <w:p w14:paraId="6010F7CF">
            <w:pPr>
              <w:pStyle w:val="5"/>
              <w:adjustRightInd w:val="0"/>
              <w:snapToGrid w:val="0"/>
              <w:ind w:right="44" w:rightChars="20" w:firstLine="0"/>
              <w:rPr>
                <w:sz w:val="21"/>
                <w:szCs w:val="21"/>
              </w:rPr>
            </w:pPr>
            <w:r>
              <w:rPr>
                <w:rFonts w:hint="eastAsia"/>
                <w:sz w:val="21"/>
                <w:szCs w:val="21"/>
              </w:rPr>
              <w:t>5.2.3开标时，两个（含两个）以上的投标人加密打包投标文件电脑机器特征码一致的，不参与下一程序，并由评标委员会否决其投标。</w:t>
            </w:r>
          </w:p>
        </w:tc>
      </w:tr>
      <w:tr w14:paraId="31EC8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3BBC07DD">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5.3</w:t>
            </w:r>
          </w:p>
        </w:tc>
        <w:tc>
          <w:tcPr>
            <w:tcW w:w="2808" w:type="dxa"/>
            <w:vAlign w:val="center"/>
          </w:tcPr>
          <w:p w14:paraId="019F56C0">
            <w:pPr>
              <w:jc w:val="center"/>
              <w:rPr>
                <w:bCs/>
                <w:kern w:val="2"/>
                <w:sz w:val="21"/>
                <w:szCs w:val="21"/>
                <w:lang w:val="en-US" w:bidi="ar-SA"/>
              </w:rPr>
            </w:pPr>
            <w:r>
              <w:rPr>
                <w:rFonts w:hint="eastAsia"/>
                <w:sz w:val="21"/>
                <w:szCs w:val="21"/>
                <w:lang w:bidi="ar-SA"/>
              </w:rPr>
              <w:t>开标异议</w:t>
            </w:r>
          </w:p>
        </w:tc>
        <w:tc>
          <w:tcPr>
            <w:tcW w:w="5919" w:type="dxa"/>
            <w:vAlign w:val="center"/>
          </w:tcPr>
          <w:p w14:paraId="02435D73">
            <w:pPr>
              <w:wordWrap w:val="0"/>
              <w:adjustRightInd w:val="0"/>
              <w:rPr>
                <w:sz w:val="21"/>
                <w:szCs w:val="21"/>
                <w:u w:val="single"/>
                <w:lang w:bidi="ar-SA"/>
              </w:rPr>
            </w:pPr>
            <w:r>
              <w:rPr>
                <w:rFonts w:hint="eastAsia"/>
                <w:sz w:val="21"/>
                <w:szCs w:val="21"/>
                <w:u w:val="single"/>
                <w:lang w:bidi="ar-SA"/>
              </w:rPr>
              <w:t>5.3.1 参加现场开标的投标人对开标的异议，</w:t>
            </w:r>
            <w:r>
              <w:rPr>
                <w:sz w:val="21"/>
                <w:szCs w:val="21"/>
                <w:u w:val="single"/>
                <w:lang w:bidi="ar-SA"/>
              </w:rPr>
              <w:t>应当在开标现场提出，同时出示本人身份证原件，</w:t>
            </w:r>
            <w:r>
              <w:rPr>
                <w:rFonts w:hint="eastAsia"/>
                <w:sz w:val="21"/>
                <w:szCs w:val="21"/>
                <w:u w:val="single"/>
                <w:lang w:bidi="ar-SA"/>
              </w:rPr>
              <w:t xml:space="preserve">招标人应当当场作出答复并予以书面记录，异议成立的，招标人应当及时采取纠正措施，或者提交评标委员会评审确认；异议不成立的，招标人应当当场给予解释说明。 </w:t>
            </w:r>
          </w:p>
          <w:p w14:paraId="0693C0F9">
            <w:pPr>
              <w:wordWrap w:val="0"/>
              <w:adjustRightInd w:val="0"/>
              <w:rPr>
                <w:sz w:val="21"/>
                <w:szCs w:val="21"/>
                <w:u w:val="single"/>
                <w:lang w:bidi="ar-SA"/>
              </w:rPr>
            </w:pPr>
            <w:r>
              <w:rPr>
                <w:rFonts w:hint="eastAsia"/>
                <w:sz w:val="21"/>
                <w:szCs w:val="21"/>
                <w:u w:val="single"/>
                <w:lang w:bidi="ar-SA"/>
              </w:rPr>
              <w:t>5.3.</w:t>
            </w:r>
            <w:r>
              <w:rPr>
                <w:sz w:val="21"/>
                <w:szCs w:val="21"/>
                <w:u w:val="single"/>
                <w:lang w:bidi="ar-SA"/>
              </w:rPr>
              <w:t>2</w:t>
            </w:r>
            <w:r>
              <w:rPr>
                <w:rFonts w:hint="eastAsia"/>
                <w:sz w:val="21"/>
                <w:szCs w:val="21"/>
                <w:u w:val="single"/>
                <w:lang w:val="en-US" w:bidi="ar-SA"/>
              </w:rPr>
              <w:t xml:space="preserve"> </w:t>
            </w:r>
            <w:r>
              <w:rPr>
                <w:rFonts w:hint="eastAsia"/>
                <w:sz w:val="21"/>
                <w:szCs w:val="21"/>
                <w:u w:val="single"/>
                <w:lang w:bidi="ar-SA"/>
              </w:rPr>
              <w:t>对于在开标现场提出异议的，招标人应当按照同一异议提起人一份记录的方式，对异议事项的处理应逐条进行书面记录，并由异议提起人、招标人签名确认。书面记录含义应清晰而明确，包括但不限于纠正的措施、解释说明的内容、相关依据等。</w:t>
            </w:r>
          </w:p>
          <w:p w14:paraId="4B10F216">
            <w:pPr>
              <w:wordWrap w:val="0"/>
              <w:adjustRightInd w:val="0"/>
              <w:rPr>
                <w:sz w:val="21"/>
                <w:szCs w:val="21"/>
                <w:u w:val="single"/>
                <w:lang w:bidi="ar-SA"/>
              </w:rPr>
            </w:pPr>
            <w:r>
              <w:rPr>
                <w:rFonts w:hint="eastAsia"/>
                <w:sz w:val="21"/>
                <w:szCs w:val="21"/>
                <w:u w:val="single"/>
                <w:lang w:bidi="ar-SA"/>
              </w:rPr>
              <w:t>5.3.</w:t>
            </w:r>
            <w:r>
              <w:rPr>
                <w:sz w:val="21"/>
                <w:szCs w:val="21"/>
                <w:u w:val="single"/>
                <w:lang w:bidi="ar-SA"/>
              </w:rPr>
              <w:t>3</w:t>
            </w:r>
            <w:r>
              <w:rPr>
                <w:rFonts w:hint="eastAsia"/>
                <w:sz w:val="21"/>
                <w:szCs w:val="21"/>
                <w:u w:val="single"/>
                <w:lang w:bidi="ar-SA"/>
              </w:rPr>
              <w:t xml:space="preserve"> 参加在线开标的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59CD18F8">
            <w:pPr>
              <w:pStyle w:val="9"/>
            </w:pPr>
            <w:r>
              <w:rPr>
                <w:rFonts w:hint="eastAsia"/>
                <w:u w:val="single"/>
                <w:lang w:bidi="ar-SA"/>
              </w:rPr>
              <w:t>5.3.</w:t>
            </w:r>
            <w:r>
              <w:rPr>
                <w:u w:val="single"/>
                <w:lang w:bidi="ar-SA"/>
              </w:rPr>
              <w:t>4</w:t>
            </w:r>
            <w:r>
              <w:rPr>
                <w:rFonts w:hint="eastAsia"/>
                <w:u w:val="single"/>
                <w:lang w:bidi="ar-SA"/>
              </w:rPr>
              <w:t xml:space="preserve"> 投标人未参加开标或在规定的时间内未提出异议的，视为对开标无异议。</w:t>
            </w:r>
          </w:p>
        </w:tc>
      </w:tr>
      <w:tr w14:paraId="2904F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1252" w:type="dxa"/>
            <w:vAlign w:val="center"/>
          </w:tcPr>
          <w:p w14:paraId="66C1A16F">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6.1.1</w:t>
            </w:r>
          </w:p>
        </w:tc>
        <w:tc>
          <w:tcPr>
            <w:tcW w:w="2808" w:type="dxa"/>
            <w:vAlign w:val="center"/>
          </w:tcPr>
          <w:p w14:paraId="16327F78">
            <w:pPr>
              <w:jc w:val="center"/>
              <w:rPr>
                <w:bCs/>
                <w:kern w:val="2"/>
                <w:sz w:val="21"/>
                <w:szCs w:val="21"/>
                <w:lang w:val="en-US" w:bidi="ar-SA"/>
              </w:rPr>
            </w:pPr>
            <w:r>
              <w:rPr>
                <w:rFonts w:hint="eastAsia"/>
                <w:sz w:val="21"/>
                <w:szCs w:val="21"/>
                <w:lang w:bidi="ar-SA"/>
              </w:rPr>
              <w:t>评标委员会的组建</w:t>
            </w:r>
          </w:p>
        </w:tc>
        <w:tc>
          <w:tcPr>
            <w:tcW w:w="5919" w:type="dxa"/>
            <w:vAlign w:val="center"/>
          </w:tcPr>
          <w:p w14:paraId="07DC7F46">
            <w:pPr>
              <w:rPr>
                <w:sz w:val="21"/>
                <w:szCs w:val="21"/>
                <w:u w:val="single"/>
              </w:rPr>
            </w:pPr>
            <w:r>
              <w:rPr>
                <w:rFonts w:hint="eastAsia"/>
                <w:sz w:val="21"/>
                <w:szCs w:val="21"/>
                <w:u w:val="single"/>
              </w:rPr>
              <w:t>评标由招标人依法组建的评标委员会负责。</w:t>
            </w:r>
          </w:p>
          <w:p w14:paraId="0F5ACA01">
            <w:pPr>
              <w:rPr>
                <w:sz w:val="21"/>
                <w:szCs w:val="21"/>
                <w:lang w:val="en-US"/>
              </w:rPr>
            </w:pPr>
            <w:r>
              <w:rPr>
                <w:rFonts w:hint="eastAsia"/>
                <w:sz w:val="21"/>
                <w:szCs w:val="21"/>
                <w:u w:val="single"/>
              </w:rPr>
              <w:t>评标委员会构成：由业主代表（即招标人代表）及评标专家组成，除业主代表外专家确定方式：在广东省综合评标评审专家库中随机抽取。</w:t>
            </w:r>
          </w:p>
        </w:tc>
      </w:tr>
      <w:tr w14:paraId="30DEE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1252" w:type="dxa"/>
            <w:vAlign w:val="center"/>
          </w:tcPr>
          <w:p w14:paraId="458B9C4F">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6.3.2</w:t>
            </w:r>
          </w:p>
        </w:tc>
        <w:tc>
          <w:tcPr>
            <w:tcW w:w="2808" w:type="dxa"/>
            <w:vAlign w:val="center"/>
          </w:tcPr>
          <w:p w14:paraId="255FC0B8">
            <w:pPr>
              <w:jc w:val="center"/>
              <w:rPr>
                <w:bCs/>
                <w:kern w:val="2"/>
                <w:sz w:val="21"/>
                <w:szCs w:val="21"/>
                <w:lang w:val="en-US" w:bidi="ar-SA"/>
              </w:rPr>
            </w:pPr>
            <w:r>
              <w:rPr>
                <w:rFonts w:hint="eastAsia"/>
                <w:sz w:val="21"/>
                <w:szCs w:val="21"/>
                <w:lang w:bidi="ar-SA"/>
              </w:rPr>
              <w:t>评标委员会推荐中标候选人的人数</w:t>
            </w:r>
          </w:p>
        </w:tc>
        <w:tc>
          <w:tcPr>
            <w:tcW w:w="5919" w:type="dxa"/>
            <w:vAlign w:val="center"/>
          </w:tcPr>
          <w:p w14:paraId="13D31F15">
            <w:pPr>
              <w:rPr>
                <w:sz w:val="21"/>
                <w:szCs w:val="21"/>
              </w:rPr>
            </w:pPr>
            <w:r>
              <w:rPr>
                <w:rFonts w:hint="eastAsia"/>
                <w:sz w:val="21"/>
                <w:szCs w:val="21"/>
              </w:rPr>
              <w:t>推荐中标候选人</w:t>
            </w:r>
            <w:r>
              <w:rPr>
                <w:rFonts w:hint="eastAsia"/>
                <w:sz w:val="21"/>
                <w:szCs w:val="21"/>
                <w:u w:val="single"/>
              </w:rPr>
              <w:t xml:space="preserve"> 3 </w:t>
            </w:r>
            <w:r>
              <w:rPr>
                <w:rFonts w:hint="eastAsia"/>
                <w:sz w:val="21"/>
                <w:szCs w:val="21"/>
              </w:rPr>
              <w:t>人</w:t>
            </w:r>
          </w:p>
        </w:tc>
      </w:tr>
      <w:tr w14:paraId="7BFCE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414E4E17">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7.1</w:t>
            </w:r>
          </w:p>
        </w:tc>
        <w:tc>
          <w:tcPr>
            <w:tcW w:w="2808" w:type="dxa"/>
            <w:vAlign w:val="center"/>
          </w:tcPr>
          <w:p w14:paraId="2CA8D409">
            <w:pPr>
              <w:jc w:val="center"/>
              <w:rPr>
                <w:bCs/>
                <w:kern w:val="2"/>
                <w:sz w:val="21"/>
                <w:szCs w:val="21"/>
                <w:lang w:val="en-US" w:bidi="ar-SA"/>
              </w:rPr>
            </w:pPr>
            <w:r>
              <w:rPr>
                <w:rFonts w:hint="eastAsia"/>
                <w:sz w:val="21"/>
                <w:szCs w:val="21"/>
                <w:lang w:bidi="ar-SA"/>
              </w:rPr>
              <w:t>中标候选人公示媒介及期限</w:t>
            </w:r>
          </w:p>
        </w:tc>
        <w:tc>
          <w:tcPr>
            <w:tcW w:w="5919" w:type="dxa"/>
            <w:vAlign w:val="center"/>
          </w:tcPr>
          <w:p w14:paraId="37556DAF">
            <w:pPr>
              <w:rPr>
                <w:sz w:val="21"/>
                <w:szCs w:val="21"/>
                <w:u w:val="single"/>
                <w:lang w:bidi="ar-SA"/>
              </w:rPr>
            </w:pPr>
            <w:r>
              <w:rPr>
                <w:rFonts w:hint="eastAsia"/>
                <w:sz w:val="21"/>
                <w:szCs w:val="21"/>
                <w:lang w:bidi="ar-SA"/>
              </w:rPr>
              <w:t>公示媒介：</w:t>
            </w:r>
            <w:r>
              <w:rPr>
                <w:rFonts w:hint="eastAsia"/>
                <w:sz w:val="21"/>
                <w:szCs w:val="21"/>
                <w:u w:val="single"/>
                <w:lang w:bidi="ar-SA"/>
              </w:rPr>
              <w:t>中国招标投标公共服务平台、广东省招标投标监管网、</w:t>
            </w:r>
            <w:r>
              <w:rPr>
                <w:rFonts w:hint="eastAsia"/>
                <w:sz w:val="21"/>
                <w:szCs w:val="21"/>
                <w:u w:val="single"/>
              </w:rPr>
              <w:t>广州交易集团有限公司（广州公共资源交易中心）</w:t>
            </w:r>
            <w:r>
              <w:rPr>
                <w:rFonts w:hint="eastAsia"/>
                <w:sz w:val="21"/>
                <w:szCs w:val="21"/>
                <w:u w:val="single"/>
                <w:lang w:bidi="ar-SA"/>
              </w:rPr>
              <w:t>网站</w:t>
            </w:r>
          </w:p>
          <w:p w14:paraId="1F42FA79">
            <w:pPr>
              <w:rPr>
                <w:sz w:val="21"/>
                <w:szCs w:val="21"/>
                <w:lang w:bidi="ar-SA"/>
              </w:rPr>
            </w:pPr>
            <w:r>
              <w:rPr>
                <w:rFonts w:hint="eastAsia"/>
                <w:sz w:val="21"/>
                <w:szCs w:val="21"/>
                <w:lang w:bidi="ar-SA"/>
              </w:rPr>
              <w:t>公示期限：</w:t>
            </w:r>
            <w:r>
              <w:rPr>
                <w:rFonts w:hint="eastAsia"/>
                <w:sz w:val="21"/>
                <w:szCs w:val="21"/>
                <w:u w:val="single"/>
                <w:lang w:bidi="ar-SA"/>
              </w:rPr>
              <w:t xml:space="preserve"> 3 </w:t>
            </w:r>
            <w:r>
              <w:rPr>
                <w:rFonts w:hint="eastAsia"/>
                <w:sz w:val="21"/>
                <w:szCs w:val="21"/>
                <w:lang w:bidi="ar-SA"/>
              </w:rPr>
              <w:t>日</w:t>
            </w:r>
            <w:r>
              <w:rPr>
                <w:rFonts w:ascii="Times New Roman" w:hAnsi="Times New Roman" w:cs="Times New Roman"/>
                <w:sz w:val="21"/>
                <w:szCs w:val="21"/>
                <w:u w:val="single"/>
                <w:lang w:bidi="ar-SA"/>
              </w:rPr>
              <w:t>（最后一日须为工作日）</w:t>
            </w:r>
          </w:p>
          <w:p w14:paraId="4232CBB2">
            <w:pPr>
              <w:pStyle w:val="5"/>
              <w:ind w:firstLine="0"/>
              <w:rPr>
                <w:sz w:val="21"/>
                <w:szCs w:val="21"/>
              </w:rPr>
            </w:pPr>
            <w:r>
              <w:rPr>
                <w:rFonts w:hint="eastAsia"/>
                <w:sz w:val="21"/>
                <w:szCs w:val="21"/>
                <w:u w:val="single"/>
                <w:lang w:val="en-US"/>
              </w:rPr>
              <w:t>注：</w:t>
            </w:r>
            <w:r>
              <w:rPr>
                <w:sz w:val="21"/>
                <w:szCs w:val="21"/>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5252C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12FE7BDB">
            <w:pPr>
              <w:adjustRightInd w:val="0"/>
              <w:snapToGrid w:val="0"/>
              <w:spacing w:line="300" w:lineRule="auto"/>
              <w:jc w:val="center"/>
              <w:rPr>
                <w:sz w:val="21"/>
                <w:szCs w:val="21"/>
              </w:rPr>
            </w:pPr>
            <w:r>
              <w:rPr>
                <w:sz w:val="21"/>
                <w:szCs w:val="21"/>
              </w:rPr>
              <w:t>7.4</w:t>
            </w:r>
          </w:p>
        </w:tc>
        <w:tc>
          <w:tcPr>
            <w:tcW w:w="2808" w:type="dxa"/>
            <w:vAlign w:val="center"/>
          </w:tcPr>
          <w:p w14:paraId="68173053">
            <w:pPr>
              <w:adjustRightInd w:val="0"/>
              <w:snapToGrid w:val="0"/>
              <w:spacing w:line="300" w:lineRule="auto"/>
              <w:jc w:val="center"/>
              <w:rPr>
                <w:sz w:val="21"/>
                <w:szCs w:val="21"/>
                <w:lang w:bidi="ar-SA"/>
              </w:rPr>
            </w:pPr>
            <w:r>
              <w:rPr>
                <w:sz w:val="21"/>
                <w:szCs w:val="21"/>
              </w:rPr>
              <w:t>是否授权评标委员会确定中标人</w:t>
            </w:r>
          </w:p>
        </w:tc>
        <w:tc>
          <w:tcPr>
            <w:tcW w:w="5919" w:type="dxa"/>
            <w:vAlign w:val="center"/>
          </w:tcPr>
          <w:p w14:paraId="14F23FA0">
            <w:pPr>
              <w:adjustRightInd w:val="0"/>
              <w:snapToGrid w:val="0"/>
              <w:ind w:left="110" w:leftChars="50"/>
              <w:rPr>
                <w:sz w:val="21"/>
                <w:szCs w:val="21"/>
              </w:rPr>
            </w:pPr>
            <w:r>
              <w:rPr>
                <w:sz w:val="21"/>
                <w:szCs w:val="21"/>
              </w:rPr>
              <w:t>□是</w:t>
            </w:r>
          </w:p>
          <w:p w14:paraId="686F7CC9">
            <w:pPr>
              <w:adjustRightInd w:val="0"/>
              <w:snapToGrid w:val="0"/>
              <w:ind w:left="110" w:leftChars="50"/>
              <w:rPr>
                <w:sz w:val="21"/>
                <w:szCs w:val="21"/>
                <w:u w:val="single"/>
              </w:rPr>
            </w:pPr>
            <w:r>
              <w:rPr>
                <w:rFonts w:hint="eastAsia" w:ascii="Times New Roman" w:hAnsi="Times New Roman"/>
                <w:kern w:val="2"/>
                <w:sz w:val="21"/>
                <w:szCs w:val="21"/>
              </w:rPr>
              <w:t>■</w:t>
            </w:r>
            <w:r>
              <w:rPr>
                <w:sz w:val="21"/>
                <w:szCs w:val="21"/>
              </w:rPr>
              <w:t>否</w:t>
            </w:r>
            <w:r>
              <w:rPr>
                <w:rFonts w:hint="eastAsia"/>
                <w:sz w:val="21"/>
                <w:szCs w:val="21"/>
              </w:rPr>
              <w:t>，评标委员会推荐前3名中标候选人。</w:t>
            </w:r>
          </w:p>
        </w:tc>
      </w:tr>
      <w:tr w14:paraId="4F521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jc w:val="center"/>
        </w:trPr>
        <w:tc>
          <w:tcPr>
            <w:tcW w:w="1252" w:type="dxa"/>
            <w:vAlign w:val="center"/>
          </w:tcPr>
          <w:p w14:paraId="7F28883A">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7.6.1</w:t>
            </w:r>
          </w:p>
        </w:tc>
        <w:tc>
          <w:tcPr>
            <w:tcW w:w="2808" w:type="dxa"/>
            <w:vAlign w:val="center"/>
          </w:tcPr>
          <w:p w14:paraId="7D74E9FD">
            <w:pPr>
              <w:adjustRightInd w:val="0"/>
              <w:snapToGrid w:val="0"/>
              <w:ind w:left="44" w:leftChars="20" w:right="44" w:rightChars="20"/>
              <w:jc w:val="center"/>
              <w:rPr>
                <w:bCs/>
                <w:kern w:val="2"/>
                <w:sz w:val="21"/>
                <w:szCs w:val="21"/>
                <w:lang w:val="en-US" w:bidi="ar-SA"/>
              </w:rPr>
            </w:pPr>
            <w:r>
              <w:rPr>
                <w:rFonts w:hint="eastAsia"/>
                <w:sz w:val="21"/>
                <w:szCs w:val="21"/>
              </w:rPr>
              <w:t>履约保证金</w:t>
            </w:r>
          </w:p>
        </w:tc>
        <w:tc>
          <w:tcPr>
            <w:tcW w:w="5919" w:type="dxa"/>
            <w:vAlign w:val="center"/>
          </w:tcPr>
          <w:p w14:paraId="34371A0C">
            <w:pPr>
              <w:pStyle w:val="26"/>
              <w:adjustRightInd w:val="0"/>
              <w:snapToGrid w:val="0"/>
              <w:ind w:left="44" w:leftChars="20" w:right="44" w:rightChars="20"/>
              <w:rPr>
                <w:rFonts w:ascii="Times New Roman" w:hAnsi="Times New Roman"/>
                <w:kern w:val="2"/>
                <w:sz w:val="21"/>
                <w:szCs w:val="21"/>
              </w:rPr>
            </w:pPr>
            <w:r>
              <w:rPr>
                <w:rFonts w:hint="eastAsia" w:ascii="Times New Roman" w:hAnsi="Times New Roman"/>
                <w:kern w:val="2"/>
                <w:sz w:val="21"/>
                <w:szCs w:val="21"/>
              </w:rPr>
              <w:t>是否要求中标人提交履约保证金：</w:t>
            </w:r>
          </w:p>
          <w:p w14:paraId="516F1981">
            <w:pPr>
              <w:spacing w:before="40" w:after="40"/>
              <w:jc w:val="both"/>
              <w:rPr>
                <w:sz w:val="21"/>
                <w:szCs w:val="21"/>
                <w:u w:val="single"/>
                <w:lang w:val="en-US"/>
              </w:rPr>
            </w:pPr>
            <w:r>
              <w:rPr>
                <w:rFonts w:hint="eastAsia"/>
                <w:sz w:val="21"/>
                <w:szCs w:val="21"/>
              </w:rPr>
              <w:t>□</w:t>
            </w:r>
            <w:r>
              <w:rPr>
                <w:rFonts w:hint="eastAsia" w:ascii="Times New Roman" w:hAnsi="Times New Roman"/>
                <w:kern w:val="2"/>
                <w:sz w:val="21"/>
                <w:szCs w:val="21"/>
              </w:rPr>
              <w:t>要求，履约保证金的形式：</w:t>
            </w:r>
            <w:r>
              <w:rPr>
                <w:rFonts w:hint="eastAsia"/>
                <w:sz w:val="21"/>
                <w:szCs w:val="21"/>
                <w:u w:val="single"/>
                <w:lang w:val="en-US"/>
              </w:rPr>
              <w:t>/</w:t>
            </w:r>
          </w:p>
          <w:p w14:paraId="30113A04">
            <w:pPr>
              <w:pStyle w:val="8"/>
              <w:adjustRightInd w:val="0"/>
              <w:snapToGrid w:val="0"/>
              <w:spacing w:after="0"/>
              <w:ind w:right="44" w:rightChars="20"/>
              <w:rPr>
                <w:sz w:val="21"/>
                <w:szCs w:val="21"/>
              </w:rPr>
            </w:pPr>
            <w:r>
              <w:rPr>
                <w:rFonts w:hint="eastAsia"/>
                <w:sz w:val="21"/>
                <w:szCs w:val="21"/>
              </w:rPr>
              <w:t>■</w:t>
            </w:r>
            <w:r>
              <w:rPr>
                <w:rFonts w:hint="eastAsia" w:ascii="Times New Roman" w:hAnsi="Times New Roman"/>
                <w:kern w:val="2"/>
                <w:sz w:val="21"/>
                <w:szCs w:val="21"/>
              </w:rPr>
              <w:t>不要求。</w:t>
            </w:r>
          </w:p>
        </w:tc>
      </w:tr>
      <w:tr w14:paraId="6115B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252" w:type="dxa"/>
            <w:vAlign w:val="center"/>
          </w:tcPr>
          <w:p w14:paraId="37915CE0">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9</w:t>
            </w:r>
          </w:p>
        </w:tc>
        <w:tc>
          <w:tcPr>
            <w:tcW w:w="2808" w:type="dxa"/>
            <w:vAlign w:val="center"/>
          </w:tcPr>
          <w:p w14:paraId="6AA729D7">
            <w:pPr>
              <w:adjustRightInd w:val="0"/>
              <w:snapToGrid w:val="0"/>
              <w:ind w:left="44" w:leftChars="20" w:right="44" w:rightChars="20"/>
              <w:jc w:val="center"/>
              <w:rPr>
                <w:bCs/>
                <w:kern w:val="2"/>
                <w:sz w:val="21"/>
                <w:szCs w:val="21"/>
                <w:lang w:val="en-US" w:bidi="ar-SA"/>
              </w:rPr>
            </w:pPr>
            <w:r>
              <w:rPr>
                <w:rFonts w:hint="eastAsia"/>
                <w:sz w:val="21"/>
                <w:szCs w:val="21"/>
              </w:rPr>
              <w:t>是否采用电子招标投标</w:t>
            </w:r>
          </w:p>
        </w:tc>
        <w:tc>
          <w:tcPr>
            <w:tcW w:w="5919" w:type="dxa"/>
            <w:vAlign w:val="center"/>
          </w:tcPr>
          <w:p w14:paraId="1CDCD3A4">
            <w:pPr>
              <w:adjustRightInd w:val="0"/>
              <w:snapToGrid w:val="0"/>
              <w:ind w:left="44" w:leftChars="20" w:right="44" w:rightChars="20"/>
              <w:rPr>
                <w:sz w:val="21"/>
                <w:szCs w:val="21"/>
              </w:rPr>
            </w:pPr>
            <w:r>
              <w:rPr>
                <w:rFonts w:hint="eastAsia"/>
                <w:sz w:val="21"/>
                <w:szCs w:val="21"/>
              </w:rPr>
              <w:t>□否</w:t>
            </w:r>
          </w:p>
          <w:p w14:paraId="2772DC6D">
            <w:pPr>
              <w:adjustRightInd w:val="0"/>
              <w:snapToGrid w:val="0"/>
              <w:ind w:left="2137" w:leftChars="20" w:right="44" w:rightChars="20" w:hanging="2093" w:hangingChars="997"/>
              <w:rPr>
                <w:sz w:val="21"/>
                <w:szCs w:val="21"/>
              </w:rPr>
            </w:pPr>
            <w:r>
              <w:rPr>
                <w:rFonts w:hint="eastAsia"/>
                <w:sz w:val="21"/>
                <w:szCs w:val="21"/>
              </w:rPr>
              <w:t>■是，具体要求：</w:t>
            </w:r>
          </w:p>
          <w:p w14:paraId="0EF34FFD">
            <w:pPr>
              <w:adjustRightInd w:val="0"/>
              <w:snapToGrid w:val="0"/>
              <w:ind w:left="44" w:leftChars="20" w:right="44" w:rightChars="20"/>
              <w:rPr>
                <w:sz w:val="21"/>
                <w:szCs w:val="21"/>
              </w:rPr>
            </w:pPr>
            <w:r>
              <w:rPr>
                <w:rFonts w:hint="eastAsia"/>
                <w:sz w:val="21"/>
                <w:szCs w:val="21"/>
              </w:rPr>
              <w:t>1、</w:t>
            </w:r>
            <w:r>
              <w:rPr>
                <w:rFonts w:hint="eastAsia"/>
                <w:sz w:val="21"/>
                <w:szCs w:val="21"/>
                <w:u w:val="single"/>
                <w:lang w:bidi="ar-SA"/>
              </w:rPr>
              <w:t>按照</w:t>
            </w:r>
            <w:r>
              <w:rPr>
                <w:rFonts w:hint="eastAsia"/>
                <w:sz w:val="21"/>
                <w:szCs w:val="21"/>
                <w:u w:val="single"/>
              </w:rPr>
              <w:t>广州交易集团有限公司（广州公共资源交易中心）</w:t>
            </w:r>
            <w:r>
              <w:rPr>
                <w:rFonts w:hint="eastAsia"/>
                <w:sz w:val="21"/>
                <w:szCs w:val="21"/>
                <w:u w:val="single"/>
                <w:lang w:bidi="ar-SA"/>
              </w:rPr>
              <w:t>交易平台关于全流程电子化项目的相关指南进行操作，详见</w:t>
            </w:r>
            <w:r>
              <w:rPr>
                <w:rFonts w:hint="eastAsia"/>
                <w:sz w:val="21"/>
                <w:szCs w:val="21"/>
                <w:u w:val="single"/>
              </w:rPr>
              <w:t>广州交易集团有限公司（广州公共资源交易中心）</w:t>
            </w:r>
            <w:r>
              <w:rPr>
                <w:rFonts w:hint="eastAsia"/>
                <w:sz w:val="21"/>
                <w:szCs w:val="21"/>
                <w:u w:val="single"/>
                <w:lang w:bidi="ar-SA"/>
              </w:rPr>
              <w:t>网站发布的最新版操作指引</w:t>
            </w:r>
            <w:r>
              <w:rPr>
                <w:rFonts w:hint="eastAsia"/>
                <w:sz w:val="21"/>
                <w:szCs w:val="21"/>
                <w:u w:val="single"/>
              </w:rPr>
              <w:t>。</w:t>
            </w:r>
          </w:p>
          <w:p w14:paraId="23245FEB">
            <w:pPr>
              <w:spacing w:before="40" w:after="40"/>
              <w:rPr>
                <w:sz w:val="21"/>
                <w:szCs w:val="21"/>
              </w:rPr>
            </w:pPr>
            <w:r>
              <w:rPr>
                <w:rFonts w:hint="eastAsia"/>
                <w:sz w:val="21"/>
                <w:szCs w:val="21"/>
              </w:rPr>
              <w:t>2、</w:t>
            </w:r>
            <w:r>
              <w:rPr>
                <w:rFonts w:hint="eastAsia"/>
                <w:sz w:val="21"/>
                <w:szCs w:val="21"/>
                <w:u w:val="single"/>
                <w:lang w:bidi="ar-SA"/>
              </w:rPr>
              <w:t>现场提交投标文件光盘（备用）</w:t>
            </w:r>
          </w:p>
          <w:p w14:paraId="514A6716">
            <w:pPr>
              <w:adjustRightInd w:val="0"/>
              <w:snapToGrid w:val="0"/>
              <w:ind w:left="44" w:leftChars="20" w:right="44" w:rightChars="20"/>
              <w:rPr>
                <w:sz w:val="21"/>
                <w:szCs w:val="21"/>
              </w:rPr>
            </w:pPr>
            <w:r>
              <w:rPr>
                <w:rFonts w:hint="eastAsia"/>
                <w:sz w:val="21"/>
                <w:szCs w:val="21"/>
                <w:u w:val="single"/>
                <w:lang w:bidi="ar-SA"/>
              </w:rPr>
              <w:t>（1）投标人可按下述要求制作非加密的电子投标文件刻入光盘或U盘，按招标公告的要求在规定的时间、地点提交备用，也可不递交</w:t>
            </w:r>
            <w:r>
              <w:rPr>
                <w:rFonts w:hint="eastAsia"/>
                <w:sz w:val="21"/>
                <w:szCs w:val="21"/>
                <w:u w:val="single"/>
              </w:rPr>
              <w:t>投标文件光盘（备用）</w:t>
            </w:r>
            <w:r>
              <w:rPr>
                <w:rFonts w:hint="eastAsia"/>
                <w:sz w:val="21"/>
                <w:szCs w:val="21"/>
                <w:u w:val="single"/>
                <w:lang w:bidi="ar-SA"/>
              </w:rPr>
              <w:t>。</w:t>
            </w:r>
          </w:p>
          <w:p w14:paraId="2A414781">
            <w:pPr>
              <w:adjustRightInd w:val="0"/>
              <w:snapToGrid w:val="0"/>
              <w:ind w:left="44" w:leftChars="20" w:right="44" w:rightChars="20"/>
              <w:rPr>
                <w:sz w:val="21"/>
                <w:szCs w:val="21"/>
                <w:u w:val="single"/>
                <w:lang w:bidi="ar-SA"/>
              </w:rPr>
            </w:pPr>
            <w:r>
              <w:rPr>
                <w:rFonts w:hint="eastAsia"/>
                <w:sz w:val="21"/>
                <w:szCs w:val="21"/>
                <w:u w:val="single"/>
              </w:rPr>
              <w:t>（</w:t>
            </w:r>
            <w:r>
              <w:rPr>
                <w:rFonts w:hint="eastAsia"/>
                <w:sz w:val="21"/>
                <w:szCs w:val="21"/>
                <w:u w:val="single"/>
                <w:lang w:val="en-US"/>
              </w:rPr>
              <w:t>2）</w:t>
            </w:r>
            <w:r>
              <w:rPr>
                <w:rFonts w:hint="eastAsia"/>
                <w:sz w:val="21"/>
                <w:szCs w:val="21"/>
                <w:u w:val="single"/>
                <w:lang w:bidi="ar-SA"/>
              </w:rPr>
              <w:t>“投标文件光盘（备用）”内容要求：“Microsoft Word ”及“PDF”格式制作的投标文件各1套。</w:t>
            </w:r>
          </w:p>
          <w:p w14:paraId="2D7B6753">
            <w:pPr>
              <w:adjustRightInd w:val="0"/>
              <w:snapToGrid w:val="0"/>
              <w:ind w:left="44" w:leftChars="20" w:right="44" w:rightChars="20"/>
              <w:rPr>
                <w:sz w:val="21"/>
                <w:szCs w:val="21"/>
              </w:rPr>
            </w:pPr>
            <w:r>
              <w:rPr>
                <w:rFonts w:hint="eastAsia"/>
                <w:sz w:val="21"/>
                <w:szCs w:val="21"/>
                <w:u w:val="single"/>
                <w:lang w:bidi="ar-SA"/>
              </w:rPr>
              <w:t>（3）刻录好的投标文件光盘或U盘应分别密封在不透明的密封袋并作标记，密封袋上应写明的内容见投标人须知前附表要求4.1.2。递交的投标文件光盘或U盘不得加密。投标文件光盘或U盘无法读取或导入的，则视为未提交备用投标文件光盘（备用）。如果投标人没有按规定通过交易平台网上递交电子投标文件的，不再读取现场提交的投标文件光盘（备用）。</w:t>
            </w:r>
          </w:p>
          <w:p w14:paraId="17C322D8">
            <w:pPr>
              <w:adjustRightInd w:val="0"/>
              <w:snapToGrid w:val="0"/>
              <w:ind w:left="44" w:leftChars="20" w:right="44" w:rightChars="20"/>
              <w:rPr>
                <w:sz w:val="21"/>
                <w:szCs w:val="21"/>
              </w:rPr>
            </w:pPr>
            <w:r>
              <w:rPr>
                <w:rFonts w:hint="eastAsia"/>
                <w:sz w:val="21"/>
                <w:szCs w:val="21"/>
              </w:rPr>
              <w:t>3、补救方案</w:t>
            </w:r>
          </w:p>
          <w:p w14:paraId="7A4EC0BB">
            <w:pPr>
              <w:adjustRightInd w:val="0"/>
              <w:snapToGrid w:val="0"/>
              <w:ind w:left="44" w:leftChars="20" w:right="44" w:rightChars="20"/>
              <w:rPr>
                <w:sz w:val="21"/>
                <w:szCs w:val="21"/>
              </w:rPr>
            </w:pPr>
            <w:r>
              <w:rPr>
                <w:rFonts w:hint="eastAsia"/>
                <w:sz w:val="21"/>
                <w:szCs w:val="21"/>
                <w:u w:val="single"/>
                <w:lang w:bidi="ar-SA"/>
              </w:rPr>
              <w:t>（1）投标文件解密失败的补救方案：在规定时间内，因投标人之外原因（指网络瘫痪、服务器损坏、交易系统故障短期无法恢复）导致的电子投标文件解密失败，在开标现场读取光盘或U盘内容，继续开标程序。评标委员会对其投标文件的评审以光盘或U盘内容为准。因投标人之外原因解密失败且未递交电子光盘或U盘</w:t>
            </w:r>
            <w:r>
              <w:rPr>
                <w:sz w:val="21"/>
                <w:szCs w:val="21"/>
                <w:u w:val="single"/>
                <w:lang w:bidi="ar-SA"/>
              </w:rPr>
              <w:t>或递交的电子光盘或U盘不能读取</w:t>
            </w:r>
            <w:r>
              <w:rPr>
                <w:rFonts w:hint="eastAsia"/>
                <w:sz w:val="21"/>
                <w:szCs w:val="21"/>
                <w:u w:val="single"/>
                <w:lang w:bidi="ar-SA"/>
              </w:rPr>
              <w:t>的，视为撤回投标文件。</w:t>
            </w:r>
          </w:p>
          <w:p w14:paraId="6CFD0991">
            <w:pPr>
              <w:spacing w:before="40" w:after="40"/>
              <w:rPr>
                <w:sz w:val="21"/>
                <w:szCs w:val="21"/>
                <w:u w:val="single"/>
                <w:lang w:bidi="ar-SA"/>
              </w:rPr>
            </w:pPr>
            <w:r>
              <w:rPr>
                <w:rFonts w:hint="eastAsia"/>
                <w:sz w:val="21"/>
                <w:szCs w:val="21"/>
                <w:u w:val="single"/>
                <w:lang w:bidi="ar-SA"/>
              </w:rPr>
              <w:t>（2）评标时突发情况的补救方案：若遇不可抗力发生（如：网络瘫痪、服务器损坏、交易系统故障短期无法恢复等因素），由评标委员会开启现场递交的全部投标文件光盘或U盘，并按光盘或U盘内容进行评审。投标人未递交投标文件光盘（备用）</w:t>
            </w:r>
            <w:r>
              <w:rPr>
                <w:sz w:val="21"/>
                <w:szCs w:val="21"/>
                <w:u w:val="single"/>
                <w:lang w:bidi="ar-SA"/>
              </w:rPr>
              <w:t>或递交的电子光盘或U盘不能读取</w:t>
            </w:r>
            <w:r>
              <w:rPr>
                <w:rFonts w:hint="eastAsia"/>
                <w:sz w:val="21"/>
                <w:szCs w:val="21"/>
                <w:u w:val="single"/>
                <w:lang w:bidi="ar-SA"/>
              </w:rPr>
              <w:t>的，视为撤回投标文件。</w:t>
            </w:r>
          </w:p>
          <w:p w14:paraId="4F6733B3">
            <w:pPr>
              <w:adjustRightInd w:val="0"/>
              <w:snapToGrid w:val="0"/>
              <w:ind w:left="44" w:leftChars="20" w:right="44" w:rightChars="20"/>
              <w:rPr>
                <w:sz w:val="21"/>
                <w:szCs w:val="21"/>
              </w:rPr>
            </w:pPr>
            <w:r>
              <w:rPr>
                <w:rFonts w:hint="eastAsia"/>
                <w:sz w:val="21"/>
                <w:szCs w:val="21"/>
                <w:u w:val="single"/>
                <w:lang w:bidi="ar-SA"/>
              </w:rPr>
              <w:t>（3）除发生上述情况外，开标评标均以投标人通过交易平台网上递交的电子投标文件为准。</w:t>
            </w:r>
          </w:p>
        </w:tc>
      </w:tr>
      <w:tr w14:paraId="33AAF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jc w:val="center"/>
        </w:trPr>
        <w:tc>
          <w:tcPr>
            <w:tcW w:w="1252" w:type="dxa"/>
            <w:vAlign w:val="center"/>
          </w:tcPr>
          <w:p w14:paraId="216CBE24">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10</w:t>
            </w:r>
          </w:p>
        </w:tc>
        <w:tc>
          <w:tcPr>
            <w:tcW w:w="2808" w:type="dxa"/>
            <w:vAlign w:val="center"/>
          </w:tcPr>
          <w:p w14:paraId="648F8563">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需要补充的其他内容</w:t>
            </w:r>
          </w:p>
        </w:tc>
        <w:tc>
          <w:tcPr>
            <w:tcW w:w="5919" w:type="dxa"/>
            <w:vAlign w:val="center"/>
          </w:tcPr>
          <w:p w14:paraId="00934753">
            <w:pPr>
              <w:adjustRightInd w:val="0"/>
              <w:snapToGrid w:val="0"/>
              <w:ind w:left="44" w:leftChars="20" w:right="44" w:rightChars="20"/>
              <w:rPr>
                <w:sz w:val="21"/>
                <w:szCs w:val="21"/>
                <w:lang w:val="en-US"/>
              </w:rPr>
            </w:pPr>
            <w:r>
              <w:rPr>
                <w:rFonts w:hint="eastAsia"/>
                <w:sz w:val="21"/>
                <w:szCs w:val="21"/>
                <w:lang w:val="en-US"/>
              </w:rPr>
              <w:t>/</w:t>
            </w:r>
          </w:p>
        </w:tc>
      </w:tr>
      <w:tr w14:paraId="1DD10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52888B3A">
            <w:pPr>
              <w:adjustRightInd w:val="0"/>
              <w:snapToGrid w:val="0"/>
              <w:spacing w:line="400" w:lineRule="exact"/>
              <w:ind w:left="44" w:leftChars="20" w:right="44" w:rightChars="20"/>
              <w:jc w:val="center"/>
              <w:rPr>
                <w:bCs/>
                <w:kern w:val="2"/>
                <w:sz w:val="21"/>
                <w:szCs w:val="21"/>
                <w:u w:val="single"/>
                <w:lang w:val="en-US" w:bidi="ar-SA"/>
              </w:rPr>
            </w:pPr>
            <w:r>
              <w:rPr>
                <w:rFonts w:hint="eastAsia"/>
                <w:sz w:val="21"/>
                <w:szCs w:val="21"/>
                <w:u w:val="single"/>
              </w:rPr>
              <w:t>10.1</w:t>
            </w:r>
          </w:p>
        </w:tc>
        <w:tc>
          <w:tcPr>
            <w:tcW w:w="2808" w:type="dxa"/>
            <w:vAlign w:val="center"/>
          </w:tcPr>
          <w:p w14:paraId="6E073516">
            <w:pPr>
              <w:snapToGrid w:val="0"/>
              <w:spacing w:before="40" w:after="40"/>
              <w:jc w:val="center"/>
              <w:rPr>
                <w:bCs/>
                <w:kern w:val="2"/>
                <w:sz w:val="21"/>
                <w:szCs w:val="21"/>
                <w:u w:val="single"/>
                <w:lang w:val="en-US" w:bidi="ar-SA"/>
              </w:rPr>
            </w:pPr>
            <w:r>
              <w:rPr>
                <w:rFonts w:hint="eastAsia"/>
                <w:sz w:val="21"/>
                <w:szCs w:val="21"/>
                <w:u w:val="single"/>
                <w:lang w:bidi="ar-SA"/>
              </w:rPr>
              <w:t>特别提示</w:t>
            </w:r>
          </w:p>
        </w:tc>
        <w:tc>
          <w:tcPr>
            <w:tcW w:w="5919" w:type="dxa"/>
            <w:vAlign w:val="center"/>
          </w:tcPr>
          <w:p w14:paraId="0BD6FF6A">
            <w:pPr>
              <w:adjustRightInd w:val="0"/>
              <w:snapToGrid w:val="0"/>
              <w:ind w:left="110" w:leftChars="50"/>
              <w:rPr>
                <w:sz w:val="21"/>
                <w:szCs w:val="21"/>
              </w:rPr>
            </w:pPr>
            <w:r>
              <w:rPr>
                <w:rFonts w:hint="eastAsia"/>
                <w:sz w:val="21"/>
                <w:szCs w:val="21"/>
              </w:rPr>
              <w:t>投标人在本项目招标人的工程项目中存在下列行为的，将被拒绝</w:t>
            </w:r>
            <w:r>
              <w:rPr>
                <w:rFonts w:hint="eastAsia"/>
                <w:sz w:val="21"/>
                <w:szCs w:val="21"/>
                <w:lang w:val="en-US"/>
              </w:rPr>
              <w:t>6</w:t>
            </w:r>
            <w:r>
              <w:rPr>
                <w:rFonts w:hint="eastAsia"/>
                <w:sz w:val="21"/>
                <w:szCs w:val="21"/>
              </w:rPr>
              <w:t>个月内参与我单位后续工程投标：</w:t>
            </w:r>
          </w:p>
          <w:p w14:paraId="59ABFE34">
            <w:pPr>
              <w:adjustRightInd w:val="0"/>
              <w:snapToGrid w:val="0"/>
              <w:ind w:left="110" w:leftChars="50"/>
              <w:rPr>
                <w:sz w:val="21"/>
                <w:szCs w:val="21"/>
              </w:rPr>
            </w:pPr>
            <w:r>
              <w:rPr>
                <w:rFonts w:hint="eastAsia"/>
                <w:sz w:val="21"/>
                <w:szCs w:val="21"/>
              </w:rPr>
              <w:t>（1）将中标工程转包或者违法分包的；</w:t>
            </w:r>
          </w:p>
          <w:p w14:paraId="663B951B">
            <w:pPr>
              <w:adjustRightInd w:val="0"/>
              <w:snapToGrid w:val="0"/>
              <w:ind w:left="110" w:leftChars="50"/>
              <w:rPr>
                <w:sz w:val="21"/>
                <w:szCs w:val="21"/>
              </w:rPr>
            </w:pPr>
            <w:r>
              <w:rPr>
                <w:rFonts w:hint="eastAsia"/>
                <w:sz w:val="21"/>
                <w:szCs w:val="21"/>
              </w:rPr>
              <w:t>（2）存在围标或串标情形的；</w:t>
            </w:r>
          </w:p>
          <w:p w14:paraId="39CC7FB6">
            <w:pPr>
              <w:adjustRightInd w:val="0"/>
              <w:snapToGrid w:val="0"/>
              <w:ind w:left="110" w:leftChars="50"/>
              <w:rPr>
                <w:sz w:val="21"/>
                <w:szCs w:val="21"/>
              </w:rPr>
            </w:pPr>
            <w:r>
              <w:rPr>
                <w:rFonts w:hint="eastAsia"/>
                <w:sz w:val="21"/>
                <w:szCs w:val="21"/>
              </w:rPr>
              <w:t xml:space="preserve">（3）存在弄虚作假骗取中标情形的； </w:t>
            </w:r>
          </w:p>
          <w:p w14:paraId="6CB3C11A">
            <w:pPr>
              <w:snapToGrid w:val="0"/>
              <w:spacing w:before="40" w:after="40"/>
              <w:rPr>
                <w:sz w:val="21"/>
                <w:szCs w:val="21"/>
                <w:u w:val="single"/>
              </w:rPr>
            </w:pPr>
            <w:r>
              <w:rPr>
                <w:rFonts w:hint="eastAsia"/>
                <w:sz w:val="21"/>
                <w:szCs w:val="21"/>
              </w:rPr>
              <w:t>（4）存在因过错行为被生效法律文书认定承担违约或侵权责任的。</w:t>
            </w:r>
          </w:p>
        </w:tc>
      </w:tr>
      <w:tr w14:paraId="09543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1073ECD0">
            <w:pPr>
              <w:adjustRightInd w:val="0"/>
              <w:snapToGrid w:val="0"/>
              <w:spacing w:line="400" w:lineRule="exact"/>
              <w:ind w:left="44" w:leftChars="20" w:right="44" w:rightChars="20"/>
              <w:jc w:val="center"/>
              <w:rPr>
                <w:bCs/>
                <w:kern w:val="2"/>
                <w:sz w:val="21"/>
                <w:szCs w:val="21"/>
                <w:u w:val="single"/>
                <w:lang w:val="en-US" w:bidi="ar-SA"/>
              </w:rPr>
            </w:pPr>
            <w:r>
              <w:rPr>
                <w:rFonts w:hint="eastAsia"/>
                <w:sz w:val="21"/>
                <w:szCs w:val="21"/>
                <w:u w:val="single"/>
              </w:rPr>
              <w:t>10.</w:t>
            </w:r>
            <w:r>
              <w:rPr>
                <w:rFonts w:hint="eastAsia"/>
                <w:sz w:val="21"/>
                <w:szCs w:val="21"/>
                <w:u w:val="single"/>
                <w:lang w:val="en-US"/>
              </w:rPr>
              <w:t>2</w:t>
            </w:r>
          </w:p>
        </w:tc>
        <w:tc>
          <w:tcPr>
            <w:tcW w:w="2808" w:type="dxa"/>
            <w:vAlign w:val="center"/>
          </w:tcPr>
          <w:p w14:paraId="3DE964D5">
            <w:pPr>
              <w:shd w:val="clear" w:color="auto" w:fill="FFFFFF"/>
              <w:spacing w:before="40" w:after="40"/>
              <w:jc w:val="center"/>
              <w:rPr>
                <w:bCs/>
                <w:kern w:val="2"/>
                <w:sz w:val="21"/>
                <w:szCs w:val="21"/>
                <w:u w:val="single"/>
                <w:lang w:val="en-US" w:bidi="ar-SA"/>
              </w:rPr>
            </w:pPr>
            <w:r>
              <w:rPr>
                <w:rFonts w:hint="eastAsia"/>
                <w:sz w:val="21"/>
                <w:szCs w:val="21"/>
                <w:u w:val="single"/>
                <w:lang w:bidi="ar-SA"/>
              </w:rPr>
              <w:t>招标失败的情形</w:t>
            </w:r>
          </w:p>
        </w:tc>
        <w:tc>
          <w:tcPr>
            <w:tcW w:w="5919" w:type="dxa"/>
            <w:vAlign w:val="center"/>
          </w:tcPr>
          <w:p w14:paraId="2EEF73F0">
            <w:pPr>
              <w:shd w:val="clear" w:color="auto" w:fill="FFFFFF"/>
              <w:spacing w:before="40" w:after="40"/>
              <w:rPr>
                <w:sz w:val="21"/>
                <w:szCs w:val="21"/>
                <w:u w:val="single"/>
              </w:rPr>
            </w:pPr>
            <w:r>
              <w:rPr>
                <w:rFonts w:hint="eastAsia"/>
                <w:sz w:val="21"/>
                <w:szCs w:val="21"/>
                <w:u w:val="single"/>
                <w:lang w:bidi="ar-SA"/>
              </w:rPr>
              <w:t>本项目采用资格后审，满足资格审查合格条件的投标人不足3名、或通过初步评审的投标单位不足3名时为招标失败。招标人分析招标失败原因，修正招标方案，重新组织招标。</w:t>
            </w:r>
          </w:p>
        </w:tc>
      </w:tr>
      <w:tr w14:paraId="0C629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14:paraId="69F9B1AB">
            <w:pPr>
              <w:adjustRightInd w:val="0"/>
              <w:snapToGrid w:val="0"/>
              <w:spacing w:line="400" w:lineRule="exact"/>
              <w:ind w:left="44" w:leftChars="20" w:right="44" w:rightChars="20"/>
              <w:jc w:val="center"/>
              <w:rPr>
                <w:bCs/>
                <w:kern w:val="2"/>
                <w:sz w:val="21"/>
                <w:szCs w:val="21"/>
                <w:u w:val="single"/>
                <w:lang w:val="en-US" w:bidi="ar-SA"/>
              </w:rPr>
            </w:pPr>
            <w:r>
              <w:rPr>
                <w:rFonts w:hint="eastAsia"/>
                <w:sz w:val="21"/>
                <w:szCs w:val="21"/>
                <w:u w:val="single"/>
              </w:rPr>
              <w:t>10.</w:t>
            </w:r>
            <w:r>
              <w:rPr>
                <w:rFonts w:hint="eastAsia"/>
                <w:sz w:val="21"/>
                <w:szCs w:val="21"/>
                <w:u w:val="single"/>
                <w:lang w:val="en-US"/>
              </w:rPr>
              <w:t>3</w:t>
            </w:r>
          </w:p>
        </w:tc>
        <w:tc>
          <w:tcPr>
            <w:tcW w:w="2808" w:type="dxa"/>
            <w:vAlign w:val="center"/>
          </w:tcPr>
          <w:p w14:paraId="4D206936">
            <w:pPr>
              <w:jc w:val="center"/>
              <w:rPr>
                <w:bCs/>
                <w:kern w:val="2"/>
                <w:sz w:val="21"/>
                <w:szCs w:val="21"/>
                <w:u w:val="single"/>
                <w:lang w:val="en-US" w:bidi="ar-SA"/>
              </w:rPr>
            </w:pPr>
            <w:r>
              <w:rPr>
                <w:rFonts w:hint="eastAsia"/>
                <w:sz w:val="21"/>
                <w:szCs w:val="21"/>
                <w:u w:val="single"/>
                <w:lang w:bidi="ar-SA"/>
              </w:rPr>
              <w:t>定标及中标原则</w:t>
            </w:r>
          </w:p>
        </w:tc>
        <w:tc>
          <w:tcPr>
            <w:tcW w:w="5919" w:type="dxa"/>
            <w:vAlign w:val="center"/>
          </w:tcPr>
          <w:p w14:paraId="0FF6AC8C">
            <w:pPr>
              <w:rPr>
                <w:sz w:val="21"/>
                <w:szCs w:val="21"/>
              </w:rPr>
            </w:pPr>
            <w:r>
              <w:rPr>
                <w:rFonts w:hint="eastAsia"/>
                <w:sz w:val="21"/>
                <w:szCs w:val="21"/>
                <w:u w:val="single"/>
                <w:lang w:bidi="ar-SA"/>
              </w:rPr>
              <w:t>招标人依法确定中标人。排名第一的中标候选人放弃中标、因不可抗力不能履行合同，或者被查实存在影响中标结果的违法行为等情形，不符合中标条件的，招标人可以按照</w:t>
            </w:r>
            <w:r>
              <w:rPr>
                <w:rFonts w:hint="eastAsia"/>
                <w:sz w:val="21"/>
                <w:szCs w:val="21"/>
                <w:u w:val="single"/>
                <w:lang w:val="en-US" w:bidi="ar-SA"/>
              </w:rPr>
              <w:t>评</w:t>
            </w:r>
            <w:r>
              <w:rPr>
                <w:rFonts w:hint="eastAsia"/>
                <w:sz w:val="21"/>
                <w:szCs w:val="21"/>
                <w:u w:val="single"/>
                <w:lang w:bidi="ar-SA"/>
              </w:rPr>
              <w:t>标委员会提出的中标候选人名单排序第二的中标候选人为中标人，若排名第二的中标候选人出现前款所列的情形的，招标人可以确定排名第三的中标候选人为中标人。若排名第一、二、三的中标候选人均存在上述情况的，则招标人依法重新招标。</w:t>
            </w:r>
          </w:p>
        </w:tc>
      </w:tr>
      <w:tr w14:paraId="1A8A1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2" w:type="dxa"/>
            <w:vAlign w:val="center"/>
          </w:tcPr>
          <w:p w14:paraId="7F19802A">
            <w:pPr>
              <w:adjustRightInd w:val="0"/>
              <w:snapToGrid w:val="0"/>
              <w:spacing w:line="400" w:lineRule="exact"/>
              <w:ind w:left="44" w:leftChars="20" w:right="44" w:rightChars="20"/>
              <w:jc w:val="center"/>
              <w:rPr>
                <w:bCs/>
                <w:kern w:val="2"/>
                <w:sz w:val="21"/>
                <w:szCs w:val="21"/>
                <w:u w:val="single"/>
                <w:lang w:val="en-US" w:bidi="ar-SA"/>
              </w:rPr>
            </w:pPr>
            <w:r>
              <w:rPr>
                <w:rFonts w:hint="eastAsia"/>
                <w:sz w:val="21"/>
                <w:szCs w:val="21"/>
                <w:u w:val="single"/>
                <w:lang w:val="en-US"/>
              </w:rPr>
              <w:t>10.4</w:t>
            </w:r>
          </w:p>
        </w:tc>
        <w:tc>
          <w:tcPr>
            <w:tcW w:w="2808" w:type="dxa"/>
            <w:vAlign w:val="center"/>
          </w:tcPr>
          <w:p w14:paraId="68B04D06">
            <w:pPr>
              <w:spacing w:before="40" w:after="40"/>
              <w:jc w:val="center"/>
              <w:rPr>
                <w:bCs/>
                <w:kern w:val="2"/>
                <w:sz w:val="21"/>
                <w:szCs w:val="21"/>
                <w:u w:val="single"/>
                <w:lang w:val="en-US" w:bidi="ar-SA"/>
              </w:rPr>
            </w:pPr>
            <w:r>
              <w:rPr>
                <w:rFonts w:hint="eastAsia"/>
                <w:sz w:val="21"/>
                <w:szCs w:val="21"/>
                <w:u w:val="single"/>
                <w:lang w:bidi="ar-SA"/>
              </w:rPr>
              <w:t>其他事项</w:t>
            </w:r>
          </w:p>
        </w:tc>
        <w:tc>
          <w:tcPr>
            <w:tcW w:w="5919" w:type="dxa"/>
            <w:vAlign w:val="center"/>
          </w:tcPr>
          <w:p w14:paraId="4856D736">
            <w:pPr>
              <w:spacing w:before="40" w:after="40"/>
              <w:rPr>
                <w:sz w:val="21"/>
                <w:szCs w:val="21"/>
                <w:u w:val="single"/>
                <w:lang w:bidi="ar-SA"/>
              </w:rPr>
            </w:pPr>
            <w:r>
              <w:rPr>
                <w:rFonts w:hint="eastAsia"/>
                <w:sz w:val="21"/>
                <w:szCs w:val="21"/>
                <w:u w:val="single"/>
                <w:lang w:val="en-US" w:bidi="ar-SA"/>
              </w:rPr>
              <w:t>1</w:t>
            </w:r>
            <w:r>
              <w:rPr>
                <w:rFonts w:hint="eastAsia"/>
                <w:sz w:val="21"/>
                <w:szCs w:val="21"/>
                <w:u w:val="single"/>
                <w:lang w:bidi="ar-SA"/>
              </w:rPr>
              <w:t>.各投标人递交投标资料参与投标，均视为接受及认同招标合同及招标人（业主单位）制发的各项相关建设管理办法。如中标人不按合同履约及未遵守招标人（业主单位）制发的各项相关建设管理办法，业主方有权依据相关管理办法要求中标人承担相应责任，中标人应无条件接受。</w:t>
            </w:r>
          </w:p>
          <w:p w14:paraId="52642168">
            <w:pPr>
              <w:spacing w:before="40" w:after="40"/>
              <w:rPr>
                <w:sz w:val="21"/>
                <w:szCs w:val="21"/>
                <w:u w:val="single"/>
                <w:lang w:bidi="ar-SA"/>
              </w:rPr>
            </w:pPr>
            <w:r>
              <w:rPr>
                <w:rFonts w:hint="eastAsia"/>
                <w:sz w:val="21"/>
                <w:szCs w:val="21"/>
                <w:u w:val="single"/>
                <w:lang w:val="en-US" w:bidi="ar-SA"/>
              </w:rPr>
              <w:t>2</w:t>
            </w:r>
            <w:r>
              <w:rPr>
                <w:rFonts w:hint="eastAsia"/>
                <w:sz w:val="21"/>
                <w:szCs w:val="21"/>
                <w:u w:val="single"/>
                <w:lang w:bidi="ar-SA"/>
              </w:rPr>
              <w:t>.在产生中标候选人后，招标人将在</w:t>
            </w:r>
            <w:r>
              <w:rPr>
                <w:rFonts w:hint="eastAsia"/>
                <w:sz w:val="21"/>
                <w:szCs w:val="21"/>
                <w:u w:val="single"/>
              </w:rPr>
              <w:t>广州交易集团有限公司（广州公共资源交易中心）</w:t>
            </w:r>
            <w:r>
              <w:rPr>
                <w:rFonts w:hint="eastAsia"/>
                <w:sz w:val="21"/>
                <w:szCs w:val="21"/>
                <w:u w:val="single"/>
                <w:lang w:bidi="ar-SA"/>
              </w:rPr>
              <w:t>网站</w:t>
            </w:r>
            <w:r>
              <w:rPr>
                <w:rFonts w:hint="eastAsia" w:cs="Times New Roman"/>
                <w:kern w:val="2"/>
                <w:sz w:val="21"/>
                <w:szCs w:val="21"/>
                <w:u w:val="single"/>
                <w:lang w:bidi="ar-SA"/>
              </w:rPr>
              <w:t>、</w:t>
            </w:r>
            <w:r>
              <w:rPr>
                <w:rFonts w:hint="eastAsia" w:cs="Times New Roman"/>
                <w:sz w:val="21"/>
                <w:szCs w:val="21"/>
                <w:u w:val="single"/>
                <w:lang w:bidi="ar-SA"/>
              </w:rPr>
              <w:t>广东省招标投标监管网</w:t>
            </w:r>
            <w:r>
              <w:rPr>
                <w:rFonts w:hint="eastAsia"/>
                <w:sz w:val="21"/>
                <w:szCs w:val="21"/>
                <w:u w:val="single"/>
                <w:lang w:bidi="ar-SA"/>
              </w:rPr>
              <w:t>公开中标候选人投标文件</w:t>
            </w:r>
            <w:r>
              <w:rPr>
                <w:rFonts w:hint="eastAsia"/>
                <w:sz w:val="21"/>
                <w:szCs w:val="21"/>
                <w:u w:val="single"/>
                <w:lang w:val="en-US" w:bidi="ar-SA"/>
              </w:rPr>
              <w:t>资信业绩</w:t>
            </w:r>
            <w:r>
              <w:rPr>
                <w:rFonts w:hint="eastAsia"/>
                <w:sz w:val="21"/>
                <w:szCs w:val="21"/>
                <w:u w:val="single"/>
                <w:lang w:bidi="ar-SA"/>
              </w:rPr>
              <w:t>的人员、业绩、奖项等（涉及商业秘密的内容除外）资料电子版。</w:t>
            </w:r>
          </w:p>
          <w:p w14:paraId="669613B4">
            <w:pPr>
              <w:rPr>
                <w:bCs/>
                <w:sz w:val="21"/>
                <w:szCs w:val="21"/>
                <w:u w:val="single"/>
                <w:lang w:val="en-US"/>
              </w:rPr>
            </w:pPr>
            <w:r>
              <w:rPr>
                <w:rFonts w:hint="eastAsia"/>
                <w:sz w:val="21"/>
                <w:szCs w:val="21"/>
                <w:u w:val="single"/>
                <w:lang w:val="en-US"/>
              </w:rPr>
              <w:t>3</w:t>
            </w:r>
            <w:r>
              <w:rPr>
                <w:rFonts w:hint="eastAsia"/>
                <w:sz w:val="21"/>
                <w:szCs w:val="21"/>
                <w:u w:val="single"/>
              </w:rPr>
              <w:t>.</w:t>
            </w:r>
            <w:r>
              <w:rPr>
                <w:rFonts w:hint="eastAsia"/>
                <w:sz w:val="21"/>
                <w:szCs w:val="21"/>
                <w:u w:val="single"/>
                <w:lang w:bidi="ar"/>
              </w:rPr>
              <w:t>中标人</w:t>
            </w:r>
            <w:r>
              <w:rPr>
                <w:rFonts w:hint="eastAsia"/>
                <w:sz w:val="21"/>
                <w:szCs w:val="21"/>
                <w:u w:val="single"/>
              </w:rPr>
              <w:t>根据有关规定向广州交易集团有限公司（广州公共资源交易中心）交纳交易服务费。</w:t>
            </w:r>
          </w:p>
          <w:p w14:paraId="6D8337F2">
            <w:pPr>
              <w:spacing w:before="40" w:after="40"/>
              <w:rPr>
                <w:sz w:val="21"/>
                <w:szCs w:val="21"/>
                <w:lang w:val="en-US"/>
              </w:rPr>
            </w:pPr>
            <w:r>
              <w:rPr>
                <w:rFonts w:hint="eastAsia"/>
                <w:sz w:val="21"/>
                <w:szCs w:val="21"/>
                <w:u w:val="single"/>
                <w:lang w:val="en-US"/>
              </w:rPr>
              <w:t>4</w:t>
            </w:r>
            <w:r>
              <w:rPr>
                <w:rFonts w:hint="eastAsia"/>
                <w:sz w:val="21"/>
                <w:szCs w:val="21"/>
                <w:u w:val="single"/>
              </w:rPr>
              <w:t>.</w:t>
            </w:r>
            <w:r>
              <w:rPr>
                <w:rFonts w:hint="eastAsia"/>
                <w:sz w:val="21"/>
                <w:szCs w:val="21"/>
                <w:u w:val="single"/>
                <w:lang w:bidi="ar"/>
              </w:rPr>
              <w:t>中标通知书发放后五个工作日内，中标人须向招标人提交与在广州公共资源交易中心系统上传投标文件内容相同的并已盖章的纸质版投标文件一式</w:t>
            </w:r>
            <w:r>
              <w:rPr>
                <w:rFonts w:hint="eastAsia"/>
                <w:sz w:val="21"/>
                <w:szCs w:val="21"/>
                <w:u w:val="single"/>
                <w:lang w:val="en-US" w:bidi="ar"/>
              </w:rPr>
              <w:t>两</w:t>
            </w:r>
            <w:r>
              <w:rPr>
                <w:rFonts w:hint="eastAsia"/>
                <w:sz w:val="21"/>
                <w:szCs w:val="21"/>
                <w:u w:val="single"/>
                <w:lang w:bidi="ar"/>
              </w:rPr>
              <w:t>套（须编制目录及页码）及电子文件（电子光盘或U盘）两份</w:t>
            </w:r>
            <w:r>
              <w:rPr>
                <w:rFonts w:hint="eastAsia"/>
                <w:sz w:val="21"/>
                <w:szCs w:val="21"/>
                <w:u w:val="single"/>
                <w:lang w:bidi="ar-SA"/>
              </w:rPr>
              <w:t>。</w:t>
            </w:r>
          </w:p>
        </w:tc>
      </w:tr>
    </w:tbl>
    <w:p w14:paraId="215595F0">
      <w:pPr>
        <w:pStyle w:val="5"/>
        <w:ind w:firstLine="0"/>
      </w:pPr>
    </w:p>
    <w:p w14:paraId="66763E14">
      <w:pPr>
        <w:rPr>
          <w:rFonts w:cs="Times New Roman"/>
          <w:b/>
          <w:kern w:val="2"/>
          <w:sz w:val="28"/>
          <w:szCs w:val="20"/>
          <w:lang w:val="en-US" w:bidi="ar-SA"/>
        </w:rPr>
      </w:pPr>
      <w:r>
        <w:rPr>
          <w:rFonts w:hint="eastAsia" w:cs="Times New Roman"/>
          <w:b/>
          <w:kern w:val="2"/>
          <w:sz w:val="28"/>
          <w:szCs w:val="20"/>
          <w:lang w:val="en-US" w:bidi="ar-SA"/>
        </w:rPr>
        <w:br w:type="page"/>
      </w:r>
    </w:p>
    <w:p w14:paraId="45CF4C00">
      <w:pPr>
        <w:rPr>
          <w:rFonts w:cs="Times New Roman"/>
          <w:b/>
          <w:kern w:val="2"/>
          <w:sz w:val="28"/>
          <w:szCs w:val="20"/>
          <w:lang w:val="en-US" w:bidi="ar-SA"/>
        </w:rPr>
      </w:pPr>
      <w:r>
        <w:rPr>
          <w:rFonts w:hint="eastAsia" w:cs="Times New Roman"/>
          <w:b/>
          <w:kern w:val="2"/>
          <w:sz w:val="28"/>
          <w:szCs w:val="20"/>
          <w:lang w:val="en-US" w:bidi="ar-SA"/>
        </w:rPr>
        <w:t>1.总则</w:t>
      </w:r>
    </w:p>
    <w:p w14:paraId="2CE23DB2">
      <w:pPr>
        <w:spacing w:line="360" w:lineRule="auto"/>
      </w:pPr>
      <w:r>
        <w:rPr>
          <w:rFonts w:hint="eastAsia" w:cs="Times New Roman"/>
          <w:b/>
          <w:bCs/>
          <w:kern w:val="2"/>
          <w:sz w:val="28"/>
          <w:szCs w:val="28"/>
          <w:lang w:val="en-US" w:bidi="ar-SA"/>
        </w:rPr>
        <w:t>1.1 招标项目概况</w:t>
      </w:r>
    </w:p>
    <w:p w14:paraId="08533620">
      <w:pPr>
        <w:spacing w:line="360" w:lineRule="auto"/>
        <w:ind w:firstLine="440" w:firstLineChars="200"/>
      </w:pPr>
      <w:r>
        <w:rPr>
          <w:rFonts w:hint="eastAsia"/>
        </w:rPr>
        <w:t>1.1.1</w:t>
      </w:r>
      <w:r>
        <w:rPr>
          <w:rFonts w:hint="eastAsia"/>
          <w:lang w:val="en-US"/>
        </w:rPr>
        <w:t xml:space="preserve"> </w:t>
      </w:r>
      <w:r>
        <w:rPr>
          <w:rFonts w:hint="eastAsia"/>
        </w:rPr>
        <w:t>根据《中华人民共和国招标投标法》、《中华人民共和国招标投标法实施条例》等有关法律、法规和规章的规定，本招标项目已具备招标条件，现对</w:t>
      </w:r>
      <w:r>
        <w:rPr>
          <w:rFonts w:hint="eastAsia"/>
          <w:u w:val="single"/>
          <w:lang w:val="en-US"/>
        </w:rPr>
        <w:t>工程代建</w:t>
      </w:r>
      <w:r>
        <w:rPr>
          <w:rFonts w:hint="eastAsia"/>
        </w:rPr>
        <w:t>进行招标。</w:t>
      </w:r>
    </w:p>
    <w:p w14:paraId="3B914BA6">
      <w:pPr>
        <w:spacing w:line="360" w:lineRule="auto"/>
        <w:ind w:firstLine="440" w:firstLineChars="200"/>
      </w:pPr>
      <w:r>
        <w:rPr>
          <w:rFonts w:hint="eastAsia"/>
        </w:rPr>
        <w:t>1.1.2</w:t>
      </w:r>
      <w:r>
        <w:rPr>
          <w:rFonts w:hint="eastAsia"/>
          <w:lang w:val="en-US"/>
        </w:rPr>
        <w:t xml:space="preserve"> </w:t>
      </w:r>
      <w:r>
        <w:rPr>
          <w:rFonts w:hint="eastAsia"/>
        </w:rPr>
        <w:t>招标人：见投标人须知前附表。</w:t>
      </w:r>
    </w:p>
    <w:p w14:paraId="31934DDF">
      <w:pPr>
        <w:spacing w:line="360" w:lineRule="auto"/>
        <w:ind w:firstLine="440" w:firstLineChars="200"/>
      </w:pPr>
      <w:r>
        <w:rPr>
          <w:rFonts w:hint="eastAsia"/>
        </w:rPr>
        <w:t>1.1.3</w:t>
      </w:r>
      <w:r>
        <w:rPr>
          <w:rFonts w:hint="eastAsia"/>
          <w:lang w:val="en-US"/>
        </w:rPr>
        <w:t xml:space="preserve"> </w:t>
      </w:r>
      <w:r>
        <w:rPr>
          <w:rFonts w:hint="eastAsia"/>
        </w:rPr>
        <w:t>招标代理机构：见投标人须知前附表。</w:t>
      </w:r>
    </w:p>
    <w:p w14:paraId="7177B1A9">
      <w:pPr>
        <w:spacing w:line="360" w:lineRule="auto"/>
        <w:ind w:firstLine="440" w:firstLineChars="200"/>
      </w:pPr>
      <w:r>
        <w:rPr>
          <w:rFonts w:hint="eastAsia"/>
        </w:rPr>
        <w:t>1.1.4</w:t>
      </w:r>
      <w:r>
        <w:rPr>
          <w:rFonts w:hint="eastAsia"/>
          <w:lang w:val="en-US"/>
        </w:rPr>
        <w:t xml:space="preserve"> </w:t>
      </w:r>
      <w:r>
        <w:rPr>
          <w:rFonts w:hint="eastAsia"/>
        </w:rPr>
        <w:t>招标项目名称：见投标人须知前附表。</w:t>
      </w:r>
    </w:p>
    <w:p w14:paraId="4C02850E">
      <w:pPr>
        <w:spacing w:line="360" w:lineRule="auto"/>
        <w:ind w:firstLine="440" w:firstLineChars="200"/>
      </w:pPr>
      <w:r>
        <w:rPr>
          <w:rFonts w:hint="eastAsia"/>
        </w:rPr>
        <w:t>1.1.5</w:t>
      </w:r>
      <w:r>
        <w:rPr>
          <w:rFonts w:hint="eastAsia"/>
          <w:lang w:val="en-US"/>
        </w:rPr>
        <w:t xml:space="preserve"> </w:t>
      </w:r>
      <w:r>
        <w:rPr>
          <w:rFonts w:hint="eastAsia"/>
        </w:rPr>
        <w:t>项目建设地点：见投标人须知前附表。</w:t>
      </w:r>
    </w:p>
    <w:p w14:paraId="2B89323E">
      <w:pPr>
        <w:spacing w:line="360" w:lineRule="auto"/>
        <w:ind w:firstLine="440" w:firstLineChars="200"/>
      </w:pPr>
      <w:r>
        <w:rPr>
          <w:rFonts w:hint="eastAsia"/>
        </w:rPr>
        <w:t>1.1.6</w:t>
      </w:r>
      <w:r>
        <w:rPr>
          <w:rFonts w:hint="eastAsia"/>
          <w:lang w:val="en-US"/>
        </w:rPr>
        <w:t xml:space="preserve"> </w:t>
      </w:r>
      <w:r>
        <w:rPr>
          <w:rFonts w:hint="eastAsia"/>
        </w:rPr>
        <w:t>项目建设规模：见投标人须知前附表。</w:t>
      </w:r>
    </w:p>
    <w:p w14:paraId="76017351">
      <w:pPr>
        <w:spacing w:line="360" w:lineRule="auto"/>
        <w:ind w:firstLine="440" w:firstLineChars="200"/>
      </w:pPr>
      <w:r>
        <w:rPr>
          <w:rFonts w:hint="eastAsia"/>
        </w:rPr>
        <w:t>1.1.7</w:t>
      </w:r>
      <w:r>
        <w:rPr>
          <w:rFonts w:hint="eastAsia"/>
          <w:lang w:val="en-US"/>
        </w:rPr>
        <w:t xml:space="preserve"> </w:t>
      </w:r>
      <w:r>
        <w:rPr>
          <w:rFonts w:hint="eastAsia"/>
        </w:rPr>
        <w:t>工程项目施工预计开工日期和建设周期：见投标人须知前附表。</w:t>
      </w:r>
    </w:p>
    <w:p w14:paraId="49E97AC0">
      <w:pPr>
        <w:spacing w:line="360" w:lineRule="auto"/>
        <w:ind w:firstLine="440" w:firstLineChars="200"/>
      </w:pPr>
      <w:r>
        <w:rPr>
          <w:rFonts w:hint="eastAsia"/>
        </w:rPr>
        <w:t>1.1.8</w:t>
      </w:r>
      <w:r>
        <w:rPr>
          <w:rFonts w:hint="eastAsia"/>
          <w:lang w:val="en-US"/>
        </w:rPr>
        <w:t xml:space="preserve"> </w:t>
      </w:r>
      <w:r>
        <w:rPr>
          <w:rFonts w:hint="eastAsia"/>
        </w:rPr>
        <w:t>建筑安装工程费/工程概算：见投标人须知前附表。</w:t>
      </w:r>
    </w:p>
    <w:p w14:paraId="229A639B">
      <w:pPr>
        <w:spacing w:line="360" w:lineRule="auto"/>
        <w:rPr>
          <w:rFonts w:cs="Times New Roman"/>
          <w:b/>
          <w:bCs/>
          <w:kern w:val="2"/>
          <w:sz w:val="28"/>
          <w:szCs w:val="28"/>
          <w:lang w:val="en-US" w:bidi="ar-SA"/>
        </w:rPr>
      </w:pPr>
      <w:r>
        <w:rPr>
          <w:rFonts w:hint="eastAsia" w:cs="Times New Roman"/>
          <w:b/>
          <w:bCs/>
          <w:kern w:val="2"/>
          <w:sz w:val="28"/>
          <w:szCs w:val="28"/>
          <w:lang w:val="en-US" w:bidi="ar-SA"/>
        </w:rPr>
        <w:t>1.2 招标项目的资金来源和落实情况</w:t>
      </w:r>
    </w:p>
    <w:p w14:paraId="3ED25B22">
      <w:pPr>
        <w:spacing w:line="360" w:lineRule="auto"/>
        <w:ind w:firstLine="440" w:firstLineChars="200"/>
      </w:pPr>
      <w:r>
        <w:rPr>
          <w:rFonts w:hint="eastAsia"/>
        </w:rPr>
        <w:t>1.2.1</w:t>
      </w:r>
      <w:r>
        <w:rPr>
          <w:rFonts w:hint="eastAsia"/>
          <w:lang w:val="en-US"/>
        </w:rPr>
        <w:t xml:space="preserve"> </w:t>
      </w:r>
      <w:r>
        <w:rPr>
          <w:rFonts w:hint="eastAsia"/>
        </w:rPr>
        <w:t>资金来源及比例：见投标人须知前附表。</w:t>
      </w:r>
    </w:p>
    <w:p w14:paraId="49AF25DD">
      <w:pPr>
        <w:spacing w:line="360" w:lineRule="auto"/>
        <w:ind w:firstLine="440" w:firstLineChars="200"/>
      </w:pPr>
      <w:r>
        <w:rPr>
          <w:rFonts w:hint="eastAsia"/>
        </w:rPr>
        <w:t>1.2.2</w:t>
      </w:r>
      <w:r>
        <w:rPr>
          <w:rFonts w:hint="eastAsia"/>
          <w:lang w:val="en-US"/>
        </w:rPr>
        <w:t xml:space="preserve"> </w:t>
      </w:r>
      <w:r>
        <w:rPr>
          <w:rFonts w:hint="eastAsia"/>
        </w:rPr>
        <w:t>资金落实情况：见投标人须知前附表。</w:t>
      </w:r>
    </w:p>
    <w:p w14:paraId="40574DF2">
      <w:pPr>
        <w:spacing w:line="360" w:lineRule="auto"/>
        <w:rPr>
          <w:rFonts w:cs="Times New Roman"/>
          <w:b/>
          <w:bCs/>
          <w:kern w:val="2"/>
          <w:sz w:val="28"/>
          <w:szCs w:val="28"/>
          <w:lang w:val="en-US" w:bidi="ar-SA"/>
        </w:rPr>
      </w:pPr>
      <w:r>
        <w:rPr>
          <w:rFonts w:hint="eastAsia" w:cs="Times New Roman"/>
          <w:b/>
          <w:bCs/>
          <w:kern w:val="2"/>
          <w:sz w:val="28"/>
          <w:szCs w:val="28"/>
          <w:lang w:val="en-US" w:bidi="ar-SA"/>
        </w:rPr>
        <w:t>1.3 招标范围、服务期限和质量标准</w:t>
      </w:r>
    </w:p>
    <w:p w14:paraId="167EF656">
      <w:pPr>
        <w:spacing w:line="360" w:lineRule="auto"/>
        <w:ind w:firstLine="440" w:firstLineChars="200"/>
      </w:pPr>
      <w:r>
        <w:rPr>
          <w:rFonts w:hint="eastAsia"/>
        </w:rPr>
        <w:t>1.3.1</w:t>
      </w:r>
      <w:r>
        <w:rPr>
          <w:rFonts w:hint="eastAsia"/>
          <w:lang w:val="en-US"/>
        </w:rPr>
        <w:t xml:space="preserve"> </w:t>
      </w:r>
      <w:r>
        <w:rPr>
          <w:rFonts w:hint="eastAsia"/>
        </w:rPr>
        <w:t>招标范围：见投标人须知前附表。</w:t>
      </w:r>
    </w:p>
    <w:p w14:paraId="09A1A494">
      <w:pPr>
        <w:spacing w:line="360" w:lineRule="auto"/>
        <w:ind w:firstLine="440" w:firstLineChars="200"/>
      </w:pPr>
      <w:r>
        <w:rPr>
          <w:rFonts w:hint="eastAsia"/>
        </w:rPr>
        <w:t>1.3.2</w:t>
      </w:r>
      <w:r>
        <w:rPr>
          <w:rFonts w:hint="eastAsia"/>
          <w:lang w:val="en-US"/>
        </w:rPr>
        <w:t xml:space="preserve"> </w:t>
      </w:r>
      <w:r>
        <w:rPr>
          <w:rFonts w:hint="eastAsia"/>
        </w:rPr>
        <w:t>服务期限：见投标人须知前附表。</w:t>
      </w:r>
    </w:p>
    <w:p w14:paraId="4651F167">
      <w:pPr>
        <w:spacing w:line="360" w:lineRule="auto"/>
        <w:ind w:firstLine="440" w:firstLineChars="200"/>
      </w:pPr>
      <w:r>
        <w:rPr>
          <w:rFonts w:hint="eastAsia"/>
        </w:rPr>
        <w:t>1.3.3质量标准：见投标人须知前附表。</w:t>
      </w:r>
    </w:p>
    <w:p w14:paraId="21C6B850">
      <w:pPr>
        <w:spacing w:line="360" w:lineRule="auto"/>
        <w:rPr>
          <w:rFonts w:cs="Times New Roman"/>
          <w:b/>
          <w:bCs/>
          <w:kern w:val="2"/>
          <w:sz w:val="28"/>
          <w:szCs w:val="28"/>
          <w:lang w:val="en-US" w:bidi="ar-SA"/>
        </w:rPr>
      </w:pPr>
      <w:r>
        <w:rPr>
          <w:rFonts w:hint="eastAsia" w:cs="Times New Roman"/>
          <w:b/>
          <w:bCs/>
          <w:kern w:val="2"/>
          <w:sz w:val="28"/>
          <w:szCs w:val="28"/>
          <w:lang w:val="en-US" w:bidi="ar-SA"/>
        </w:rPr>
        <w:t>1.4 投标人资格要求</w:t>
      </w:r>
    </w:p>
    <w:p w14:paraId="6A64910B">
      <w:pPr>
        <w:spacing w:line="360" w:lineRule="auto"/>
        <w:ind w:firstLine="440" w:firstLineChars="200"/>
      </w:pPr>
      <w:r>
        <w:rPr>
          <w:rFonts w:hint="eastAsia"/>
        </w:rPr>
        <w:t>1.4.1</w:t>
      </w:r>
      <w:r>
        <w:rPr>
          <w:rFonts w:hint="eastAsia"/>
          <w:lang w:val="en-US"/>
        </w:rPr>
        <w:t xml:space="preserve"> </w:t>
      </w:r>
      <w:r>
        <w:rPr>
          <w:rFonts w:hint="eastAsia"/>
        </w:rPr>
        <w:t>投标人应具备承担本招标项目资质条件、能力和信誉：</w:t>
      </w:r>
    </w:p>
    <w:p w14:paraId="6E2BF760">
      <w:pPr>
        <w:spacing w:line="360" w:lineRule="auto"/>
        <w:ind w:firstLine="220" w:firstLineChars="100"/>
      </w:pPr>
      <w:r>
        <w:rPr>
          <w:rFonts w:hint="eastAsia"/>
        </w:rPr>
        <w:t>（1）资质要求：见投标人须知前附表</w:t>
      </w:r>
      <w:r>
        <w:rPr>
          <w:rFonts w:hint="eastAsia"/>
          <w:lang w:val="en-US"/>
        </w:rPr>
        <w:t>；</w:t>
      </w:r>
    </w:p>
    <w:p w14:paraId="3669101E">
      <w:pPr>
        <w:spacing w:line="360" w:lineRule="auto"/>
        <w:ind w:firstLine="220" w:firstLineChars="100"/>
      </w:pPr>
      <w:r>
        <w:rPr>
          <w:rFonts w:hint="eastAsia"/>
        </w:rPr>
        <w:t>（2）财务要求：见投标人须知前附表</w:t>
      </w:r>
      <w:r>
        <w:rPr>
          <w:rFonts w:hint="eastAsia"/>
          <w:lang w:val="en-US"/>
        </w:rPr>
        <w:t>；</w:t>
      </w:r>
    </w:p>
    <w:p w14:paraId="426506F3">
      <w:pPr>
        <w:spacing w:line="360" w:lineRule="auto"/>
        <w:ind w:firstLine="220" w:firstLineChars="100"/>
        <w:rPr>
          <w:strike/>
        </w:rPr>
      </w:pPr>
      <w:r>
        <w:rPr>
          <w:rFonts w:hint="eastAsia"/>
        </w:rPr>
        <w:t>（3）业绩要求：见投标人须知前附表</w:t>
      </w:r>
      <w:r>
        <w:rPr>
          <w:rFonts w:hint="eastAsia"/>
          <w:lang w:val="en-US"/>
        </w:rPr>
        <w:t>；</w:t>
      </w:r>
    </w:p>
    <w:p w14:paraId="1B9EAE0A">
      <w:pPr>
        <w:spacing w:line="360" w:lineRule="auto"/>
        <w:ind w:firstLine="220" w:firstLineChars="100"/>
      </w:pPr>
      <w:r>
        <w:rPr>
          <w:rFonts w:hint="eastAsia"/>
        </w:rPr>
        <w:t>（4）信誉要求：见投标人须知前附表</w:t>
      </w:r>
      <w:r>
        <w:rPr>
          <w:rFonts w:hint="eastAsia"/>
          <w:lang w:val="en-US"/>
        </w:rPr>
        <w:t>；</w:t>
      </w:r>
    </w:p>
    <w:p w14:paraId="33BC1216">
      <w:pPr>
        <w:spacing w:line="360" w:lineRule="auto"/>
        <w:ind w:firstLine="220" w:firstLineChars="100"/>
      </w:pPr>
      <w:r>
        <w:rPr>
          <w:rFonts w:hint="eastAsia"/>
        </w:rPr>
        <w:t>（5）</w:t>
      </w:r>
      <w:r>
        <w:rPr>
          <w:rFonts w:hint="eastAsia"/>
          <w:lang w:val="en-US"/>
        </w:rPr>
        <w:t>项目负责人</w:t>
      </w:r>
      <w:r>
        <w:rPr>
          <w:rFonts w:hint="eastAsia"/>
        </w:rPr>
        <w:t>的资格要求：见投标人须知前附表</w:t>
      </w:r>
      <w:r>
        <w:rPr>
          <w:rFonts w:hint="eastAsia"/>
          <w:lang w:val="en-US"/>
        </w:rPr>
        <w:t>；</w:t>
      </w:r>
    </w:p>
    <w:p w14:paraId="7C661544">
      <w:pPr>
        <w:spacing w:line="360" w:lineRule="auto"/>
        <w:ind w:firstLine="220" w:firstLineChars="100"/>
      </w:pPr>
      <w:r>
        <w:rPr>
          <w:rFonts w:hint="eastAsia"/>
        </w:rPr>
        <w:t>（6）其他主要人员要求：见投标人须知前附表</w:t>
      </w:r>
      <w:r>
        <w:rPr>
          <w:rFonts w:hint="eastAsia"/>
          <w:lang w:val="en-US"/>
        </w:rPr>
        <w:t>；</w:t>
      </w:r>
    </w:p>
    <w:p w14:paraId="1B02BBDB">
      <w:pPr>
        <w:spacing w:line="360" w:lineRule="auto"/>
        <w:ind w:firstLine="220" w:firstLineChars="100"/>
      </w:pPr>
      <w:r>
        <w:rPr>
          <w:rFonts w:hint="eastAsia"/>
        </w:rPr>
        <w:t>（7）试验检测仪器设备要求：见投标人须知前附表</w:t>
      </w:r>
      <w:r>
        <w:rPr>
          <w:rFonts w:hint="eastAsia"/>
          <w:lang w:val="en-US"/>
        </w:rPr>
        <w:t>；</w:t>
      </w:r>
    </w:p>
    <w:p w14:paraId="751AF4A2">
      <w:pPr>
        <w:spacing w:line="360" w:lineRule="auto"/>
        <w:ind w:firstLine="220" w:firstLineChars="100"/>
      </w:pPr>
      <w:r>
        <w:rPr>
          <w:rFonts w:hint="eastAsia"/>
        </w:rPr>
        <w:t>（8）其他要求：见投标人须知前附表。</w:t>
      </w:r>
    </w:p>
    <w:p w14:paraId="503B44E4">
      <w:pPr>
        <w:spacing w:line="360" w:lineRule="auto"/>
        <w:ind w:firstLine="440" w:firstLineChars="200"/>
      </w:pPr>
      <w:r>
        <w:rPr>
          <w:rFonts w:hint="eastAsia"/>
        </w:rPr>
        <w:t>需要提交的相关证明材料见本章第 3.5 款的规定。</w:t>
      </w:r>
    </w:p>
    <w:p w14:paraId="4609A30E">
      <w:pPr>
        <w:spacing w:line="360" w:lineRule="auto"/>
        <w:ind w:firstLine="440" w:firstLineChars="200"/>
      </w:pPr>
      <w:r>
        <w:rPr>
          <w:rFonts w:hint="eastAsia"/>
        </w:rPr>
        <w:t>1.4.2投标人须知前附表规定接受联合体投标的，联合体除应符合本章第 1.4.1 项和投标人须知前附表的要求外，还应遵守以下规定：</w:t>
      </w:r>
    </w:p>
    <w:p w14:paraId="08FE48CF">
      <w:pPr>
        <w:spacing w:line="360" w:lineRule="auto"/>
        <w:ind w:firstLine="440" w:firstLineChars="200"/>
      </w:pPr>
      <w:r>
        <w:rPr>
          <w:rFonts w:hint="eastAsia"/>
        </w:rPr>
        <w:t>（1）联合体各方应按招标文件提供的格式签订《联合体共同投标协议》，明确联合体主办方和各方权利义务，并承诺就中标项目向招标人承担连带责任；</w:t>
      </w:r>
    </w:p>
    <w:p w14:paraId="119D6DD0">
      <w:pPr>
        <w:spacing w:line="360" w:lineRule="auto"/>
        <w:ind w:firstLine="440" w:firstLineChars="200"/>
      </w:pPr>
      <w:r>
        <w:rPr>
          <w:rFonts w:hint="eastAsia"/>
        </w:rPr>
        <w:t>（2）由同一专业的单位组成的联合体，按照资质等级较低的单位确定资质等级；</w:t>
      </w:r>
    </w:p>
    <w:p w14:paraId="7E80F7B2">
      <w:pPr>
        <w:spacing w:line="360" w:lineRule="auto"/>
        <w:ind w:firstLine="440" w:firstLineChars="200"/>
      </w:pPr>
      <w:r>
        <w:rPr>
          <w:rFonts w:hint="eastAsia"/>
        </w:rPr>
        <w:t>（3）联合体各方不得再以自己名义单独或参加其他联合体在本招标项目中投标，否则各相关投标均无效。</w:t>
      </w:r>
    </w:p>
    <w:p w14:paraId="5C50867E">
      <w:pPr>
        <w:spacing w:line="360" w:lineRule="auto"/>
        <w:ind w:firstLine="440" w:firstLineChars="200"/>
      </w:pPr>
      <w:r>
        <w:rPr>
          <w:rFonts w:hint="eastAsia"/>
        </w:rPr>
        <w:t>1.4.3</w:t>
      </w:r>
      <w:r>
        <w:rPr>
          <w:rFonts w:hint="eastAsia"/>
          <w:lang w:val="en-US"/>
        </w:rPr>
        <w:t xml:space="preserve"> </w:t>
      </w:r>
      <w:r>
        <w:rPr>
          <w:rFonts w:hint="eastAsia"/>
        </w:rPr>
        <w:t>投标人不得存在下列情形之一：</w:t>
      </w:r>
    </w:p>
    <w:p w14:paraId="1BA73F5A">
      <w:pPr>
        <w:spacing w:line="360" w:lineRule="auto"/>
        <w:ind w:firstLine="440" w:firstLineChars="200"/>
      </w:pPr>
      <w:r>
        <w:rPr>
          <w:rFonts w:hint="eastAsia"/>
        </w:rPr>
        <w:t>（1）为招标人不具有独立法人资格的附属机构（单位）；</w:t>
      </w:r>
    </w:p>
    <w:p w14:paraId="1218399A">
      <w:pPr>
        <w:spacing w:line="360" w:lineRule="auto"/>
        <w:ind w:firstLine="440" w:firstLineChars="200"/>
      </w:pPr>
      <w:r>
        <w:rPr>
          <w:rFonts w:hint="eastAsia"/>
        </w:rPr>
        <w:t>（2）与招标人存在利害关系且可能影响招标公正性；</w:t>
      </w:r>
    </w:p>
    <w:p w14:paraId="69E1A999">
      <w:pPr>
        <w:spacing w:line="360" w:lineRule="auto"/>
        <w:ind w:firstLine="440" w:firstLineChars="200"/>
      </w:pPr>
      <w:r>
        <w:rPr>
          <w:rFonts w:hint="eastAsia"/>
        </w:rPr>
        <w:t>（3）与本招标项目的其他投标人为同一个单位负责人；</w:t>
      </w:r>
    </w:p>
    <w:p w14:paraId="0428B952">
      <w:pPr>
        <w:spacing w:line="360" w:lineRule="auto"/>
        <w:ind w:firstLine="440" w:firstLineChars="200"/>
      </w:pPr>
      <w:r>
        <w:rPr>
          <w:rFonts w:hint="eastAsia"/>
        </w:rPr>
        <w:t>（4）与本招标项目的其他投标人存在控股、管理关系；</w:t>
      </w:r>
    </w:p>
    <w:p w14:paraId="0E3E813A">
      <w:pPr>
        <w:spacing w:line="360" w:lineRule="auto"/>
        <w:ind w:firstLine="440" w:firstLineChars="200"/>
      </w:pPr>
      <w:r>
        <w:rPr>
          <w:rFonts w:hint="eastAsia"/>
        </w:rPr>
        <w:t>（5）为本招标项目的招标代理机构；</w:t>
      </w:r>
    </w:p>
    <w:p w14:paraId="666CC6B3">
      <w:pPr>
        <w:spacing w:line="360" w:lineRule="auto"/>
        <w:ind w:firstLine="440" w:firstLineChars="200"/>
      </w:pPr>
      <w:r>
        <w:rPr>
          <w:rFonts w:hint="eastAsia"/>
        </w:rPr>
        <w:t>（</w:t>
      </w:r>
      <w:r>
        <w:rPr>
          <w:rFonts w:hint="eastAsia"/>
          <w:lang w:val="en-US"/>
        </w:rPr>
        <w:t>6</w:t>
      </w:r>
      <w:r>
        <w:rPr>
          <w:rFonts w:hint="eastAsia"/>
        </w:rPr>
        <w:t>）与本招标项目的招标代理机构同为一个法定代表人；</w:t>
      </w:r>
    </w:p>
    <w:p w14:paraId="6C72CFC2">
      <w:pPr>
        <w:spacing w:line="360" w:lineRule="auto"/>
        <w:ind w:firstLine="440" w:firstLineChars="200"/>
      </w:pPr>
      <w:r>
        <w:rPr>
          <w:rFonts w:hint="eastAsia"/>
        </w:rPr>
        <w:t>（</w:t>
      </w:r>
      <w:r>
        <w:rPr>
          <w:rFonts w:hint="eastAsia"/>
          <w:lang w:val="en-US"/>
        </w:rPr>
        <w:t>7</w:t>
      </w:r>
      <w:r>
        <w:rPr>
          <w:rFonts w:hint="eastAsia"/>
        </w:rPr>
        <w:t>）与本招标项目的招标代理机构存在控股或参股关系；</w:t>
      </w:r>
    </w:p>
    <w:p w14:paraId="198CFC45">
      <w:pPr>
        <w:spacing w:line="360" w:lineRule="auto"/>
        <w:ind w:firstLine="440" w:firstLineChars="200"/>
      </w:pPr>
      <w:r>
        <w:rPr>
          <w:rFonts w:hint="eastAsia"/>
        </w:rPr>
        <w:t>（</w:t>
      </w:r>
      <w:r>
        <w:rPr>
          <w:rFonts w:hint="eastAsia"/>
          <w:lang w:val="en-US"/>
        </w:rPr>
        <w:t>8</w:t>
      </w:r>
      <w:r>
        <w:rPr>
          <w:rFonts w:hint="eastAsia"/>
        </w:rPr>
        <w:t>）被依法暂停或者取消投标资格</w:t>
      </w:r>
      <w:r>
        <w:rPr>
          <w:rFonts w:hint="eastAsia"/>
          <w:u w:val="single"/>
        </w:rPr>
        <w:t>（本项事实应当以根据《中华人民共和国行政处罚法》依法作出并已经生效的行政处罚决定为认定依据。行政处罚决定中已经明确的暂停或取消投标资格的区域范围不包含本</w:t>
      </w:r>
      <w:r>
        <w:rPr>
          <w:rFonts w:hint="eastAsia"/>
          <w:u w:val="single"/>
          <w:lang w:val="en-US"/>
        </w:rPr>
        <w:t>项目</w:t>
      </w:r>
      <w:r>
        <w:rPr>
          <w:rFonts w:hint="eastAsia"/>
          <w:u w:val="single"/>
        </w:rPr>
        <w:t>建设地点的，不受该项规定限制）</w:t>
      </w:r>
      <w:r>
        <w:rPr>
          <w:rFonts w:hint="eastAsia"/>
        </w:rPr>
        <w:t>；</w:t>
      </w:r>
    </w:p>
    <w:p w14:paraId="4FA4C1F5">
      <w:pPr>
        <w:spacing w:line="360" w:lineRule="auto"/>
        <w:ind w:firstLine="440" w:firstLineChars="200"/>
        <w:rPr>
          <w:u w:val="single"/>
        </w:rPr>
      </w:pPr>
      <w:r>
        <w:rPr>
          <w:rFonts w:hint="eastAsia"/>
        </w:rPr>
        <w:t>（</w:t>
      </w:r>
      <w:r>
        <w:rPr>
          <w:rFonts w:hint="eastAsia"/>
          <w:lang w:val="en-US"/>
        </w:rPr>
        <w:t>9</w:t>
      </w:r>
      <w:r>
        <w:rPr>
          <w:rFonts w:hint="eastAsia"/>
        </w:rPr>
        <w:t>）被责令停产停业、暂扣或者吊销许可证、暂扣或者吊销执照</w:t>
      </w:r>
      <w:r>
        <w:rPr>
          <w:rFonts w:hint="eastAsia"/>
          <w:u w:val="single"/>
        </w:rPr>
        <w:t>（本项事实应当以根据《中华人民共和国行政处罚法》依法作出并已经生效的行政处罚决定为认定依据）；</w:t>
      </w:r>
    </w:p>
    <w:p w14:paraId="2B63E986">
      <w:pPr>
        <w:spacing w:line="360" w:lineRule="auto"/>
        <w:ind w:firstLine="440" w:firstLineChars="200"/>
      </w:pPr>
      <w:r>
        <w:rPr>
          <w:rFonts w:hint="eastAsia"/>
        </w:rPr>
        <w:t>（1</w:t>
      </w:r>
      <w:r>
        <w:rPr>
          <w:rFonts w:hint="eastAsia"/>
          <w:lang w:val="en-US"/>
        </w:rPr>
        <w:t>0</w:t>
      </w:r>
      <w:r>
        <w:rPr>
          <w:rFonts w:hint="eastAsia"/>
        </w:rPr>
        <w:t>）进入清算程序，或被宣告破产，或其他丧失履约能力的情形；</w:t>
      </w:r>
    </w:p>
    <w:p w14:paraId="1840A5BF">
      <w:pPr>
        <w:spacing w:line="360" w:lineRule="auto"/>
        <w:ind w:firstLine="440" w:firstLineChars="200"/>
      </w:pPr>
      <w:r>
        <w:rPr>
          <w:rFonts w:hint="eastAsia"/>
        </w:rPr>
        <w:t>（1</w:t>
      </w:r>
      <w:r>
        <w:rPr>
          <w:rFonts w:hint="eastAsia"/>
          <w:lang w:val="en-US"/>
        </w:rPr>
        <w:t>1</w:t>
      </w:r>
      <w:r>
        <w:rPr>
          <w:rFonts w:hint="eastAsia"/>
        </w:rPr>
        <w:t>）法律法规或投标人须知前附表规定的其他情形。</w:t>
      </w:r>
    </w:p>
    <w:p w14:paraId="7561BEFE">
      <w:pPr>
        <w:spacing w:line="360" w:lineRule="auto"/>
        <w:rPr>
          <w:rFonts w:cs="Times New Roman"/>
          <w:b/>
          <w:bCs/>
          <w:kern w:val="2"/>
          <w:sz w:val="28"/>
          <w:szCs w:val="28"/>
          <w:lang w:val="en-US" w:bidi="ar-SA"/>
        </w:rPr>
      </w:pPr>
      <w:r>
        <w:rPr>
          <w:rFonts w:hint="eastAsia" w:cs="Times New Roman"/>
          <w:b/>
          <w:bCs/>
          <w:kern w:val="2"/>
          <w:sz w:val="28"/>
          <w:szCs w:val="28"/>
          <w:lang w:val="en-US" w:bidi="ar-SA"/>
        </w:rPr>
        <w:t>1.5 费用承担</w:t>
      </w:r>
    </w:p>
    <w:p w14:paraId="77A51A2A">
      <w:pPr>
        <w:spacing w:line="360" w:lineRule="auto"/>
        <w:ind w:firstLine="440" w:firstLineChars="200"/>
      </w:pPr>
      <w:r>
        <w:rPr>
          <w:rFonts w:hint="eastAsia"/>
        </w:rPr>
        <w:t>投标人准备和参加投标活动发生的费用自理。</w:t>
      </w:r>
    </w:p>
    <w:p w14:paraId="5C2AC804">
      <w:pPr>
        <w:spacing w:line="360" w:lineRule="auto"/>
        <w:rPr>
          <w:rFonts w:cs="Times New Roman"/>
          <w:b/>
          <w:bCs/>
          <w:kern w:val="2"/>
          <w:sz w:val="28"/>
          <w:szCs w:val="28"/>
          <w:lang w:val="en-US" w:bidi="ar-SA"/>
        </w:rPr>
      </w:pPr>
      <w:r>
        <w:rPr>
          <w:rFonts w:hint="eastAsia" w:cs="Times New Roman"/>
          <w:b/>
          <w:bCs/>
          <w:kern w:val="2"/>
          <w:sz w:val="28"/>
          <w:szCs w:val="28"/>
          <w:lang w:val="en-US" w:bidi="ar-SA"/>
        </w:rPr>
        <w:t>1.6 保密</w:t>
      </w:r>
    </w:p>
    <w:p w14:paraId="2BCA24B8">
      <w:pPr>
        <w:spacing w:line="360" w:lineRule="auto"/>
        <w:ind w:firstLine="440" w:firstLineChars="200"/>
      </w:pPr>
      <w:r>
        <w:rPr>
          <w:rFonts w:hint="eastAsia"/>
        </w:rPr>
        <w:t>参与招标投标活动的各方应对招标文件和投标文件中的商业和技术等秘密保密，否则应承担相应的法律责任。</w:t>
      </w:r>
    </w:p>
    <w:p w14:paraId="626A350E">
      <w:pPr>
        <w:spacing w:line="360" w:lineRule="auto"/>
        <w:rPr>
          <w:rFonts w:cs="Times New Roman"/>
          <w:b/>
          <w:bCs/>
          <w:kern w:val="2"/>
          <w:sz w:val="28"/>
          <w:szCs w:val="28"/>
          <w:lang w:val="en-US" w:bidi="ar-SA"/>
        </w:rPr>
      </w:pPr>
      <w:r>
        <w:rPr>
          <w:rFonts w:hint="eastAsia" w:cs="Times New Roman"/>
          <w:b/>
          <w:bCs/>
          <w:kern w:val="2"/>
          <w:sz w:val="28"/>
          <w:szCs w:val="28"/>
          <w:lang w:val="en-US" w:bidi="ar-SA"/>
        </w:rPr>
        <w:t>1.7 语言文字</w:t>
      </w:r>
    </w:p>
    <w:p w14:paraId="51982AD6">
      <w:pPr>
        <w:spacing w:line="360" w:lineRule="auto"/>
        <w:ind w:firstLine="440" w:firstLineChars="200"/>
      </w:pPr>
      <w:r>
        <w:rPr>
          <w:rFonts w:hint="eastAsia"/>
        </w:rPr>
        <w:t>招标投标文件使用的语言文字为中文。专用术语使用外文的，应附有中文注释。</w:t>
      </w:r>
    </w:p>
    <w:p w14:paraId="324F8022">
      <w:pPr>
        <w:spacing w:line="360" w:lineRule="auto"/>
        <w:rPr>
          <w:rFonts w:cs="Times New Roman"/>
          <w:b/>
          <w:bCs/>
          <w:kern w:val="2"/>
          <w:sz w:val="28"/>
          <w:szCs w:val="28"/>
          <w:lang w:val="en-US" w:bidi="ar-SA"/>
        </w:rPr>
      </w:pPr>
      <w:r>
        <w:rPr>
          <w:rFonts w:hint="eastAsia" w:cs="Times New Roman"/>
          <w:b/>
          <w:bCs/>
          <w:kern w:val="2"/>
          <w:sz w:val="28"/>
          <w:szCs w:val="28"/>
          <w:lang w:val="en-US" w:bidi="ar-SA"/>
        </w:rPr>
        <w:t>1.8 计量单位</w:t>
      </w:r>
    </w:p>
    <w:p w14:paraId="137142B0">
      <w:pPr>
        <w:spacing w:line="360" w:lineRule="auto"/>
        <w:ind w:firstLine="440" w:firstLineChars="200"/>
      </w:pPr>
      <w:r>
        <w:rPr>
          <w:rFonts w:hint="eastAsia"/>
        </w:rPr>
        <w:t>所有计量均采用中华人民共和国法定计量单位。</w:t>
      </w:r>
    </w:p>
    <w:p w14:paraId="66EAF390">
      <w:pPr>
        <w:spacing w:line="360" w:lineRule="auto"/>
        <w:rPr>
          <w:rFonts w:cs="Times New Roman"/>
          <w:b/>
          <w:bCs/>
          <w:kern w:val="2"/>
          <w:sz w:val="28"/>
          <w:szCs w:val="28"/>
          <w:lang w:val="en-US" w:bidi="ar-SA"/>
        </w:rPr>
      </w:pPr>
      <w:r>
        <w:rPr>
          <w:rFonts w:hint="eastAsia" w:cs="Times New Roman"/>
          <w:b/>
          <w:bCs/>
          <w:kern w:val="2"/>
          <w:sz w:val="28"/>
          <w:szCs w:val="28"/>
          <w:lang w:val="en-US" w:bidi="ar-SA"/>
        </w:rPr>
        <w:t>1.9 踏勘现场</w:t>
      </w:r>
    </w:p>
    <w:p w14:paraId="1321134D">
      <w:pPr>
        <w:spacing w:line="360" w:lineRule="auto"/>
        <w:ind w:firstLine="440" w:firstLineChars="200"/>
      </w:pPr>
      <w:r>
        <w:rPr>
          <w:rFonts w:hint="eastAsia"/>
        </w:rPr>
        <w:t>1.9.1</w:t>
      </w:r>
      <w:r>
        <w:rPr>
          <w:rFonts w:hint="eastAsia"/>
          <w:lang w:val="en-US"/>
        </w:rPr>
        <w:t xml:space="preserve"> </w:t>
      </w:r>
      <w:r>
        <w:rPr>
          <w:rFonts w:hint="eastAsia"/>
          <w:u w:val="single"/>
        </w:rPr>
        <w:t>本项目由投标人按需自行踏勘。</w:t>
      </w:r>
    </w:p>
    <w:p w14:paraId="01A4F450">
      <w:pPr>
        <w:spacing w:line="360" w:lineRule="auto"/>
        <w:ind w:firstLine="440" w:firstLineChars="200"/>
      </w:pPr>
      <w:r>
        <w:rPr>
          <w:rFonts w:hint="eastAsia"/>
        </w:rPr>
        <w:t>1.9.2</w:t>
      </w:r>
      <w:r>
        <w:rPr>
          <w:rFonts w:hint="eastAsia"/>
          <w:lang w:val="en-US"/>
        </w:rPr>
        <w:t xml:space="preserve"> </w:t>
      </w:r>
      <w:r>
        <w:rPr>
          <w:rFonts w:hint="eastAsia"/>
        </w:rPr>
        <w:t>投标人踏勘现场发生的费用自理。</w:t>
      </w:r>
    </w:p>
    <w:p w14:paraId="7FF5CF96">
      <w:pPr>
        <w:spacing w:line="360" w:lineRule="auto"/>
        <w:ind w:firstLine="440" w:firstLineChars="200"/>
      </w:pPr>
      <w:r>
        <w:rPr>
          <w:rFonts w:hint="eastAsia"/>
        </w:rPr>
        <w:t>1.9.3</w:t>
      </w:r>
      <w:r>
        <w:rPr>
          <w:rFonts w:hint="eastAsia"/>
          <w:lang w:val="en-US"/>
        </w:rPr>
        <w:t xml:space="preserve"> </w:t>
      </w:r>
      <w:r>
        <w:rPr>
          <w:rFonts w:hint="eastAsia"/>
        </w:rPr>
        <w:t>除招标人的原因外，投标人自行负责在踏勘现场中所发生的人员伤亡和财产损失。</w:t>
      </w:r>
    </w:p>
    <w:p w14:paraId="00BCB527">
      <w:pPr>
        <w:spacing w:line="360" w:lineRule="auto"/>
        <w:ind w:firstLine="440" w:firstLineChars="200"/>
      </w:pPr>
      <w:r>
        <w:rPr>
          <w:rFonts w:hint="eastAsia"/>
        </w:rPr>
        <w:t>1.9.4</w:t>
      </w:r>
      <w:r>
        <w:rPr>
          <w:rFonts w:hint="eastAsia"/>
          <w:lang w:val="en-US"/>
        </w:rPr>
        <w:t xml:space="preserve"> </w:t>
      </w:r>
      <w:r>
        <w:rPr>
          <w:rFonts w:hint="eastAsia"/>
        </w:rPr>
        <w:t>招标人在踏勘现场中介绍的工程场地和相关的周边环境情况，供投标人在编制投标文件时参考，招标人不对投标人据此作出的判断和决策负责。</w:t>
      </w:r>
    </w:p>
    <w:p w14:paraId="09546550">
      <w:pPr>
        <w:spacing w:line="360" w:lineRule="auto"/>
        <w:rPr>
          <w:rFonts w:cs="Times New Roman"/>
          <w:b/>
          <w:bCs/>
          <w:kern w:val="2"/>
          <w:sz w:val="28"/>
          <w:szCs w:val="28"/>
          <w:lang w:val="en-US" w:bidi="ar-SA"/>
        </w:rPr>
      </w:pPr>
      <w:r>
        <w:rPr>
          <w:rFonts w:hint="eastAsia" w:cs="Times New Roman"/>
          <w:b/>
          <w:bCs/>
          <w:kern w:val="2"/>
          <w:sz w:val="28"/>
          <w:szCs w:val="28"/>
          <w:lang w:val="en-US" w:bidi="ar-SA"/>
        </w:rPr>
        <w:t>1.10 投标预备会</w:t>
      </w:r>
    </w:p>
    <w:p w14:paraId="2E66E276">
      <w:pPr>
        <w:spacing w:line="360" w:lineRule="auto"/>
        <w:ind w:firstLine="440" w:firstLineChars="200"/>
      </w:pPr>
      <w:r>
        <w:rPr>
          <w:rFonts w:hint="eastAsia"/>
        </w:rPr>
        <w:t>1.10.1</w:t>
      </w:r>
      <w:r>
        <w:rPr>
          <w:rFonts w:hint="eastAsia"/>
          <w:lang w:val="en-US"/>
        </w:rPr>
        <w:t xml:space="preserve"> </w:t>
      </w:r>
      <w:r>
        <w:rPr>
          <w:rFonts w:hint="eastAsia"/>
        </w:rPr>
        <w:t>投标人须知前附表规定召开投标预备会的，招标人按投标人须知前附表规定的时间和地点召开投标预备会，澄清投标人提出的问题。</w:t>
      </w:r>
    </w:p>
    <w:p w14:paraId="4EA98F50">
      <w:pPr>
        <w:spacing w:line="360" w:lineRule="auto"/>
        <w:ind w:firstLine="440" w:firstLineChars="200"/>
      </w:pPr>
      <w:r>
        <w:rPr>
          <w:rFonts w:hint="eastAsia"/>
        </w:rPr>
        <w:t>1.10.2</w:t>
      </w:r>
      <w:r>
        <w:rPr>
          <w:rFonts w:hint="eastAsia"/>
          <w:lang w:val="en-US"/>
        </w:rPr>
        <w:t xml:space="preserve"> </w:t>
      </w:r>
      <w:r>
        <w:rPr>
          <w:rFonts w:hint="eastAsia"/>
        </w:rPr>
        <w:t>投标人应按投标人须知前附表规定的时间和形式将提出的问题送达招标人，以便招标人在会议期间澄清。</w:t>
      </w:r>
    </w:p>
    <w:p w14:paraId="1831EAFC">
      <w:pPr>
        <w:spacing w:line="360" w:lineRule="auto"/>
        <w:ind w:firstLine="440" w:firstLineChars="200"/>
      </w:pPr>
      <w:r>
        <w:rPr>
          <w:rFonts w:hint="eastAsia"/>
        </w:rPr>
        <w:t>1.10.3</w:t>
      </w:r>
      <w:r>
        <w:rPr>
          <w:rFonts w:hint="eastAsia"/>
          <w:lang w:val="en-US"/>
        </w:rPr>
        <w:t xml:space="preserve"> </w:t>
      </w:r>
      <w:r>
        <w:rPr>
          <w:rFonts w:hint="eastAsia"/>
        </w:rPr>
        <w:t>投标预备会后，招标人将对投标人所提问题的澄清，以投标人须知前附表规定的形式通知所有购买招标文件的投标人。该澄清内容为招标文件的组成部分。</w:t>
      </w:r>
    </w:p>
    <w:p w14:paraId="4179C767">
      <w:pPr>
        <w:spacing w:line="360" w:lineRule="auto"/>
        <w:rPr>
          <w:rFonts w:cs="Times New Roman"/>
          <w:b/>
          <w:bCs/>
          <w:kern w:val="2"/>
          <w:sz w:val="28"/>
          <w:szCs w:val="28"/>
          <w:lang w:val="en-US" w:bidi="ar-SA"/>
        </w:rPr>
      </w:pPr>
      <w:r>
        <w:rPr>
          <w:rFonts w:hint="eastAsia" w:cs="Times New Roman"/>
          <w:b/>
          <w:bCs/>
          <w:kern w:val="2"/>
          <w:sz w:val="28"/>
          <w:szCs w:val="28"/>
          <w:lang w:val="en-US" w:bidi="ar-SA"/>
        </w:rPr>
        <w:t>1.11 分包</w:t>
      </w:r>
    </w:p>
    <w:p w14:paraId="3A612C51">
      <w:pPr>
        <w:spacing w:line="360" w:lineRule="auto"/>
        <w:ind w:firstLine="440" w:firstLineChars="200"/>
      </w:pPr>
      <w:r>
        <w:rPr>
          <w:rFonts w:hint="eastAsia"/>
        </w:rPr>
        <w:t>本项目严禁分包。</w:t>
      </w:r>
    </w:p>
    <w:p w14:paraId="06D1A60E">
      <w:pPr>
        <w:spacing w:line="360" w:lineRule="auto"/>
        <w:rPr>
          <w:rFonts w:cs="Times New Roman"/>
          <w:b/>
          <w:bCs/>
          <w:kern w:val="2"/>
          <w:sz w:val="28"/>
          <w:szCs w:val="28"/>
          <w:lang w:val="en-US" w:bidi="ar-SA"/>
        </w:rPr>
      </w:pPr>
      <w:r>
        <w:rPr>
          <w:rFonts w:hint="eastAsia" w:cs="Times New Roman"/>
          <w:b/>
          <w:bCs/>
          <w:kern w:val="2"/>
          <w:sz w:val="28"/>
          <w:szCs w:val="28"/>
          <w:lang w:val="en-US" w:bidi="ar-SA"/>
        </w:rPr>
        <w:t>1.12 响应和偏差</w:t>
      </w:r>
    </w:p>
    <w:p w14:paraId="4B663501">
      <w:pPr>
        <w:spacing w:line="360" w:lineRule="auto"/>
        <w:ind w:firstLine="440" w:firstLineChars="200"/>
      </w:pPr>
      <w:r>
        <w:rPr>
          <w:rFonts w:hint="eastAsia"/>
        </w:rPr>
        <w:t>1.12.1</w:t>
      </w:r>
      <w:r>
        <w:rPr>
          <w:rFonts w:hint="eastAsia"/>
          <w:lang w:val="en-US"/>
        </w:rPr>
        <w:t xml:space="preserve"> </w:t>
      </w:r>
      <w:r>
        <w:rPr>
          <w:rFonts w:hint="eastAsia"/>
        </w:rPr>
        <w:t>投标文件应当对招标文件的实质性要求和条件作出满足性或更有利于招标人的响应， 否则，投标人的投标将被否决。实质性要求和条件见投标人须知前附表。</w:t>
      </w:r>
    </w:p>
    <w:p w14:paraId="329896F5">
      <w:pPr>
        <w:spacing w:line="360" w:lineRule="auto"/>
        <w:ind w:firstLine="440" w:firstLineChars="200"/>
      </w:pPr>
      <w:r>
        <w:rPr>
          <w:rFonts w:hint="eastAsia"/>
        </w:rPr>
        <w:t>1.12.2</w:t>
      </w:r>
      <w:r>
        <w:rPr>
          <w:rFonts w:hint="eastAsia"/>
          <w:lang w:val="en-US"/>
        </w:rPr>
        <w:t xml:space="preserve"> </w:t>
      </w:r>
      <w:r>
        <w:rPr>
          <w:rFonts w:hint="eastAsia"/>
        </w:rPr>
        <w:t>投标人应根据招标文件的要求提供</w:t>
      </w:r>
      <w:r>
        <w:rPr>
          <w:rFonts w:hint="eastAsia"/>
          <w:u w:val="single"/>
          <w:lang w:val="en-US"/>
        </w:rPr>
        <w:t>项目代建管理方案</w:t>
      </w:r>
      <w:r>
        <w:rPr>
          <w:rFonts w:hint="eastAsia"/>
        </w:rPr>
        <w:t>等内容以对招标文件作出响应。</w:t>
      </w:r>
    </w:p>
    <w:p w14:paraId="368D6CAC">
      <w:pPr>
        <w:spacing w:line="360" w:lineRule="auto"/>
        <w:ind w:firstLine="440" w:firstLineChars="200"/>
      </w:pPr>
      <w:r>
        <w:rPr>
          <w:rFonts w:hint="eastAsia"/>
        </w:rPr>
        <w:t>1.12.3</w:t>
      </w:r>
      <w:r>
        <w:rPr>
          <w:rFonts w:hint="eastAsia"/>
          <w:lang w:val="en-US"/>
        </w:rPr>
        <w:t xml:space="preserve"> </w:t>
      </w:r>
      <w:r>
        <w:rPr>
          <w:rFonts w:hint="eastAsia"/>
        </w:rPr>
        <w:t>投标人须知前附表允许投标文件偏离招标文件某些要求的，偏差应当符合招标文件规定的偏差范围和幅度。</w:t>
      </w:r>
    </w:p>
    <w:p w14:paraId="207DCB35">
      <w:pPr>
        <w:spacing w:line="360" w:lineRule="auto"/>
        <w:rPr>
          <w:rFonts w:cs="Times New Roman"/>
          <w:b/>
          <w:bCs/>
          <w:kern w:val="2"/>
          <w:sz w:val="28"/>
          <w:szCs w:val="28"/>
          <w:lang w:val="en-US" w:bidi="ar-SA"/>
        </w:rPr>
      </w:pPr>
      <w:bookmarkStart w:id="15" w:name="_bookmark38"/>
      <w:bookmarkEnd w:id="15"/>
    </w:p>
    <w:p w14:paraId="599B2367">
      <w:pPr>
        <w:spacing w:line="360" w:lineRule="auto"/>
        <w:rPr>
          <w:rFonts w:cs="Times New Roman"/>
          <w:b/>
          <w:bCs/>
          <w:kern w:val="2"/>
          <w:sz w:val="28"/>
          <w:szCs w:val="28"/>
          <w:lang w:val="en-US" w:bidi="ar-SA"/>
        </w:rPr>
      </w:pPr>
      <w:r>
        <w:rPr>
          <w:rFonts w:hint="eastAsia" w:cs="Times New Roman"/>
          <w:b/>
          <w:bCs/>
          <w:kern w:val="2"/>
          <w:sz w:val="28"/>
          <w:szCs w:val="28"/>
          <w:lang w:val="en-US" w:bidi="ar-SA"/>
        </w:rPr>
        <w:t>2.招标文件</w:t>
      </w:r>
    </w:p>
    <w:p w14:paraId="6EF609CB">
      <w:pPr>
        <w:spacing w:line="360" w:lineRule="auto"/>
        <w:rPr>
          <w:rFonts w:cs="Times New Roman"/>
          <w:b/>
          <w:bCs/>
          <w:kern w:val="2"/>
          <w:sz w:val="28"/>
          <w:szCs w:val="28"/>
          <w:lang w:val="en-US" w:bidi="ar-SA"/>
        </w:rPr>
      </w:pPr>
      <w:r>
        <w:rPr>
          <w:rFonts w:hint="eastAsia" w:cs="Times New Roman"/>
          <w:b/>
          <w:bCs/>
          <w:kern w:val="2"/>
          <w:sz w:val="28"/>
          <w:szCs w:val="28"/>
          <w:lang w:val="en-US" w:bidi="ar-SA"/>
        </w:rPr>
        <w:t>2.1 招标文件的组成</w:t>
      </w:r>
    </w:p>
    <w:p w14:paraId="4827AD08">
      <w:pPr>
        <w:spacing w:line="360" w:lineRule="auto"/>
        <w:ind w:firstLine="440" w:firstLineChars="200"/>
      </w:pPr>
      <w:r>
        <w:rPr>
          <w:rFonts w:hint="eastAsia"/>
        </w:rPr>
        <w:t>本招标文件包括：</w:t>
      </w:r>
    </w:p>
    <w:p w14:paraId="6890F301">
      <w:pPr>
        <w:spacing w:line="360" w:lineRule="auto"/>
        <w:ind w:firstLine="440" w:firstLineChars="200"/>
      </w:pPr>
      <w:r>
        <w:rPr>
          <w:rFonts w:hint="eastAsia"/>
        </w:rPr>
        <w:t>（1）招标公告</w:t>
      </w:r>
      <w:r>
        <w:rPr>
          <w:rFonts w:hint="eastAsia"/>
          <w:strike/>
        </w:rPr>
        <w:t>（或投标邀请书）</w:t>
      </w:r>
      <w:r>
        <w:rPr>
          <w:rFonts w:hint="eastAsia"/>
        </w:rPr>
        <w:t>；</w:t>
      </w:r>
    </w:p>
    <w:p w14:paraId="5E06E7AC">
      <w:pPr>
        <w:spacing w:line="360" w:lineRule="auto"/>
        <w:ind w:firstLine="440" w:firstLineChars="200"/>
      </w:pPr>
      <w:r>
        <w:rPr>
          <w:rFonts w:hint="eastAsia"/>
        </w:rPr>
        <w:t>（2）投标人须知；</w:t>
      </w:r>
    </w:p>
    <w:p w14:paraId="36007917">
      <w:pPr>
        <w:spacing w:line="360" w:lineRule="auto"/>
        <w:ind w:firstLine="440" w:firstLineChars="200"/>
      </w:pPr>
      <w:r>
        <w:rPr>
          <w:rFonts w:hint="eastAsia"/>
        </w:rPr>
        <w:t>（3）评标办法</w:t>
      </w:r>
      <w:r>
        <w:rPr>
          <w:rFonts w:hint="eastAsia"/>
          <w:u w:val="single"/>
        </w:rPr>
        <w:t>（</w:t>
      </w:r>
      <w:r>
        <w:rPr>
          <w:rFonts w:hint="eastAsia"/>
          <w:u w:val="single"/>
          <w:lang w:val="en-US"/>
        </w:rPr>
        <w:t>综合评估法）</w:t>
      </w:r>
      <w:r>
        <w:rPr>
          <w:rFonts w:hint="eastAsia"/>
        </w:rPr>
        <w:t>；</w:t>
      </w:r>
    </w:p>
    <w:p w14:paraId="15917593">
      <w:pPr>
        <w:spacing w:line="360" w:lineRule="auto"/>
        <w:ind w:firstLine="440" w:firstLineChars="200"/>
      </w:pPr>
      <w:r>
        <w:rPr>
          <w:rFonts w:hint="eastAsia"/>
        </w:rPr>
        <w:t>（4）合同条款及格式；</w:t>
      </w:r>
    </w:p>
    <w:p w14:paraId="0463435F">
      <w:pPr>
        <w:spacing w:line="360" w:lineRule="auto"/>
        <w:ind w:firstLine="440" w:firstLineChars="200"/>
      </w:pPr>
      <w:r>
        <w:rPr>
          <w:rFonts w:hint="eastAsia"/>
        </w:rPr>
        <w:t>（5）委托人要求；</w:t>
      </w:r>
    </w:p>
    <w:p w14:paraId="11D98D7B">
      <w:pPr>
        <w:spacing w:line="360" w:lineRule="auto"/>
        <w:ind w:firstLine="440" w:firstLineChars="200"/>
      </w:pPr>
      <w:r>
        <w:rPr>
          <w:rFonts w:hint="eastAsia"/>
        </w:rPr>
        <w:t>（6）投标文件格式；</w:t>
      </w:r>
    </w:p>
    <w:p w14:paraId="24A01DD1">
      <w:pPr>
        <w:spacing w:line="360" w:lineRule="auto"/>
        <w:ind w:firstLine="440" w:firstLineChars="200"/>
        <w:rPr>
          <w:lang w:val="en-US"/>
        </w:rPr>
      </w:pPr>
      <w:r>
        <w:rPr>
          <w:rFonts w:hint="eastAsia"/>
          <w:u w:val="single"/>
        </w:rPr>
        <w:t>（</w:t>
      </w:r>
      <w:r>
        <w:rPr>
          <w:rFonts w:hint="eastAsia"/>
          <w:u w:val="single"/>
          <w:lang w:val="en-US"/>
        </w:rPr>
        <w:t>7</w:t>
      </w:r>
      <w:r>
        <w:rPr>
          <w:rFonts w:hint="eastAsia"/>
          <w:u w:val="single"/>
        </w:rPr>
        <w:t>）</w:t>
      </w:r>
      <w:r>
        <w:rPr>
          <w:rFonts w:hint="eastAsia"/>
          <w:u w:val="single"/>
          <w:lang w:val="en-US"/>
        </w:rPr>
        <w:t>投标人须知前附表规定的其他资料。</w:t>
      </w:r>
    </w:p>
    <w:p w14:paraId="46453877">
      <w:pPr>
        <w:spacing w:line="360" w:lineRule="auto"/>
        <w:ind w:firstLine="440" w:firstLineChars="200"/>
      </w:pPr>
      <w:r>
        <w:rPr>
          <w:rFonts w:hint="eastAsia"/>
        </w:rPr>
        <w:t>根据本章第 1.10 款、第 2.2 款和第 2.3 款对招标文件所作的澄清、修改，构成招标文件的组成部分。</w:t>
      </w:r>
    </w:p>
    <w:p w14:paraId="2F7C3F61">
      <w:pPr>
        <w:spacing w:line="360" w:lineRule="auto"/>
        <w:rPr>
          <w:rFonts w:cs="Times New Roman"/>
          <w:b/>
          <w:bCs/>
          <w:kern w:val="2"/>
          <w:sz w:val="28"/>
          <w:szCs w:val="28"/>
          <w:lang w:val="en-US" w:bidi="ar-SA"/>
        </w:rPr>
      </w:pPr>
      <w:r>
        <w:rPr>
          <w:rFonts w:hint="eastAsia" w:cs="Times New Roman"/>
          <w:b/>
          <w:bCs/>
          <w:kern w:val="2"/>
          <w:sz w:val="28"/>
          <w:szCs w:val="28"/>
          <w:lang w:val="en-US" w:bidi="ar-SA"/>
        </w:rPr>
        <w:t>2.2 招标文件的澄清</w:t>
      </w:r>
    </w:p>
    <w:p w14:paraId="6772D7BB">
      <w:pPr>
        <w:spacing w:line="360" w:lineRule="auto"/>
        <w:ind w:firstLine="440" w:firstLineChars="200"/>
      </w:pPr>
      <w:r>
        <w:rPr>
          <w:rFonts w:hint="eastAsia"/>
        </w:rPr>
        <w:t>2.2.1</w:t>
      </w:r>
      <w:r>
        <w:rPr>
          <w:rFonts w:hint="eastAsia"/>
          <w:lang w:val="en-US"/>
        </w:rPr>
        <w:t xml:space="preserve"> </w:t>
      </w:r>
      <w:r>
        <w:rPr>
          <w:rFonts w:hint="eastAsia"/>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4DEABC95">
      <w:pPr>
        <w:spacing w:line="360" w:lineRule="auto"/>
        <w:ind w:firstLine="440" w:firstLineChars="200"/>
      </w:pPr>
      <w:r>
        <w:rPr>
          <w:rFonts w:hint="eastAsia"/>
        </w:rPr>
        <w:t>2.2.2</w:t>
      </w:r>
      <w:r>
        <w:rPr>
          <w:rFonts w:hint="eastAsia"/>
          <w:lang w:val="en-US"/>
        </w:rPr>
        <w:t xml:space="preserve"> </w:t>
      </w:r>
      <w:r>
        <w:rPr>
          <w:rFonts w:hint="eastAsia"/>
        </w:rPr>
        <w:t>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14:paraId="30A6A64C">
      <w:pPr>
        <w:spacing w:line="360" w:lineRule="auto"/>
        <w:ind w:firstLine="440" w:firstLineChars="200"/>
      </w:pPr>
      <w:r>
        <w:rPr>
          <w:rFonts w:hint="eastAsia"/>
        </w:rPr>
        <w:t>2.2.3</w:t>
      </w:r>
      <w:r>
        <w:rPr>
          <w:rFonts w:hint="eastAsia"/>
          <w:lang w:val="en-US"/>
        </w:rPr>
        <w:t xml:space="preserve"> </w:t>
      </w:r>
      <w:r>
        <w:rPr>
          <w:rFonts w:hint="eastAsia"/>
        </w:rPr>
        <w:t>投标人在收到澄清后，应按投标人须知前附表规定的时间和形式通知招标人，确认已收到该澄清。</w:t>
      </w:r>
    </w:p>
    <w:p w14:paraId="1E28F3A7">
      <w:pPr>
        <w:spacing w:line="360" w:lineRule="auto"/>
        <w:ind w:firstLine="440" w:firstLineChars="200"/>
      </w:pPr>
      <w:r>
        <w:rPr>
          <w:rFonts w:hint="eastAsia"/>
        </w:rPr>
        <w:t>2.2.4</w:t>
      </w:r>
      <w:r>
        <w:rPr>
          <w:rFonts w:hint="eastAsia"/>
          <w:lang w:val="en-US"/>
        </w:rPr>
        <w:t xml:space="preserve"> </w:t>
      </w:r>
      <w:r>
        <w:rPr>
          <w:rFonts w:hint="eastAsia"/>
        </w:rPr>
        <w:t>除非招标人认为确有必要答复，否则，招标人有权拒绝回复投标人在本章第 2.2.1 项规定的时间后的任何澄清要求。</w:t>
      </w:r>
    </w:p>
    <w:p w14:paraId="680C0B9A">
      <w:pPr>
        <w:spacing w:line="360" w:lineRule="auto"/>
        <w:rPr>
          <w:rFonts w:cs="Times New Roman"/>
          <w:b/>
          <w:bCs/>
          <w:kern w:val="2"/>
          <w:sz w:val="28"/>
          <w:szCs w:val="28"/>
          <w:lang w:val="en-US" w:bidi="ar-SA"/>
        </w:rPr>
      </w:pPr>
      <w:r>
        <w:rPr>
          <w:rFonts w:hint="eastAsia" w:cs="Times New Roman"/>
          <w:b/>
          <w:bCs/>
          <w:kern w:val="2"/>
          <w:sz w:val="28"/>
          <w:szCs w:val="28"/>
          <w:lang w:val="en-US" w:bidi="ar-SA"/>
        </w:rPr>
        <w:t>2.3 招标文件的修改</w:t>
      </w:r>
    </w:p>
    <w:p w14:paraId="08823B0A">
      <w:pPr>
        <w:spacing w:line="360" w:lineRule="auto"/>
        <w:ind w:firstLine="440" w:firstLineChars="200"/>
      </w:pPr>
      <w:r>
        <w:rPr>
          <w:rFonts w:hint="eastAsia"/>
        </w:rPr>
        <w:t>2.3.1</w:t>
      </w:r>
      <w:r>
        <w:rPr>
          <w:rFonts w:hint="eastAsia"/>
          <w:lang w:val="en-US"/>
        </w:rPr>
        <w:t xml:space="preserve"> </w:t>
      </w:r>
      <w:r>
        <w:rPr>
          <w:rFonts w:hint="eastAsia"/>
        </w:rPr>
        <w:t>招标人以投标人须知前附表规定的形式修改招标文件，</w:t>
      </w:r>
      <w:r>
        <w:rPr>
          <w:rFonts w:hint="eastAsia"/>
          <w:u w:val="single"/>
        </w:rPr>
        <w:t>以补充公告或项目答疑澄清的方式在广州交易集团有限公司（广州公共资源交易中心）网站发布。</w:t>
      </w:r>
      <w:r>
        <w:rPr>
          <w:rFonts w:hint="eastAsia"/>
          <w:strike/>
        </w:rPr>
        <w:t>并通知所有已购买招标文件的投标人。</w:t>
      </w:r>
      <w:r>
        <w:rPr>
          <w:rFonts w:hint="eastAsia"/>
        </w:rPr>
        <w:t>修改招标文件的时间距本章第 4.2.1 项规定的投标截止时间不足 15 日的，并且修改内容可能影响投标文件编制的，将相应延长投标截止时间。</w:t>
      </w:r>
    </w:p>
    <w:p w14:paraId="53B4F44B">
      <w:pPr>
        <w:spacing w:line="360" w:lineRule="auto"/>
        <w:ind w:firstLine="440" w:firstLineChars="200"/>
      </w:pPr>
      <w:r>
        <w:rPr>
          <w:rFonts w:hint="eastAsia"/>
        </w:rPr>
        <w:t>2.3.2</w:t>
      </w:r>
      <w:r>
        <w:rPr>
          <w:rFonts w:hint="eastAsia"/>
          <w:lang w:val="en-US"/>
        </w:rPr>
        <w:t xml:space="preserve"> </w:t>
      </w:r>
      <w:r>
        <w:rPr>
          <w:rFonts w:hint="eastAsia"/>
          <w:u w:val="single"/>
        </w:rPr>
        <w:t>招标文件的澄清或修改在广州交易集团有限公司（广州公共资源交易中心）网站发布。招标文件的澄清或修改一经在广州交易集团有限公司（广州公共资源交易中心）网站发布，视作已发放给所有投标人。</w:t>
      </w:r>
    </w:p>
    <w:p w14:paraId="113CAA65">
      <w:pPr>
        <w:spacing w:line="360" w:lineRule="auto"/>
        <w:rPr>
          <w:rFonts w:cs="Times New Roman"/>
          <w:b/>
          <w:bCs/>
          <w:kern w:val="2"/>
          <w:sz w:val="28"/>
          <w:szCs w:val="28"/>
          <w:lang w:val="en-US" w:bidi="ar-SA"/>
        </w:rPr>
      </w:pPr>
      <w:r>
        <w:rPr>
          <w:rFonts w:hint="eastAsia" w:cs="Times New Roman"/>
          <w:b/>
          <w:bCs/>
          <w:kern w:val="2"/>
          <w:sz w:val="28"/>
          <w:szCs w:val="28"/>
          <w:lang w:val="en-US" w:bidi="ar-SA"/>
        </w:rPr>
        <w:t>2.4 招标文件的异议</w:t>
      </w:r>
    </w:p>
    <w:p w14:paraId="07C73443">
      <w:pPr>
        <w:spacing w:line="360" w:lineRule="auto"/>
        <w:ind w:firstLine="440" w:firstLineChars="200"/>
      </w:pPr>
      <w:r>
        <w:rPr>
          <w:rFonts w:hint="eastAsia"/>
        </w:rPr>
        <w:t>投标人或者其他利害关系人对招标文件有异议的，应当在投标截止时间 10 日前以书面形式提出。招标人将在收到异议之日起 3 日内作出答复；作出答复前，将暂停招标投标活动。</w:t>
      </w:r>
    </w:p>
    <w:p w14:paraId="0180276B">
      <w:pPr>
        <w:spacing w:line="360" w:lineRule="auto"/>
        <w:rPr>
          <w:rFonts w:cs="Times New Roman"/>
          <w:b/>
          <w:bCs/>
          <w:kern w:val="2"/>
          <w:sz w:val="28"/>
          <w:szCs w:val="28"/>
          <w:lang w:val="en-US" w:bidi="ar-SA"/>
        </w:rPr>
      </w:pPr>
      <w:r>
        <w:rPr>
          <w:rFonts w:hint="eastAsia" w:cs="Times New Roman"/>
          <w:b/>
          <w:bCs/>
          <w:kern w:val="2"/>
          <w:sz w:val="28"/>
          <w:szCs w:val="28"/>
          <w:lang w:val="en-US" w:bidi="ar-SA"/>
        </w:rPr>
        <w:t>3.投标文件</w:t>
      </w:r>
    </w:p>
    <w:p w14:paraId="631DFD99">
      <w:pPr>
        <w:spacing w:line="360" w:lineRule="auto"/>
        <w:rPr>
          <w:rFonts w:cs="Times New Roman"/>
          <w:b/>
          <w:bCs/>
          <w:kern w:val="2"/>
          <w:sz w:val="28"/>
          <w:szCs w:val="28"/>
          <w:lang w:val="en-US" w:bidi="ar-SA"/>
        </w:rPr>
      </w:pPr>
      <w:r>
        <w:rPr>
          <w:rFonts w:hint="eastAsia" w:cs="Times New Roman"/>
          <w:b/>
          <w:bCs/>
          <w:kern w:val="2"/>
          <w:sz w:val="28"/>
          <w:szCs w:val="28"/>
          <w:lang w:val="en-US" w:bidi="ar-SA"/>
        </w:rPr>
        <w:t>3.1 投标文件的组成</w:t>
      </w:r>
    </w:p>
    <w:p w14:paraId="65317EEE">
      <w:pPr>
        <w:spacing w:line="360" w:lineRule="auto"/>
        <w:ind w:firstLine="440" w:firstLineChars="200"/>
      </w:pPr>
      <w:r>
        <w:rPr>
          <w:rFonts w:hint="eastAsia"/>
        </w:rPr>
        <w:t>3.1.1投标文件应包括下列内容：</w:t>
      </w:r>
    </w:p>
    <w:p w14:paraId="71BDDDD9">
      <w:pPr>
        <w:spacing w:line="360" w:lineRule="auto"/>
        <w:ind w:firstLine="440" w:firstLineChars="200"/>
        <w:rPr>
          <w:u w:val="single"/>
        </w:rPr>
      </w:pPr>
      <w:r>
        <w:rPr>
          <w:rFonts w:hint="eastAsia"/>
          <w:u w:val="single"/>
        </w:rPr>
        <w:t>（1）投标函及投标函附录；</w:t>
      </w:r>
    </w:p>
    <w:p w14:paraId="5A12BFFC">
      <w:pPr>
        <w:spacing w:line="360" w:lineRule="auto"/>
        <w:ind w:firstLine="440" w:firstLineChars="200"/>
        <w:rPr>
          <w:u w:val="single"/>
        </w:rPr>
      </w:pPr>
      <w:r>
        <w:rPr>
          <w:rFonts w:hint="eastAsia"/>
          <w:u w:val="single"/>
        </w:rPr>
        <w:t>（2）法定代表人身份证明或授权委托书；</w:t>
      </w:r>
    </w:p>
    <w:p w14:paraId="17235D31">
      <w:pPr>
        <w:spacing w:line="360" w:lineRule="auto"/>
        <w:ind w:firstLine="440" w:firstLineChars="200"/>
        <w:rPr>
          <w:u w:val="single"/>
        </w:rPr>
      </w:pPr>
      <w:r>
        <w:rPr>
          <w:rFonts w:hint="eastAsia"/>
          <w:u w:val="single"/>
        </w:rPr>
        <w:t>（</w:t>
      </w:r>
      <w:r>
        <w:rPr>
          <w:rFonts w:hint="eastAsia"/>
          <w:u w:val="single"/>
          <w:lang w:val="en-US"/>
        </w:rPr>
        <w:t>3</w:t>
      </w:r>
      <w:r>
        <w:rPr>
          <w:rFonts w:hint="eastAsia"/>
          <w:u w:val="single"/>
        </w:rPr>
        <w:t>）资格审查资料；</w:t>
      </w:r>
    </w:p>
    <w:p w14:paraId="2F9A7A29">
      <w:pPr>
        <w:spacing w:line="360" w:lineRule="auto"/>
        <w:ind w:firstLine="440" w:firstLineChars="200"/>
        <w:rPr>
          <w:u w:val="single"/>
        </w:rPr>
      </w:pPr>
      <w:r>
        <w:rPr>
          <w:rFonts w:hint="eastAsia"/>
          <w:u w:val="single"/>
        </w:rPr>
        <w:t>（</w:t>
      </w:r>
      <w:r>
        <w:rPr>
          <w:rFonts w:hint="eastAsia"/>
          <w:u w:val="single"/>
          <w:lang w:val="en-US"/>
        </w:rPr>
        <w:t>4</w:t>
      </w:r>
      <w:r>
        <w:rPr>
          <w:rFonts w:hint="eastAsia"/>
          <w:u w:val="single"/>
        </w:rPr>
        <w:t>）</w:t>
      </w:r>
      <w:r>
        <w:rPr>
          <w:rFonts w:hint="eastAsia"/>
          <w:spacing w:val="-5"/>
          <w:u w:val="single"/>
          <w:lang w:val="en-US"/>
        </w:rPr>
        <w:t>投标人声明；</w:t>
      </w:r>
    </w:p>
    <w:p w14:paraId="625681E3">
      <w:pPr>
        <w:spacing w:line="360" w:lineRule="auto"/>
        <w:ind w:firstLine="440" w:firstLineChars="200"/>
        <w:rPr>
          <w:u w:val="single"/>
        </w:rPr>
      </w:pPr>
      <w:r>
        <w:rPr>
          <w:rFonts w:hint="eastAsia"/>
          <w:u w:val="single"/>
          <w:lang w:val="en-US"/>
        </w:rPr>
        <w:t>（5）资信业绩证明</w:t>
      </w:r>
      <w:r>
        <w:rPr>
          <w:rFonts w:hint="eastAsia"/>
          <w:u w:val="single"/>
        </w:rPr>
        <w:t>；</w:t>
      </w:r>
    </w:p>
    <w:p w14:paraId="43900110">
      <w:pPr>
        <w:spacing w:line="360" w:lineRule="auto"/>
        <w:ind w:firstLine="440" w:firstLineChars="200"/>
        <w:rPr>
          <w:u w:val="single"/>
          <w:lang w:val="en-US"/>
        </w:rPr>
      </w:pPr>
      <w:r>
        <w:rPr>
          <w:rFonts w:hint="eastAsia"/>
          <w:u w:val="single"/>
        </w:rPr>
        <w:t>（</w:t>
      </w:r>
      <w:r>
        <w:rPr>
          <w:rFonts w:hint="eastAsia"/>
          <w:u w:val="single"/>
          <w:lang w:val="en-US"/>
        </w:rPr>
        <w:t>6</w:t>
      </w:r>
      <w:r>
        <w:rPr>
          <w:rFonts w:hint="eastAsia"/>
          <w:u w:val="single"/>
        </w:rPr>
        <w:t>）</w:t>
      </w:r>
      <w:r>
        <w:rPr>
          <w:rFonts w:hint="eastAsia"/>
          <w:u w:val="single"/>
          <w:lang w:val="en-US"/>
        </w:rPr>
        <w:t>项目代建管理方案（篇幅不宜超过300页，超过部分不予评审）；</w:t>
      </w:r>
    </w:p>
    <w:p w14:paraId="52D3BC07">
      <w:pPr>
        <w:spacing w:line="360" w:lineRule="auto"/>
        <w:ind w:firstLine="440" w:firstLineChars="200"/>
        <w:rPr>
          <w:u w:val="single"/>
        </w:rPr>
      </w:pPr>
      <w:r>
        <w:rPr>
          <w:rFonts w:hint="eastAsia"/>
          <w:u w:val="single"/>
        </w:rPr>
        <w:t>（</w:t>
      </w:r>
      <w:r>
        <w:rPr>
          <w:rFonts w:hint="eastAsia"/>
          <w:u w:val="single"/>
          <w:lang w:val="en-US"/>
        </w:rPr>
        <w:t>7</w:t>
      </w:r>
      <w:r>
        <w:rPr>
          <w:rFonts w:hint="eastAsia"/>
          <w:u w:val="single"/>
        </w:rPr>
        <w:t>）投标人须知前附表规定的其他资料。</w:t>
      </w:r>
    </w:p>
    <w:p w14:paraId="3F11B5D2">
      <w:pPr>
        <w:spacing w:line="360" w:lineRule="auto"/>
        <w:ind w:firstLine="440" w:firstLineChars="200"/>
      </w:pPr>
      <w:r>
        <w:rPr>
          <w:rFonts w:hint="eastAsia"/>
        </w:rPr>
        <w:t>投标人在评标过程中作出的符合法律法规和招标文件规定的澄清确认，构成投标文件的组成部分。</w:t>
      </w:r>
    </w:p>
    <w:p w14:paraId="1C774675">
      <w:pPr>
        <w:spacing w:line="360" w:lineRule="auto"/>
        <w:ind w:firstLine="440" w:firstLineChars="200"/>
      </w:pPr>
      <w:r>
        <w:rPr>
          <w:rFonts w:hint="eastAsia"/>
          <w:lang w:val="en-US"/>
        </w:rPr>
        <w:t xml:space="preserve">3.1.2 </w:t>
      </w:r>
      <w:r>
        <w:rPr>
          <w:rFonts w:hint="eastAsia"/>
        </w:rPr>
        <w:t>投标人须知前附表规定不接受联合体投标的，或投标人没有组成联合体的，投标文件不包括本章第 3.1.1所指的</w:t>
      </w:r>
      <w:r>
        <w:rPr>
          <w:rFonts w:hint="eastAsia"/>
          <w:u w:val="single"/>
        </w:rPr>
        <w:t>联合体共同投标协议书</w:t>
      </w:r>
      <w:r>
        <w:rPr>
          <w:rFonts w:hint="eastAsia"/>
        </w:rPr>
        <w:t>。</w:t>
      </w:r>
    </w:p>
    <w:p w14:paraId="539E57F7">
      <w:pPr>
        <w:spacing w:line="360" w:lineRule="auto"/>
        <w:ind w:firstLine="440" w:firstLineChars="200"/>
        <w:rPr>
          <w:strike/>
        </w:rPr>
      </w:pPr>
      <w:r>
        <w:rPr>
          <w:rFonts w:hint="eastAsia"/>
          <w:strike/>
        </w:rPr>
        <w:t>3.1.</w:t>
      </w:r>
      <w:r>
        <w:rPr>
          <w:rFonts w:hint="eastAsia"/>
          <w:strike/>
          <w:lang w:val="en-US"/>
        </w:rPr>
        <w:t xml:space="preserve">3 </w:t>
      </w:r>
      <w:r>
        <w:rPr>
          <w:rFonts w:hint="eastAsia"/>
          <w:strike/>
        </w:rPr>
        <w:t>投标人须知前附表未要求提交投标保证金的，投标文件不包括本章第 3.1.1（4）目所指的投标保证金。</w:t>
      </w:r>
    </w:p>
    <w:p w14:paraId="653B784D">
      <w:pPr>
        <w:spacing w:line="360" w:lineRule="auto"/>
      </w:pPr>
      <w:r>
        <w:rPr>
          <w:rFonts w:hint="eastAsia" w:cs="Times New Roman"/>
          <w:b/>
          <w:bCs/>
          <w:kern w:val="2"/>
          <w:sz w:val="28"/>
          <w:szCs w:val="28"/>
          <w:lang w:val="en-US" w:bidi="ar-SA"/>
        </w:rPr>
        <w:t>3.2 投标报价</w:t>
      </w:r>
    </w:p>
    <w:p w14:paraId="3A0A4C7F">
      <w:pPr>
        <w:spacing w:line="360" w:lineRule="auto"/>
        <w:ind w:firstLine="440" w:firstLineChars="200"/>
      </w:pPr>
      <w:r>
        <w:rPr>
          <w:rFonts w:hint="eastAsia"/>
        </w:rPr>
        <w:t>3.2.1</w:t>
      </w:r>
      <w:r>
        <w:rPr>
          <w:rFonts w:hint="eastAsia"/>
          <w:lang w:val="en-US"/>
        </w:rPr>
        <w:t xml:space="preserve"> </w:t>
      </w:r>
      <w:r>
        <w:rPr>
          <w:rFonts w:hint="eastAsia"/>
        </w:rPr>
        <w:t>投标报价应包括国家规定的增值税税金，除投标人须知前附表另有规定外，增值税税金按一般计税方法计算。投标人应按第六章“投标文件格式”的要求在</w:t>
      </w:r>
      <w:r>
        <w:rPr>
          <w:rFonts w:hint="eastAsia"/>
          <w:u w:val="single"/>
        </w:rPr>
        <w:t>投标函</w:t>
      </w:r>
      <w:r>
        <w:rPr>
          <w:rFonts w:hint="eastAsia"/>
          <w:u w:val="single"/>
          <w:lang w:val="en-US"/>
        </w:rPr>
        <w:t>附录</w:t>
      </w:r>
      <w:r>
        <w:rPr>
          <w:rFonts w:hint="eastAsia"/>
        </w:rPr>
        <w:t>中进行报价</w:t>
      </w:r>
      <w:r>
        <w:rPr>
          <w:rFonts w:hint="eastAsia"/>
          <w:strike/>
        </w:rPr>
        <w:t>并填写监理报酬清单</w:t>
      </w:r>
      <w:r>
        <w:rPr>
          <w:rFonts w:hint="eastAsia"/>
        </w:rPr>
        <w:t>。</w:t>
      </w:r>
    </w:p>
    <w:p w14:paraId="7444DD88">
      <w:pPr>
        <w:spacing w:line="360" w:lineRule="auto"/>
        <w:ind w:firstLine="440" w:firstLineChars="200"/>
      </w:pPr>
      <w:r>
        <w:rPr>
          <w:rFonts w:hint="eastAsia"/>
        </w:rPr>
        <w:t>3.2.2</w:t>
      </w:r>
      <w:r>
        <w:rPr>
          <w:rFonts w:hint="eastAsia"/>
          <w:lang w:val="en-US"/>
        </w:rPr>
        <w:t xml:space="preserve"> </w:t>
      </w:r>
      <w:r>
        <w:rPr>
          <w:rFonts w:hint="eastAsia"/>
        </w:rPr>
        <w:t>投标人应充分了解该项目的总体情况以及影响投标报价的其他要素。</w:t>
      </w:r>
    </w:p>
    <w:p w14:paraId="55BF0B17">
      <w:pPr>
        <w:spacing w:line="360" w:lineRule="auto"/>
        <w:ind w:firstLine="440" w:firstLineChars="200"/>
      </w:pPr>
      <w:r>
        <w:rPr>
          <w:rFonts w:hint="eastAsia"/>
        </w:rPr>
        <w:t>3.2.3</w:t>
      </w:r>
      <w:r>
        <w:rPr>
          <w:rFonts w:hint="eastAsia"/>
          <w:lang w:val="en-US"/>
        </w:rPr>
        <w:t xml:space="preserve"> </w:t>
      </w:r>
      <w:r>
        <w:rPr>
          <w:rFonts w:hint="eastAsia"/>
        </w:rPr>
        <w:t>本项目的报价方式见投标人须知前附表。投标人在投标截止时间前修改</w:t>
      </w:r>
      <w:r>
        <w:rPr>
          <w:rFonts w:hint="eastAsia"/>
          <w:u w:val="single"/>
        </w:rPr>
        <w:t>投标函</w:t>
      </w:r>
      <w:r>
        <w:rPr>
          <w:rFonts w:hint="eastAsia"/>
          <w:u w:val="single"/>
          <w:lang w:val="en-US"/>
        </w:rPr>
        <w:t>附录</w:t>
      </w:r>
      <w:r>
        <w:rPr>
          <w:rFonts w:hint="eastAsia"/>
        </w:rPr>
        <w:t>中的投标报价</w:t>
      </w:r>
      <w:r>
        <w:rPr>
          <w:rFonts w:hint="eastAsia"/>
          <w:strike/>
        </w:rPr>
        <w:t>总额，应同时修改投标文件“监理报酬清单”中的相应报价。此修改</w:t>
      </w:r>
      <w:r>
        <w:rPr>
          <w:rFonts w:hint="eastAsia"/>
        </w:rPr>
        <w:t>须符合本章第 4.3 款的有关要求。</w:t>
      </w:r>
    </w:p>
    <w:p w14:paraId="34BA1CD0">
      <w:pPr>
        <w:spacing w:line="360" w:lineRule="auto"/>
        <w:ind w:firstLine="440" w:firstLineChars="200"/>
      </w:pPr>
      <w:r>
        <w:rPr>
          <w:rFonts w:hint="eastAsia"/>
        </w:rPr>
        <w:t>3.2.4</w:t>
      </w:r>
      <w:r>
        <w:rPr>
          <w:rFonts w:hint="eastAsia"/>
          <w:lang w:val="en-US"/>
        </w:rPr>
        <w:t xml:space="preserve"> </w:t>
      </w:r>
      <w:r>
        <w:rPr>
          <w:rFonts w:hint="eastAsia"/>
        </w:rPr>
        <w:t>招标人设有最高投标限价的，投标人的投标报价不得超过最高投标限价，最高投标限价在投标人须知前附表中载明。</w:t>
      </w:r>
    </w:p>
    <w:p w14:paraId="6919716E">
      <w:pPr>
        <w:spacing w:line="360" w:lineRule="auto"/>
        <w:ind w:firstLine="440" w:firstLineChars="200"/>
      </w:pPr>
      <w:r>
        <w:rPr>
          <w:rFonts w:hint="eastAsia"/>
        </w:rPr>
        <w:t>3.2.5</w:t>
      </w:r>
      <w:r>
        <w:rPr>
          <w:rFonts w:hint="eastAsia"/>
          <w:lang w:val="en-US"/>
        </w:rPr>
        <w:t xml:space="preserve"> </w:t>
      </w:r>
      <w:r>
        <w:rPr>
          <w:rFonts w:hint="eastAsia"/>
        </w:rPr>
        <w:t>投标报价的其他要求见投标人须知前附表。</w:t>
      </w:r>
    </w:p>
    <w:p w14:paraId="634F3DC4">
      <w:pPr>
        <w:spacing w:line="360" w:lineRule="auto"/>
        <w:rPr>
          <w:rFonts w:cs="Times New Roman"/>
          <w:b/>
          <w:bCs/>
          <w:kern w:val="2"/>
          <w:sz w:val="28"/>
          <w:szCs w:val="28"/>
          <w:lang w:val="en-US" w:bidi="ar-SA"/>
        </w:rPr>
      </w:pPr>
      <w:r>
        <w:rPr>
          <w:rFonts w:hint="eastAsia" w:cs="Times New Roman"/>
          <w:b/>
          <w:bCs/>
          <w:kern w:val="2"/>
          <w:sz w:val="28"/>
          <w:szCs w:val="28"/>
          <w:lang w:val="en-US" w:bidi="ar-SA"/>
        </w:rPr>
        <w:t>3.3 投标有效期</w:t>
      </w:r>
    </w:p>
    <w:p w14:paraId="4A49F0A5">
      <w:pPr>
        <w:spacing w:line="360" w:lineRule="auto"/>
        <w:ind w:firstLine="440" w:firstLineChars="200"/>
      </w:pPr>
      <w:r>
        <w:rPr>
          <w:rFonts w:hint="eastAsia"/>
        </w:rPr>
        <w:t>3.3.1</w:t>
      </w:r>
      <w:r>
        <w:rPr>
          <w:rFonts w:hint="eastAsia"/>
          <w:lang w:val="en-US"/>
        </w:rPr>
        <w:t xml:space="preserve"> </w:t>
      </w:r>
      <w:r>
        <w:rPr>
          <w:rFonts w:hint="eastAsia"/>
        </w:rPr>
        <w:t>除投标人须知前附表另有规定外，投标有效期为 90 天。</w:t>
      </w:r>
    </w:p>
    <w:p w14:paraId="10EAD770">
      <w:pPr>
        <w:spacing w:line="360" w:lineRule="auto"/>
        <w:ind w:firstLine="440" w:firstLineChars="200"/>
      </w:pPr>
      <w:r>
        <w:rPr>
          <w:rFonts w:hint="eastAsia"/>
        </w:rPr>
        <w:t>3.3.2</w:t>
      </w:r>
      <w:r>
        <w:rPr>
          <w:rFonts w:hint="eastAsia"/>
          <w:lang w:val="en-US"/>
        </w:rPr>
        <w:t xml:space="preserve"> </w:t>
      </w:r>
      <w:r>
        <w:rPr>
          <w:rFonts w:hint="eastAsia"/>
        </w:rPr>
        <w:t>在投标有效期内，投标人撤销投标文件的，应承担招标文件和法律规定的责任。</w:t>
      </w:r>
    </w:p>
    <w:p w14:paraId="5E011778">
      <w:pPr>
        <w:spacing w:line="360" w:lineRule="auto"/>
        <w:ind w:firstLine="440" w:firstLineChars="200"/>
      </w:pPr>
      <w:r>
        <w:rPr>
          <w:rFonts w:hint="eastAsia"/>
        </w:rPr>
        <w:t>3.3.3</w:t>
      </w:r>
      <w:r>
        <w:rPr>
          <w:rFonts w:hint="eastAsia"/>
          <w:lang w:val="en-US"/>
        </w:rPr>
        <w:t xml:space="preserve"> </w:t>
      </w:r>
      <w:r>
        <w:rPr>
          <w:rFonts w:hint="eastAsia"/>
        </w:rPr>
        <w:t>出现特殊情况需要延长投标有效期的，招标人以书面形式通知所有投标人延长投标有效期。投标人应予以书面答复，同意延长的，</w:t>
      </w:r>
      <w:r>
        <w:rPr>
          <w:rFonts w:hint="eastAsia"/>
          <w:strike/>
        </w:rPr>
        <w:t>应相应延长其投标保证金的有效期，但</w:t>
      </w:r>
      <w:r>
        <w:rPr>
          <w:rFonts w:hint="eastAsia"/>
        </w:rPr>
        <w:t>不得要求或被允许修改其投标文件；投标人拒绝延长的，其投标失效</w:t>
      </w:r>
      <w:r>
        <w:rPr>
          <w:rFonts w:hint="eastAsia"/>
          <w:strike/>
        </w:rPr>
        <w:t>，但投标人有权收回其投标保证金及以现金或者支票形式递交的投标保证金的银行同期存款利息</w:t>
      </w:r>
      <w:r>
        <w:rPr>
          <w:rFonts w:hint="eastAsia"/>
        </w:rPr>
        <w:t>。</w:t>
      </w:r>
    </w:p>
    <w:p w14:paraId="0695A861">
      <w:pPr>
        <w:spacing w:line="360" w:lineRule="auto"/>
        <w:rPr>
          <w:rFonts w:cs="Times New Roman"/>
          <w:b/>
          <w:bCs/>
          <w:strike/>
          <w:kern w:val="2"/>
          <w:sz w:val="28"/>
          <w:szCs w:val="28"/>
          <w:lang w:val="en-US" w:bidi="ar-SA"/>
        </w:rPr>
      </w:pPr>
      <w:r>
        <w:rPr>
          <w:rFonts w:hint="eastAsia" w:cs="Times New Roman"/>
          <w:b/>
          <w:bCs/>
          <w:strike/>
          <w:kern w:val="2"/>
          <w:sz w:val="28"/>
          <w:szCs w:val="28"/>
          <w:lang w:val="en-US" w:bidi="ar-SA"/>
        </w:rPr>
        <w:t>3.4 投标保证金</w:t>
      </w:r>
    </w:p>
    <w:p w14:paraId="068DE6C8">
      <w:pPr>
        <w:spacing w:line="360" w:lineRule="auto"/>
        <w:ind w:firstLine="440" w:firstLineChars="200"/>
        <w:rPr>
          <w:strike/>
        </w:rPr>
      </w:pPr>
      <w:r>
        <w:rPr>
          <w:rFonts w:hint="eastAsia"/>
          <w:strike/>
        </w:rPr>
        <w:t>3.4.1</w:t>
      </w:r>
      <w:r>
        <w:rPr>
          <w:rFonts w:hint="eastAsia"/>
          <w:strike/>
          <w:lang w:val="en-US"/>
        </w:rPr>
        <w:t xml:space="preserve"> </w:t>
      </w:r>
      <w:r>
        <w:rPr>
          <w:rFonts w:hint="eastAsia"/>
          <w:strike/>
        </w:rPr>
        <w:t>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63199D37">
      <w:pPr>
        <w:spacing w:line="360" w:lineRule="auto"/>
        <w:ind w:firstLine="440" w:firstLineChars="200"/>
        <w:rPr>
          <w:strike/>
        </w:rPr>
      </w:pPr>
      <w:r>
        <w:rPr>
          <w:rFonts w:hint="eastAsia"/>
          <w:strike/>
        </w:rPr>
        <w:t>3.4.2</w:t>
      </w:r>
      <w:r>
        <w:rPr>
          <w:rFonts w:hint="eastAsia"/>
          <w:strike/>
          <w:lang w:val="en-US"/>
        </w:rPr>
        <w:t xml:space="preserve"> </w:t>
      </w:r>
      <w:r>
        <w:rPr>
          <w:rFonts w:hint="eastAsia"/>
          <w:strike/>
        </w:rPr>
        <w:t>投标人不按本章第 3.4.1 项要求提交投标保证金的，评标委员会将否决其投标。</w:t>
      </w:r>
    </w:p>
    <w:p w14:paraId="4C96F5F2">
      <w:pPr>
        <w:spacing w:line="360" w:lineRule="auto"/>
        <w:ind w:firstLine="440" w:firstLineChars="200"/>
        <w:rPr>
          <w:strike/>
        </w:rPr>
      </w:pPr>
      <w:r>
        <w:rPr>
          <w:rFonts w:hint="eastAsia"/>
          <w:strike/>
        </w:rPr>
        <w:t>3.4.3</w:t>
      </w:r>
      <w:r>
        <w:rPr>
          <w:rFonts w:hint="eastAsia"/>
          <w:strike/>
          <w:lang w:val="en-US"/>
        </w:rPr>
        <w:t xml:space="preserve"> 招标人最迟将在与中标人签订合同后5日内，向未中标的投标人和中标人退还投标保证金。投标保证金以现金或者支票形式递交的，还应退还银行同期存款利息。</w:t>
      </w:r>
    </w:p>
    <w:p w14:paraId="45F134BA">
      <w:pPr>
        <w:spacing w:line="360" w:lineRule="auto"/>
        <w:ind w:firstLine="440" w:firstLineChars="200"/>
        <w:rPr>
          <w:strike/>
        </w:rPr>
      </w:pPr>
      <w:r>
        <w:rPr>
          <w:rFonts w:hint="eastAsia"/>
          <w:strike/>
        </w:rPr>
        <w:t>3.4.4</w:t>
      </w:r>
      <w:r>
        <w:rPr>
          <w:rFonts w:hint="eastAsia"/>
          <w:strike/>
          <w:lang w:val="en-US"/>
        </w:rPr>
        <w:t xml:space="preserve"> </w:t>
      </w:r>
      <w:r>
        <w:rPr>
          <w:rFonts w:hint="eastAsia"/>
          <w:strike/>
        </w:rPr>
        <w:t>有下列情形之一的，投标保证金将不予退还：</w:t>
      </w:r>
    </w:p>
    <w:p w14:paraId="10B4353C">
      <w:pPr>
        <w:spacing w:line="360" w:lineRule="auto"/>
        <w:ind w:firstLine="440" w:firstLineChars="200"/>
        <w:rPr>
          <w:strike/>
        </w:rPr>
      </w:pPr>
      <w:r>
        <w:rPr>
          <w:rFonts w:hint="eastAsia"/>
          <w:strike/>
        </w:rPr>
        <w:t>（1）投标人在投标有效期内撤销投标文件；</w:t>
      </w:r>
    </w:p>
    <w:p w14:paraId="2D2841C0">
      <w:pPr>
        <w:spacing w:line="360" w:lineRule="auto"/>
        <w:ind w:firstLine="440" w:firstLineChars="200"/>
        <w:rPr>
          <w:strike/>
        </w:rPr>
      </w:pPr>
      <w:r>
        <w:rPr>
          <w:rFonts w:hint="eastAsia"/>
          <w:strike/>
        </w:rPr>
        <w:t>（2）中标人在收到中标通知书后，无正当理由不与招标人订立合同，在签订合同时向招标人提出附加条件，或者不按照招标文件要求提交履约保证金；</w:t>
      </w:r>
    </w:p>
    <w:p w14:paraId="7858D426">
      <w:pPr>
        <w:spacing w:line="360" w:lineRule="auto"/>
        <w:ind w:firstLine="440" w:firstLineChars="200"/>
        <w:rPr>
          <w:strike/>
        </w:rPr>
      </w:pPr>
      <w:r>
        <w:rPr>
          <w:rFonts w:hint="eastAsia"/>
          <w:strike/>
        </w:rPr>
        <w:t>（3）发生投标人须知前附表规定的其他可以不予退还投标保证金的情形。</w:t>
      </w:r>
    </w:p>
    <w:p w14:paraId="05082421">
      <w:pPr>
        <w:spacing w:line="360" w:lineRule="auto"/>
      </w:pPr>
      <w:r>
        <w:rPr>
          <w:rFonts w:hint="eastAsia" w:cs="Times New Roman"/>
          <w:b/>
          <w:bCs/>
          <w:kern w:val="2"/>
          <w:sz w:val="28"/>
          <w:szCs w:val="28"/>
          <w:lang w:val="en-US" w:bidi="ar-SA"/>
        </w:rPr>
        <w:t>3.5 资格审查资料（适用于未进行资格预审的）</w:t>
      </w:r>
    </w:p>
    <w:p w14:paraId="5956115E">
      <w:pPr>
        <w:spacing w:line="360" w:lineRule="auto"/>
        <w:ind w:firstLine="444" w:firstLineChars="200"/>
        <w:rPr>
          <w:rFonts w:asciiTheme="minorEastAsia" w:hAnsiTheme="minorEastAsia" w:cstheme="minorEastAsia"/>
          <w:spacing w:val="1"/>
          <w:sz w:val="28"/>
          <w:szCs w:val="28"/>
          <w:u w:val="single"/>
        </w:rPr>
      </w:pPr>
      <w:r>
        <w:rPr>
          <w:rFonts w:hint="eastAsia" w:asciiTheme="minorEastAsia" w:hAnsiTheme="minorEastAsia" w:cstheme="minorEastAsia"/>
          <w:spacing w:val="1"/>
          <w:u w:val="single"/>
        </w:rPr>
        <w:t>详见招标公告。</w:t>
      </w:r>
    </w:p>
    <w:p w14:paraId="0675A371">
      <w:pPr>
        <w:spacing w:line="360" w:lineRule="auto"/>
      </w:pPr>
      <w:r>
        <w:rPr>
          <w:rFonts w:hint="eastAsia" w:cs="Times New Roman"/>
          <w:b/>
          <w:bCs/>
          <w:kern w:val="2"/>
          <w:sz w:val="28"/>
          <w:szCs w:val="28"/>
          <w:lang w:val="en-US" w:bidi="ar-SA"/>
        </w:rPr>
        <w:t>3.6 备选投标方案</w:t>
      </w:r>
    </w:p>
    <w:p w14:paraId="52AEF7F3">
      <w:pPr>
        <w:spacing w:line="360" w:lineRule="auto"/>
        <w:ind w:firstLine="440" w:firstLineChars="200"/>
      </w:pPr>
      <w:r>
        <w:rPr>
          <w:rFonts w:hint="eastAsia"/>
        </w:rPr>
        <w:t>3.6.1</w:t>
      </w:r>
      <w:r>
        <w:rPr>
          <w:rFonts w:hint="eastAsia"/>
          <w:lang w:val="en-US"/>
        </w:rPr>
        <w:t xml:space="preserve"> </w:t>
      </w:r>
      <w:r>
        <w:rPr>
          <w:rFonts w:hint="eastAsia"/>
        </w:rPr>
        <w:t>除投标人须知前附表规定允许外，投标人不得递交备选投标方案，否则其投标将被否决。</w:t>
      </w:r>
    </w:p>
    <w:p w14:paraId="79016767">
      <w:pPr>
        <w:spacing w:line="360" w:lineRule="auto"/>
        <w:ind w:firstLine="440" w:firstLineChars="200"/>
        <w:rPr>
          <w:strike/>
        </w:rPr>
      </w:pPr>
      <w:r>
        <w:rPr>
          <w:rFonts w:hint="eastAsia"/>
          <w:strike/>
        </w:rPr>
        <w:t>3.6.2</w:t>
      </w:r>
      <w:r>
        <w:rPr>
          <w:rFonts w:hint="eastAsia"/>
          <w:strike/>
          <w:lang w:val="en-US"/>
        </w:rPr>
        <w:t xml:space="preserve"> </w:t>
      </w:r>
      <w:r>
        <w:rPr>
          <w:rFonts w:hint="eastAsia"/>
          <w:strik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223F4121">
      <w:pPr>
        <w:spacing w:line="360" w:lineRule="auto"/>
        <w:ind w:firstLine="440" w:firstLineChars="200"/>
      </w:pPr>
      <w:r>
        <w:rPr>
          <w:rFonts w:hint="eastAsia"/>
        </w:rPr>
        <w:t>3.6.3</w:t>
      </w:r>
      <w:r>
        <w:rPr>
          <w:rFonts w:hint="eastAsia"/>
          <w:lang w:val="en-US"/>
        </w:rPr>
        <w:t xml:space="preserve"> </w:t>
      </w:r>
      <w:r>
        <w:rPr>
          <w:rFonts w:hint="eastAsia"/>
        </w:rPr>
        <w:t>投标人提供两个或两个以上投标报价，或者在投标文件中提供一个报价，但同时提供两个或两个以上</w:t>
      </w:r>
      <w:r>
        <w:rPr>
          <w:rFonts w:hint="eastAsia"/>
          <w:u w:val="single"/>
          <w:lang w:val="en-US"/>
        </w:rPr>
        <w:t>项目代建管理方案</w:t>
      </w:r>
      <w:r>
        <w:rPr>
          <w:rFonts w:hint="eastAsia"/>
        </w:rPr>
        <w:t>的，视为提供备选方案。</w:t>
      </w:r>
    </w:p>
    <w:p w14:paraId="182F1EF5">
      <w:pPr>
        <w:spacing w:line="360" w:lineRule="auto"/>
        <w:rPr>
          <w:rFonts w:cs="Times New Roman"/>
          <w:b/>
          <w:bCs/>
          <w:kern w:val="2"/>
          <w:sz w:val="28"/>
          <w:szCs w:val="28"/>
          <w:lang w:val="en-US" w:bidi="ar-SA"/>
        </w:rPr>
      </w:pPr>
      <w:r>
        <w:rPr>
          <w:rFonts w:hint="eastAsia" w:cs="Times New Roman"/>
          <w:b/>
          <w:bCs/>
          <w:kern w:val="2"/>
          <w:sz w:val="28"/>
          <w:szCs w:val="28"/>
          <w:lang w:val="en-US" w:bidi="ar-SA"/>
        </w:rPr>
        <w:t>3.7 投标文件的编制</w:t>
      </w:r>
    </w:p>
    <w:p w14:paraId="6C8562EE">
      <w:pPr>
        <w:spacing w:line="360" w:lineRule="auto"/>
        <w:ind w:firstLine="440" w:firstLineChars="200"/>
      </w:pPr>
      <w:r>
        <w:rPr>
          <w:rFonts w:hint="eastAsia"/>
        </w:rPr>
        <w:t>3.7.1</w:t>
      </w:r>
      <w:r>
        <w:rPr>
          <w:rFonts w:hint="eastAsia"/>
          <w:lang w:val="en-US"/>
        </w:rPr>
        <w:t xml:space="preserve"> </w:t>
      </w:r>
      <w:r>
        <w:rPr>
          <w:rFonts w:hint="eastAsia"/>
        </w:rPr>
        <w:t>投标文件应按第六章“投标文件格式”进行编写，如有必要，可以增加附页，作为投标文件的组成部分。其中，投标函附录在满足招标文件实质性要求的基础上，可以提出比招标文件要求更有利于招标人的承诺。</w:t>
      </w:r>
    </w:p>
    <w:p w14:paraId="2980E366">
      <w:pPr>
        <w:spacing w:line="360" w:lineRule="auto"/>
        <w:ind w:firstLine="440" w:firstLineChars="200"/>
      </w:pPr>
      <w:r>
        <w:rPr>
          <w:rFonts w:hint="eastAsia"/>
        </w:rPr>
        <w:t>3.7.2</w:t>
      </w:r>
      <w:r>
        <w:rPr>
          <w:rFonts w:hint="eastAsia"/>
          <w:lang w:val="en-US"/>
        </w:rPr>
        <w:t xml:space="preserve"> </w:t>
      </w:r>
      <w:r>
        <w:rPr>
          <w:rFonts w:hint="eastAsia"/>
        </w:rPr>
        <w:t>投标文件应当对招标文件有关服务期限、投标有效期、委托人要求、招标范围等实质性内容作出响应。</w:t>
      </w:r>
    </w:p>
    <w:p w14:paraId="430B4ED9">
      <w:pPr>
        <w:spacing w:line="360" w:lineRule="auto"/>
        <w:ind w:firstLine="440" w:firstLineChars="200"/>
      </w:pPr>
      <w:r>
        <w:rPr>
          <w:rFonts w:hint="eastAsia"/>
        </w:rPr>
        <w:t>3.7.3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6016C834">
      <w:pPr>
        <w:spacing w:line="360" w:lineRule="auto"/>
        <w:rPr>
          <w:rFonts w:cs="Times New Roman"/>
          <w:b/>
          <w:bCs/>
          <w:kern w:val="2"/>
          <w:sz w:val="28"/>
          <w:szCs w:val="28"/>
          <w:lang w:val="en-US" w:bidi="ar-SA"/>
        </w:rPr>
      </w:pPr>
      <w:r>
        <w:rPr>
          <w:rFonts w:hint="eastAsia" w:cs="Times New Roman"/>
          <w:b/>
          <w:bCs/>
          <w:kern w:val="2"/>
          <w:sz w:val="28"/>
          <w:szCs w:val="28"/>
          <w:lang w:val="en-US" w:bidi="ar-SA"/>
        </w:rPr>
        <w:t>4.投标</w:t>
      </w:r>
    </w:p>
    <w:p w14:paraId="64F1571F">
      <w:pPr>
        <w:spacing w:line="360" w:lineRule="auto"/>
        <w:rPr>
          <w:rFonts w:cs="Times New Roman"/>
          <w:b/>
          <w:bCs/>
          <w:kern w:val="2"/>
          <w:sz w:val="28"/>
          <w:szCs w:val="28"/>
          <w:lang w:val="en-US" w:bidi="ar-SA"/>
        </w:rPr>
      </w:pPr>
      <w:r>
        <w:rPr>
          <w:rFonts w:hint="eastAsia" w:cs="Times New Roman"/>
          <w:b/>
          <w:bCs/>
          <w:kern w:val="2"/>
          <w:sz w:val="28"/>
          <w:szCs w:val="28"/>
          <w:lang w:val="en-US" w:bidi="ar-SA"/>
        </w:rPr>
        <w:t>4.1 投标文件的密封和标记</w:t>
      </w:r>
    </w:p>
    <w:p w14:paraId="1E056407">
      <w:pPr>
        <w:spacing w:line="360" w:lineRule="auto"/>
        <w:ind w:firstLine="440" w:firstLineChars="200"/>
      </w:pPr>
      <w:r>
        <w:rPr>
          <w:rFonts w:hint="eastAsia"/>
        </w:rPr>
        <w:t>4.1.1</w:t>
      </w:r>
      <w:r>
        <w:rPr>
          <w:rFonts w:hint="eastAsia"/>
          <w:lang w:val="en-US"/>
        </w:rPr>
        <w:t xml:space="preserve"> </w:t>
      </w:r>
      <w:r>
        <w:rPr>
          <w:rFonts w:hint="eastAsia"/>
        </w:rPr>
        <w:t>投标人应当按照招标文件和电子招标投标交易平台的要求加密投标文件，具体要求见投标人须知前附表。</w:t>
      </w:r>
    </w:p>
    <w:p w14:paraId="3D6B4A00">
      <w:pPr>
        <w:spacing w:line="360" w:lineRule="auto"/>
        <w:ind w:firstLine="440" w:firstLineChars="200"/>
      </w:pPr>
      <w:r>
        <w:rPr>
          <w:rFonts w:hint="eastAsia"/>
        </w:rPr>
        <w:t>4.1.2</w:t>
      </w:r>
      <w:r>
        <w:rPr>
          <w:rFonts w:hint="eastAsia"/>
          <w:lang w:val="en-US"/>
        </w:rPr>
        <w:t xml:space="preserve"> </w:t>
      </w:r>
      <w:r>
        <w:rPr>
          <w:rFonts w:hint="eastAsia"/>
        </w:rPr>
        <w:t>投标文件封套上应写明的内容见投标人须知前附表。</w:t>
      </w:r>
    </w:p>
    <w:p w14:paraId="6657871E">
      <w:pPr>
        <w:spacing w:line="360" w:lineRule="auto"/>
        <w:ind w:firstLine="440" w:firstLineChars="200"/>
      </w:pPr>
      <w:r>
        <w:rPr>
          <w:rFonts w:hint="eastAsia"/>
        </w:rPr>
        <w:t>4.1.3</w:t>
      </w:r>
      <w:r>
        <w:rPr>
          <w:rFonts w:hint="eastAsia"/>
          <w:lang w:val="en-US"/>
        </w:rPr>
        <w:t xml:space="preserve"> </w:t>
      </w:r>
      <w:r>
        <w:rPr>
          <w:rFonts w:hint="eastAsia"/>
        </w:rPr>
        <w:t>未按本章第 4.1.1 项要求密封的投标文件，</w:t>
      </w:r>
      <w:r>
        <w:rPr>
          <w:rFonts w:hint="eastAsia"/>
          <w:kern w:val="21"/>
          <w:u w:val="single"/>
          <w:lang w:bidi="ar-SA"/>
        </w:rPr>
        <w:t>电子招标投标交易平台</w:t>
      </w:r>
      <w:r>
        <w:rPr>
          <w:rFonts w:hint="eastAsia"/>
        </w:rPr>
        <w:t>将予以拒收。</w:t>
      </w:r>
    </w:p>
    <w:p w14:paraId="0B6CFED7">
      <w:pPr>
        <w:spacing w:line="360" w:lineRule="auto"/>
        <w:rPr>
          <w:rFonts w:cs="Times New Roman"/>
          <w:b/>
          <w:bCs/>
          <w:kern w:val="2"/>
          <w:sz w:val="28"/>
          <w:szCs w:val="28"/>
          <w:lang w:val="en-US" w:bidi="ar-SA"/>
        </w:rPr>
      </w:pPr>
      <w:r>
        <w:rPr>
          <w:rFonts w:hint="eastAsia" w:cs="Times New Roman"/>
          <w:b/>
          <w:bCs/>
          <w:kern w:val="2"/>
          <w:sz w:val="28"/>
          <w:szCs w:val="28"/>
          <w:lang w:val="en-US" w:bidi="ar-SA"/>
        </w:rPr>
        <w:t>4.2 投标文件的递交</w:t>
      </w:r>
    </w:p>
    <w:p w14:paraId="66DE7483">
      <w:pPr>
        <w:spacing w:line="360" w:lineRule="auto"/>
        <w:ind w:firstLine="440" w:firstLineChars="200"/>
      </w:pPr>
      <w:r>
        <w:rPr>
          <w:rFonts w:hint="eastAsia"/>
        </w:rPr>
        <w:t>4.2.1</w:t>
      </w:r>
      <w:r>
        <w:rPr>
          <w:rFonts w:hint="eastAsia"/>
          <w:lang w:val="en-US"/>
        </w:rPr>
        <w:t xml:space="preserve"> </w:t>
      </w:r>
      <w:r>
        <w:rPr>
          <w:rFonts w:hint="eastAsia"/>
        </w:rPr>
        <w:t>投标人应在投标人须知前附表规定的投标截止时间前递交投标文件。</w:t>
      </w:r>
    </w:p>
    <w:p w14:paraId="01E18F8D">
      <w:pPr>
        <w:spacing w:line="360" w:lineRule="auto"/>
        <w:ind w:firstLine="440" w:firstLineChars="200"/>
      </w:pPr>
      <w:r>
        <w:rPr>
          <w:rFonts w:hint="eastAsia"/>
        </w:rPr>
        <w:t>4.2.2</w:t>
      </w:r>
      <w:r>
        <w:rPr>
          <w:rFonts w:hint="eastAsia"/>
          <w:lang w:val="en-US"/>
        </w:rPr>
        <w:t xml:space="preserve"> </w:t>
      </w:r>
      <w:r>
        <w:rPr>
          <w:rFonts w:hint="eastAsia"/>
        </w:rPr>
        <w:t>投标人通过下载招标文件的电子招标投标交易平台递交电子投标文件。</w:t>
      </w:r>
    </w:p>
    <w:p w14:paraId="1BD4BB5B">
      <w:pPr>
        <w:spacing w:line="360" w:lineRule="auto"/>
        <w:ind w:firstLine="440" w:firstLineChars="200"/>
      </w:pPr>
      <w:r>
        <w:rPr>
          <w:rFonts w:hint="eastAsia"/>
        </w:rPr>
        <w:t>4.2.3</w:t>
      </w:r>
      <w:r>
        <w:rPr>
          <w:rFonts w:hint="eastAsia"/>
          <w:lang w:val="en-US"/>
        </w:rPr>
        <w:t xml:space="preserve"> </w:t>
      </w:r>
      <w:r>
        <w:rPr>
          <w:rFonts w:hint="eastAsia"/>
        </w:rPr>
        <w:t>除投标人须知前附表另有规定外，投标人所递交的投标文件不予退还。</w:t>
      </w:r>
    </w:p>
    <w:p w14:paraId="7C28511E">
      <w:pPr>
        <w:spacing w:line="360" w:lineRule="auto"/>
        <w:ind w:firstLine="440" w:firstLineChars="200"/>
      </w:pPr>
      <w:r>
        <w:rPr>
          <w:rFonts w:hint="eastAsia"/>
        </w:rPr>
        <w:t>4.2.4</w:t>
      </w:r>
      <w:r>
        <w:rPr>
          <w:rFonts w:hint="eastAsia"/>
          <w:lang w:val="en-US"/>
        </w:rPr>
        <w:t xml:space="preserve"> </w:t>
      </w:r>
      <w:r>
        <w:rPr>
          <w:rFonts w:hint="eastAsia"/>
        </w:rPr>
        <w:t>投标人完成电子投标文件上传后，电子招标投标交易平台即时向投标人发出递交回执通知。递交时间以递交回执通知载明的传输完成时间为准。</w:t>
      </w:r>
    </w:p>
    <w:p w14:paraId="01A9E05C">
      <w:pPr>
        <w:spacing w:line="360" w:lineRule="auto"/>
        <w:ind w:firstLine="440" w:firstLineChars="200"/>
      </w:pPr>
      <w:r>
        <w:rPr>
          <w:rFonts w:hint="eastAsia"/>
        </w:rPr>
        <w:t>4.2.5</w:t>
      </w:r>
      <w:r>
        <w:rPr>
          <w:rFonts w:hint="eastAsia"/>
          <w:lang w:val="en-US"/>
        </w:rPr>
        <w:t xml:space="preserve"> </w:t>
      </w:r>
      <w:r>
        <w:rPr>
          <w:rFonts w:hint="eastAsia"/>
        </w:rPr>
        <w:t>逾期送达的投标文件，电子招标投标交易平台将予以拒收。</w:t>
      </w:r>
    </w:p>
    <w:p w14:paraId="4DEC103F">
      <w:pPr>
        <w:pStyle w:val="9"/>
        <w:kinsoku w:val="0"/>
        <w:overflowPunct w:val="0"/>
        <w:spacing w:line="360" w:lineRule="auto"/>
        <w:ind w:firstLine="440" w:firstLineChars="200"/>
        <w:rPr>
          <w:sz w:val="22"/>
          <w:szCs w:val="22"/>
          <w:u w:val="single"/>
        </w:rPr>
      </w:pPr>
      <w:r>
        <w:rPr>
          <w:rFonts w:hint="eastAsia"/>
          <w:sz w:val="22"/>
          <w:szCs w:val="22"/>
          <w:u w:val="single"/>
        </w:rPr>
        <w:t>电子投标文件若出现以下情况之一的，招标人将否决其投标：</w:t>
      </w:r>
    </w:p>
    <w:p w14:paraId="750C7BA4">
      <w:pPr>
        <w:pStyle w:val="9"/>
        <w:kinsoku w:val="0"/>
        <w:overflowPunct w:val="0"/>
        <w:spacing w:line="360" w:lineRule="auto"/>
        <w:ind w:firstLine="440" w:firstLineChars="200"/>
        <w:rPr>
          <w:sz w:val="22"/>
          <w:szCs w:val="22"/>
          <w:u w:val="single"/>
        </w:rPr>
      </w:pPr>
      <w:r>
        <w:rPr>
          <w:rFonts w:hint="eastAsia"/>
          <w:sz w:val="22"/>
          <w:szCs w:val="22"/>
          <w:u w:val="single"/>
        </w:rPr>
        <w:t>A.电子投标文件未在投标截止时间前成功上传并保存在</w:t>
      </w:r>
      <w:r>
        <w:rPr>
          <w:rFonts w:hint="eastAsia"/>
          <w:sz w:val="24"/>
          <w:szCs w:val="24"/>
          <w:u w:val="single"/>
        </w:rPr>
        <w:t>电子招标投标交</w:t>
      </w:r>
      <w:r>
        <w:rPr>
          <w:rFonts w:hint="eastAsia"/>
          <w:sz w:val="22"/>
          <w:szCs w:val="22"/>
          <w:u w:val="single"/>
        </w:rPr>
        <w:t>易平台；</w:t>
      </w:r>
    </w:p>
    <w:p w14:paraId="04C70864">
      <w:pPr>
        <w:pStyle w:val="9"/>
        <w:kinsoku w:val="0"/>
        <w:overflowPunct w:val="0"/>
        <w:spacing w:line="360" w:lineRule="auto"/>
        <w:ind w:firstLine="440" w:firstLineChars="200"/>
        <w:rPr>
          <w:sz w:val="22"/>
          <w:szCs w:val="22"/>
          <w:u w:val="single"/>
        </w:rPr>
      </w:pPr>
      <w:r>
        <w:rPr>
          <w:rFonts w:hint="eastAsia"/>
          <w:sz w:val="22"/>
          <w:szCs w:val="22"/>
          <w:u w:val="single"/>
        </w:rPr>
        <w:t>B.因投标人原因造成电子投标文件未解密或逾期解密的；</w:t>
      </w:r>
    </w:p>
    <w:p w14:paraId="79BE3024">
      <w:pPr>
        <w:pStyle w:val="9"/>
        <w:kinsoku w:val="0"/>
        <w:overflowPunct w:val="0"/>
        <w:spacing w:line="360" w:lineRule="auto"/>
        <w:ind w:firstLine="440" w:firstLineChars="200"/>
        <w:rPr>
          <w:sz w:val="22"/>
          <w:szCs w:val="22"/>
          <w:u w:val="single"/>
        </w:rPr>
      </w:pPr>
      <w:r>
        <w:rPr>
          <w:rFonts w:hint="eastAsia"/>
          <w:sz w:val="22"/>
          <w:szCs w:val="22"/>
          <w:u w:val="single"/>
        </w:rPr>
        <w:t>C.两个（含两个）以上的投标人加密打包的电子投标文件电脑机器码一致的；</w:t>
      </w:r>
    </w:p>
    <w:p w14:paraId="4C3BC092">
      <w:pPr>
        <w:pStyle w:val="9"/>
        <w:kinsoku w:val="0"/>
        <w:overflowPunct w:val="0"/>
        <w:spacing w:line="360" w:lineRule="auto"/>
        <w:ind w:firstLine="440" w:firstLineChars="200"/>
        <w:rPr>
          <w:sz w:val="22"/>
          <w:szCs w:val="22"/>
          <w:u w:val="single"/>
        </w:rPr>
      </w:pPr>
      <w:r>
        <w:rPr>
          <w:rFonts w:hint="eastAsia"/>
          <w:sz w:val="22"/>
          <w:szCs w:val="22"/>
          <w:u w:val="single"/>
          <w:lang w:val="en-US"/>
        </w:rPr>
        <w:t>D</w:t>
      </w:r>
      <w:r>
        <w:rPr>
          <w:rFonts w:hint="eastAsia"/>
          <w:sz w:val="22"/>
          <w:szCs w:val="22"/>
          <w:u w:val="single"/>
        </w:rPr>
        <w:t>.投标文件中的投标人、项目负责人与投标登记时的信息不一致的。</w:t>
      </w:r>
    </w:p>
    <w:p w14:paraId="6BEB5A99">
      <w:pPr>
        <w:pStyle w:val="9"/>
        <w:kinsoku w:val="0"/>
        <w:overflowPunct w:val="0"/>
        <w:spacing w:line="360" w:lineRule="auto"/>
        <w:ind w:firstLine="440" w:firstLineChars="200"/>
        <w:rPr>
          <w:sz w:val="22"/>
          <w:szCs w:val="22"/>
          <w:u w:val="single"/>
        </w:rPr>
      </w:pPr>
      <w:r>
        <w:rPr>
          <w:rFonts w:hint="eastAsia"/>
          <w:sz w:val="22"/>
          <w:szCs w:val="22"/>
          <w:u w:val="single"/>
        </w:rPr>
        <w:t>4.2.6</w:t>
      </w:r>
      <w:r>
        <w:rPr>
          <w:rFonts w:hint="eastAsia"/>
          <w:sz w:val="22"/>
          <w:szCs w:val="22"/>
          <w:u w:val="single"/>
          <w:lang w:val="en-US"/>
        </w:rPr>
        <w:t xml:space="preserve"> </w:t>
      </w:r>
      <w:r>
        <w:rPr>
          <w:rFonts w:hint="eastAsia"/>
          <w:sz w:val="22"/>
          <w:szCs w:val="22"/>
          <w:u w:val="single"/>
        </w:rPr>
        <w:t>投标文件的解密</w:t>
      </w:r>
    </w:p>
    <w:p w14:paraId="207BB43A">
      <w:pPr>
        <w:pStyle w:val="9"/>
        <w:kinsoku w:val="0"/>
        <w:overflowPunct w:val="0"/>
        <w:spacing w:line="360" w:lineRule="auto"/>
        <w:ind w:firstLine="440" w:firstLineChars="200"/>
        <w:rPr>
          <w:sz w:val="22"/>
          <w:szCs w:val="22"/>
          <w:u w:val="single"/>
        </w:rPr>
      </w:pPr>
      <w:r>
        <w:rPr>
          <w:rFonts w:hint="eastAsia"/>
          <w:sz w:val="22"/>
          <w:szCs w:val="22"/>
          <w:u w:val="single"/>
        </w:rPr>
        <w:t>（1）递交投标文件截止时间到达后的半小时内为投标人对电子投标文件解密时间。</w:t>
      </w:r>
    </w:p>
    <w:p w14:paraId="6FD48D4D">
      <w:pPr>
        <w:pStyle w:val="5"/>
        <w:spacing w:line="360" w:lineRule="auto"/>
        <w:rPr>
          <w:szCs w:val="22"/>
          <w:u w:val="single"/>
        </w:rPr>
      </w:pPr>
      <w:r>
        <w:rPr>
          <w:rFonts w:hint="eastAsia"/>
          <w:szCs w:val="22"/>
          <w:u w:val="single"/>
        </w:rPr>
        <w:t>（2）投标人须在规定解密时间内使用制作该投标文件机构业务数字证书对投标文件进行解密。逾期未解密的电子投标文件将被否决。</w:t>
      </w:r>
    </w:p>
    <w:p w14:paraId="4328CC91">
      <w:pPr>
        <w:spacing w:line="360" w:lineRule="auto"/>
        <w:ind w:firstLine="440" w:firstLineChars="200"/>
        <w:rPr>
          <w:u w:val="single"/>
        </w:rPr>
      </w:pPr>
      <w:r>
        <w:rPr>
          <w:rFonts w:hint="eastAsia"/>
          <w:u w:val="single"/>
        </w:rPr>
        <w:t>4.2.</w:t>
      </w:r>
      <w:r>
        <w:rPr>
          <w:rFonts w:hint="eastAsia"/>
          <w:u w:val="single"/>
          <w:lang w:val="en-US"/>
        </w:rPr>
        <w:t>7</w:t>
      </w:r>
      <w:r>
        <w:rPr>
          <w:rFonts w:hint="eastAsia"/>
          <w:u w:val="single"/>
        </w:rPr>
        <w:t xml:space="preserve"> 如按招标公告要求需要提交投标文件光盘（备用），提交的光盘或U盘不得加密。如需使用投标文件光盘或U盘进行评审时无法读取或导入的，则视为未提交投标文件光盘（备用）。</w:t>
      </w:r>
    </w:p>
    <w:p w14:paraId="6F72F545">
      <w:pPr>
        <w:pStyle w:val="5"/>
        <w:spacing w:line="360" w:lineRule="auto"/>
        <w:rPr>
          <w:szCs w:val="22"/>
          <w:u w:val="single"/>
        </w:rPr>
      </w:pPr>
      <w:r>
        <w:rPr>
          <w:rFonts w:hint="eastAsia"/>
          <w:szCs w:val="22"/>
          <w:u w:val="single"/>
        </w:rPr>
        <w:t>4.2.</w:t>
      </w:r>
      <w:r>
        <w:rPr>
          <w:rFonts w:hint="eastAsia"/>
          <w:szCs w:val="22"/>
          <w:u w:val="single"/>
          <w:lang w:val="en-US"/>
        </w:rPr>
        <w:t>8</w:t>
      </w:r>
      <w:r>
        <w:rPr>
          <w:rFonts w:hint="eastAsia"/>
          <w:szCs w:val="22"/>
          <w:u w:val="single"/>
        </w:rPr>
        <w:t xml:space="preserve"> 到投标截止时间止，招标人收到的投标文件少于3家的，招标人将依法重新组织招标。</w:t>
      </w:r>
    </w:p>
    <w:p w14:paraId="2EC3B4C8">
      <w:pPr>
        <w:spacing w:line="360" w:lineRule="auto"/>
        <w:rPr>
          <w:rFonts w:cs="Times New Roman"/>
          <w:b/>
          <w:bCs/>
          <w:kern w:val="2"/>
          <w:sz w:val="28"/>
          <w:szCs w:val="28"/>
          <w:lang w:val="en-US" w:bidi="ar-SA"/>
        </w:rPr>
      </w:pPr>
      <w:r>
        <w:rPr>
          <w:rFonts w:hint="eastAsia" w:cs="Times New Roman"/>
          <w:b/>
          <w:bCs/>
          <w:kern w:val="2"/>
          <w:sz w:val="28"/>
          <w:szCs w:val="28"/>
          <w:lang w:val="en-US" w:bidi="ar-SA"/>
        </w:rPr>
        <w:t>4.3 投标文件的修改与撤回</w:t>
      </w:r>
    </w:p>
    <w:p w14:paraId="1C2AA6EE">
      <w:pPr>
        <w:spacing w:line="360" w:lineRule="auto"/>
        <w:ind w:firstLine="440" w:firstLineChars="200"/>
      </w:pPr>
      <w:r>
        <w:rPr>
          <w:rFonts w:hint="eastAsia"/>
        </w:rPr>
        <w:t>4.3.1</w:t>
      </w:r>
      <w:r>
        <w:rPr>
          <w:rFonts w:hint="eastAsia"/>
          <w:lang w:val="en-US"/>
        </w:rPr>
        <w:t xml:space="preserve"> </w:t>
      </w:r>
      <w:r>
        <w:rPr>
          <w:rFonts w:hint="eastAsia"/>
        </w:rPr>
        <w:t>在本章第 4.2.1 项规定的投标截止时间前，投标人可以修改或撤回已递交的投标文件， 但应以书面形式通知招标人。</w:t>
      </w:r>
    </w:p>
    <w:p w14:paraId="5E074D8D">
      <w:pPr>
        <w:spacing w:line="360" w:lineRule="auto"/>
        <w:ind w:firstLine="440" w:firstLineChars="200"/>
      </w:pPr>
      <w:r>
        <w:rPr>
          <w:rFonts w:hint="eastAsia"/>
        </w:rPr>
        <w:t xml:space="preserve">4.3.2投标人修改或撤回已递交投标文件的通知，应按照本章第3.7.3（B）项的要求加盖电子印章。电子招标投标交易平台收到通知后，即时向投标人发出确认回执通知。 </w:t>
      </w:r>
    </w:p>
    <w:p w14:paraId="4E00C20E">
      <w:pPr>
        <w:spacing w:line="360" w:lineRule="auto"/>
        <w:ind w:firstLine="440" w:firstLineChars="200"/>
      </w:pPr>
      <w:r>
        <w:rPr>
          <w:rFonts w:hint="eastAsia"/>
          <w:strike/>
        </w:rPr>
        <w:t>4.3.3</w:t>
      </w:r>
      <w:r>
        <w:rPr>
          <w:rFonts w:hint="eastAsia"/>
          <w:strike/>
          <w:lang w:val="en-US"/>
        </w:rPr>
        <w:t xml:space="preserve"> </w:t>
      </w:r>
      <w:r>
        <w:rPr>
          <w:rFonts w:hint="eastAsia"/>
          <w:strike/>
        </w:rPr>
        <w:t>投标人撤回投标文件的，招标人自收到投标人书面撤回通知之日起 5 日内退还已收取的投标保证金</w:t>
      </w:r>
      <w:r>
        <w:rPr>
          <w:rFonts w:hint="eastAsia"/>
        </w:rPr>
        <w:t>。</w:t>
      </w:r>
    </w:p>
    <w:p w14:paraId="4132F525">
      <w:pPr>
        <w:spacing w:line="360" w:lineRule="auto"/>
        <w:ind w:firstLine="440" w:firstLineChars="200"/>
      </w:pPr>
      <w:r>
        <w:rPr>
          <w:rFonts w:hint="eastAsia"/>
        </w:rPr>
        <w:t>4.3.4</w:t>
      </w:r>
      <w:r>
        <w:rPr>
          <w:rFonts w:hint="eastAsia"/>
          <w:lang w:val="en-US"/>
        </w:rPr>
        <w:t xml:space="preserve"> </w:t>
      </w:r>
      <w:r>
        <w:rPr>
          <w:rFonts w:hint="eastAsia"/>
        </w:rPr>
        <w:t>修改的内容为投标文件的组成部分。修改的投标文件应按照本章第 3 条、第 4 条的规定进行编制、密封、标记和递交，并标明“修改”字样。</w:t>
      </w:r>
    </w:p>
    <w:p w14:paraId="14D0C5F4">
      <w:pPr>
        <w:spacing w:line="360" w:lineRule="auto"/>
        <w:rPr>
          <w:rFonts w:cs="Times New Roman"/>
          <w:b/>
          <w:bCs/>
          <w:kern w:val="2"/>
          <w:sz w:val="28"/>
          <w:szCs w:val="28"/>
          <w:lang w:val="en-US" w:bidi="ar-SA"/>
        </w:rPr>
      </w:pPr>
      <w:r>
        <w:rPr>
          <w:rFonts w:hint="eastAsia" w:cs="Times New Roman"/>
          <w:b/>
          <w:bCs/>
          <w:kern w:val="2"/>
          <w:sz w:val="28"/>
          <w:szCs w:val="28"/>
          <w:lang w:val="en-US" w:bidi="ar-SA"/>
        </w:rPr>
        <w:t>5.开标</w:t>
      </w:r>
    </w:p>
    <w:p w14:paraId="4866D4B0">
      <w:pPr>
        <w:spacing w:line="360" w:lineRule="auto"/>
        <w:rPr>
          <w:rFonts w:cs="Times New Roman"/>
          <w:b/>
          <w:bCs/>
          <w:kern w:val="2"/>
          <w:sz w:val="28"/>
          <w:szCs w:val="28"/>
          <w:lang w:val="en-US" w:bidi="ar-SA"/>
        </w:rPr>
      </w:pPr>
      <w:r>
        <w:rPr>
          <w:rFonts w:hint="eastAsia" w:cs="Times New Roman"/>
          <w:b/>
          <w:bCs/>
          <w:kern w:val="2"/>
          <w:sz w:val="28"/>
          <w:szCs w:val="28"/>
          <w:lang w:val="en-US" w:bidi="ar-SA"/>
        </w:rPr>
        <w:t>5.1 开标时间和地点</w:t>
      </w:r>
    </w:p>
    <w:p w14:paraId="2ACFC1A9">
      <w:pPr>
        <w:spacing w:line="360" w:lineRule="auto"/>
        <w:ind w:firstLine="440" w:firstLineChars="200"/>
      </w:pPr>
      <w:r>
        <w:rPr>
          <w:rFonts w:hint="eastAsia"/>
        </w:rPr>
        <w:t>招标人在本章第 4.2.1 项规定的投标截止时间（开标时间）,通过电子招标投标交易平台公开开标</w:t>
      </w:r>
      <w:r>
        <w:rPr>
          <w:rFonts w:hint="eastAsia"/>
          <w:sz w:val="24"/>
        </w:rPr>
        <w:t>，</w:t>
      </w:r>
      <w:r>
        <w:rPr>
          <w:rFonts w:hint="eastAsia"/>
          <w:u w:val="single"/>
        </w:rPr>
        <w:t>投标人代表有权参加开标会，也可以自行决定不参加开标会。投标人不参加开标会，则视其为放弃参与开标的权利，认可开标结果。</w:t>
      </w:r>
    </w:p>
    <w:p w14:paraId="6ECD6C8D">
      <w:pPr>
        <w:spacing w:line="360" w:lineRule="auto"/>
        <w:rPr>
          <w:rFonts w:cs="Times New Roman"/>
          <w:b/>
          <w:bCs/>
          <w:kern w:val="2"/>
          <w:sz w:val="28"/>
          <w:szCs w:val="28"/>
          <w:lang w:val="en-US" w:bidi="ar-SA"/>
        </w:rPr>
      </w:pPr>
      <w:r>
        <w:rPr>
          <w:rFonts w:hint="eastAsia" w:cs="Times New Roman"/>
          <w:b/>
          <w:bCs/>
          <w:kern w:val="2"/>
          <w:sz w:val="28"/>
          <w:szCs w:val="28"/>
          <w:lang w:val="en-US" w:bidi="ar-SA"/>
        </w:rPr>
        <w:t>5.2 开标程序</w:t>
      </w:r>
    </w:p>
    <w:p w14:paraId="20E7E533">
      <w:pPr>
        <w:spacing w:line="360" w:lineRule="auto"/>
        <w:ind w:firstLine="440" w:firstLineChars="200"/>
      </w:pPr>
      <w:r>
        <w:rPr>
          <w:rFonts w:hint="eastAsia"/>
          <w:u w:val="single"/>
        </w:rPr>
        <w:t>详见《投标人须知前附表》。</w:t>
      </w:r>
    </w:p>
    <w:p w14:paraId="288BF30B">
      <w:pPr>
        <w:spacing w:line="360" w:lineRule="auto"/>
        <w:rPr>
          <w:strike/>
        </w:rPr>
      </w:pPr>
      <w:r>
        <w:rPr>
          <w:rFonts w:hint="eastAsia"/>
          <w:strike/>
        </w:rPr>
        <w:t>主持人按下列程序进行开标：</w:t>
      </w:r>
    </w:p>
    <w:p w14:paraId="64002482">
      <w:pPr>
        <w:spacing w:line="360" w:lineRule="auto"/>
        <w:rPr>
          <w:strike/>
        </w:rPr>
      </w:pPr>
      <w:r>
        <w:rPr>
          <w:rFonts w:hint="eastAsia"/>
          <w:strike/>
        </w:rPr>
        <w:t>（1）宣布开标纪律；</w:t>
      </w:r>
    </w:p>
    <w:p w14:paraId="30055E04">
      <w:pPr>
        <w:spacing w:line="360" w:lineRule="auto"/>
        <w:rPr>
          <w:strike/>
        </w:rPr>
      </w:pPr>
      <w:r>
        <w:rPr>
          <w:rFonts w:hint="eastAsia"/>
          <w:strike/>
        </w:rPr>
        <w:t>（2）公布在投标截止时间前递交投标文件的投标人名称；</w:t>
      </w:r>
    </w:p>
    <w:p w14:paraId="646470B9">
      <w:pPr>
        <w:spacing w:line="360" w:lineRule="auto"/>
        <w:rPr>
          <w:strike/>
        </w:rPr>
      </w:pPr>
      <w:r>
        <w:rPr>
          <w:rFonts w:hint="eastAsia"/>
          <w:strike/>
        </w:rPr>
        <w:t>（3）宣布开标人、唱标人、记录人、监标人等有关人员姓名；</w:t>
      </w:r>
    </w:p>
    <w:p w14:paraId="5789F5A7">
      <w:pPr>
        <w:spacing w:line="360" w:lineRule="auto"/>
        <w:rPr>
          <w:strike/>
        </w:rPr>
      </w:pPr>
      <w:r>
        <w:rPr>
          <w:rFonts w:hint="eastAsia"/>
          <w:strike/>
        </w:rPr>
        <w:t>（4）（A）检查投标文件的密封情况，按照投标人须知前附表规定的开标顺序当众开标，公布招标项目名称、投标人名称、投标保证金的递交情况、投标报价、监理服务期限及其他内容，并记录在案；</w:t>
      </w:r>
    </w:p>
    <w:p w14:paraId="2CE7490F">
      <w:pPr>
        <w:spacing w:line="360" w:lineRule="auto"/>
        <w:rPr>
          <w:strike/>
        </w:rPr>
      </w:pPr>
      <w:r>
        <w:rPr>
          <w:rFonts w:hint="eastAsia"/>
          <w:strike/>
        </w:rPr>
        <w:t>（4）（B）投标人通过电子招标投标交易平台对已递交的电子投标文件进行解密，公布招标项目名称、投标人名称、投标保证金的递交情况、投标报价、监理服务期限及其他内容，并记录在案；</w:t>
      </w:r>
    </w:p>
    <w:p w14:paraId="1D1914A9">
      <w:pPr>
        <w:spacing w:line="360" w:lineRule="auto"/>
        <w:rPr>
          <w:strike/>
        </w:rPr>
      </w:pPr>
      <w:r>
        <w:rPr>
          <w:rFonts w:hint="eastAsia"/>
          <w:strike/>
        </w:rPr>
        <w:t>（5）（A）投标人代表、招标人代表、监标人、记录人等有关人员在开标记录上签字确认；</w:t>
      </w:r>
    </w:p>
    <w:p w14:paraId="63B9ED39">
      <w:pPr>
        <w:spacing w:line="360" w:lineRule="auto"/>
        <w:rPr>
          <w:strike/>
        </w:rPr>
      </w:pPr>
      <w:r>
        <w:rPr>
          <w:rFonts w:hint="eastAsia"/>
          <w:strike/>
        </w:rPr>
        <w:t>（5）（B）投标人代表、招标人代表、监标人、记录人等有关人员使用本人的电子印章在开标记录上签字确认；</w:t>
      </w:r>
    </w:p>
    <w:p w14:paraId="1D3E931C">
      <w:pPr>
        <w:spacing w:line="360" w:lineRule="auto"/>
        <w:rPr>
          <w:strike/>
        </w:rPr>
      </w:pPr>
      <w:r>
        <w:rPr>
          <w:rFonts w:hint="eastAsia"/>
          <w:strike/>
        </w:rPr>
        <w:t>（6）开标结束。</w:t>
      </w:r>
    </w:p>
    <w:p w14:paraId="5EC65940">
      <w:pPr>
        <w:spacing w:line="360" w:lineRule="auto"/>
        <w:rPr>
          <w:rFonts w:cs="Times New Roman"/>
          <w:b/>
          <w:bCs/>
          <w:kern w:val="2"/>
          <w:sz w:val="28"/>
          <w:szCs w:val="28"/>
          <w:lang w:val="en-US" w:bidi="ar-SA"/>
        </w:rPr>
      </w:pPr>
      <w:r>
        <w:rPr>
          <w:rFonts w:hint="eastAsia" w:cs="Times New Roman"/>
          <w:b/>
          <w:bCs/>
          <w:kern w:val="2"/>
          <w:sz w:val="28"/>
          <w:szCs w:val="28"/>
          <w:lang w:val="en-US" w:bidi="ar-SA"/>
        </w:rPr>
        <w:t>5.3 开标异议</w:t>
      </w:r>
    </w:p>
    <w:p w14:paraId="37E85731">
      <w:pPr>
        <w:spacing w:line="360" w:lineRule="auto"/>
        <w:ind w:firstLine="440" w:firstLineChars="200"/>
        <w:rPr>
          <w:sz w:val="24"/>
          <w:szCs w:val="24"/>
          <w:u w:val="single"/>
        </w:rPr>
      </w:pPr>
      <w:r>
        <w:rPr>
          <w:rFonts w:hint="eastAsia"/>
          <w:u w:val="single"/>
        </w:rPr>
        <w:t>详见《投标人须知前附表》。</w:t>
      </w:r>
    </w:p>
    <w:p w14:paraId="4E779FCA">
      <w:pPr>
        <w:spacing w:line="360" w:lineRule="auto"/>
        <w:rPr>
          <w:rFonts w:cs="Times New Roman"/>
          <w:b/>
          <w:bCs/>
          <w:kern w:val="2"/>
          <w:sz w:val="28"/>
          <w:szCs w:val="28"/>
          <w:lang w:val="en-US" w:bidi="ar-SA"/>
        </w:rPr>
      </w:pPr>
      <w:r>
        <w:rPr>
          <w:rFonts w:hint="eastAsia" w:cs="Times New Roman"/>
          <w:b/>
          <w:bCs/>
          <w:kern w:val="2"/>
          <w:sz w:val="28"/>
          <w:szCs w:val="28"/>
          <w:lang w:val="en-US" w:bidi="ar-SA"/>
        </w:rPr>
        <w:t>6.评标</w:t>
      </w:r>
    </w:p>
    <w:p w14:paraId="6E062F88">
      <w:pPr>
        <w:spacing w:line="360" w:lineRule="auto"/>
      </w:pPr>
      <w:r>
        <w:rPr>
          <w:rFonts w:hint="eastAsia" w:cs="Times New Roman"/>
          <w:b/>
          <w:bCs/>
          <w:kern w:val="2"/>
          <w:sz w:val="28"/>
          <w:szCs w:val="28"/>
          <w:lang w:val="en-US" w:bidi="ar-SA"/>
        </w:rPr>
        <w:t>6.1 评标委员会</w:t>
      </w:r>
    </w:p>
    <w:p w14:paraId="6309F5FE">
      <w:pPr>
        <w:spacing w:line="360" w:lineRule="auto"/>
        <w:ind w:firstLine="440" w:firstLineChars="200"/>
      </w:pPr>
      <w:r>
        <w:rPr>
          <w:rFonts w:hint="eastAsia"/>
        </w:rPr>
        <w:t>6.1.1</w:t>
      </w:r>
      <w:r>
        <w:rPr>
          <w:rFonts w:hint="eastAsia"/>
          <w:lang w:val="en-US"/>
        </w:rPr>
        <w:t xml:space="preserve"> </w:t>
      </w:r>
      <w:r>
        <w:rPr>
          <w:rFonts w:hint="eastAsia"/>
        </w:rPr>
        <w:t>评标由招标人依法组建的评标委员会负责。评标委员会由招标人熟悉相关业务的代表，以及有关技术、经济等方面的专家组成。评标委员会成员人数以及技术、经济等方面专家的确定方式见投标人须知前附表。</w:t>
      </w:r>
    </w:p>
    <w:p w14:paraId="016ED289">
      <w:pPr>
        <w:spacing w:line="360" w:lineRule="auto"/>
        <w:ind w:firstLine="440" w:firstLineChars="200"/>
      </w:pPr>
      <w:r>
        <w:rPr>
          <w:rFonts w:hint="eastAsia"/>
        </w:rPr>
        <w:t>6.1.2</w:t>
      </w:r>
      <w:r>
        <w:rPr>
          <w:rFonts w:hint="eastAsia"/>
          <w:lang w:val="en-US"/>
        </w:rPr>
        <w:t xml:space="preserve"> </w:t>
      </w:r>
      <w:r>
        <w:rPr>
          <w:rFonts w:hint="eastAsia"/>
        </w:rPr>
        <w:t>评标委员会成员有下列情形之一的，应当回避：</w:t>
      </w:r>
    </w:p>
    <w:p w14:paraId="2780B0DF">
      <w:pPr>
        <w:spacing w:line="360" w:lineRule="auto"/>
        <w:ind w:firstLine="440" w:firstLineChars="200"/>
      </w:pPr>
      <w:r>
        <w:rPr>
          <w:rFonts w:hint="eastAsia"/>
        </w:rPr>
        <w:t>（1）投标人或投标人主要负责人的近亲属；</w:t>
      </w:r>
    </w:p>
    <w:p w14:paraId="4FA6996E">
      <w:pPr>
        <w:spacing w:line="360" w:lineRule="auto"/>
        <w:ind w:firstLine="440" w:firstLineChars="200"/>
      </w:pPr>
      <w:r>
        <w:rPr>
          <w:rFonts w:hint="eastAsia"/>
        </w:rPr>
        <w:t>（2）项目主管部门或者行政监督部门的人员；</w:t>
      </w:r>
    </w:p>
    <w:p w14:paraId="1DECEAD5">
      <w:pPr>
        <w:spacing w:line="360" w:lineRule="auto"/>
        <w:ind w:firstLine="440" w:firstLineChars="200"/>
      </w:pPr>
      <w:r>
        <w:rPr>
          <w:rFonts w:hint="eastAsia"/>
        </w:rPr>
        <w:t>（3）与投标人有经济利益关系，可能影响对投标公正评审的；</w:t>
      </w:r>
    </w:p>
    <w:p w14:paraId="3407D83D">
      <w:pPr>
        <w:spacing w:line="360" w:lineRule="auto"/>
        <w:ind w:firstLine="440" w:firstLineChars="200"/>
      </w:pPr>
      <w:r>
        <w:rPr>
          <w:rFonts w:hint="eastAsia"/>
        </w:rPr>
        <w:t>（4）曾因在招标、评标以及其他与招标投标有关活动中从事违法行为而受过行政处罚或刑事处罚的；</w:t>
      </w:r>
    </w:p>
    <w:p w14:paraId="2B5C00AD">
      <w:pPr>
        <w:spacing w:line="360" w:lineRule="auto"/>
        <w:ind w:firstLine="440" w:firstLineChars="200"/>
      </w:pPr>
      <w:r>
        <w:rPr>
          <w:rFonts w:hint="eastAsia"/>
        </w:rPr>
        <w:t>（5）与投标人有其他利害关系。</w:t>
      </w:r>
    </w:p>
    <w:p w14:paraId="72102464">
      <w:pPr>
        <w:spacing w:line="360" w:lineRule="auto"/>
        <w:ind w:firstLine="440" w:firstLineChars="200"/>
      </w:pPr>
      <w:r>
        <w:rPr>
          <w:rFonts w:hint="eastAsia"/>
        </w:rPr>
        <w:t>6.1.3</w:t>
      </w:r>
      <w:r>
        <w:rPr>
          <w:rFonts w:hint="eastAsia"/>
          <w:lang w:val="en-US"/>
        </w:rPr>
        <w:t xml:space="preserve"> </w:t>
      </w:r>
      <w:r>
        <w:rPr>
          <w:rFonts w:hint="eastAsia"/>
        </w:rPr>
        <w:t>评标过程中，评标委员会成员有回避事由、擅离职守或者因健康等原因不能继续评标的，招标人有权更换。被更换的评标委员会成员作出的评审结论无效，由更换后的评标委员会成员重新进行评审。</w:t>
      </w:r>
    </w:p>
    <w:p w14:paraId="10D1722F">
      <w:pPr>
        <w:spacing w:line="360" w:lineRule="auto"/>
        <w:rPr>
          <w:rFonts w:cs="Times New Roman"/>
          <w:b/>
          <w:bCs/>
          <w:kern w:val="2"/>
          <w:sz w:val="28"/>
          <w:szCs w:val="28"/>
          <w:lang w:val="en-US" w:bidi="ar-SA"/>
        </w:rPr>
      </w:pPr>
      <w:r>
        <w:rPr>
          <w:rFonts w:hint="eastAsia" w:cs="Times New Roman"/>
          <w:b/>
          <w:bCs/>
          <w:kern w:val="2"/>
          <w:sz w:val="28"/>
          <w:szCs w:val="28"/>
          <w:lang w:val="en-US" w:bidi="ar-SA"/>
        </w:rPr>
        <w:t>6.2 评标原则</w:t>
      </w:r>
    </w:p>
    <w:p w14:paraId="7E4468B6">
      <w:pPr>
        <w:spacing w:line="360" w:lineRule="auto"/>
        <w:ind w:firstLine="440" w:firstLineChars="200"/>
      </w:pPr>
      <w:r>
        <w:rPr>
          <w:rFonts w:hint="eastAsia"/>
        </w:rPr>
        <w:t>评标活动遵循公平、公正、科学和择优的原则。</w:t>
      </w:r>
    </w:p>
    <w:p w14:paraId="401171E6">
      <w:pPr>
        <w:spacing w:line="360" w:lineRule="auto"/>
      </w:pPr>
      <w:r>
        <w:rPr>
          <w:rFonts w:hint="eastAsia" w:cs="Times New Roman"/>
          <w:b/>
          <w:bCs/>
          <w:kern w:val="2"/>
          <w:sz w:val="28"/>
          <w:szCs w:val="28"/>
          <w:lang w:val="en-US" w:bidi="ar-SA"/>
        </w:rPr>
        <w:t>6.3 评标</w:t>
      </w:r>
    </w:p>
    <w:p w14:paraId="748B219A">
      <w:pPr>
        <w:spacing w:line="360" w:lineRule="auto"/>
        <w:ind w:firstLine="440" w:firstLineChars="200"/>
      </w:pPr>
      <w:r>
        <w:rPr>
          <w:rFonts w:hint="eastAsia"/>
        </w:rPr>
        <w:t>6.3.1</w:t>
      </w:r>
      <w:r>
        <w:rPr>
          <w:rFonts w:hint="eastAsia"/>
          <w:lang w:val="en-US"/>
        </w:rPr>
        <w:t xml:space="preserve"> </w:t>
      </w:r>
      <w:r>
        <w:rPr>
          <w:rFonts w:hint="eastAsia"/>
        </w:rPr>
        <w:t>评标委员会按照第三章“评标办法”规定的方法、评审因素、标准和程序对投标文件进行评审。第三章“评标办法”没有规定的方法、评审因素和标准，不作为评标依据。</w:t>
      </w:r>
    </w:p>
    <w:p w14:paraId="224287A0">
      <w:pPr>
        <w:ind w:firstLine="440" w:firstLineChars="200"/>
        <w:rPr>
          <w:rFonts w:cs="Times New Roman"/>
          <w:b/>
          <w:bCs/>
          <w:kern w:val="2"/>
          <w:sz w:val="28"/>
          <w:szCs w:val="28"/>
          <w:lang w:val="en-US" w:bidi="ar-SA"/>
        </w:rPr>
      </w:pPr>
      <w:r>
        <w:rPr>
          <w:rFonts w:hint="eastAsia"/>
        </w:rPr>
        <w:t>6.3.2</w:t>
      </w:r>
      <w:r>
        <w:rPr>
          <w:rFonts w:hint="eastAsia"/>
          <w:lang w:val="en-US"/>
        </w:rPr>
        <w:t xml:space="preserve"> </w:t>
      </w:r>
      <w:r>
        <w:rPr>
          <w:rFonts w:hint="eastAsia"/>
        </w:rPr>
        <w:t>评标完成后，评标委员会应当向招标人提交书面评标报告和中标候选人名单。评标委员会推荐中标候选人的人数见投标人须知前附表。</w:t>
      </w:r>
    </w:p>
    <w:p w14:paraId="55910BAC">
      <w:pPr>
        <w:spacing w:line="360" w:lineRule="auto"/>
        <w:rPr>
          <w:rFonts w:cs="Times New Roman"/>
          <w:b/>
          <w:bCs/>
          <w:kern w:val="2"/>
          <w:sz w:val="28"/>
          <w:szCs w:val="28"/>
          <w:lang w:val="en-US" w:bidi="ar-SA"/>
        </w:rPr>
      </w:pPr>
    </w:p>
    <w:p w14:paraId="17B2DDE8">
      <w:pPr>
        <w:spacing w:line="360" w:lineRule="auto"/>
        <w:rPr>
          <w:rFonts w:cs="Times New Roman"/>
          <w:b/>
          <w:bCs/>
          <w:kern w:val="2"/>
          <w:sz w:val="28"/>
          <w:szCs w:val="28"/>
          <w:lang w:val="en-US" w:bidi="ar-SA"/>
        </w:rPr>
      </w:pPr>
      <w:r>
        <w:rPr>
          <w:rFonts w:hint="eastAsia" w:cs="Times New Roman"/>
          <w:b/>
          <w:bCs/>
          <w:kern w:val="2"/>
          <w:sz w:val="28"/>
          <w:szCs w:val="28"/>
          <w:lang w:val="en-US" w:bidi="ar-SA"/>
        </w:rPr>
        <w:t>7.合同授予</w:t>
      </w:r>
    </w:p>
    <w:p w14:paraId="29EE23CB">
      <w:pPr>
        <w:spacing w:line="360" w:lineRule="auto"/>
        <w:rPr>
          <w:rFonts w:cs="Times New Roman"/>
          <w:b/>
          <w:bCs/>
          <w:kern w:val="2"/>
          <w:sz w:val="28"/>
          <w:szCs w:val="28"/>
          <w:lang w:val="en-US" w:bidi="ar-SA"/>
        </w:rPr>
      </w:pPr>
      <w:r>
        <w:rPr>
          <w:rFonts w:hint="eastAsia" w:cs="Times New Roman"/>
          <w:b/>
          <w:bCs/>
          <w:kern w:val="2"/>
          <w:sz w:val="28"/>
          <w:szCs w:val="28"/>
          <w:lang w:val="en-US" w:bidi="ar-SA"/>
        </w:rPr>
        <w:t>7.1 中标候选人公示</w:t>
      </w:r>
    </w:p>
    <w:p w14:paraId="18A62BA2">
      <w:pPr>
        <w:spacing w:line="360" w:lineRule="auto"/>
        <w:ind w:firstLine="440" w:firstLineChars="200"/>
      </w:pPr>
      <w:r>
        <w:rPr>
          <w:rFonts w:hint="eastAsia"/>
        </w:rPr>
        <w:t>招标人在收到评标报告之日起 3 日内，按照投标人须知前附表规定的公示媒介和期限公示</w:t>
      </w:r>
    </w:p>
    <w:p w14:paraId="1BFE8B85">
      <w:pPr>
        <w:spacing w:line="360" w:lineRule="auto"/>
      </w:pPr>
      <w:r>
        <w:rPr>
          <w:rFonts w:hint="eastAsia"/>
        </w:rPr>
        <w:t>中标候选人，公示期不得少于 3 天</w:t>
      </w:r>
      <w:r>
        <w:rPr>
          <w:rFonts w:hint="eastAsia"/>
          <w:u w:val="single"/>
        </w:rPr>
        <w:t>（最后一日须为工作日）</w:t>
      </w:r>
      <w:r>
        <w:rPr>
          <w:rFonts w:hint="eastAsia"/>
        </w:rPr>
        <w:t>。</w:t>
      </w:r>
    </w:p>
    <w:p w14:paraId="08B29938">
      <w:pPr>
        <w:spacing w:line="360" w:lineRule="auto"/>
        <w:ind w:firstLine="440" w:firstLineChars="200"/>
        <w:rPr>
          <w:u w:val="single"/>
        </w:rPr>
      </w:pPr>
      <w:r>
        <w:rPr>
          <w:rFonts w:hint="eastAsia"/>
          <w:u w:val="single"/>
        </w:rPr>
        <w:t>在产生中标候选人后，招标人将在广州交易集团有限公司（广州公共资源交易中心）网站、广东省招标投标监管网公开中标候选人投标文件商务部分的人员、业绩、奖项等（涉及商业秘密的内容除外）资料电子版。</w:t>
      </w:r>
    </w:p>
    <w:p w14:paraId="66583F45">
      <w:pPr>
        <w:spacing w:line="360" w:lineRule="auto"/>
        <w:rPr>
          <w:rFonts w:cs="Times New Roman"/>
          <w:b/>
          <w:bCs/>
          <w:kern w:val="2"/>
          <w:sz w:val="28"/>
          <w:szCs w:val="28"/>
          <w:lang w:val="en-US" w:bidi="ar-SA"/>
        </w:rPr>
      </w:pPr>
      <w:r>
        <w:rPr>
          <w:rFonts w:hint="eastAsia" w:cs="Times New Roman"/>
          <w:b/>
          <w:bCs/>
          <w:kern w:val="2"/>
          <w:sz w:val="28"/>
          <w:szCs w:val="28"/>
          <w:lang w:val="en-US" w:bidi="ar-SA"/>
        </w:rPr>
        <w:t>7.2 评标结果异议</w:t>
      </w:r>
    </w:p>
    <w:p w14:paraId="24617A0C">
      <w:pPr>
        <w:spacing w:line="360" w:lineRule="auto"/>
        <w:ind w:firstLine="440" w:firstLineChars="200"/>
      </w:pPr>
      <w:r>
        <w:rPr>
          <w:rFonts w:hint="eastAsia"/>
        </w:rPr>
        <w:t>投标人或者其他利害关系人对评标结果有异议的，应当在中标候选人公示期间提出</w:t>
      </w:r>
      <w:r>
        <w:rPr>
          <w:rFonts w:hint="eastAsia"/>
          <w:u w:val="single"/>
        </w:rPr>
        <w:t>，可以通过线下或线上的形式提出异议。</w:t>
      </w:r>
      <w:r>
        <w:rPr>
          <w:rFonts w:hint="eastAsia"/>
        </w:rPr>
        <w:t>招标人将在收到异议之日起 3 日内作出答复；作出答复前，将暂停招标投标活动。</w:t>
      </w:r>
    </w:p>
    <w:p w14:paraId="085CFEC7">
      <w:pPr>
        <w:spacing w:line="360" w:lineRule="auto"/>
        <w:rPr>
          <w:rFonts w:cs="Times New Roman"/>
          <w:b/>
          <w:bCs/>
          <w:kern w:val="2"/>
          <w:sz w:val="28"/>
          <w:szCs w:val="28"/>
          <w:lang w:val="en-US" w:bidi="ar-SA"/>
        </w:rPr>
      </w:pPr>
      <w:r>
        <w:rPr>
          <w:rFonts w:hint="eastAsia" w:cs="Times New Roman"/>
          <w:b/>
          <w:bCs/>
          <w:kern w:val="2"/>
          <w:sz w:val="28"/>
          <w:szCs w:val="28"/>
          <w:lang w:val="en-US" w:bidi="ar-SA"/>
        </w:rPr>
        <w:t>7.3 中标候选人履约能力审查</w:t>
      </w:r>
    </w:p>
    <w:p w14:paraId="5391FC2E">
      <w:pPr>
        <w:spacing w:line="360" w:lineRule="auto"/>
        <w:ind w:firstLine="440" w:firstLineChars="200"/>
      </w:pPr>
      <w:r>
        <w:rPr>
          <w:rFonts w:hint="eastAsia"/>
          <w:lang w:val="en-US"/>
        </w:rPr>
        <w:t>7.3.1</w:t>
      </w:r>
      <w:r>
        <w:rPr>
          <w:rFonts w:hint="eastAsia"/>
        </w:rPr>
        <w:t>中标候选人的经营、财务状况发生较大变化或存在违法行为，招标人认为可能影响其履约能力的，将在发出中标通知书前提请原评标委员会按照招标文件规定的标准和方法进行审查确认。</w:t>
      </w:r>
    </w:p>
    <w:p w14:paraId="008C8015">
      <w:pPr>
        <w:spacing w:line="360" w:lineRule="auto"/>
        <w:ind w:firstLine="440" w:firstLineChars="200"/>
        <w:rPr>
          <w:rFonts w:cs="Times New Roman"/>
          <w:kern w:val="2"/>
          <w:sz w:val="28"/>
          <w:szCs w:val="28"/>
          <w:lang w:val="en-US" w:bidi="ar-SA"/>
        </w:rPr>
      </w:pPr>
      <w:r>
        <w:rPr>
          <w:rFonts w:hint="eastAsia"/>
          <w:lang w:val="en-US" w:bidi="ar-SA"/>
        </w:rPr>
        <w:t>7.3.2 招标人或招标代理机构将在中标候选人公示结束后对第一中标候选人的企业资质证书有效期进行复核，如果第一中标候选人在中标候选人公示结束后 7 天内尚未取得资质有效期延续核准的，招标人有权否决其投标，由其他中标候选人顺次序替补或重新组织招标。</w:t>
      </w:r>
    </w:p>
    <w:p w14:paraId="3B001B99">
      <w:pPr>
        <w:spacing w:line="360" w:lineRule="auto"/>
        <w:rPr>
          <w:rFonts w:cs="Times New Roman"/>
          <w:b/>
          <w:bCs/>
          <w:kern w:val="2"/>
          <w:sz w:val="28"/>
          <w:szCs w:val="28"/>
          <w:lang w:val="en-US" w:bidi="ar-SA"/>
        </w:rPr>
      </w:pPr>
      <w:r>
        <w:rPr>
          <w:rFonts w:hint="eastAsia" w:cs="Times New Roman"/>
          <w:b/>
          <w:bCs/>
          <w:kern w:val="2"/>
          <w:sz w:val="28"/>
          <w:szCs w:val="28"/>
          <w:lang w:val="en-US" w:bidi="ar-SA"/>
        </w:rPr>
        <w:t>7.4 定标</w:t>
      </w:r>
    </w:p>
    <w:p w14:paraId="55E9558D">
      <w:pPr>
        <w:spacing w:line="360" w:lineRule="auto"/>
        <w:ind w:firstLine="440" w:firstLineChars="200"/>
      </w:pPr>
      <w:r>
        <w:rPr>
          <w:rFonts w:hint="eastAsia"/>
        </w:rPr>
        <w:t>按照投标人须知前附表的规定，招标人或招标人授权的评标委员会依法确定中标人。</w:t>
      </w:r>
    </w:p>
    <w:p w14:paraId="06E0B804">
      <w:pPr>
        <w:spacing w:line="360" w:lineRule="auto"/>
        <w:rPr>
          <w:rFonts w:cs="Times New Roman"/>
          <w:b/>
          <w:bCs/>
          <w:kern w:val="2"/>
          <w:sz w:val="28"/>
          <w:szCs w:val="28"/>
          <w:lang w:val="en-US" w:bidi="ar-SA"/>
        </w:rPr>
      </w:pPr>
      <w:r>
        <w:rPr>
          <w:rFonts w:hint="eastAsia" w:cs="Times New Roman"/>
          <w:b/>
          <w:bCs/>
          <w:kern w:val="2"/>
          <w:sz w:val="28"/>
          <w:szCs w:val="28"/>
          <w:lang w:val="en-US" w:bidi="ar-SA"/>
        </w:rPr>
        <w:t>7.5 中标通知</w:t>
      </w:r>
    </w:p>
    <w:p w14:paraId="5AAFC9AB">
      <w:pPr>
        <w:spacing w:line="360" w:lineRule="auto"/>
        <w:ind w:firstLine="440" w:firstLineChars="200"/>
        <w:rPr>
          <w:u w:val="single"/>
        </w:rPr>
      </w:pPr>
      <w:r>
        <w:rPr>
          <w:rFonts w:hint="eastAsia"/>
          <w:lang w:val="en-US"/>
        </w:rPr>
        <w:t xml:space="preserve">7.5.1 </w:t>
      </w:r>
      <w:r>
        <w:rPr>
          <w:rFonts w:hint="eastAsia"/>
        </w:rPr>
        <w:t>在本章第 3.3 款规定的投标有效期内</w:t>
      </w:r>
      <w:bookmarkStart w:id="16" w:name="_Toc152234259"/>
      <w:r>
        <w:rPr>
          <w:rFonts w:hint="eastAsia"/>
        </w:rPr>
        <w:t>，</w:t>
      </w:r>
      <w:r>
        <w:rPr>
          <w:rFonts w:hint="eastAsia"/>
          <w:bCs/>
          <w:u w:val="single"/>
        </w:rPr>
        <w:t>中标人自行</w:t>
      </w:r>
      <w:r>
        <w:rPr>
          <w:rFonts w:hint="eastAsia"/>
          <w:bCs/>
          <w:u w:val="single"/>
          <w:lang w:val="en-US"/>
        </w:rPr>
        <w:t>在</w:t>
      </w:r>
      <w:r>
        <w:rPr>
          <w:rFonts w:hint="eastAsia"/>
          <w:bCs/>
          <w:u w:val="single"/>
        </w:rPr>
        <w:t>广州交易集团有限公司（广州公共资源交易中心）交易平台下载中标通知书，同时招标人将中标结果通过广州交易集团有限公司（广州公共资源交易中心）交易平台公开发布。中标人须对其投标文件真实性负责，并准备投标文件涉及的所有原件待查，如存在弄虚作假情况或原件不齐或与原件不符的，招标人有权取消其中标人资格。</w:t>
      </w:r>
      <w:bookmarkEnd w:id="16"/>
    </w:p>
    <w:p w14:paraId="1047A7D4">
      <w:pPr>
        <w:spacing w:line="360" w:lineRule="auto"/>
      </w:pPr>
      <w:r>
        <w:rPr>
          <w:rFonts w:hint="eastAsia" w:cs="Times New Roman"/>
          <w:b/>
          <w:bCs/>
          <w:kern w:val="2"/>
          <w:sz w:val="28"/>
          <w:szCs w:val="28"/>
          <w:lang w:val="en-US" w:bidi="ar-SA"/>
        </w:rPr>
        <w:t>7.6 履约保证金</w:t>
      </w:r>
    </w:p>
    <w:p w14:paraId="6E3555C4">
      <w:pPr>
        <w:spacing w:line="360" w:lineRule="auto"/>
        <w:ind w:firstLine="440" w:firstLineChars="200"/>
        <w:rPr>
          <w:strike/>
        </w:rPr>
      </w:pPr>
      <w:r>
        <w:rPr>
          <w:rFonts w:hint="eastAsia"/>
          <w:strike/>
        </w:rPr>
        <w:t>7.6.1</w:t>
      </w:r>
      <w:r>
        <w:rPr>
          <w:rFonts w:hint="eastAsia"/>
          <w:strike/>
          <w:lang w:val="en-US"/>
        </w:rPr>
        <w:t xml:space="preserve"> </w:t>
      </w:r>
      <w:r>
        <w:rPr>
          <w:rFonts w:hint="eastAsia"/>
          <w:strike/>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hint="eastAsia"/>
          <w:strike/>
          <w:lang w:val="en-US"/>
        </w:rPr>
        <w:t>10</w:t>
      </w:r>
      <w:r>
        <w:rPr>
          <w:rFonts w:hint="eastAsia"/>
          <w:strike/>
        </w:rPr>
        <w:t>%。</w:t>
      </w:r>
    </w:p>
    <w:p w14:paraId="68110AD8">
      <w:pPr>
        <w:spacing w:line="360" w:lineRule="auto"/>
        <w:ind w:firstLine="440" w:firstLineChars="200"/>
        <w:rPr>
          <w:strike/>
        </w:rPr>
      </w:pPr>
      <w:r>
        <w:rPr>
          <w:rFonts w:hint="eastAsia"/>
          <w:strike/>
        </w:rPr>
        <w:t>7.6.2</w:t>
      </w:r>
      <w:r>
        <w:rPr>
          <w:rFonts w:hint="eastAsia"/>
          <w:strike/>
          <w:lang w:val="en-US"/>
        </w:rPr>
        <w:t xml:space="preserve"> </w:t>
      </w:r>
      <w:r>
        <w:rPr>
          <w:rFonts w:hint="eastAsia"/>
          <w:strike/>
        </w:rPr>
        <w:t>中标人不能按本章第 7.6.1 项要求提交履约保证金的，视为放弃中标，其投标保证金不予退还，给招标人造成的损失超过投标保证金数额的，中标人还应当对超过部分予以赔偿</w:t>
      </w:r>
      <w:r>
        <w:rPr>
          <w:rFonts w:hint="eastAsia"/>
        </w:rPr>
        <w:t>。</w:t>
      </w:r>
    </w:p>
    <w:p w14:paraId="636CC502">
      <w:pPr>
        <w:spacing w:line="360" w:lineRule="auto"/>
        <w:rPr>
          <w:rFonts w:cs="Times New Roman"/>
          <w:b/>
          <w:bCs/>
          <w:kern w:val="2"/>
          <w:sz w:val="28"/>
          <w:szCs w:val="28"/>
          <w:lang w:val="en-US" w:bidi="ar-SA"/>
        </w:rPr>
      </w:pPr>
      <w:r>
        <w:rPr>
          <w:rFonts w:hint="eastAsia" w:cs="Times New Roman"/>
          <w:b/>
          <w:bCs/>
          <w:kern w:val="2"/>
          <w:sz w:val="28"/>
          <w:szCs w:val="28"/>
          <w:lang w:val="en-US" w:bidi="ar-SA"/>
        </w:rPr>
        <w:t>7.7 签订合同</w:t>
      </w:r>
    </w:p>
    <w:p w14:paraId="4B5391B1">
      <w:pPr>
        <w:spacing w:line="360" w:lineRule="auto"/>
        <w:ind w:firstLine="440" w:firstLineChars="200"/>
      </w:pPr>
      <w:r>
        <w:rPr>
          <w:rFonts w:hint="eastAsia"/>
        </w:rPr>
        <w:t>7.7.1</w:t>
      </w:r>
      <w:r>
        <w:rPr>
          <w:rFonts w:hint="eastAsia"/>
          <w:lang w:val="en-US"/>
        </w:rPr>
        <w:t xml:space="preserve"> </w:t>
      </w:r>
      <w:r>
        <w:rPr>
          <w:rFonts w:hint="eastAsia"/>
        </w:rPr>
        <w:t>招标人和中标人应当在中标通知书发出之日起 30 日内，根据招标文件和中标人的投标文件订立书面合同。中标人无正当理由拒签合同，在签订合同时向招标人提出附加条件，</w:t>
      </w:r>
      <w:r>
        <w:rPr>
          <w:rFonts w:hint="eastAsia"/>
          <w:strike/>
        </w:rPr>
        <w:t>或者不按照招标文件要求提交履约保证金的，</w:t>
      </w:r>
      <w:r>
        <w:rPr>
          <w:rFonts w:hint="eastAsia"/>
        </w:rPr>
        <w:t>招标人有权取消其中标资格</w:t>
      </w:r>
      <w:r>
        <w:rPr>
          <w:rFonts w:hint="eastAsia"/>
          <w:strike/>
        </w:rPr>
        <w:t>，其投标保证金不予退还</w:t>
      </w:r>
      <w:r>
        <w:rPr>
          <w:rFonts w:hint="eastAsia"/>
        </w:rPr>
        <w:t>；给招标人造成损失</w:t>
      </w:r>
      <w:r>
        <w:rPr>
          <w:rFonts w:hint="eastAsia"/>
          <w:strike/>
        </w:rPr>
        <w:t>超过投标保证金数额</w:t>
      </w:r>
      <w:r>
        <w:rPr>
          <w:rFonts w:hint="eastAsia"/>
        </w:rPr>
        <w:t>的，中标人还应当</w:t>
      </w:r>
      <w:r>
        <w:rPr>
          <w:rFonts w:hint="eastAsia"/>
          <w:strike/>
        </w:rPr>
        <w:t>对超过部分</w:t>
      </w:r>
      <w:r>
        <w:rPr>
          <w:rFonts w:hint="eastAsia"/>
        </w:rPr>
        <w:t>予以赔偿。</w:t>
      </w:r>
    </w:p>
    <w:p w14:paraId="0C354E3A">
      <w:pPr>
        <w:spacing w:line="360" w:lineRule="auto"/>
        <w:ind w:firstLine="440" w:firstLineChars="200"/>
      </w:pPr>
      <w:r>
        <w:rPr>
          <w:rFonts w:hint="eastAsia"/>
        </w:rPr>
        <w:t>7.7.2</w:t>
      </w:r>
      <w:r>
        <w:rPr>
          <w:rFonts w:hint="eastAsia"/>
          <w:lang w:val="en-US"/>
        </w:rPr>
        <w:t xml:space="preserve"> </w:t>
      </w:r>
      <w:r>
        <w:rPr>
          <w:rFonts w:hint="eastAsia"/>
        </w:rPr>
        <w:t>发出中标通知书后，招标人无正当理由拒签合同，或者在签订合同时向中标人提出附加条件的</w:t>
      </w:r>
      <w:r>
        <w:rPr>
          <w:rFonts w:hint="eastAsia"/>
          <w:strike/>
        </w:rPr>
        <w:t>，</w:t>
      </w:r>
      <w:r>
        <w:rPr>
          <w:rFonts w:hint="eastAsia"/>
          <w:strike/>
          <w:lang w:val="en-US"/>
        </w:rPr>
        <w:t>招标人向中标人退还投标保证金</w:t>
      </w:r>
      <w:r>
        <w:rPr>
          <w:rFonts w:hint="eastAsia"/>
        </w:rPr>
        <w:t>；给中标人造成损失的，还应当赔偿损失。</w:t>
      </w:r>
    </w:p>
    <w:p w14:paraId="57169EFB">
      <w:pPr>
        <w:spacing w:line="360" w:lineRule="auto"/>
        <w:ind w:firstLine="440" w:firstLineChars="200"/>
      </w:pPr>
      <w:r>
        <w:rPr>
          <w:rFonts w:hint="eastAsia"/>
        </w:rPr>
        <w:t>7.7.3</w:t>
      </w:r>
      <w:r>
        <w:rPr>
          <w:rFonts w:hint="eastAsia"/>
          <w:lang w:val="en-US"/>
        </w:rPr>
        <w:t xml:space="preserve"> </w:t>
      </w:r>
      <w:r>
        <w:rPr>
          <w:rFonts w:hint="eastAsia"/>
          <w:u w:val="single"/>
        </w:rPr>
        <w:t>招标人支付</w:t>
      </w:r>
      <w:r>
        <w:rPr>
          <w:rFonts w:hint="eastAsia"/>
          <w:u w:val="single"/>
          <w:lang w:val="en-US"/>
        </w:rPr>
        <w:t>合同款</w:t>
      </w:r>
      <w:r>
        <w:rPr>
          <w:rFonts w:hint="eastAsia"/>
          <w:u w:val="single"/>
        </w:rPr>
        <w:t>时，中标人应提供相应的等额合法有效的增值税发票。</w:t>
      </w:r>
    </w:p>
    <w:p w14:paraId="1049117F">
      <w:pPr>
        <w:spacing w:line="360" w:lineRule="auto"/>
        <w:rPr>
          <w:rFonts w:cs="Times New Roman"/>
          <w:b/>
          <w:bCs/>
          <w:kern w:val="2"/>
          <w:sz w:val="28"/>
          <w:szCs w:val="28"/>
          <w:lang w:val="en-US" w:bidi="ar-SA"/>
        </w:rPr>
      </w:pPr>
      <w:r>
        <w:rPr>
          <w:rFonts w:hint="eastAsia" w:cs="Times New Roman"/>
          <w:b/>
          <w:bCs/>
          <w:kern w:val="2"/>
          <w:sz w:val="28"/>
          <w:szCs w:val="28"/>
          <w:lang w:val="en-US" w:bidi="ar-SA"/>
        </w:rPr>
        <w:t>8.纪律和监督</w:t>
      </w:r>
    </w:p>
    <w:p w14:paraId="6FC99EE7">
      <w:pPr>
        <w:spacing w:line="360" w:lineRule="auto"/>
        <w:rPr>
          <w:rFonts w:cs="Times New Roman"/>
          <w:b/>
          <w:bCs/>
          <w:kern w:val="2"/>
          <w:sz w:val="28"/>
          <w:szCs w:val="28"/>
          <w:lang w:val="en-US" w:bidi="ar-SA"/>
        </w:rPr>
      </w:pPr>
      <w:r>
        <w:rPr>
          <w:rFonts w:hint="eastAsia" w:cs="Times New Roman"/>
          <w:b/>
          <w:bCs/>
          <w:kern w:val="2"/>
          <w:sz w:val="28"/>
          <w:szCs w:val="28"/>
          <w:lang w:val="en-US" w:bidi="ar-SA"/>
        </w:rPr>
        <w:t>8.1 对招标人的纪律要求</w:t>
      </w:r>
    </w:p>
    <w:p w14:paraId="1EA2F9D0">
      <w:pPr>
        <w:spacing w:line="360" w:lineRule="auto"/>
        <w:ind w:firstLine="440" w:firstLineChars="200"/>
      </w:pPr>
      <w:r>
        <w:rPr>
          <w:rFonts w:hint="eastAsia"/>
        </w:rPr>
        <w:t>招标人不得泄露招标投标活动中应当保密的情况和资料，不得与投标人串通损害国家利益、社会公共利益或者他人合法权益。</w:t>
      </w:r>
    </w:p>
    <w:p w14:paraId="48D806D5">
      <w:pPr>
        <w:spacing w:line="360" w:lineRule="auto"/>
        <w:rPr>
          <w:rFonts w:cs="Times New Roman"/>
          <w:b/>
          <w:bCs/>
          <w:kern w:val="2"/>
          <w:sz w:val="28"/>
          <w:szCs w:val="28"/>
          <w:lang w:val="en-US" w:bidi="ar-SA"/>
        </w:rPr>
      </w:pPr>
      <w:r>
        <w:rPr>
          <w:rFonts w:hint="eastAsia" w:cs="Times New Roman"/>
          <w:b/>
          <w:bCs/>
          <w:kern w:val="2"/>
          <w:sz w:val="28"/>
          <w:szCs w:val="28"/>
          <w:lang w:val="en-US" w:bidi="ar-SA"/>
        </w:rPr>
        <w:t>8.2 对投标人的纪律要求</w:t>
      </w:r>
    </w:p>
    <w:p w14:paraId="5A2F47D4">
      <w:pPr>
        <w:spacing w:line="360" w:lineRule="auto"/>
        <w:ind w:firstLine="440" w:firstLineChars="200"/>
      </w:pPr>
      <w:r>
        <w:rPr>
          <w:rFonts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FEC18ED">
      <w:pPr>
        <w:spacing w:line="360" w:lineRule="auto"/>
        <w:rPr>
          <w:rFonts w:cs="Times New Roman"/>
          <w:b/>
          <w:bCs/>
          <w:kern w:val="2"/>
          <w:sz w:val="28"/>
          <w:szCs w:val="28"/>
          <w:lang w:val="en-US" w:bidi="ar-SA"/>
        </w:rPr>
      </w:pPr>
      <w:r>
        <w:rPr>
          <w:rFonts w:hint="eastAsia" w:cs="Times New Roman"/>
          <w:b/>
          <w:bCs/>
          <w:kern w:val="2"/>
          <w:sz w:val="28"/>
          <w:szCs w:val="28"/>
          <w:lang w:val="en-US" w:bidi="ar-SA"/>
        </w:rPr>
        <w:t>8.3 对评标委员会成员的纪律要求</w:t>
      </w:r>
    </w:p>
    <w:p w14:paraId="70A47D56">
      <w:pPr>
        <w:spacing w:line="360" w:lineRule="auto"/>
        <w:ind w:firstLine="440" w:firstLineChars="200"/>
      </w:pPr>
      <w:r>
        <w:rPr>
          <w:rFonts w:hint="eastAsi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55A6D55">
      <w:pPr>
        <w:spacing w:line="360" w:lineRule="auto"/>
        <w:rPr>
          <w:rFonts w:cs="Times New Roman"/>
          <w:b/>
          <w:bCs/>
          <w:kern w:val="2"/>
          <w:sz w:val="28"/>
          <w:szCs w:val="28"/>
          <w:lang w:val="en-US" w:bidi="ar-SA"/>
        </w:rPr>
      </w:pPr>
      <w:r>
        <w:rPr>
          <w:rFonts w:hint="eastAsia" w:cs="Times New Roman"/>
          <w:b/>
          <w:bCs/>
          <w:kern w:val="2"/>
          <w:sz w:val="28"/>
          <w:szCs w:val="28"/>
          <w:lang w:val="en-US" w:bidi="ar-SA"/>
        </w:rPr>
        <w:t>8.4 对与评标活动有关的工作人员的纪律要求</w:t>
      </w:r>
    </w:p>
    <w:p w14:paraId="05635D25">
      <w:pPr>
        <w:spacing w:line="360" w:lineRule="auto"/>
        <w:ind w:firstLine="440" w:firstLineChars="200"/>
      </w:pPr>
      <w:r>
        <w:rPr>
          <w:rFonts w:hint="eastAsia"/>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5151A5A">
      <w:pPr>
        <w:spacing w:line="360" w:lineRule="auto"/>
        <w:rPr>
          <w:rFonts w:cs="Times New Roman"/>
          <w:b/>
          <w:bCs/>
          <w:kern w:val="2"/>
          <w:sz w:val="28"/>
          <w:szCs w:val="28"/>
          <w:lang w:val="en-US" w:bidi="ar-SA"/>
        </w:rPr>
      </w:pPr>
      <w:r>
        <w:rPr>
          <w:rFonts w:hint="eastAsia" w:cs="Times New Roman"/>
          <w:b/>
          <w:bCs/>
          <w:kern w:val="2"/>
          <w:sz w:val="28"/>
          <w:szCs w:val="28"/>
          <w:lang w:val="en-US" w:bidi="ar-SA"/>
        </w:rPr>
        <w:t>8.5 投诉</w:t>
      </w:r>
    </w:p>
    <w:p w14:paraId="41F32CA4">
      <w:pPr>
        <w:spacing w:line="360" w:lineRule="auto"/>
        <w:ind w:firstLine="440" w:firstLineChars="200"/>
      </w:pPr>
      <w:r>
        <w:rPr>
          <w:rFonts w:hint="eastAsia"/>
        </w:rPr>
        <w:t>8.5.1</w:t>
      </w:r>
      <w:r>
        <w:rPr>
          <w:rFonts w:hint="eastAsia"/>
          <w:lang w:val="en-US"/>
        </w:rPr>
        <w:t xml:space="preserve"> </w:t>
      </w:r>
      <w:r>
        <w:rPr>
          <w:rFonts w:hint="eastAsia"/>
        </w:rPr>
        <w:t>投标人或者其他利害关系人认为招标投标活动不符合法律、行政法规规定的，可以自知道或者应当知道之日起 10 日内向有关行政监督部门投诉。投诉应当有明确的请求和必要的证明材料。</w:t>
      </w:r>
    </w:p>
    <w:p w14:paraId="4319C1E0">
      <w:pPr>
        <w:spacing w:line="360" w:lineRule="auto"/>
        <w:ind w:firstLine="440" w:firstLineChars="200"/>
        <w:rPr>
          <w:rFonts w:cs="Times New Roman"/>
          <w:b/>
          <w:bCs/>
          <w:kern w:val="2"/>
          <w:sz w:val="28"/>
          <w:szCs w:val="28"/>
          <w:lang w:val="en-US" w:bidi="ar-SA"/>
        </w:rPr>
      </w:pPr>
      <w:r>
        <w:rPr>
          <w:rFonts w:hint="eastAsia"/>
        </w:rPr>
        <w:t>8.5.2</w:t>
      </w:r>
      <w:r>
        <w:rPr>
          <w:rFonts w:hint="eastAsia"/>
          <w:lang w:val="en-US"/>
        </w:rPr>
        <w:t xml:space="preserve"> </w:t>
      </w:r>
      <w:r>
        <w:rPr>
          <w:rFonts w:hint="eastAsia"/>
        </w:rPr>
        <w:t>投标人或者其他利害关系人对招标文件、开标和评标结果提出投诉的，应当按照投标人须知第 2.4 款、第 5.3 款和第 7.2 款的规定先向招标人提出异议。异议答复期间不计算在第 8.5.1 项规定的期限内。</w:t>
      </w:r>
    </w:p>
    <w:p w14:paraId="051E31CF">
      <w:pPr>
        <w:spacing w:line="360" w:lineRule="auto"/>
        <w:rPr>
          <w:rFonts w:cs="Times New Roman"/>
          <w:b/>
          <w:bCs/>
          <w:kern w:val="2"/>
          <w:sz w:val="28"/>
          <w:szCs w:val="28"/>
          <w:lang w:val="en-US" w:bidi="ar-SA"/>
        </w:rPr>
      </w:pPr>
      <w:r>
        <w:rPr>
          <w:rFonts w:hint="eastAsia" w:cs="Times New Roman"/>
          <w:b/>
          <w:bCs/>
          <w:kern w:val="2"/>
          <w:sz w:val="28"/>
          <w:szCs w:val="28"/>
          <w:lang w:val="en-US" w:bidi="ar-SA"/>
        </w:rPr>
        <w:t>9.是否采用电子招标投标</w:t>
      </w:r>
    </w:p>
    <w:p w14:paraId="5DE6A8C4">
      <w:pPr>
        <w:spacing w:line="360" w:lineRule="auto"/>
        <w:ind w:firstLine="440" w:firstLineChars="200"/>
      </w:pPr>
      <w:r>
        <w:rPr>
          <w:rFonts w:hint="eastAsia"/>
        </w:rPr>
        <w:t>本招标项目是否采用电子招标投标方式，见投标人须知前附表。</w:t>
      </w:r>
    </w:p>
    <w:p w14:paraId="5785185E">
      <w:pPr>
        <w:spacing w:line="360" w:lineRule="auto"/>
        <w:rPr>
          <w:rFonts w:cs="Times New Roman"/>
          <w:b/>
          <w:bCs/>
          <w:kern w:val="2"/>
          <w:sz w:val="28"/>
          <w:szCs w:val="28"/>
          <w:lang w:val="en-US" w:bidi="ar-SA"/>
        </w:rPr>
      </w:pPr>
      <w:r>
        <w:rPr>
          <w:rFonts w:hint="eastAsia" w:cs="Times New Roman"/>
          <w:b/>
          <w:bCs/>
          <w:kern w:val="2"/>
          <w:sz w:val="28"/>
          <w:szCs w:val="28"/>
          <w:lang w:val="en-US" w:bidi="ar-SA"/>
        </w:rPr>
        <w:t>10.需要补充的其他内容</w:t>
      </w:r>
    </w:p>
    <w:p w14:paraId="2B9A3BD3">
      <w:pPr>
        <w:spacing w:line="360" w:lineRule="auto"/>
        <w:ind w:firstLine="440" w:firstLineChars="200"/>
        <w:sectPr>
          <w:footerReference r:id="rId6" w:type="default"/>
          <w:pgSz w:w="11906" w:h="16838"/>
          <w:pgMar w:top="1417" w:right="1417" w:bottom="1417" w:left="1417" w:header="0" w:footer="839" w:gutter="0"/>
          <w:cols w:space="0" w:num="1"/>
        </w:sectPr>
      </w:pPr>
      <w:r>
        <w:rPr>
          <w:rFonts w:hint="eastAsia"/>
        </w:rPr>
        <w:t>需要补充的其他内容：见投标人须知前附表。</w:t>
      </w:r>
    </w:p>
    <w:p w14:paraId="49344CEA">
      <w:bookmarkStart w:id="17" w:name="_bookmark77"/>
      <w:bookmarkEnd w:id="17"/>
      <w:bookmarkStart w:id="18" w:name="_bookmark76"/>
      <w:bookmarkEnd w:id="18"/>
      <w:bookmarkStart w:id="19" w:name="_Toc35513481"/>
      <w:bookmarkStart w:id="20" w:name="_Toc26773"/>
      <w:bookmarkStart w:id="21" w:name="_Toc534882199"/>
      <w:bookmarkStart w:id="22" w:name="_Toc21827"/>
      <w:bookmarkStart w:id="23" w:name="_Toc152234270"/>
      <w:bookmarkStart w:id="24" w:name="_Toc19884"/>
      <w:bookmarkStart w:id="25" w:name="_Toc23771923"/>
      <w:bookmarkStart w:id="26" w:name="_Toc51862136"/>
      <w:bookmarkStart w:id="27" w:name="_Toc51862230"/>
      <w:bookmarkStart w:id="28" w:name="_Toc5989"/>
      <w:r>
        <w:rPr>
          <w:rFonts w:hint="eastAsia"/>
          <w:b/>
          <w:bCs/>
        </w:rPr>
        <w:t>附件一：开标记录表</w:t>
      </w:r>
      <w:bookmarkEnd w:id="19"/>
      <w:bookmarkEnd w:id="20"/>
      <w:bookmarkEnd w:id="21"/>
      <w:bookmarkEnd w:id="22"/>
      <w:bookmarkEnd w:id="23"/>
      <w:bookmarkEnd w:id="24"/>
    </w:p>
    <w:p w14:paraId="260FCA1C">
      <w:pPr>
        <w:ind w:firstLine="643"/>
        <w:jc w:val="center"/>
        <w:rPr>
          <w:b/>
          <w:sz w:val="32"/>
          <w:szCs w:val="32"/>
        </w:rPr>
      </w:pPr>
      <w:r>
        <w:rPr>
          <w:rFonts w:hint="eastAsia"/>
          <w:b/>
          <w:sz w:val="32"/>
          <w:szCs w:val="32"/>
        </w:rPr>
        <w:t>开标记录表</w:t>
      </w:r>
    </w:p>
    <w:p w14:paraId="6F1E6171">
      <w:pPr>
        <w:ind w:firstLine="482"/>
        <w:jc w:val="center"/>
        <w:rPr>
          <w:b/>
          <w:szCs w:val="24"/>
        </w:rPr>
      </w:pPr>
      <w:r>
        <w:rPr>
          <w:rFonts w:hint="eastAsia"/>
          <w:b/>
          <w:szCs w:val="24"/>
        </w:rPr>
        <w:t>（以广州交易集团有限公司（广州公共资源交易中心）系统为准）</w:t>
      </w:r>
    </w:p>
    <w:p w14:paraId="29098DF9">
      <w:pPr>
        <w:rPr>
          <w:sz w:val="21"/>
          <w:szCs w:val="21"/>
        </w:rPr>
      </w:pPr>
      <w:bookmarkStart w:id="29" w:name="_Toc534882200"/>
      <w:bookmarkStart w:id="30" w:name="_Toc19316"/>
      <w:bookmarkStart w:id="31" w:name="_Toc17155"/>
      <w:bookmarkStart w:id="32" w:name="_Toc14184"/>
    </w:p>
    <w:p w14:paraId="7EFE36C4">
      <w:pPr>
        <w:rPr>
          <w:sz w:val="21"/>
          <w:szCs w:val="21"/>
        </w:rPr>
      </w:pPr>
    </w:p>
    <w:p w14:paraId="4BB41A61">
      <w:bookmarkStart w:id="33" w:name="_Toc35513482"/>
      <w:r>
        <w:rPr>
          <w:rFonts w:hint="eastAsia"/>
          <w:b/>
          <w:bCs/>
        </w:rPr>
        <w:t>附件二：问题澄清通知</w:t>
      </w:r>
      <w:bookmarkEnd w:id="29"/>
      <w:bookmarkEnd w:id="30"/>
      <w:bookmarkEnd w:id="31"/>
      <w:bookmarkEnd w:id="32"/>
      <w:bookmarkEnd w:id="33"/>
    </w:p>
    <w:p w14:paraId="7651951B">
      <w:pPr>
        <w:ind w:firstLine="643"/>
        <w:jc w:val="center"/>
        <w:rPr>
          <w:b/>
          <w:sz w:val="32"/>
          <w:szCs w:val="32"/>
        </w:rPr>
      </w:pPr>
      <w:r>
        <w:rPr>
          <w:rFonts w:hint="eastAsia"/>
          <w:b/>
          <w:sz w:val="32"/>
          <w:szCs w:val="32"/>
        </w:rPr>
        <w:t>问题澄清通知</w:t>
      </w:r>
    </w:p>
    <w:p w14:paraId="53F6B529">
      <w:pPr>
        <w:ind w:firstLine="482"/>
        <w:jc w:val="center"/>
        <w:rPr>
          <w:b/>
          <w:szCs w:val="24"/>
        </w:rPr>
      </w:pPr>
      <w:r>
        <w:rPr>
          <w:rFonts w:hint="eastAsia"/>
          <w:b/>
          <w:szCs w:val="24"/>
        </w:rPr>
        <w:t>（按广州交易集团有限公司（广州公共资源交易中心）的版式为准）</w:t>
      </w:r>
    </w:p>
    <w:p w14:paraId="4FEEC930">
      <w:pPr>
        <w:spacing w:line="320" w:lineRule="exact"/>
        <w:ind w:left="499" w:firstLine="562"/>
        <w:rPr>
          <w:b/>
          <w:sz w:val="28"/>
        </w:rPr>
      </w:pPr>
    </w:p>
    <w:p w14:paraId="26CF0214"/>
    <w:p w14:paraId="17DA579D">
      <w:pPr>
        <w:pStyle w:val="4"/>
        <w:rPr>
          <w:rFonts w:hAnsi="宋体"/>
        </w:rPr>
      </w:pPr>
      <w:r>
        <w:rPr>
          <w:rFonts w:hAnsi="宋体"/>
          <w:szCs w:val="24"/>
        </w:rPr>
        <w:t>附件三：确认通知</w:t>
      </w:r>
    </w:p>
    <w:p w14:paraId="6E88690B">
      <w:pPr>
        <w:ind w:firstLine="643"/>
        <w:jc w:val="center"/>
        <w:rPr>
          <w:b/>
          <w:sz w:val="32"/>
          <w:szCs w:val="32"/>
        </w:rPr>
      </w:pPr>
      <w:r>
        <w:rPr>
          <w:rFonts w:hint="eastAsia"/>
          <w:b/>
          <w:sz w:val="32"/>
          <w:szCs w:val="32"/>
        </w:rPr>
        <w:t>确认通知</w:t>
      </w:r>
    </w:p>
    <w:p w14:paraId="3C7FD4EF">
      <w:pPr>
        <w:ind w:firstLine="482"/>
        <w:jc w:val="center"/>
        <w:rPr>
          <w:b/>
          <w:szCs w:val="24"/>
        </w:rPr>
      </w:pPr>
      <w:r>
        <w:rPr>
          <w:rFonts w:hint="eastAsia"/>
          <w:b/>
          <w:szCs w:val="24"/>
        </w:rPr>
        <w:t>（按广州交易集团有限公司（广州公共资源交易中心）的版式为准）</w:t>
      </w:r>
    </w:p>
    <w:p w14:paraId="73DB2731">
      <w:pPr>
        <w:pStyle w:val="11"/>
        <w:rPr>
          <w:rFonts w:hAnsi="宋体"/>
          <w:b/>
          <w:szCs w:val="24"/>
        </w:rPr>
      </w:pPr>
    </w:p>
    <w:p w14:paraId="77A7B4B8">
      <w:pPr>
        <w:rPr>
          <w:b/>
          <w:szCs w:val="24"/>
          <w:lang w:val="en-US"/>
        </w:rPr>
      </w:pPr>
      <w:r>
        <w:rPr>
          <w:rFonts w:hint="eastAsia"/>
          <w:b/>
          <w:szCs w:val="24"/>
          <w:lang w:val="en-US"/>
        </w:rPr>
        <w:t>附件四：中标通知书</w:t>
      </w:r>
    </w:p>
    <w:p w14:paraId="784C5D45">
      <w:pPr>
        <w:spacing w:line="360" w:lineRule="auto"/>
        <w:ind w:firstLine="643"/>
        <w:jc w:val="center"/>
        <w:rPr>
          <w:rFonts w:cs="Times New Roman"/>
          <w:b/>
          <w:sz w:val="32"/>
          <w:szCs w:val="32"/>
          <w:lang w:val="en-US"/>
        </w:rPr>
      </w:pPr>
      <w:r>
        <w:rPr>
          <w:rFonts w:hint="eastAsia" w:cs="Times New Roman"/>
          <w:b/>
          <w:sz w:val="32"/>
          <w:szCs w:val="32"/>
          <w:lang w:val="en-US"/>
        </w:rPr>
        <w:t>中标通知书</w:t>
      </w:r>
    </w:p>
    <w:p w14:paraId="2592A63A">
      <w:pPr>
        <w:jc w:val="center"/>
        <w:rPr>
          <w:b/>
          <w:szCs w:val="24"/>
        </w:rPr>
      </w:pPr>
      <w:r>
        <w:rPr>
          <w:rFonts w:hint="eastAsia"/>
          <w:b/>
          <w:szCs w:val="24"/>
        </w:rPr>
        <w:t>（按广州交易集团有限公司（广州公共资源交易中心）的版式为准）</w:t>
      </w:r>
    </w:p>
    <w:p w14:paraId="645719C7">
      <w:pPr>
        <w:rPr>
          <w:rFonts w:asciiTheme="minorEastAsia" w:hAnsiTheme="minorEastAsia" w:eastAsiaTheme="minorEastAsia"/>
          <w:sz w:val="44"/>
          <w:szCs w:val="44"/>
        </w:rPr>
      </w:pPr>
      <w:r>
        <w:rPr>
          <w:rFonts w:hint="eastAsia" w:asciiTheme="minorEastAsia" w:hAnsiTheme="minorEastAsia" w:eastAsiaTheme="minorEastAsia"/>
          <w:sz w:val="44"/>
          <w:szCs w:val="44"/>
        </w:rPr>
        <w:br w:type="page"/>
      </w:r>
    </w:p>
    <w:p w14:paraId="512E267B">
      <w:pPr>
        <w:rPr>
          <w:b/>
          <w:szCs w:val="24"/>
          <w:lang w:val="en-US"/>
        </w:rPr>
      </w:pPr>
      <w:r>
        <w:rPr>
          <w:rFonts w:hint="eastAsia"/>
          <w:b/>
          <w:szCs w:val="24"/>
          <w:lang w:val="en-US"/>
        </w:rPr>
        <w:t>附件五：评标委员会成员声明</w:t>
      </w:r>
    </w:p>
    <w:p w14:paraId="7C4D14B4">
      <w:pPr>
        <w:ind w:firstLine="560" w:firstLineChars="200"/>
        <w:jc w:val="center"/>
        <w:rPr>
          <w:rFonts w:asciiTheme="minorEastAsia" w:hAnsiTheme="minorEastAsia" w:cstheme="minorEastAsia"/>
          <w:sz w:val="28"/>
          <w:szCs w:val="28"/>
        </w:rPr>
      </w:pPr>
    </w:p>
    <w:p w14:paraId="7A2253CA">
      <w:pPr>
        <w:jc w:val="center"/>
        <w:rPr>
          <w:rFonts w:asciiTheme="minorEastAsia" w:hAnsiTheme="minorEastAsia" w:cstheme="minorEastAsia"/>
          <w:sz w:val="28"/>
          <w:szCs w:val="28"/>
        </w:rPr>
      </w:pPr>
      <w:r>
        <w:rPr>
          <w:rFonts w:hint="eastAsia" w:asciiTheme="minorEastAsia" w:hAnsiTheme="minorEastAsia" w:cstheme="minorEastAsia"/>
          <w:sz w:val="28"/>
          <w:szCs w:val="28"/>
        </w:rPr>
        <w:t>评标委员会成员声明</w:t>
      </w:r>
    </w:p>
    <w:p w14:paraId="1DD7DB66">
      <w:pPr>
        <w:spacing w:line="360" w:lineRule="auto"/>
        <w:rPr>
          <w:rFonts w:asciiTheme="minorEastAsia" w:hAnsiTheme="minorEastAsia" w:cstheme="minorEastAsia"/>
          <w:sz w:val="21"/>
          <w:szCs w:val="21"/>
        </w:rPr>
      </w:pP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1"/>
          <w:szCs w:val="21"/>
          <w:u w:val="single"/>
        </w:rPr>
        <w:t xml:space="preserve"> 招标人  </w:t>
      </w:r>
      <w:r>
        <w:rPr>
          <w:rFonts w:hint="eastAsia" w:asciiTheme="minorEastAsia" w:hAnsiTheme="minorEastAsia" w:cstheme="minorEastAsia"/>
          <w:sz w:val="21"/>
          <w:szCs w:val="21"/>
        </w:rPr>
        <w:t>：</w:t>
      </w:r>
    </w:p>
    <w:p w14:paraId="3FDE18D9">
      <w:pPr>
        <w:spacing w:line="360" w:lineRule="auto"/>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本人就参与</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项目的评标工作，作出郑重声明：</w:t>
      </w:r>
    </w:p>
    <w:p w14:paraId="473CF74F">
      <w:pPr>
        <w:spacing w:line="360" w:lineRule="auto"/>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300A3866">
      <w:pPr>
        <w:spacing w:line="360" w:lineRule="auto"/>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二、在评标开始前，本人不存在以下需要向招标人提出回避的情形：（一）接收到任何单位或者个人授意本人倾向或者排斥特定投标人的电话、短信、微信等；（二）私下接触投标人；（三）收受投标人、中介人、其他利害关系人的财物或者其他好处；（四）法律法规等规定的回避情形。</w:t>
      </w:r>
    </w:p>
    <w:p w14:paraId="2C2F3D86">
      <w:pPr>
        <w:spacing w:line="360" w:lineRule="auto"/>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三、本人将按照招标文件规定的评标标准和方法，客观、公正地对投标文件提出评审意见，不故意拖延评标时间，或者敷衍塞责随意评标，不透露评标委员会成员身份，不透露对投标文件的评审和比较、中标候选人的推荐情况、在评标过程中知悉的国家秘密和商业秘密以及与评标有关的其他情况。在评标过程中，本人不对评标委员会其他成员的独立评审施加不当影响；不接受任何单位或者个人明示或者暗示提出的倾向或者排斥特定投标人的要求；不对评标委员会其他成员或者其他人员发表带有倾向性、误导性的言论或者暗示性的意见建议。</w:t>
      </w:r>
    </w:p>
    <w:p w14:paraId="66E2D751">
      <w:pPr>
        <w:spacing w:line="360" w:lineRule="auto"/>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四、评标结束后，如果需要复核或者存在异议的，本人理解招标人将暂缓支付评审酬劳。本人保证在招标人要求的时间内配合招标人进行复核或者异议处理工作，也保证在规定时间内配合招标监督机构依法对评审情况进行的调查。如果本人存在评审错误的，本人将主动改正错误，配合招标人挽回损失。</w:t>
      </w:r>
    </w:p>
    <w:p w14:paraId="2C2ED5F3">
      <w:pPr>
        <w:spacing w:line="360" w:lineRule="auto"/>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五、招标监督机构依法处理投诉、信访或者举报时，经调查后确认本人存在评审错误的，本人接受招标人不支付本次评审酬劳、将本人列入招标人评标专家回避名单等相关处理措施，本人也接受招标监督机构依法对本人进行的处理。</w:t>
      </w:r>
    </w:p>
    <w:p w14:paraId="43430FDA">
      <w:pPr>
        <w:spacing w:line="360" w:lineRule="auto"/>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如果本人违反上述声明内容，造成的后果由本人自行承担。</w:t>
      </w:r>
    </w:p>
    <w:p w14:paraId="5AAE715F">
      <w:pPr>
        <w:spacing w:line="360" w:lineRule="auto"/>
        <w:ind w:firstLine="420" w:firstLineChars="200"/>
        <w:rPr>
          <w:rFonts w:asciiTheme="minorEastAsia" w:hAnsiTheme="minorEastAsia" w:cstheme="minorEastAsia"/>
          <w:sz w:val="21"/>
          <w:szCs w:val="21"/>
        </w:rPr>
      </w:pPr>
    </w:p>
    <w:p w14:paraId="63FC0CDC">
      <w:pPr>
        <w:pStyle w:val="34"/>
        <w:spacing w:line="360" w:lineRule="auto"/>
        <w:rPr>
          <w:sz w:val="21"/>
          <w:szCs w:val="21"/>
        </w:rPr>
      </w:pPr>
      <w:r>
        <w:rPr>
          <w:rFonts w:hint="eastAsia" w:asciiTheme="minorEastAsia" w:hAnsiTheme="minorEastAsia" w:cstheme="minorEastAsia"/>
          <w:sz w:val="21"/>
          <w:szCs w:val="21"/>
        </w:rPr>
        <w:t xml:space="preserve">                             声明人：</w:t>
      </w:r>
      <w:r>
        <w:rPr>
          <w:rFonts w:hint="eastAsia" w:asciiTheme="minorEastAsia" w:hAnsiTheme="minorEastAsia" w:cstheme="minorEastAsia"/>
          <w:sz w:val="21"/>
          <w:szCs w:val="21"/>
          <w:u w:val="single"/>
        </w:rPr>
        <w:t xml:space="preserve">（签名）  </w:t>
      </w:r>
    </w:p>
    <w:p w14:paraId="3D2B414A">
      <w:pPr>
        <w:rPr>
          <w:rFonts w:asciiTheme="minorEastAsia" w:hAnsiTheme="minorEastAsia" w:eastAsiaTheme="minorEastAsia"/>
          <w:sz w:val="44"/>
          <w:szCs w:val="44"/>
        </w:rPr>
      </w:pPr>
      <w:r>
        <w:rPr>
          <w:rFonts w:hint="eastAsia" w:asciiTheme="minorEastAsia" w:hAnsiTheme="minorEastAsia" w:eastAsiaTheme="minorEastAsia"/>
          <w:sz w:val="44"/>
          <w:szCs w:val="44"/>
        </w:rPr>
        <w:br w:type="page"/>
      </w:r>
    </w:p>
    <w:p w14:paraId="10431DA6">
      <w:pPr>
        <w:pStyle w:val="3"/>
        <w:spacing w:line="360" w:lineRule="auto"/>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第三章 评标办法（综合评估法）</w:t>
      </w:r>
      <w:bookmarkEnd w:id="25"/>
      <w:bookmarkEnd w:id="26"/>
      <w:bookmarkEnd w:id="27"/>
      <w:bookmarkEnd w:id="28"/>
    </w:p>
    <w:p w14:paraId="30E2E4F2">
      <w:pPr>
        <w:pStyle w:val="2"/>
        <w:adjustRightInd w:val="0"/>
        <w:snapToGrid w:val="0"/>
        <w:spacing w:after="100" w:afterAutospacing="1" w:line="240" w:lineRule="auto"/>
        <w:rPr>
          <w:rFonts w:asciiTheme="minorEastAsia" w:hAnsiTheme="minorEastAsia" w:eastAsiaTheme="minorEastAsia"/>
          <w:sz w:val="32"/>
          <w:szCs w:val="20"/>
        </w:rPr>
      </w:pPr>
      <w:bookmarkStart w:id="34" w:name="_Toc51862231"/>
      <w:bookmarkStart w:id="35" w:name="_Toc51862137"/>
      <w:bookmarkStart w:id="36" w:name="_Toc20041"/>
      <w:bookmarkStart w:id="37" w:name="_Toc23771924"/>
      <w:r>
        <w:rPr>
          <w:rFonts w:hint="eastAsia" w:asciiTheme="minorEastAsia" w:hAnsiTheme="minorEastAsia" w:eastAsiaTheme="minorEastAsia"/>
          <w:sz w:val="32"/>
          <w:szCs w:val="20"/>
        </w:rPr>
        <w:t>评标办法前附表</w:t>
      </w:r>
      <w:bookmarkEnd w:id="34"/>
      <w:bookmarkEnd w:id="35"/>
      <w:bookmarkEnd w:id="36"/>
      <w:bookmarkEnd w:id="37"/>
    </w:p>
    <w:tbl>
      <w:tblPr>
        <w:tblStyle w:val="19"/>
        <w:tblW w:w="10241" w:type="dxa"/>
        <w:tblInd w:w="-46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3"/>
        <w:gridCol w:w="997"/>
        <w:gridCol w:w="2116"/>
        <w:gridCol w:w="6361"/>
        <w:gridCol w:w="14"/>
      </w:tblGrid>
      <w:tr w14:paraId="5C39D8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trHeight w:val="662" w:hRule="atLeast"/>
        </w:trPr>
        <w:tc>
          <w:tcPr>
            <w:tcW w:w="1750" w:type="dxa"/>
            <w:gridSpan w:val="2"/>
            <w:tcBorders>
              <w:top w:val="single" w:color="auto" w:sz="4" w:space="0"/>
              <w:bottom w:val="single" w:color="auto" w:sz="4" w:space="0"/>
              <w:right w:val="single" w:color="auto" w:sz="4" w:space="0"/>
            </w:tcBorders>
            <w:vAlign w:val="center"/>
          </w:tcPr>
          <w:p w14:paraId="54CB8090">
            <w:pPr>
              <w:spacing w:line="300" w:lineRule="auto"/>
              <w:jc w:val="center"/>
              <w:rPr>
                <w:b/>
                <w:sz w:val="21"/>
                <w:szCs w:val="21"/>
              </w:rPr>
            </w:pPr>
            <w:r>
              <w:rPr>
                <w:rFonts w:hint="eastAsia"/>
                <w:b/>
                <w:sz w:val="21"/>
                <w:szCs w:val="21"/>
              </w:rPr>
              <w:t>条款号</w:t>
            </w:r>
          </w:p>
        </w:tc>
        <w:tc>
          <w:tcPr>
            <w:tcW w:w="2116" w:type="dxa"/>
            <w:tcBorders>
              <w:top w:val="single" w:color="auto" w:sz="4" w:space="0"/>
              <w:left w:val="single" w:color="auto" w:sz="4" w:space="0"/>
              <w:bottom w:val="single" w:color="auto" w:sz="4" w:space="0"/>
              <w:right w:val="single" w:color="auto" w:sz="4" w:space="0"/>
            </w:tcBorders>
            <w:vAlign w:val="center"/>
          </w:tcPr>
          <w:p w14:paraId="402B8E23">
            <w:pPr>
              <w:spacing w:line="300" w:lineRule="auto"/>
              <w:jc w:val="center"/>
              <w:rPr>
                <w:b/>
                <w:sz w:val="21"/>
                <w:szCs w:val="21"/>
              </w:rPr>
            </w:pPr>
            <w:r>
              <w:rPr>
                <w:rFonts w:hint="eastAsia"/>
                <w:b/>
                <w:sz w:val="21"/>
                <w:szCs w:val="21"/>
              </w:rPr>
              <w:t>评审因素</w:t>
            </w:r>
          </w:p>
        </w:tc>
        <w:tc>
          <w:tcPr>
            <w:tcW w:w="6361" w:type="dxa"/>
            <w:tcBorders>
              <w:top w:val="single" w:color="auto" w:sz="4" w:space="0"/>
              <w:left w:val="single" w:color="auto" w:sz="4" w:space="0"/>
              <w:bottom w:val="single" w:color="auto" w:sz="4" w:space="0"/>
            </w:tcBorders>
            <w:vAlign w:val="center"/>
          </w:tcPr>
          <w:p w14:paraId="4221D520">
            <w:pPr>
              <w:spacing w:line="300" w:lineRule="auto"/>
              <w:jc w:val="center"/>
              <w:rPr>
                <w:b/>
                <w:sz w:val="21"/>
                <w:szCs w:val="21"/>
              </w:rPr>
            </w:pPr>
            <w:r>
              <w:rPr>
                <w:rFonts w:hint="eastAsia"/>
                <w:b/>
                <w:sz w:val="21"/>
                <w:szCs w:val="21"/>
              </w:rPr>
              <w:t>评审标准</w:t>
            </w:r>
          </w:p>
        </w:tc>
      </w:tr>
      <w:tr w14:paraId="604C24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trHeight w:val="90" w:hRule="atLeast"/>
        </w:trPr>
        <w:tc>
          <w:tcPr>
            <w:tcW w:w="753" w:type="dxa"/>
            <w:tcBorders>
              <w:top w:val="single" w:color="auto" w:sz="4" w:space="0"/>
              <w:bottom w:val="single" w:color="auto" w:sz="4" w:space="0"/>
              <w:right w:val="single" w:color="auto" w:sz="4" w:space="0"/>
            </w:tcBorders>
            <w:vAlign w:val="center"/>
          </w:tcPr>
          <w:p w14:paraId="27272926">
            <w:pPr>
              <w:spacing w:line="300" w:lineRule="auto"/>
              <w:jc w:val="center"/>
              <w:rPr>
                <w:sz w:val="21"/>
                <w:szCs w:val="21"/>
              </w:rPr>
            </w:pPr>
            <w:r>
              <w:rPr>
                <w:rFonts w:hint="eastAsia"/>
                <w:sz w:val="21"/>
                <w:szCs w:val="21"/>
              </w:rPr>
              <w:t>1</w:t>
            </w:r>
          </w:p>
        </w:tc>
        <w:tc>
          <w:tcPr>
            <w:tcW w:w="997" w:type="dxa"/>
            <w:tcBorders>
              <w:top w:val="single" w:color="auto" w:sz="4" w:space="0"/>
              <w:left w:val="single" w:color="auto" w:sz="4" w:space="0"/>
              <w:bottom w:val="single" w:color="auto" w:sz="4" w:space="0"/>
              <w:right w:val="single" w:color="auto" w:sz="4" w:space="0"/>
            </w:tcBorders>
            <w:vAlign w:val="center"/>
          </w:tcPr>
          <w:p w14:paraId="029E8687">
            <w:pPr>
              <w:spacing w:line="300" w:lineRule="auto"/>
              <w:jc w:val="center"/>
              <w:rPr>
                <w:sz w:val="21"/>
                <w:szCs w:val="21"/>
              </w:rPr>
            </w:pPr>
            <w:r>
              <w:rPr>
                <w:rFonts w:hint="eastAsia"/>
                <w:sz w:val="21"/>
                <w:szCs w:val="21"/>
              </w:rPr>
              <w:t>评标方法</w:t>
            </w:r>
          </w:p>
        </w:tc>
        <w:tc>
          <w:tcPr>
            <w:tcW w:w="2116" w:type="dxa"/>
            <w:tcBorders>
              <w:top w:val="single" w:color="auto" w:sz="4" w:space="0"/>
              <w:left w:val="single" w:color="auto" w:sz="4" w:space="0"/>
              <w:bottom w:val="single" w:color="auto" w:sz="4" w:space="0"/>
              <w:right w:val="single" w:color="auto" w:sz="4" w:space="0"/>
            </w:tcBorders>
            <w:vAlign w:val="center"/>
          </w:tcPr>
          <w:p w14:paraId="2A3E311A">
            <w:pPr>
              <w:spacing w:line="300" w:lineRule="auto"/>
              <w:jc w:val="center"/>
              <w:rPr>
                <w:sz w:val="21"/>
                <w:szCs w:val="21"/>
              </w:rPr>
            </w:pPr>
            <w:r>
              <w:rPr>
                <w:rFonts w:hint="eastAsia"/>
                <w:sz w:val="21"/>
                <w:szCs w:val="21"/>
              </w:rPr>
              <w:t>中标候选人排序方法</w:t>
            </w:r>
          </w:p>
        </w:tc>
        <w:tc>
          <w:tcPr>
            <w:tcW w:w="6361" w:type="dxa"/>
            <w:tcBorders>
              <w:top w:val="single" w:color="auto" w:sz="4" w:space="0"/>
              <w:left w:val="single" w:color="auto" w:sz="4" w:space="0"/>
              <w:bottom w:val="single" w:color="auto" w:sz="4" w:space="0"/>
            </w:tcBorders>
            <w:vAlign w:val="center"/>
          </w:tcPr>
          <w:p w14:paraId="3FBEA7FF">
            <w:pPr>
              <w:spacing w:line="300" w:lineRule="auto"/>
              <w:jc w:val="both"/>
              <w:rPr>
                <w:sz w:val="21"/>
                <w:szCs w:val="21"/>
              </w:rPr>
            </w:pPr>
            <w:r>
              <w:rPr>
                <w:rFonts w:hint="eastAsia"/>
                <w:sz w:val="21"/>
                <w:szCs w:val="21"/>
              </w:rPr>
              <w:t>本次评标采用综合评估法。评标委员会对满足招标文件实质性要求的投标文件，按照本章第2.2款规定的评分标准进行打分，并按总得分由高到低的顺序推荐中标候选人，排序的前一至三名分别为第一中标候选人、第二中标候选人和第三中标候选人。总得分相同时，以资信业绩得分高的优先；资信业绩得分也相等的，以项目代建管理方案得分高的优先；如果仍存在相同情况，由评标委员会采用记名投票方式，以得票多的优先。</w:t>
            </w:r>
          </w:p>
        </w:tc>
      </w:tr>
      <w:tr w14:paraId="4C9FA8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trHeight w:val="90" w:hRule="atLeast"/>
        </w:trPr>
        <w:tc>
          <w:tcPr>
            <w:tcW w:w="753" w:type="dxa"/>
            <w:vMerge w:val="restart"/>
            <w:tcBorders>
              <w:top w:val="single" w:color="auto" w:sz="4" w:space="0"/>
              <w:bottom w:val="single" w:color="auto" w:sz="4" w:space="0"/>
              <w:right w:val="single" w:color="auto" w:sz="4" w:space="0"/>
            </w:tcBorders>
            <w:vAlign w:val="center"/>
          </w:tcPr>
          <w:p w14:paraId="72F0EC21">
            <w:pPr>
              <w:spacing w:line="300" w:lineRule="auto"/>
              <w:jc w:val="center"/>
              <w:rPr>
                <w:sz w:val="21"/>
                <w:szCs w:val="21"/>
              </w:rPr>
            </w:pPr>
            <w:r>
              <w:rPr>
                <w:rFonts w:hint="eastAsia"/>
                <w:sz w:val="21"/>
                <w:szCs w:val="21"/>
              </w:rPr>
              <w:t>2.1.1</w:t>
            </w:r>
          </w:p>
        </w:tc>
        <w:tc>
          <w:tcPr>
            <w:tcW w:w="997" w:type="dxa"/>
            <w:vMerge w:val="restart"/>
            <w:tcBorders>
              <w:top w:val="single" w:color="auto" w:sz="4" w:space="0"/>
              <w:right w:val="single" w:color="auto" w:sz="4" w:space="0"/>
            </w:tcBorders>
            <w:vAlign w:val="center"/>
          </w:tcPr>
          <w:p w14:paraId="5F7E2327">
            <w:pPr>
              <w:spacing w:line="300" w:lineRule="auto"/>
              <w:jc w:val="center"/>
              <w:rPr>
                <w:sz w:val="21"/>
                <w:szCs w:val="21"/>
              </w:rPr>
            </w:pPr>
            <w:r>
              <w:rPr>
                <w:rFonts w:hint="eastAsia"/>
                <w:sz w:val="21"/>
                <w:szCs w:val="21"/>
              </w:rPr>
              <w:t>形式评审标准</w:t>
            </w:r>
          </w:p>
        </w:tc>
        <w:tc>
          <w:tcPr>
            <w:tcW w:w="2116" w:type="dxa"/>
            <w:tcBorders>
              <w:top w:val="single" w:color="auto" w:sz="4" w:space="0"/>
              <w:left w:val="single" w:color="auto" w:sz="4" w:space="0"/>
              <w:bottom w:val="single" w:color="auto" w:sz="4" w:space="0"/>
              <w:right w:val="single" w:color="auto" w:sz="4" w:space="0"/>
            </w:tcBorders>
            <w:vAlign w:val="center"/>
          </w:tcPr>
          <w:p w14:paraId="2945B177">
            <w:pPr>
              <w:spacing w:line="300" w:lineRule="auto"/>
              <w:jc w:val="center"/>
              <w:rPr>
                <w:sz w:val="21"/>
                <w:szCs w:val="21"/>
              </w:rPr>
            </w:pPr>
            <w:r>
              <w:rPr>
                <w:rFonts w:hint="eastAsia"/>
                <w:sz w:val="21"/>
                <w:szCs w:val="21"/>
              </w:rPr>
              <w:t>投标人名称</w:t>
            </w:r>
          </w:p>
        </w:tc>
        <w:tc>
          <w:tcPr>
            <w:tcW w:w="6361" w:type="dxa"/>
            <w:tcBorders>
              <w:top w:val="single" w:color="auto" w:sz="4" w:space="0"/>
              <w:left w:val="single" w:color="auto" w:sz="4" w:space="0"/>
              <w:bottom w:val="single" w:color="auto" w:sz="4" w:space="0"/>
            </w:tcBorders>
            <w:vAlign w:val="center"/>
          </w:tcPr>
          <w:p w14:paraId="7504B041">
            <w:pPr>
              <w:spacing w:line="300" w:lineRule="auto"/>
              <w:rPr>
                <w:sz w:val="21"/>
                <w:szCs w:val="21"/>
              </w:rPr>
            </w:pPr>
            <w:r>
              <w:rPr>
                <w:rFonts w:hint="eastAsia"/>
                <w:sz w:val="21"/>
                <w:szCs w:val="21"/>
              </w:rPr>
              <w:t>与营业执照（或事业单位法人证书）、资质证书一致；</w:t>
            </w:r>
          </w:p>
        </w:tc>
      </w:tr>
      <w:tr w14:paraId="3287A1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trHeight w:val="90" w:hRule="atLeast"/>
        </w:trPr>
        <w:tc>
          <w:tcPr>
            <w:tcW w:w="753" w:type="dxa"/>
            <w:vMerge w:val="continue"/>
            <w:tcBorders>
              <w:top w:val="nil"/>
              <w:bottom w:val="single" w:color="auto" w:sz="4" w:space="0"/>
              <w:right w:val="single" w:color="auto" w:sz="4" w:space="0"/>
            </w:tcBorders>
            <w:vAlign w:val="center"/>
          </w:tcPr>
          <w:p w14:paraId="73C006A7">
            <w:pPr>
              <w:spacing w:line="300" w:lineRule="auto"/>
              <w:rPr>
                <w:sz w:val="21"/>
                <w:szCs w:val="21"/>
              </w:rPr>
            </w:pPr>
          </w:p>
        </w:tc>
        <w:tc>
          <w:tcPr>
            <w:tcW w:w="997" w:type="dxa"/>
            <w:vMerge w:val="continue"/>
            <w:tcBorders>
              <w:right w:val="single" w:color="auto" w:sz="4" w:space="0"/>
            </w:tcBorders>
            <w:vAlign w:val="center"/>
          </w:tcPr>
          <w:p w14:paraId="1F81768A">
            <w:pPr>
              <w:spacing w:line="300" w:lineRule="auto"/>
              <w:rPr>
                <w:sz w:val="21"/>
                <w:szCs w:val="21"/>
              </w:rPr>
            </w:pPr>
          </w:p>
        </w:tc>
        <w:tc>
          <w:tcPr>
            <w:tcW w:w="2116" w:type="dxa"/>
            <w:tcBorders>
              <w:top w:val="single" w:color="auto" w:sz="4" w:space="0"/>
              <w:left w:val="single" w:color="auto" w:sz="4" w:space="0"/>
              <w:bottom w:val="single" w:color="auto" w:sz="4" w:space="0"/>
              <w:right w:val="single" w:color="auto" w:sz="4" w:space="0"/>
            </w:tcBorders>
            <w:vAlign w:val="center"/>
          </w:tcPr>
          <w:p w14:paraId="09A74AB7">
            <w:pPr>
              <w:spacing w:before="0" w:after="0" w:line="300" w:lineRule="auto"/>
              <w:jc w:val="center"/>
              <w:rPr>
                <w:sz w:val="21"/>
                <w:szCs w:val="21"/>
              </w:rPr>
            </w:pPr>
            <w:r>
              <w:rPr>
                <w:rFonts w:hint="eastAsia"/>
                <w:sz w:val="21"/>
                <w:szCs w:val="21"/>
                <w:lang w:bidi="ar-SA"/>
              </w:rPr>
              <w:t>投标</w:t>
            </w:r>
            <w:r>
              <w:rPr>
                <w:rFonts w:hint="eastAsia"/>
                <w:spacing w:val="-2"/>
                <w:sz w:val="21"/>
                <w:szCs w:val="21"/>
                <w:lang w:bidi="ar-SA"/>
              </w:rPr>
              <w:t>函</w:t>
            </w:r>
            <w:r>
              <w:rPr>
                <w:rFonts w:hint="eastAsia"/>
                <w:sz w:val="21"/>
                <w:szCs w:val="21"/>
                <w:lang w:bidi="ar-SA"/>
              </w:rPr>
              <w:t>及</w:t>
            </w:r>
            <w:r>
              <w:rPr>
                <w:rFonts w:hint="eastAsia"/>
                <w:spacing w:val="-2"/>
                <w:sz w:val="21"/>
                <w:szCs w:val="21"/>
                <w:lang w:bidi="ar-SA"/>
              </w:rPr>
              <w:t>投</w:t>
            </w:r>
            <w:r>
              <w:rPr>
                <w:rFonts w:hint="eastAsia"/>
                <w:sz w:val="21"/>
                <w:szCs w:val="21"/>
                <w:lang w:bidi="ar-SA"/>
              </w:rPr>
              <w:t>标</w:t>
            </w:r>
            <w:r>
              <w:rPr>
                <w:rFonts w:hint="eastAsia"/>
                <w:spacing w:val="-2"/>
                <w:sz w:val="21"/>
                <w:szCs w:val="21"/>
                <w:lang w:bidi="ar-SA"/>
              </w:rPr>
              <w:t>函</w:t>
            </w:r>
            <w:r>
              <w:rPr>
                <w:rFonts w:hint="eastAsia"/>
                <w:sz w:val="21"/>
                <w:szCs w:val="21"/>
                <w:lang w:bidi="ar-SA"/>
              </w:rPr>
              <w:t>附</w:t>
            </w:r>
            <w:r>
              <w:rPr>
                <w:rFonts w:hint="eastAsia"/>
                <w:spacing w:val="-3"/>
                <w:sz w:val="21"/>
                <w:szCs w:val="21"/>
                <w:lang w:bidi="ar-SA"/>
              </w:rPr>
              <w:t>录</w:t>
            </w:r>
          </w:p>
        </w:tc>
        <w:tc>
          <w:tcPr>
            <w:tcW w:w="6361" w:type="dxa"/>
            <w:tcBorders>
              <w:top w:val="single" w:color="auto" w:sz="4" w:space="0"/>
              <w:left w:val="single" w:color="auto" w:sz="4" w:space="0"/>
              <w:bottom w:val="single" w:color="auto" w:sz="4" w:space="0"/>
            </w:tcBorders>
            <w:vAlign w:val="center"/>
          </w:tcPr>
          <w:p w14:paraId="0BD84679">
            <w:pPr>
              <w:adjustRightInd w:val="0"/>
              <w:snapToGrid w:val="0"/>
              <w:spacing w:before="0" w:after="0" w:line="300" w:lineRule="auto"/>
              <w:ind w:left="70" w:leftChars="32" w:right="70" w:rightChars="32"/>
              <w:rPr>
                <w:sz w:val="21"/>
                <w:szCs w:val="21"/>
              </w:rPr>
            </w:pPr>
            <w:r>
              <w:rPr>
                <w:rFonts w:hint="eastAsia"/>
                <w:sz w:val="21"/>
                <w:szCs w:val="21"/>
                <w:lang w:bidi="ar-SA"/>
              </w:rPr>
              <w:t>投标函及投标函附录格式及签字盖章符合招标文件要求。有法定代表人或其委托代理人签字（或盖章）并加盖单位公章。由法定代表人签字（或盖章）的，应附法定代表人身份证明，由代理人签字（或盖章）的，应附授权委托书。</w:t>
            </w:r>
          </w:p>
        </w:tc>
      </w:tr>
      <w:tr w14:paraId="5350DE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trPr>
        <w:tc>
          <w:tcPr>
            <w:tcW w:w="753" w:type="dxa"/>
            <w:vMerge w:val="continue"/>
            <w:tcBorders>
              <w:top w:val="nil"/>
              <w:bottom w:val="single" w:color="auto" w:sz="4" w:space="0"/>
              <w:right w:val="single" w:color="auto" w:sz="4" w:space="0"/>
            </w:tcBorders>
            <w:vAlign w:val="center"/>
          </w:tcPr>
          <w:p w14:paraId="1CDA2B37">
            <w:pPr>
              <w:spacing w:line="300" w:lineRule="auto"/>
              <w:rPr>
                <w:sz w:val="21"/>
                <w:szCs w:val="21"/>
              </w:rPr>
            </w:pPr>
          </w:p>
        </w:tc>
        <w:tc>
          <w:tcPr>
            <w:tcW w:w="997" w:type="dxa"/>
            <w:vMerge w:val="continue"/>
            <w:tcBorders>
              <w:right w:val="single" w:color="auto" w:sz="4" w:space="0"/>
            </w:tcBorders>
            <w:vAlign w:val="center"/>
          </w:tcPr>
          <w:p w14:paraId="5622742D">
            <w:pPr>
              <w:spacing w:line="300" w:lineRule="auto"/>
              <w:rPr>
                <w:sz w:val="21"/>
                <w:szCs w:val="21"/>
              </w:rPr>
            </w:pPr>
          </w:p>
        </w:tc>
        <w:tc>
          <w:tcPr>
            <w:tcW w:w="2116" w:type="dxa"/>
            <w:tcBorders>
              <w:top w:val="single" w:color="auto" w:sz="4" w:space="0"/>
              <w:left w:val="single" w:color="auto" w:sz="4" w:space="0"/>
              <w:bottom w:val="single" w:color="auto" w:sz="4" w:space="0"/>
              <w:right w:val="single" w:color="auto" w:sz="4" w:space="0"/>
            </w:tcBorders>
            <w:vAlign w:val="center"/>
          </w:tcPr>
          <w:p w14:paraId="670AEE0A">
            <w:pPr>
              <w:spacing w:before="0" w:after="0" w:line="300" w:lineRule="auto"/>
              <w:ind w:left="-6" w:right="-20"/>
              <w:jc w:val="center"/>
              <w:rPr>
                <w:sz w:val="21"/>
                <w:szCs w:val="21"/>
              </w:rPr>
            </w:pPr>
            <w:r>
              <w:rPr>
                <w:rFonts w:hint="eastAsia"/>
                <w:sz w:val="21"/>
                <w:szCs w:val="21"/>
                <w:lang w:bidi="ar-SA"/>
              </w:rPr>
              <w:t>投标</w:t>
            </w:r>
            <w:r>
              <w:rPr>
                <w:rFonts w:hint="eastAsia"/>
                <w:spacing w:val="-2"/>
                <w:sz w:val="21"/>
                <w:szCs w:val="21"/>
                <w:lang w:bidi="ar-SA"/>
              </w:rPr>
              <w:t>文</w:t>
            </w:r>
            <w:r>
              <w:rPr>
                <w:rFonts w:hint="eastAsia"/>
                <w:sz w:val="21"/>
                <w:szCs w:val="21"/>
                <w:lang w:bidi="ar-SA"/>
              </w:rPr>
              <w:t>件</w:t>
            </w:r>
            <w:r>
              <w:rPr>
                <w:rFonts w:hint="eastAsia"/>
                <w:spacing w:val="-2"/>
                <w:sz w:val="21"/>
                <w:szCs w:val="21"/>
                <w:lang w:bidi="ar-SA"/>
              </w:rPr>
              <w:t>格</w:t>
            </w:r>
            <w:r>
              <w:rPr>
                <w:rFonts w:hint="eastAsia"/>
                <w:sz w:val="21"/>
                <w:szCs w:val="21"/>
                <w:lang w:bidi="ar-SA"/>
              </w:rPr>
              <w:t>式</w:t>
            </w:r>
          </w:p>
        </w:tc>
        <w:tc>
          <w:tcPr>
            <w:tcW w:w="6361" w:type="dxa"/>
            <w:tcBorders>
              <w:top w:val="single" w:color="auto" w:sz="4" w:space="0"/>
              <w:left w:val="single" w:color="auto" w:sz="4" w:space="0"/>
              <w:bottom w:val="single" w:color="auto" w:sz="4" w:space="0"/>
            </w:tcBorders>
            <w:vAlign w:val="center"/>
          </w:tcPr>
          <w:p w14:paraId="502204FA">
            <w:pPr>
              <w:adjustRightInd w:val="0"/>
              <w:snapToGrid w:val="0"/>
              <w:spacing w:before="0" w:after="0" w:line="300" w:lineRule="auto"/>
              <w:ind w:right="32"/>
              <w:rPr>
                <w:sz w:val="21"/>
                <w:szCs w:val="21"/>
              </w:rPr>
            </w:pPr>
            <w:r>
              <w:rPr>
                <w:rFonts w:hint="eastAsia"/>
                <w:sz w:val="21"/>
                <w:szCs w:val="21"/>
                <w:lang w:bidi="ar-SA"/>
              </w:rPr>
              <w:t>符合第六章“投标文件格式”的规定（评审格式为“一、投标函及投标函附录”）</w:t>
            </w:r>
          </w:p>
        </w:tc>
      </w:tr>
      <w:tr w14:paraId="22146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trPr>
        <w:tc>
          <w:tcPr>
            <w:tcW w:w="753" w:type="dxa"/>
            <w:vMerge w:val="continue"/>
            <w:tcBorders>
              <w:top w:val="nil"/>
              <w:bottom w:val="single" w:color="auto" w:sz="4" w:space="0"/>
              <w:right w:val="single" w:color="auto" w:sz="4" w:space="0"/>
            </w:tcBorders>
            <w:vAlign w:val="center"/>
          </w:tcPr>
          <w:p w14:paraId="509BB802">
            <w:pPr>
              <w:spacing w:line="300" w:lineRule="auto"/>
              <w:rPr>
                <w:sz w:val="21"/>
                <w:szCs w:val="21"/>
              </w:rPr>
            </w:pPr>
          </w:p>
        </w:tc>
        <w:tc>
          <w:tcPr>
            <w:tcW w:w="997" w:type="dxa"/>
            <w:vMerge w:val="continue"/>
            <w:tcBorders>
              <w:right w:val="single" w:color="auto" w:sz="4" w:space="0"/>
            </w:tcBorders>
            <w:vAlign w:val="center"/>
          </w:tcPr>
          <w:p w14:paraId="5CB7A399">
            <w:pPr>
              <w:spacing w:line="300" w:lineRule="auto"/>
              <w:rPr>
                <w:sz w:val="21"/>
                <w:szCs w:val="21"/>
              </w:rPr>
            </w:pPr>
          </w:p>
        </w:tc>
        <w:tc>
          <w:tcPr>
            <w:tcW w:w="2116" w:type="dxa"/>
            <w:tcBorders>
              <w:top w:val="single" w:color="auto" w:sz="4" w:space="0"/>
              <w:left w:val="single" w:color="auto" w:sz="4" w:space="0"/>
              <w:bottom w:val="single" w:color="auto" w:sz="4" w:space="0"/>
              <w:right w:val="single" w:color="auto" w:sz="4" w:space="0"/>
            </w:tcBorders>
            <w:vAlign w:val="center"/>
          </w:tcPr>
          <w:p w14:paraId="00402757">
            <w:pPr>
              <w:spacing w:before="0" w:after="0" w:line="300" w:lineRule="auto"/>
              <w:ind w:right="-20"/>
              <w:jc w:val="center"/>
              <w:rPr>
                <w:sz w:val="21"/>
                <w:szCs w:val="21"/>
              </w:rPr>
            </w:pPr>
            <w:r>
              <w:rPr>
                <w:rFonts w:hint="eastAsia"/>
                <w:sz w:val="21"/>
                <w:szCs w:val="21"/>
                <w:u w:val="single"/>
                <w:lang w:bidi="ar-SA"/>
              </w:rPr>
              <w:t>投标人机器码</w:t>
            </w:r>
          </w:p>
        </w:tc>
        <w:tc>
          <w:tcPr>
            <w:tcW w:w="6361" w:type="dxa"/>
            <w:tcBorders>
              <w:top w:val="single" w:color="auto" w:sz="4" w:space="0"/>
              <w:left w:val="single" w:color="auto" w:sz="4" w:space="0"/>
              <w:bottom w:val="single" w:color="auto" w:sz="4" w:space="0"/>
            </w:tcBorders>
            <w:vAlign w:val="center"/>
          </w:tcPr>
          <w:p w14:paraId="0F3DD586">
            <w:pPr>
              <w:tabs>
                <w:tab w:val="left" w:pos="5940"/>
              </w:tabs>
              <w:adjustRightInd w:val="0"/>
              <w:snapToGrid w:val="0"/>
              <w:spacing w:before="0" w:after="0" w:line="300" w:lineRule="auto"/>
              <w:ind w:right="-13" w:rightChars="-6"/>
              <w:rPr>
                <w:sz w:val="21"/>
                <w:szCs w:val="21"/>
              </w:rPr>
            </w:pPr>
            <w:r>
              <w:rPr>
                <w:rFonts w:hint="eastAsia"/>
                <w:sz w:val="21"/>
                <w:szCs w:val="21"/>
                <w:lang w:bidi="ar-SA"/>
              </w:rPr>
              <w:t>投标人与本项目其他投标人加密打包投标文件电脑机器特征码一致的(以广州公共资源交易中心评标系统的检索信息为准)将被否决。</w:t>
            </w:r>
          </w:p>
        </w:tc>
      </w:tr>
      <w:tr w14:paraId="4319FB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79" w:hRule="atLeast"/>
        </w:trPr>
        <w:tc>
          <w:tcPr>
            <w:tcW w:w="753" w:type="dxa"/>
            <w:vMerge w:val="continue"/>
            <w:tcBorders>
              <w:top w:val="nil"/>
              <w:bottom w:val="single" w:color="auto" w:sz="4" w:space="0"/>
              <w:right w:val="single" w:color="auto" w:sz="4" w:space="0"/>
            </w:tcBorders>
            <w:vAlign w:val="center"/>
          </w:tcPr>
          <w:p w14:paraId="7B3746F6">
            <w:pPr>
              <w:spacing w:line="300" w:lineRule="auto"/>
              <w:rPr>
                <w:sz w:val="21"/>
                <w:szCs w:val="21"/>
              </w:rPr>
            </w:pPr>
          </w:p>
        </w:tc>
        <w:tc>
          <w:tcPr>
            <w:tcW w:w="997" w:type="dxa"/>
            <w:vMerge w:val="continue"/>
            <w:tcBorders>
              <w:right w:val="single" w:color="auto" w:sz="4" w:space="0"/>
            </w:tcBorders>
            <w:vAlign w:val="center"/>
          </w:tcPr>
          <w:p w14:paraId="557C1ECE">
            <w:pPr>
              <w:spacing w:line="300" w:lineRule="auto"/>
              <w:rPr>
                <w:sz w:val="21"/>
                <w:szCs w:val="21"/>
              </w:rPr>
            </w:pPr>
          </w:p>
        </w:tc>
        <w:tc>
          <w:tcPr>
            <w:tcW w:w="2116" w:type="dxa"/>
            <w:tcBorders>
              <w:top w:val="single" w:color="auto" w:sz="4" w:space="0"/>
              <w:left w:val="single" w:color="auto" w:sz="4" w:space="0"/>
              <w:right w:val="single" w:color="auto" w:sz="4" w:space="0"/>
            </w:tcBorders>
            <w:vAlign w:val="center"/>
          </w:tcPr>
          <w:p w14:paraId="3B1F2772">
            <w:pPr>
              <w:spacing w:before="0" w:after="0" w:line="300" w:lineRule="auto"/>
              <w:ind w:left="-6" w:right="-20"/>
              <w:jc w:val="center"/>
              <w:rPr>
                <w:sz w:val="21"/>
                <w:szCs w:val="21"/>
                <w:lang w:bidi="ar-SA"/>
              </w:rPr>
            </w:pPr>
            <w:r>
              <w:rPr>
                <w:rFonts w:hint="eastAsia"/>
                <w:sz w:val="21"/>
                <w:szCs w:val="21"/>
                <w:lang w:bidi="ar-SA"/>
              </w:rPr>
              <w:t>备选投标方案</w:t>
            </w:r>
          </w:p>
        </w:tc>
        <w:tc>
          <w:tcPr>
            <w:tcW w:w="6361" w:type="dxa"/>
            <w:tcBorders>
              <w:top w:val="single" w:color="auto" w:sz="4" w:space="0"/>
              <w:left w:val="single" w:color="auto" w:sz="4" w:space="0"/>
            </w:tcBorders>
            <w:vAlign w:val="center"/>
          </w:tcPr>
          <w:p w14:paraId="658C9156">
            <w:pPr>
              <w:spacing w:before="0" w:after="0" w:line="300" w:lineRule="auto"/>
              <w:ind w:left="-6" w:right="-20"/>
              <w:jc w:val="center"/>
              <w:rPr>
                <w:sz w:val="21"/>
                <w:szCs w:val="21"/>
                <w:lang w:bidi="ar-SA"/>
              </w:rPr>
            </w:pPr>
            <w:r>
              <w:rPr>
                <w:rFonts w:hint="eastAsia"/>
                <w:sz w:val="21"/>
                <w:szCs w:val="21"/>
                <w:lang w:bidi="ar-SA"/>
              </w:rPr>
              <w:t>不允许。</w:t>
            </w:r>
          </w:p>
        </w:tc>
      </w:tr>
      <w:tr w14:paraId="3057BA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trPr>
        <w:tc>
          <w:tcPr>
            <w:tcW w:w="753" w:type="dxa"/>
            <w:vMerge w:val="restart"/>
            <w:tcBorders>
              <w:top w:val="single" w:color="auto" w:sz="4" w:space="0"/>
              <w:right w:val="single" w:color="auto" w:sz="4" w:space="0"/>
            </w:tcBorders>
            <w:vAlign w:val="center"/>
          </w:tcPr>
          <w:p w14:paraId="35D74F1E">
            <w:pPr>
              <w:spacing w:line="300" w:lineRule="auto"/>
              <w:jc w:val="center"/>
              <w:rPr>
                <w:sz w:val="21"/>
                <w:szCs w:val="21"/>
              </w:rPr>
            </w:pPr>
            <w:r>
              <w:rPr>
                <w:rFonts w:hint="eastAsia"/>
                <w:sz w:val="21"/>
                <w:szCs w:val="21"/>
              </w:rPr>
              <w:t>2.1.2</w:t>
            </w:r>
          </w:p>
        </w:tc>
        <w:tc>
          <w:tcPr>
            <w:tcW w:w="997" w:type="dxa"/>
            <w:vMerge w:val="restart"/>
            <w:tcBorders>
              <w:top w:val="single" w:color="auto" w:sz="4" w:space="0"/>
              <w:left w:val="single" w:color="auto" w:sz="4" w:space="0"/>
              <w:right w:val="single" w:color="auto" w:sz="4" w:space="0"/>
            </w:tcBorders>
            <w:vAlign w:val="center"/>
          </w:tcPr>
          <w:p w14:paraId="3AA9429F">
            <w:pPr>
              <w:spacing w:line="300" w:lineRule="auto"/>
              <w:jc w:val="center"/>
              <w:rPr>
                <w:sz w:val="21"/>
                <w:szCs w:val="21"/>
              </w:rPr>
            </w:pPr>
            <w:r>
              <w:rPr>
                <w:rFonts w:hint="eastAsia"/>
                <w:sz w:val="21"/>
                <w:szCs w:val="21"/>
              </w:rPr>
              <w:t>资格评审标准</w:t>
            </w:r>
          </w:p>
        </w:tc>
        <w:tc>
          <w:tcPr>
            <w:tcW w:w="2116" w:type="dxa"/>
            <w:tcBorders>
              <w:top w:val="single" w:color="auto" w:sz="4" w:space="0"/>
              <w:left w:val="single" w:color="auto" w:sz="4" w:space="0"/>
              <w:bottom w:val="single" w:color="auto" w:sz="4" w:space="0"/>
              <w:right w:val="single" w:color="auto" w:sz="4" w:space="0"/>
            </w:tcBorders>
            <w:vAlign w:val="center"/>
          </w:tcPr>
          <w:p w14:paraId="4D9799A1">
            <w:pPr>
              <w:widowControl/>
              <w:spacing w:before="0" w:beforeAutospacing="0" w:after="0" w:afterAutospacing="0" w:line="300" w:lineRule="auto"/>
              <w:jc w:val="center"/>
              <w:rPr>
                <w:sz w:val="21"/>
                <w:szCs w:val="21"/>
              </w:rPr>
            </w:pPr>
            <w:r>
              <w:rPr>
                <w:rFonts w:hint="eastAsia"/>
                <w:sz w:val="21"/>
                <w:szCs w:val="21"/>
              </w:rPr>
              <w:t>营业执照</w:t>
            </w:r>
          </w:p>
        </w:tc>
        <w:tc>
          <w:tcPr>
            <w:tcW w:w="6361" w:type="dxa"/>
            <w:tcBorders>
              <w:top w:val="single" w:color="auto" w:sz="4" w:space="0"/>
              <w:left w:val="single" w:color="auto" w:sz="4" w:space="0"/>
              <w:bottom w:val="single" w:color="auto" w:sz="4" w:space="0"/>
            </w:tcBorders>
            <w:vAlign w:val="center"/>
          </w:tcPr>
          <w:p w14:paraId="315D0529">
            <w:pPr>
              <w:widowControl/>
              <w:spacing w:before="0" w:beforeAutospacing="0" w:after="0" w:afterAutospacing="0" w:line="300" w:lineRule="auto"/>
              <w:ind w:right="75" w:rightChars="34"/>
              <w:rPr>
                <w:sz w:val="21"/>
                <w:szCs w:val="21"/>
              </w:rPr>
            </w:pPr>
            <w:r>
              <w:rPr>
                <w:rFonts w:hint="eastAsia"/>
                <w:sz w:val="21"/>
                <w:szCs w:val="21"/>
              </w:rPr>
              <w:t>投标人（若为联合体投标，指联合体各方）具有独立法人资格，持有工商行政（市场监督）管理部门核发的法人营业执照或各级登记管理机关颁发的事业单位法人证书，按国家法律经营；香港企业参加投标的，须在广东省住房和城乡建设主管部门备案且备案的业务范围满足本项目招标文件要求。</w:t>
            </w:r>
          </w:p>
        </w:tc>
      </w:tr>
      <w:tr w14:paraId="546825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trHeight w:val="583" w:hRule="atLeast"/>
        </w:trPr>
        <w:tc>
          <w:tcPr>
            <w:tcW w:w="753" w:type="dxa"/>
            <w:vMerge w:val="continue"/>
            <w:tcBorders>
              <w:right w:val="single" w:color="auto" w:sz="4" w:space="0"/>
            </w:tcBorders>
            <w:vAlign w:val="center"/>
          </w:tcPr>
          <w:p w14:paraId="25EA9860">
            <w:pPr>
              <w:spacing w:line="300" w:lineRule="auto"/>
              <w:jc w:val="center"/>
              <w:rPr>
                <w:sz w:val="21"/>
                <w:szCs w:val="21"/>
              </w:rPr>
            </w:pPr>
          </w:p>
          <w:p w14:paraId="2BEE5771">
            <w:pPr>
              <w:pStyle w:val="17"/>
              <w:spacing w:line="300" w:lineRule="auto"/>
              <w:ind w:left="440"/>
              <w:rPr>
                <w:rFonts w:ascii="宋体" w:hAnsi="宋体"/>
                <w:sz w:val="21"/>
                <w:szCs w:val="21"/>
              </w:rPr>
            </w:pPr>
          </w:p>
        </w:tc>
        <w:tc>
          <w:tcPr>
            <w:tcW w:w="997" w:type="dxa"/>
            <w:vMerge w:val="continue"/>
            <w:tcBorders>
              <w:left w:val="single" w:color="auto" w:sz="4" w:space="0"/>
              <w:right w:val="single" w:color="auto" w:sz="4" w:space="0"/>
            </w:tcBorders>
            <w:vAlign w:val="center"/>
          </w:tcPr>
          <w:p w14:paraId="6CB379AF">
            <w:pPr>
              <w:spacing w:line="300" w:lineRule="auto"/>
              <w:jc w:val="center"/>
              <w:rPr>
                <w:sz w:val="21"/>
                <w:szCs w:val="21"/>
              </w:rPr>
            </w:pPr>
          </w:p>
        </w:tc>
        <w:tc>
          <w:tcPr>
            <w:tcW w:w="2116" w:type="dxa"/>
            <w:tcBorders>
              <w:top w:val="single" w:color="auto" w:sz="4" w:space="0"/>
              <w:left w:val="single" w:color="auto" w:sz="4" w:space="0"/>
              <w:right w:val="single" w:color="auto" w:sz="4" w:space="0"/>
            </w:tcBorders>
            <w:vAlign w:val="center"/>
          </w:tcPr>
          <w:p w14:paraId="5A02F73A">
            <w:pPr>
              <w:spacing w:before="0" w:after="0" w:line="300" w:lineRule="auto"/>
              <w:ind w:right="-20"/>
              <w:jc w:val="center"/>
              <w:rPr>
                <w:sz w:val="21"/>
                <w:szCs w:val="21"/>
              </w:rPr>
            </w:pPr>
            <w:r>
              <w:rPr>
                <w:rFonts w:hint="eastAsia"/>
                <w:sz w:val="21"/>
                <w:szCs w:val="21"/>
                <w:lang w:bidi="ar-SA"/>
              </w:rPr>
              <w:t>资质要求</w:t>
            </w:r>
          </w:p>
        </w:tc>
        <w:tc>
          <w:tcPr>
            <w:tcW w:w="6361" w:type="dxa"/>
            <w:tcBorders>
              <w:top w:val="single" w:color="auto" w:sz="4" w:space="0"/>
              <w:left w:val="single" w:color="auto" w:sz="4" w:space="0"/>
              <w:bottom w:val="single" w:color="auto" w:sz="4" w:space="0"/>
            </w:tcBorders>
            <w:vAlign w:val="center"/>
          </w:tcPr>
          <w:p w14:paraId="64F9922E">
            <w:pPr>
              <w:spacing w:before="0" w:after="0" w:line="300" w:lineRule="auto"/>
              <w:ind w:right="32"/>
              <w:rPr>
                <w:sz w:val="21"/>
                <w:szCs w:val="21"/>
              </w:rPr>
            </w:pPr>
            <w:r>
              <w:rPr>
                <w:rFonts w:hint="eastAsia"/>
                <w:sz w:val="21"/>
                <w:szCs w:val="21"/>
                <w:lang w:bidi="ar"/>
              </w:rPr>
              <w:t>投标人必须具有施工或设计或监理或房地产开发中的一项或多项资质，以上资质必须在有效期限内；</w:t>
            </w:r>
          </w:p>
        </w:tc>
      </w:tr>
      <w:tr w14:paraId="30C54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trHeight w:val="630" w:hRule="atLeast"/>
        </w:trPr>
        <w:tc>
          <w:tcPr>
            <w:tcW w:w="753" w:type="dxa"/>
            <w:vMerge w:val="continue"/>
            <w:tcBorders>
              <w:right w:val="single" w:color="auto" w:sz="4" w:space="0"/>
            </w:tcBorders>
            <w:vAlign w:val="center"/>
          </w:tcPr>
          <w:p w14:paraId="311CE320">
            <w:pPr>
              <w:spacing w:line="300" w:lineRule="auto"/>
              <w:jc w:val="center"/>
              <w:rPr>
                <w:sz w:val="21"/>
                <w:szCs w:val="21"/>
              </w:rPr>
            </w:pPr>
          </w:p>
        </w:tc>
        <w:tc>
          <w:tcPr>
            <w:tcW w:w="997" w:type="dxa"/>
            <w:vMerge w:val="continue"/>
            <w:tcBorders>
              <w:left w:val="single" w:color="auto" w:sz="4" w:space="0"/>
              <w:right w:val="single" w:color="auto" w:sz="4" w:space="0"/>
            </w:tcBorders>
            <w:vAlign w:val="center"/>
          </w:tcPr>
          <w:p w14:paraId="19B3231B">
            <w:pPr>
              <w:spacing w:line="300" w:lineRule="auto"/>
              <w:jc w:val="center"/>
              <w:rPr>
                <w:sz w:val="21"/>
                <w:szCs w:val="21"/>
              </w:rPr>
            </w:pPr>
          </w:p>
        </w:tc>
        <w:tc>
          <w:tcPr>
            <w:tcW w:w="2116" w:type="dxa"/>
            <w:tcBorders>
              <w:top w:val="single" w:color="auto" w:sz="4" w:space="0"/>
              <w:left w:val="single" w:color="auto" w:sz="4" w:space="0"/>
              <w:right w:val="single" w:color="auto" w:sz="4" w:space="0"/>
            </w:tcBorders>
            <w:vAlign w:val="center"/>
          </w:tcPr>
          <w:p w14:paraId="3CD611A4">
            <w:pPr>
              <w:widowControl/>
              <w:spacing w:before="0" w:beforeAutospacing="0" w:after="0" w:afterAutospacing="0" w:line="300" w:lineRule="auto"/>
              <w:jc w:val="center"/>
              <w:rPr>
                <w:sz w:val="21"/>
                <w:szCs w:val="21"/>
                <w:u w:val="single"/>
                <w:lang w:val="en-US"/>
              </w:rPr>
            </w:pPr>
            <w:r>
              <w:rPr>
                <w:rFonts w:hint="eastAsia"/>
              </w:rPr>
              <w:t>企业信息</w:t>
            </w:r>
          </w:p>
        </w:tc>
        <w:tc>
          <w:tcPr>
            <w:tcW w:w="6361" w:type="dxa"/>
            <w:tcBorders>
              <w:top w:val="single" w:color="auto" w:sz="4" w:space="0"/>
              <w:left w:val="single" w:color="auto" w:sz="4" w:space="0"/>
              <w:bottom w:val="single" w:color="auto" w:sz="4" w:space="0"/>
            </w:tcBorders>
            <w:vAlign w:val="center"/>
          </w:tcPr>
          <w:p w14:paraId="688CF755">
            <w:pPr>
              <w:widowControl/>
              <w:spacing w:before="0" w:beforeAutospacing="0" w:after="0" w:afterAutospacing="0" w:line="300" w:lineRule="auto"/>
              <w:rPr>
                <w:sz w:val="21"/>
                <w:szCs w:val="21"/>
              </w:rPr>
            </w:pPr>
            <w:r>
              <w:rPr>
                <w:rFonts w:hint="eastAsia"/>
              </w:rPr>
              <w:t>投标人（若为联合体投标，指联合体各方）在广州交易集团有限公司（广州公共资源交易中心）企业库已办理企业信息登记。</w:t>
            </w:r>
          </w:p>
        </w:tc>
      </w:tr>
      <w:tr w14:paraId="0D46E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trHeight w:val="630" w:hRule="atLeast"/>
        </w:trPr>
        <w:tc>
          <w:tcPr>
            <w:tcW w:w="753" w:type="dxa"/>
            <w:vMerge w:val="continue"/>
            <w:tcBorders>
              <w:right w:val="single" w:color="auto" w:sz="4" w:space="0"/>
            </w:tcBorders>
            <w:vAlign w:val="center"/>
          </w:tcPr>
          <w:p w14:paraId="49672F13">
            <w:pPr>
              <w:spacing w:line="300" w:lineRule="auto"/>
              <w:jc w:val="center"/>
              <w:rPr>
                <w:sz w:val="21"/>
                <w:szCs w:val="21"/>
              </w:rPr>
            </w:pPr>
          </w:p>
        </w:tc>
        <w:tc>
          <w:tcPr>
            <w:tcW w:w="997" w:type="dxa"/>
            <w:vMerge w:val="continue"/>
            <w:tcBorders>
              <w:left w:val="single" w:color="auto" w:sz="4" w:space="0"/>
              <w:right w:val="single" w:color="auto" w:sz="4" w:space="0"/>
            </w:tcBorders>
            <w:vAlign w:val="center"/>
          </w:tcPr>
          <w:p w14:paraId="1E0944FD">
            <w:pPr>
              <w:spacing w:line="300" w:lineRule="auto"/>
              <w:jc w:val="center"/>
              <w:rPr>
                <w:sz w:val="21"/>
                <w:szCs w:val="21"/>
              </w:rPr>
            </w:pPr>
          </w:p>
        </w:tc>
        <w:tc>
          <w:tcPr>
            <w:tcW w:w="2116" w:type="dxa"/>
            <w:tcBorders>
              <w:top w:val="single" w:color="auto" w:sz="4" w:space="0"/>
              <w:left w:val="single" w:color="auto" w:sz="4" w:space="0"/>
              <w:right w:val="single" w:color="auto" w:sz="4" w:space="0"/>
            </w:tcBorders>
            <w:vAlign w:val="center"/>
          </w:tcPr>
          <w:p w14:paraId="46E17A61">
            <w:pPr>
              <w:widowControl/>
              <w:spacing w:before="0" w:beforeAutospacing="0" w:after="0" w:afterAutospacing="0" w:line="300" w:lineRule="auto"/>
              <w:jc w:val="center"/>
              <w:rPr>
                <w:sz w:val="21"/>
                <w:szCs w:val="21"/>
                <w:lang w:val="en-US"/>
              </w:rPr>
            </w:pPr>
            <w:r>
              <w:rPr>
                <w:rFonts w:hint="eastAsia"/>
                <w:sz w:val="21"/>
                <w:szCs w:val="21"/>
                <w:lang w:val="en-US"/>
              </w:rPr>
              <w:t>项目负责人</w:t>
            </w:r>
          </w:p>
        </w:tc>
        <w:tc>
          <w:tcPr>
            <w:tcW w:w="6361" w:type="dxa"/>
            <w:tcBorders>
              <w:top w:val="single" w:color="auto" w:sz="4" w:space="0"/>
              <w:left w:val="single" w:color="auto" w:sz="4" w:space="0"/>
              <w:bottom w:val="single" w:color="auto" w:sz="4" w:space="0"/>
            </w:tcBorders>
            <w:vAlign w:val="center"/>
          </w:tcPr>
          <w:p w14:paraId="034035B2">
            <w:pPr>
              <w:widowControl/>
              <w:spacing w:before="0" w:beforeAutospacing="0" w:after="0" w:afterAutospacing="0" w:line="300" w:lineRule="auto"/>
              <w:rPr>
                <w:sz w:val="21"/>
                <w:szCs w:val="21"/>
              </w:rPr>
            </w:pPr>
            <w:r>
              <w:rPr>
                <w:rFonts w:hint="eastAsia"/>
                <w:sz w:val="21"/>
                <w:szCs w:val="21"/>
              </w:rPr>
              <w:t>符合第二章“投标人须知”第1.4.1项规定。</w:t>
            </w:r>
          </w:p>
        </w:tc>
      </w:tr>
      <w:tr w14:paraId="68095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trPr>
        <w:tc>
          <w:tcPr>
            <w:tcW w:w="753" w:type="dxa"/>
            <w:vMerge w:val="continue"/>
            <w:tcBorders>
              <w:right w:val="single" w:color="auto" w:sz="4" w:space="0"/>
            </w:tcBorders>
            <w:vAlign w:val="center"/>
          </w:tcPr>
          <w:p w14:paraId="456B2D5C">
            <w:pPr>
              <w:spacing w:line="300" w:lineRule="auto"/>
              <w:jc w:val="center"/>
              <w:rPr>
                <w:sz w:val="21"/>
                <w:szCs w:val="21"/>
              </w:rPr>
            </w:pPr>
          </w:p>
        </w:tc>
        <w:tc>
          <w:tcPr>
            <w:tcW w:w="997" w:type="dxa"/>
            <w:vMerge w:val="continue"/>
            <w:tcBorders>
              <w:left w:val="single" w:color="auto" w:sz="4" w:space="0"/>
              <w:right w:val="single" w:color="auto" w:sz="4" w:space="0"/>
            </w:tcBorders>
            <w:vAlign w:val="center"/>
          </w:tcPr>
          <w:p w14:paraId="0A8D20AD">
            <w:pPr>
              <w:spacing w:line="300" w:lineRule="auto"/>
              <w:jc w:val="center"/>
              <w:rPr>
                <w:sz w:val="21"/>
                <w:szCs w:val="21"/>
              </w:rPr>
            </w:pPr>
          </w:p>
        </w:tc>
        <w:tc>
          <w:tcPr>
            <w:tcW w:w="2116" w:type="dxa"/>
            <w:tcBorders>
              <w:top w:val="single" w:color="auto" w:sz="4" w:space="0"/>
              <w:left w:val="single" w:color="auto" w:sz="4" w:space="0"/>
              <w:bottom w:val="single" w:color="auto" w:sz="4" w:space="0"/>
              <w:right w:val="single" w:color="auto" w:sz="4" w:space="0"/>
            </w:tcBorders>
            <w:vAlign w:val="center"/>
          </w:tcPr>
          <w:p w14:paraId="08A183D9">
            <w:pPr>
              <w:widowControl/>
              <w:spacing w:before="0" w:beforeAutospacing="0" w:after="0" w:afterAutospacing="0" w:line="300" w:lineRule="auto"/>
              <w:jc w:val="center"/>
              <w:rPr>
                <w:sz w:val="21"/>
                <w:szCs w:val="21"/>
              </w:rPr>
            </w:pPr>
            <w:r>
              <w:rPr>
                <w:rFonts w:hint="eastAsia"/>
                <w:sz w:val="21"/>
                <w:szCs w:val="21"/>
              </w:rPr>
              <w:t>联合体投标人</w:t>
            </w:r>
          </w:p>
        </w:tc>
        <w:tc>
          <w:tcPr>
            <w:tcW w:w="6361" w:type="dxa"/>
            <w:tcBorders>
              <w:top w:val="single" w:color="auto" w:sz="4" w:space="0"/>
              <w:left w:val="single" w:color="auto" w:sz="4" w:space="0"/>
              <w:bottom w:val="single" w:color="auto" w:sz="4" w:space="0"/>
            </w:tcBorders>
            <w:vAlign w:val="center"/>
          </w:tcPr>
          <w:p w14:paraId="2E143413">
            <w:pPr>
              <w:widowControl/>
              <w:spacing w:before="0" w:beforeAutospacing="0" w:after="0" w:afterAutospacing="0" w:line="300" w:lineRule="auto"/>
              <w:rPr>
                <w:sz w:val="21"/>
                <w:szCs w:val="21"/>
                <w:lang w:val="en-US"/>
              </w:rPr>
            </w:pPr>
            <w:r>
              <w:rPr>
                <w:rFonts w:hint="eastAsia"/>
                <w:sz w:val="21"/>
                <w:szCs w:val="21"/>
                <w:lang w:val="en-US"/>
              </w:rPr>
              <w:t>有提供《联合体共同投标协议书》</w:t>
            </w:r>
          </w:p>
        </w:tc>
      </w:tr>
      <w:tr w14:paraId="37677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trPr>
        <w:tc>
          <w:tcPr>
            <w:tcW w:w="753" w:type="dxa"/>
            <w:vMerge w:val="continue"/>
            <w:tcBorders>
              <w:right w:val="single" w:color="auto" w:sz="4" w:space="0"/>
            </w:tcBorders>
            <w:vAlign w:val="center"/>
          </w:tcPr>
          <w:p w14:paraId="45A288B6">
            <w:pPr>
              <w:spacing w:line="300" w:lineRule="auto"/>
              <w:jc w:val="center"/>
              <w:rPr>
                <w:sz w:val="21"/>
                <w:szCs w:val="21"/>
              </w:rPr>
            </w:pPr>
          </w:p>
        </w:tc>
        <w:tc>
          <w:tcPr>
            <w:tcW w:w="997" w:type="dxa"/>
            <w:vMerge w:val="continue"/>
            <w:tcBorders>
              <w:left w:val="single" w:color="auto" w:sz="4" w:space="0"/>
              <w:right w:val="single" w:color="auto" w:sz="4" w:space="0"/>
            </w:tcBorders>
            <w:vAlign w:val="center"/>
          </w:tcPr>
          <w:p w14:paraId="44B55273">
            <w:pPr>
              <w:spacing w:line="300" w:lineRule="auto"/>
              <w:jc w:val="center"/>
              <w:rPr>
                <w:sz w:val="21"/>
                <w:szCs w:val="21"/>
              </w:rPr>
            </w:pPr>
          </w:p>
        </w:tc>
        <w:tc>
          <w:tcPr>
            <w:tcW w:w="2116" w:type="dxa"/>
            <w:tcBorders>
              <w:top w:val="single" w:color="auto" w:sz="4" w:space="0"/>
              <w:left w:val="single" w:color="auto" w:sz="4" w:space="0"/>
              <w:bottom w:val="single" w:color="auto" w:sz="4" w:space="0"/>
              <w:right w:val="single" w:color="auto" w:sz="4" w:space="0"/>
            </w:tcBorders>
            <w:vAlign w:val="center"/>
          </w:tcPr>
          <w:p w14:paraId="1CFFB90B">
            <w:pPr>
              <w:widowControl/>
              <w:spacing w:before="0" w:beforeAutospacing="0" w:after="0" w:afterAutospacing="0" w:line="300" w:lineRule="auto"/>
              <w:jc w:val="center"/>
              <w:rPr>
                <w:sz w:val="21"/>
                <w:szCs w:val="21"/>
              </w:rPr>
            </w:pPr>
            <w:r>
              <w:rPr>
                <w:rFonts w:hint="eastAsia"/>
                <w:sz w:val="21"/>
                <w:szCs w:val="21"/>
              </w:rPr>
              <w:t>不存在禁止投标的情形</w:t>
            </w:r>
          </w:p>
        </w:tc>
        <w:tc>
          <w:tcPr>
            <w:tcW w:w="6361" w:type="dxa"/>
            <w:tcBorders>
              <w:top w:val="single" w:color="auto" w:sz="4" w:space="0"/>
              <w:left w:val="single" w:color="auto" w:sz="4" w:space="0"/>
              <w:bottom w:val="single" w:color="auto" w:sz="4" w:space="0"/>
            </w:tcBorders>
            <w:vAlign w:val="center"/>
          </w:tcPr>
          <w:p w14:paraId="37475909">
            <w:pPr>
              <w:widowControl/>
              <w:spacing w:before="0" w:beforeAutospacing="0" w:after="0" w:afterAutospacing="0" w:line="300" w:lineRule="auto"/>
              <w:rPr>
                <w:sz w:val="21"/>
                <w:szCs w:val="21"/>
              </w:rPr>
            </w:pPr>
            <w:r>
              <w:rPr>
                <w:rFonts w:hint="eastAsia"/>
                <w:sz w:val="21"/>
                <w:szCs w:val="21"/>
              </w:rPr>
              <w:t>不存在第二章“投标人须知”第 1.4.3 项规定的任何一种情形，以《投标人声明》为准。</w:t>
            </w:r>
          </w:p>
        </w:tc>
      </w:tr>
      <w:tr w14:paraId="55C5BA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trPr>
        <w:tc>
          <w:tcPr>
            <w:tcW w:w="753" w:type="dxa"/>
            <w:vMerge w:val="continue"/>
            <w:tcBorders>
              <w:bottom w:val="single" w:color="auto" w:sz="4" w:space="0"/>
              <w:right w:val="single" w:color="auto" w:sz="4" w:space="0"/>
            </w:tcBorders>
            <w:vAlign w:val="center"/>
          </w:tcPr>
          <w:p w14:paraId="115C1BCC">
            <w:pPr>
              <w:spacing w:line="300" w:lineRule="auto"/>
              <w:jc w:val="center"/>
              <w:rPr>
                <w:sz w:val="21"/>
                <w:szCs w:val="21"/>
              </w:rPr>
            </w:pPr>
          </w:p>
        </w:tc>
        <w:tc>
          <w:tcPr>
            <w:tcW w:w="997" w:type="dxa"/>
            <w:vMerge w:val="continue"/>
            <w:tcBorders>
              <w:left w:val="single" w:color="auto" w:sz="4" w:space="0"/>
              <w:bottom w:val="single" w:color="auto" w:sz="4" w:space="0"/>
              <w:right w:val="single" w:color="auto" w:sz="4" w:space="0"/>
            </w:tcBorders>
            <w:vAlign w:val="center"/>
          </w:tcPr>
          <w:p w14:paraId="4907855E">
            <w:pPr>
              <w:spacing w:line="300" w:lineRule="auto"/>
              <w:jc w:val="center"/>
              <w:rPr>
                <w:sz w:val="21"/>
                <w:szCs w:val="21"/>
              </w:rPr>
            </w:pPr>
          </w:p>
        </w:tc>
        <w:tc>
          <w:tcPr>
            <w:tcW w:w="2116" w:type="dxa"/>
            <w:tcBorders>
              <w:top w:val="single" w:color="auto" w:sz="4" w:space="0"/>
              <w:left w:val="single" w:color="auto" w:sz="4" w:space="0"/>
              <w:bottom w:val="single" w:color="auto" w:sz="4" w:space="0"/>
              <w:right w:val="single" w:color="auto" w:sz="4" w:space="0"/>
            </w:tcBorders>
            <w:vAlign w:val="center"/>
          </w:tcPr>
          <w:p w14:paraId="6B449466">
            <w:pPr>
              <w:spacing w:before="0" w:after="0" w:line="300" w:lineRule="auto"/>
              <w:jc w:val="center"/>
              <w:rPr>
                <w:kern w:val="2"/>
                <w:sz w:val="21"/>
                <w:szCs w:val="21"/>
                <w:u w:val="single"/>
                <w:lang w:val="en-US" w:bidi="ar"/>
              </w:rPr>
            </w:pPr>
            <w:r>
              <w:rPr>
                <w:rFonts w:hint="eastAsia"/>
                <w:sz w:val="21"/>
                <w:szCs w:val="21"/>
                <w:u w:val="single"/>
              </w:rPr>
              <w:t>信誉要求</w:t>
            </w:r>
          </w:p>
        </w:tc>
        <w:tc>
          <w:tcPr>
            <w:tcW w:w="6361" w:type="dxa"/>
            <w:tcBorders>
              <w:top w:val="single" w:color="auto" w:sz="4" w:space="0"/>
              <w:left w:val="single" w:color="auto" w:sz="4" w:space="0"/>
              <w:bottom w:val="single" w:color="auto" w:sz="4" w:space="0"/>
            </w:tcBorders>
            <w:vAlign w:val="center"/>
          </w:tcPr>
          <w:p w14:paraId="5A8C2E87">
            <w:pPr>
              <w:spacing w:before="0" w:after="0" w:line="300" w:lineRule="auto"/>
              <w:rPr>
                <w:kern w:val="2"/>
                <w:sz w:val="21"/>
                <w:szCs w:val="21"/>
                <w:lang w:val="en-US" w:bidi="ar"/>
              </w:rPr>
            </w:pPr>
            <w:r>
              <w:rPr>
                <w:rFonts w:hint="eastAsia"/>
                <w:sz w:val="21"/>
                <w:szCs w:val="21"/>
                <w:lang w:val="en-US" w:bidi="ar"/>
              </w:rPr>
              <w:t>投标人（若为联合体投标，指联合体各方）未被列入拖欠农民工工资失信联合惩戒对象名单（投标人无需提供资料，按交易系统比对的结果进行评审）。</w:t>
            </w:r>
          </w:p>
        </w:tc>
      </w:tr>
      <w:tr w14:paraId="365EA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trHeight w:val="667" w:hRule="atLeast"/>
        </w:trPr>
        <w:tc>
          <w:tcPr>
            <w:tcW w:w="753" w:type="dxa"/>
            <w:vMerge w:val="restart"/>
            <w:tcBorders>
              <w:top w:val="single" w:color="auto" w:sz="4" w:space="0"/>
              <w:right w:val="single" w:color="auto" w:sz="4" w:space="0"/>
            </w:tcBorders>
            <w:vAlign w:val="center"/>
          </w:tcPr>
          <w:p w14:paraId="4ABEFA62">
            <w:pPr>
              <w:spacing w:line="300" w:lineRule="auto"/>
              <w:jc w:val="center"/>
              <w:rPr>
                <w:sz w:val="21"/>
                <w:szCs w:val="21"/>
              </w:rPr>
            </w:pPr>
            <w:r>
              <w:rPr>
                <w:rFonts w:hint="eastAsia"/>
                <w:sz w:val="21"/>
                <w:szCs w:val="21"/>
              </w:rPr>
              <w:t>2.1.3</w:t>
            </w:r>
          </w:p>
        </w:tc>
        <w:tc>
          <w:tcPr>
            <w:tcW w:w="997" w:type="dxa"/>
            <w:vMerge w:val="restart"/>
            <w:tcBorders>
              <w:top w:val="single" w:color="auto" w:sz="4" w:space="0"/>
              <w:left w:val="single" w:color="auto" w:sz="4" w:space="0"/>
              <w:right w:val="single" w:color="auto" w:sz="4" w:space="0"/>
            </w:tcBorders>
            <w:vAlign w:val="center"/>
          </w:tcPr>
          <w:p w14:paraId="5617F27E">
            <w:pPr>
              <w:spacing w:line="300" w:lineRule="auto"/>
              <w:jc w:val="center"/>
              <w:rPr>
                <w:sz w:val="21"/>
                <w:szCs w:val="21"/>
              </w:rPr>
            </w:pPr>
            <w:r>
              <w:rPr>
                <w:rFonts w:hint="eastAsia"/>
                <w:sz w:val="21"/>
                <w:szCs w:val="21"/>
              </w:rPr>
              <w:t>响应性评审标准</w:t>
            </w:r>
          </w:p>
        </w:tc>
        <w:tc>
          <w:tcPr>
            <w:tcW w:w="2116" w:type="dxa"/>
            <w:tcBorders>
              <w:top w:val="single" w:color="auto" w:sz="4" w:space="0"/>
              <w:left w:val="single" w:color="auto" w:sz="4" w:space="0"/>
              <w:bottom w:val="single" w:color="auto" w:sz="4" w:space="0"/>
              <w:right w:val="single" w:color="auto" w:sz="4" w:space="0"/>
            </w:tcBorders>
            <w:vAlign w:val="center"/>
          </w:tcPr>
          <w:p w14:paraId="544FF2F3">
            <w:pPr>
              <w:spacing w:line="300" w:lineRule="auto"/>
              <w:jc w:val="center"/>
              <w:rPr>
                <w:sz w:val="21"/>
                <w:szCs w:val="21"/>
                <w:lang w:val="en-US"/>
              </w:rPr>
            </w:pPr>
            <w:r>
              <w:rPr>
                <w:rFonts w:hint="eastAsia"/>
                <w:sz w:val="21"/>
                <w:szCs w:val="21"/>
                <w:lang w:val="en-US"/>
              </w:rPr>
              <w:t>投标文件</w:t>
            </w:r>
          </w:p>
        </w:tc>
        <w:tc>
          <w:tcPr>
            <w:tcW w:w="6361" w:type="dxa"/>
            <w:tcBorders>
              <w:top w:val="single" w:color="auto" w:sz="4" w:space="0"/>
              <w:left w:val="single" w:color="auto" w:sz="4" w:space="0"/>
              <w:bottom w:val="single" w:color="auto" w:sz="4" w:space="0"/>
            </w:tcBorders>
            <w:vAlign w:val="center"/>
          </w:tcPr>
          <w:p w14:paraId="620F09A3">
            <w:pPr>
              <w:spacing w:line="300" w:lineRule="auto"/>
              <w:rPr>
                <w:sz w:val="21"/>
                <w:szCs w:val="21"/>
                <w:lang w:val="en-US"/>
              </w:rPr>
            </w:pPr>
            <w:r>
              <w:rPr>
                <w:rFonts w:hint="eastAsia"/>
                <w:sz w:val="21"/>
                <w:szCs w:val="21"/>
                <w:lang w:val="en-US"/>
              </w:rPr>
              <w:t>投标文件所列投标人名称与投标登记时一致；</w:t>
            </w:r>
          </w:p>
        </w:tc>
      </w:tr>
      <w:tr w14:paraId="5ACB90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trHeight w:val="817" w:hRule="atLeast"/>
        </w:trPr>
        <w:tc>
          <w:tcPr>
            <w:tcW w:w="753" w:type="dxa"/>
            <w:vMerge w:val="continue"/>
            <w:tcBorders>
              <w:right w:val="single" w:color="auto" w:sz="4" w:space="0"/>
            </w:tcBorders>
            <w:vAlign w:val="center"/>
          </w:tcPr>
          <w:p w14:paraId="17ACD05D">
            <w:pPr>
              <w:spacing w:line="300" w:lineRule="auto"/>
              <w:jc w:val="center"/>
              <w:rPr>
                <w:sz w:val="21"/>
                <w:szCs w:val="21"/>
              </w:rPr>
            </w:pPr>
          </w:p>
        </w:tc>
        <w:tc>
          <w:tcPr>
            <w:tcW w:w="997" w:type="dxa"/>
            <w:vMerge w:val="continue"/>
            <w:tcBorders>
              <w:left w:val="single" w:color="auto" w:sz="4" w:space="0"/>
              <w:right w:val="single" w:color="auto" w:sz="4" w:space="0"/>
            </w:tcBorders>
            <w:vAlign w:val="center"/>
          </w:tcPr>
          <w:p w14:paraId="0BFF465E">
            <w:pPr>
              <w:spacing w:line="300" w:lineRule="auto"/>
              <w:jc w:val="center"/>
              <w:rPr>
                <w:sz w:val="21"/>
                <w:szCs w:val="21"/>
              </w:rPr>
            </w:pP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BAC55DC">
            <w:pPr>
              <w:spacing w:line="300" w:lineRule="auto"/>
              <w:jc w:val="center"/>
              <w:rPr>
                <w:strike/>
                <w:sz w:val="21"/>
                <w:szCs w:val="21"/>
              </w:rPr>
            </w:pPr>
            <w:r>
              <w:rPr>
                <w:rFonts w:hint="eastAsia"/>
                <w:sz w:val="21"/>
                <w:szCs w:val="21"/>
              </w:rPr>
              <w:t>投标报价</w:t>
            </w:r>
          </w:p>
        </w:tc>
        <w:tc>
          <w:tcPr>
            <w:tcW w:w="6361" w:type="dxa"/>
            <w:tcBorders>
              <w:top w:val="single" w:color="auto" w:sz="4" w:space="0"/>
              <w:left w:val="single" w:color="auto" w:sz="4" w:space="0"/>
              <w:bottom w:val="single" w:color="auto" w:sz="4" w:space="0"/>
            </w:tcBorders>
            <w:shd w:val="clear" w:color="auto" w:fill="auto"/>
            <w:vAlign w:val="center"/>
          </w:tcPr>
          <w:p w14:paraId="1246AB64">
            <w:pPr>
              <w:spacing w:line="300" w:lineRule="auto"/>
              <w:rPr>
                <w:strike/>
                <w:sz w:val="21"/>
                <w:szCs w:val="21"/>
              </w:rPr>
            </w:pPr>
            <w:r>
              <w:rPr>
                <w:rFonts w:hint="eastAsia"/>
                <w:sz w:val="21"/>
                <w:szCs w:val="21"/>
              </w:rPr>
              <w:t>符合第二章“投标人须知”第 3.2 款规定；</w:t>
            </w:r>
          </w:p>
        </w:tc>
      </w:tr>
      <w:tr w14:paraId="032423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trPr>
        <w:tc>
          <w:tcPr>
            <w:tcW w:w="753" w:type="dxa"/>
            <w:vMerge w:val="continue"/>
            <w:tcBorders>
              <w:right w:val="single" w:color="auto" w:sz="4" w:space="0"/>
            </w:tcBorders>
            <w:vAlign w:val="center"/>
          </w:tcPr>
          <w:p w14:paraId="2665C552">
            <w:pPr>
              <w:spacing w:line="300" w:lineRule="auto"/>
              <w:jc w:val="center"/>
              <w:rPr>
                <w:sz w:val="21"/>
                <w:szCs w:val="21"/>
              </w:rPr>
            </w:pPr>
          </w:p>
        </w:tc>
        <w:tc>
          <w:tcPr>
            <w:tcW w:w="997" w:type="dxa"/>
            <w:vMerge w:val="continue"/>
            <w:tcBorders>
              <w:left w:val="single" w:color="auto" w:sz="4" w:space="0"/>
              <w:right w:val="single" w:color="auto" w:sz="4" w:space="0"/>
            </w:tcBorders>
            <w:vAlign w:val="center"/>
          </w:tcPr>
          <w:p w14:paraId="099BEC24">
            <w:pPr>
              <w:spacing w:line="300" w:lineRule="auto"/>
              <w:jc w:val="center"/>
              <w:rPr>
                <w:sz w:val="21"/>
                <w:szCs w:val="21"/>
              </w:rPr>
            </w:pPr>
          </w:p>
        </w:tc>
        <w:tc>
          <w:tcPr>
            <w:tcW w:w="2116" w:type="dxa"/>
            <w:tcBorders>
              <w:top w:val="single" w:color="auto" w:sz="4" w:space="0"/>
              <w:left w:val="single" w:color="auto" w:sz="4" w:space="0"/>
              <w:bottom w:val="single" w:color="auto" w:sz="4" w:space="0"/>
              <w:right w:val="single" w:color="auto" w:sz="4" w:space="0"/>
            </w:tcBorders>
            <w:vAlign w:val="center"/>
          </w:tcPr>
          <w:p w14:paraId="1BCC64C0">
            <w:pPr>
              <w:spacing w:line="300" w:lineRule="auto"/>
              <w:jc w:val="center"/>
              <w:rPr>
                <w:sz w:val="21"/>
                <w:szCs w:val="21"/>
              </w:rPr>
            </w:pPr>
            <w:r>
              <w:rPr>
                <w:rFonts w:hint="eastAsia"/>
                <w:sz w:val="21"/>
                <w:szCs w:val="21"/>
              </w:rPr>
              <w:t>投标内容</w:t>
            </w:r>
          </w:p>
        </w:tc>
        <w:tc>
          <w:tcPr>
            <w:tcW w:w="6361" w:type="dxa"/>
            <w:tcBorders>
              <w:top w:val="single" w:color="auto" w:sz="4" w:space="0"/>
              <w:left w:val="single" w:color="auto" w:sz="4" w:space="0"/>
              <w:bottom w:val="single" w:color="auto" w:sz="4" w:space="0"/>
            </w:tcBorders>
            <w:vAlign w:val="center"/>
          </w:tcPr>
          <w:p w14:paraId="2329085E">
            <w:pPr>
              <w:spacing w:line="300" w:lineRule="auto"/>
              <w:rPr>
                <w:sz w:val="21"/>
                <w:szCs w:val="21"/>
              </w:rPr>
            </w:pPr>
            <w:r>
              <w:rPr>
                <w:rFonts w:hint="eastAsia"/>
                <w:sz w:val="21"/>
                <w:szCs w:val="21"/>
              </w:rPr>
              <w:t>符合第二章“投标人须知”第1.3.1项规定。</w:t>
            </w:r>
          </w:p>
        </w:tc>
      </w:tr>
      <w:tr w14:paraId="1D69A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trPr>
        <w:tc>
          <w:tcPr>
            <w:tcW w:w="753" w:type="dxa"/>
            <w:vMerge w:val="continue"/>
            <w:tcBorders>
              <w:right w:val="single" w:color="auto" w:sz="4" w:space="0"/>
            </w:tcBorders>
            <w:vAlign w:val="center"/>
          </w:tcPr>
          <w:p w14:paraId="40FEBD89">
            <w:pPr>
              <w:spacing w:line="300" w:lineRule="auto"/>
              <w:jc w:val="center"/>
              <w:rPr>
                <w:sz w:val="21"/>
                <w:szCs w:val="21"/>
              </w:rPr>
            </w:pPr>
          </w:p>
        </w:tc>
        <w:tc>
          <w:tcPr>
            <w:tcW w:w="997" w:type="dxa"/>
            <w:vMerge w:val="continue"/>
            <w:tcBorders>
              <w:left w:val="single" w:color="auto" w:sz="4" w:space="0"/>
              <w:right w:val="single" w:color="auto" w:sz="4" w:space="0"/>
            </w:tcBorders>
            <w:vAlign w:val="center"/>
          </w:tcPr>
          <w:p w14:paraId="56F0B9C9">
            <w:pPr>
              <w:spacing w:line="300" w:lineRule="auto"/>
              <w:jc w:val="center"/>
              <w:rPr>
                <w:sz w:val="21"/>
                <w:szCs w:val="21"/>
              </w:rPr>
            </w:pPr>
          </w:p>
        </w:tc>
        <w:tc>
          <w:tcPr>
            <w:tcW w:w="2116" w:type="dxa"/>
            <w:tcBorders>
              <w:top w:val="single" w:color="auto" w:sz="4" w:space="0"/>
              <w:left w:val="single" w:color="auto" w:sz="4" w:space="0"/>
              <w:bottom w:val="single" w:color="auto" w:sz="4" w:space="0"/>
              <w:right w:val="single" w:color="auto" w:sz="4" w:space="0"/>
            </w:tcBorders>
            <w:vAlign w:val="center"/>
          </w:tcPr>
          <w:p w14:paraId="4212EE75">
            <w:pPr>
              <w:spacing w:line="300" w:lineRule="auto"/>
              <w:jc w:val="center"/>
              <w:rPr>
                <w:sz w:val="21"/>
                <w:szCs w:val="21"/>
              </w:rPr>
            </w:pPr>
            <w:r>
              <w:rPr>
                <w:rFonts w:hint="eastAsia"/>
                <w:sz w:val="21"/>
                <w:szCs w:val="21"/>
                <w:u w:val="single"/>
              </w:rPr>
              <w:t>服务期限</w:t>
            </w:r>
          </w:p>
        </w:tc>
        <w:tc>
          <w:tcPr>
            <w:tcW w:w="6361" w:type="dxa"/>
            <w:tcBorders>
              <w:top w:val="single" w:color="auto" w:sz="4" w:space="0"/>
              <w:left w:val="single" w:color="auto" w:sz="4" w:space="0"/>
              <w:bottom w:val="single" w:color="auto" w:sz="4" w:space="0"/>
            </w:tcBorders>
            <w:vAlign w:val="center"/>
          </w:tcPr>
          <w:p w14:paraId="5641DFBD">
            <w:pPr>
              <w:spacing w:line="300" w:lineRule="auto"/>
              <w:rPr>
                <w:sz w:val="21"/>
                <w:szCs w:val="21"/>
              </w:rPr>
            </w:pPr>
            <w:r>
              <w:rPr>
                <w:rFonts w:hint="eastAsia"/>
                <w:sz w:val="21"/>
                <w:szCs w:val="21"/>
              </w:rPr>
              <w:t>符合第二章“投标人须知”第1.3.2项规定。</w:t>
            </w:r>
          </w:p>
        </w:tc>
      </w:tr>
      <w:tr w14:paraId="391D3F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trPr>
        <w:tc>
          <w:tcPr>
            <w:tcW w:w="753" w:type="dxa"/>
            <w:vMerge w:val="continue"/>
            <w:tcBorders>
              <w:right w:val="single" w:color="auto" w:sz="4" w:space="0"/>
            </w:tcBorders>
            <w:vAlign w:val="center"/>
          </w:tcPr>
          <w:p w14:paraId="68CCAA58">
            <w:pPr>
              <w:spacing w:line="300" w:lineRule="auto"/>
              <w:jc w:val="center"/>
              <w:rPr>
                <w:sz w:val="21"/>
                <w:szCs w:val="21"/>
              </w:rPr>
            </w:pPr>
          </w:p>
        </w:tc>
        <w:tc>
          <w:tcPr>
            <w:tcW w:w="997" w:type="dxa"/>
            <w:vMerge w:val="continue"/>
            <w:tcBorders>
              <w:left w:val="single" w:color="auto" w:sz="4" w:space="0"/>
              <w:right w:val="single" w:color="auto" w:sz="4" w:space="0"/>
            </w:tcBorders>
            <w:vAlign w:val="center"/>
          </w:tcPr>
          <w:p w14:paraId="00034449">
            <w:pPr>
              <w:spacing w:line="300" w:lineRule="auto"/>
              <w:jc w:val="center"/>
              <w:rPr>
                <w:sz w:val="21"/>
                <w:szCs w:val="21"/>
              </w:rPr>
            </w:pPr>
          </w:p>
        </w:tc>
        <w:tc>
          <w:tcPr>
            <w:tcW w:w="2116" w:type="dxa"/>
            <w:tcBorders>
              <w:top w:val="single" w:color="auto" w:sz="4" w:space="0"/>
              <w:left w:val="single" w:color="auto" w:sz="4" w:space="0"/>
              <w:bottom w:val="single" w:color="auto" w:sz="4" w:space="0"/>
              <w:right w:val="single" w:color="auto" w:sz="4" w:space="0"/>
            </w:tcBorders>
            <w:vAlign w:val="center"/>
          </w:tcPr>
          <w:p w14:paraId="68B60778">
            <w:pPr>
              <w:spacing w:line="300" w:lineRule="auto"/>
              <w:jc w:val="center"/>
              <w:rPr>
                <w:sz w:val="21"/>
                <w:szCs w:val="21"/>
              </w:rPr>
            </w:pPr>
            <w:r>
              <w:rPr>
                <w:rFonts w:hint="eastAsia"/>
                <w:sz w:val="21"/>
                <w:szCs w:val="21"/>
              </w:rPr>
              <w:t>质量标准</w:t>
            </w:r>
          </w:p>
        </w:tc>
        <w:tc>
          <w:tcPr>
            <w:tcW w:w="6361" w:type="dxa"/>
            <w:tcBorders>
              <w:top w:val="single" w:color="auto" w:sz="4" w:space="0"/>
              <w:left w:val="single" w:color="auto" w:sz="4" w:space="0"/>
              <w:bottom w:val="single" w:color="auto" w:sz="4" w:space="0"/>
            </w:tcBorders>
            <w:vAlign w:val="center"/>
          </w:tcPr>
          <w:p w14:paraId="66857135">
            <w:pPr>
              <w:spacing w:line="300" w:lineRule="auto"/>
              <w:rPr>
                <w:sz w:val="21"/>
                <w:szCs w:val="21"/>
              </w:rPr>
            </w:pPr>
            <w:r>
              <w:rPr>
                <w:rFonts w:hint="eastAsia"/>
                <w:sz w:val="21"/>
                <w:szCs w:val="21"/>
              </w:rPr>
              <w:t>符合第二章“投标人须知”第1.3.3项规定。</w:t>
            </w:r>
          </w:p>
        </w:tc>
      </w:tr>
      <w:tr w14:paraId="4E27DF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trPr>
        <w:tc>
          <w:tcPr>
            <w:tcW w:w="753" w:type="dxa"/>
            <w:vMerge w:val="continue"/>
            <w:tcBorders>
              <w:right w:val="single" w:color="auto" w:sz="4" w:space="0"/>
            </w:tcBorders>
            <w:vAlign w:val="center"/>
          </w:tcPr>
          <w:p w14:paraId="171FD5CB">
            <w:pPr>
              <w:spacing w:line="300" w:lineRule="auto"/>
              <w:rPr>
                <w:sz w:val="21"/>
                <w:szCs w:val="21"/>
              </w:rPr>
            </w:pPr>
          </w:p>
        </w:tc>
        <w:tc>
          <w:tcPr>
            <w:tcW w:w="997" w:type="dxa"/>
            <w:vMerge w:val="continue"/>
            <w:tcBorders>
              <w:left w:val="single" w:color="auto" w:sz="4" w:space="0"/>
              <w:right w:val="single" w:color="auto" w:sz="4" w:space="0"/>
            </w:tcBorders>
            <w:vAlign w:val="center"/>
          </w:tcPr>
          <w:p w14:paraId="00E202C5">
            <w:pPr>
              <w:spacing w:line="300" w:lineRule="auto"/>
              <w:rPr>
                <w:sz w:val="21"/>
                <w:szCs w:val="21"/>
              </w:rPr>
            </w:pPr>
          </w:p>
        </w:tc>
        <w:tc>
          <w:tcPr>
            <w:tcW w:w="2116" w:type="dxa"/>
            <w:tcBorders>
              <w:top w:val="single" w:color="auto" w:sz="4" w:space="0"/>
              <w:left w:val="single" w:color="auto" w:sz="4" w:space="0"/>
              <w:bottom w:val="single" w:color="auto" w:sz="4" w:space="0"/>
              <w:right w:val="single" w:color="auto" w:sz="4" w:space="0"/>
            </w:tcBorders>
          </w:tcPr>
          <w:p w14:paraId="4B0C6633">
            <w:pPr>
              <w:spacing w:line="300" w:lineRule="auto"/>
              <w:jc w:val="center"/>
              <w:rPr>
                <w:sz w:val="21"/>
                <w:szCs w:val="21"/>
              </w:rPr>
            </w:pPr>
            <w:r>
              <w:rPr>
                <w:rFonts w:hint="eastAsia"/>
                <w:sz w:val="21"/>
                <w:szCs w:val="21"/>
              </w:rPr>
              <w:t>投标有效期</w:t>
            </w:r>
          </w:p>
        </w:tc>
        <w:tc>
          <w:tcPr>
            <w:tcW w:w="6361" w:type="dxa"/>
            <w:tcBorders>
              <w:top w:val="single" w:color="auto" w:sz="4" w:space="0"/>
              <w:left w:val="single" w:color="auto" w:sz="4" w:space="0"/>
              <w:bottom w:val="single" w:color="auto" w:sz="4" w:space="0"/>
            </w:tcBorders>
          </w:tcPr>
          <w:p w14:paraId="4209AB5E">
            <w:pPr>
              <w:spacing w:line="300" w:lineRule="auto"/>
              <w:rPr>
                <w:sz w:val="21"/>
                <w:szCs w:val="21"/>
              </w:rPr>
            </w:pPr>
            <w:r>
              <w:rPr>
                <w:rFonts w:hint="eastAsia"/>
                <w:sz w:val="21"/>
                <w:szCs w:val="21"/>
              </w:rPr>
              <w:t>符合第二章“投标人须知”第3.3.1项规定。</w:t>
            </w:r>
          </w:p>
        </w:tc>
      </w:tr>
      <w:tr w14:paraId="0F68B7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trHeight w:val="830" w:hRule="atLeast"/>
        </w:trPr>
        <w:tc>
          <w:tcPr>
            <w:tcW w:w="753" w:type="dxa"/>
            <w:vMerge w:val="continue"/>
            <w:tcBorders>
              <w:right w:val="single" w:color="auto" w:sz="4" w:space="0"/>
            </w:tcBorders>
            <w:vAlign w:val="center"/>
          </w:tcPr>
          <w:p w14:paraId="12883309">
            <w:pPr>
              <w:spacing w:line="300" w:lineRule="auto"/>
              <w:rPr>
                <w:sz w:val="21"/>
                <w:szCs w:val="21"/>
              </w:rPr>
            </w:pPr>
          </w:p>
        </w:tc>
        <w:tc>
          <w:tcPr>
            <w:tcW w:w="997" w:type="dxa"/>
            <w:vMerge w:val="continue"/>
            <w:tcBorders>
              <w:left w:val="single" w:color="auto" w:sz="4" w:space="0"/>
              <w:right w:val="single" w:color="auto" w:sz="4" w:space="0"/>
            </w:tcBorders>
            <w:vAlign w:val="center"/>
          </w:tcPr>
          <w:p w14:paraId="61D3EF2D">
            <w:pPr>
              <w:spacing w:line="300" w:lineRule="auto"/>
              <w:rPr>
                <w:sz w:val="21"/>
                <w:szCs w:val="21"/>
              </w:rPr>
            </w:pPr>
          </w:p>
        </w:tc>
        <w:tc>
          <w:tcPr>
            <w:tcW w:w="2116" w:type="dxa"/>
            <w:tcBorders>
              <w:top w:val="single" w:color="auto" w:sz="4" w:space="0"/>
              <w:left w:val="single" w:color="auto" w:sz="4" w:space="0"/>
              <w:right w:val="single" w:color="auto" w:sz="4" w:space="0"/>
            </w:tcBorders>
            <w:vAlign w:val="center"/>
          </w:tcPr>
          <w:p w14:paraId="4B784D10">
            <w:pPr>
              <w:widowControl/>
              <w:spacing w:before="0" w:beforeAutospacing="0" w:after="0" w:afterAutospacing="0" w:line="300" w:lineRule="auto"/>
              <w:jc w:val="center"/>
              <w:rPr>
                <w:sz w:val="21"/>
                <w:szCs w:val="21"/>
                <w:u w:val="single"/>
              </w:rPr>
            </w:pPr>
            <w:r>
              <w:rPr>
                <w:rFonts w:hint="eastAsia"/>
                <w:sz w:val="21"/>
                <w:szCs w:val="21"/>
                <w:u w:val="single"/>
              </w:rPr>
              <w:t>串通投标情形</w:t>
            </w:r>
          </w:p>
        </w:tc>
        <w:tc>
          <w:tcPr>
            <w:tcW w:w="6361" w:type="dxa"/>
            <w:tcBorders>
              <w:top w:val="single" w:color="auto" w:sz="4" w:space="0"/>
              <w:left w:val="single" w:color="auto" w:sz="4" w:space="0"/>
            </w:tcBorders>
          </w:tcPr>
          <w:p w14:paraId="056C48B4">
            <w:pPr>
              <w:widowControl/>
              <w:spacing w:before="0" w:beforeAutospacing="0" w:after="0" w:afterAutospacing="0" w:line="300" w:lineRule="auto"/>
              <w:rPr>
                <w:sz w:val="21"/>
                <w:szCs w:val="21"/>
                <w:u w:val="single"/>
              </w:rPr>
            </w:pPr>
            <w:r>
              <w:rPr>
                <w:rFonts w:hint="eastAsia"/>
                <w:sz w:val="21"/>
                <w:szCs w:val="21"/>
              </w:rPr>
              <w:t>不存在串通投标情形（串通投标情形以《中华人民共和国招标投标法实施条例》的规定为准）。</w:t>
            </w:r>
          </w:p>
        </w:tc>
      </w:tr>
      <w:tr w14:paraId="2E1BA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490" w:hRule="atLeast"/>
        </w:trPr>
        <w:tc>
          <w:tcPr>
            <w:tcW w:w="1750" w:type="dxa"/>
            <w:gridSpan w:val="2"/>
            <w:vAlign w:val="center"/>
          </w:tcPr>
          <w:p w14:paraId="0F2065F3">
            <w:pPr>
              <w:spacing w:line="300" w:lineRule="auto"/>
              <w:jc w:val="center"/>
              <w:rPr>
                <w:b/>
                <w:sz w:val="21"/>
                <w:szCs w:val="21"/>
              </w:rPr>
            </w:pPr>
            <w:r>
              <w:rPr>
                <w:rFonts w:hint="eastAsia"/>
                <w:b/>
                <w:sz w:val="21"/>
                <w:szCs w:val="21"/>
              </w:rPr>
              <w:t>条款号</w:t>
            </w:r>
          </w:p>
        </w:tc>
        <w:tc>
          <w:tcPr>
            <w:tcW w:w="2116" w:type="dxa"/>
            <w:vAlign w:val="center"/>
          </w:tcPr>
          <w:p w14:paraId="4F8DB123">
            <w:pPr>
              <w:spacing w:line="300" w:lineRule="auto"/>
              <w:jc w:val="center"/>
              <w:rPr>
                <w:b/>
                <w:sz w:val="21"/>
                <w:szCs w:val="21"/>
              </w:rPr>
            </w:pPr>
            <w:r>
              <w:rPr>
                <w:rFonts w:hint="eastAsia"/>
                <w:b/>
                <w:sz w:val="21"/>
                <w:szCs w:val="21"/>
              </w:rPr>
              <w:t>条款内容</w:t>
            </w:r>
          </w:p>
        </w:tc>
        <w:tc>
          <w:tcPr>
            <w:tcW w:w="6361" w:type="dxa"/>
            <w:vAlign w:val="center"/>
          </w:tcPr>
          <w:p w14:paraId="03978C9C">
            <w:pPr>
              <w:spacing w:line="300" w:lineRule="auto"/>
              <w:jc w:val="center"/>
              <w:rPr>
                <w:b/>
                <w:sz w:val="21"/>
                <w:szCs w:val="21"/>
              </w:rPr>
            </w:pPr>
            <w:r>
              <w:rPr>
                <w:rFonts w:hint="eastAsia"/>
                <w:b/>
                <w:sz w:val="21"/>
                <w:szCs w:val="21"/>
              </w:rPr>
              <w:t>编列内容</w:t>
            </w:r>
          </w:p>
        </w:tc>
      </w:tr>
      <w:tr w14:paraId="1A78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1838" w:hRule="atLeast"/>
        </w:trPr>
        <w:tc>
          <w:tcPr>
            <w:tcW w:w="1750" w:type="dxa"/>
            <w:gridSpan w:val="2"/>
            <w:vAlign w:val="center"/>
          </w:tcPr>
          <w:p w14:paraId="21CE97C3">
            <w:pPr>
              <w:spacing w:line="300" w:lineRule="auto"/>
              <w:jc w:val="center"/>
              <w:rPr>
                <w:sz w:val="21"/>
                <w:szCs w:val="21"/>
              </w:rPr>
            </w:pPr>
            <w:r>
              <w:rPr>
                <w:rFonts w:hint="eastAsia"/>
                <w:sz w:val="21"/>
                <w:szCs w:val="21"/>
              </w:rPr>
              <w:t>2.2.1</w:t>
            </w:r>
          </w:p>
        </w:tc>
        <w:tc>
          <w:tcPr>
            <w:tcW w:w="2116" w:type="dxa"/>
            <w:vAlign w:val="center"/>
          </w:tcPr>
          <w:p w14:paraId="0DC410D2">
            <w:pPr>
              <w:spacing w:line="300" w:lineRule="auto"/>
              <w:jc w:val="center"/>
              <w:rPr>
                <w:sz w:val="21"/>
                <w:szCs w:val="21"/>
              </w:rPr>
            </w:pPr>
            <w:r>
              <w:rPr>
                <w:rFonts w:hint="eastAsia"/>
                <w:sz w:val="21"/>
                <w:szCs w:val="21"/>
              </w:rPr>
              <w:t>分值构成</w:t>
            </w:r>
          </w:p>
          <w:p w14:paraId="484CB576">
            <w:pPr>
              <w:spacing w:line="300" w:lineRule="auto"/>
              <w:jc w:val="center"/>
              <w:rPr>
                <w:sz w:val="21"/>
                <w:szCs w:val="21"/>
              </w:rPr>
            </w:pPr>
            <w:r>
              <w:rPr>
                <w:rFonts w:hint="eastAsia"/>
                <w:sz w:val="21"/>
                <w:szCs w:val="21"/>
              </w:rPr>
              <w:t>(总分100分)</w:t>
            </w:r>
          </w:p>
        </w:tc>
        <w:tc>
          <w:tcPr>
            <w:tcW w:w="6361" w:type="dxa"/>
            <w:vAlign w:val="center"/>
          </w:tcPr>
          <w:p w14:paraId="57ECD97B">
            <w:pPr>
              <w:spacing w:line="300" w:lineRule="auto"/>
              <w:rPr>
                <w:sz w:val="21"/>
                <w:szCs w:val="21"/>
              </w:rPr>
            </w:pPr>
            <w:r>
              <w:rPr>
                <w:rFonts w:hint="eastAsia"/>
                <w:sz w:val="21"/>
                <w:szCs w:val="21"/>
              </w:rPr>
              <w:t>1.投标人总得分 =（A）资信业绩得分+（B）项目代建管理方案得分 +（C）投标报价得分；</w:t>
            </w:r>
          </w:p>
          <w:p w14:paraId="5AB687EF">
            <w:pPr>
              <w:spacing w:line="300" w:lineRule="auto"/>
              <w:rPr>
                <w:sz w:val="21"/>
                <w:szCs w:val="21"/>
              </w:rPr>
            </w:pPr>
            <w:r>
              <w:rPr>
                <w:rFonts w:hint="eastAsia"/>
                <w:sz w:val="21"/>
                <w:szCs w:val="21"/>
              </w:rPr>
              <w:t>2.总得分采用百分制评分法，主要对投标人的以下方面进行评议：</w:t>
            </w:r>
          </w:p>
          <w:p w14:paraId="19861D05">
            <w:pPr>
              <w:spacing w:line="300" w:lineRule="auto"/>
              <w:rPr>
                <w:sz w:val="21"/>
                <w:szCs w:val="21"/>
              </w:rPr>
            </w:pPr>
            <w:r>
              <w:rPr>
                <w:rFonts w:hint="eastAsia"/>
                <w:sz w:val="21"/>
                <w:szCs w:val="21"/>
              </w:rPr>
              <w:t>（A）资信业绩得分：60分</w:t>
            </w:r>
          </w:p>
          <w:p w14:paraId="4B3EC867">
            <w:pPr>
              <w:spacing w:line="300" w:lineRule="auto"/>
              <w:rPr>
                <w:sz w:val="21"/>
                <w:szCs w:val="21"/>
              </w:rPr>
            </w:pPr>
            <w:r>
              <w:rPr>
                <w:rFonts w:hint="eastAsia"/>
                <w:sz w:val="21"/>
                <w:szCs w:val="21"/>
              </w:rPr>
              <w:t>（B）项目代建管理方案得分：30分</w:t>
            </w:r>
          </w:p>
          <w:p w14:paraId="5187EF3C">
            <w:pPr>
              <w:pStyle w:val="5"/>
              <w:spacing w:line="300" w:lineRule="auto"/>
              <w:ind w:firstLine="0"/>
              <w:rPr>
                <w:sz w:val="21"/>
                <w:szCs w:val="21"/>
              </w:rPr>
            </w:pPr>
            <w:r>
              <w:rPr>
                <w:rFonts w:hint="eastAsia"/>
                <w:sz w:val="21"/>
                <w:szCs w:val="21"/>
              </w:rPr>
              <w:t>（C）投标报价得分：10分</w:t>
            </w:r>
          </w:p>
        </w:tc>
      </w:tr>
      <w:tr w14:paraId="0E29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1758" w:hRule="atLeast"/>
        </w:trPr>
        <w:tc>
          <w:tcPr>
            <w:tcW w:w="1750" w:type="dxa"/>
            <w:gridSpan w:val="2"/>
            <w:vAlign w:val="center"/>
          </w:tcPr>
          <w:p w14:paraId="1FFC17F7">
            <w:pPr>
              <w:spacing w:line="300" w:lineRule="auto"/>
              <w:jc w:val="center"/>
              <w:rPr>
                <w:sz w:val="21"/>
                <w:szCs w:val="21"/>
              </w:rPr>
            </w:pPr>
            <w:r>
              <w:rPr>
                <w:rFonts w:hint="eastAsia"/>
                <w:sz w:val="21"/>
                <w:szCs w:val="21"/>
              </w:rPr>
              <w:t>2.2.2</w:t>
            </w:r>
          </w:p>
        </w:tc>
        <w:tc>
          <w:tcPr>
            <w:tcW w:w="2116" w:type="dxa"/>
            <w:vAlign w:val="center"/>
          </w:tcPr>
          <w:p w14:paraId="07411CA0">
            <w:pPr>
              <w:spacing w:line="300" w:lineRule="auto"/>
              <w:rPr>
                <w:sz w:val="21"/>
                <w:szCs w:val="21"/>
              </w:rPr>
            </w:pPr>
            <w:r>
              <w:rPr>
                <w:rFonts w:hint="eastAsia"/>
                <w:sz w:val="21"/>
                <w:szCs w:val="21"/>
              </w:rPr>
              <w:t>评标基准价计算方法</w:t>
            </w:r>
          </w:p>
        </w:tc>
        <w:tc>
          <w:tcPr>
            <w:tcW w:w="6361" w:type="dxa"/>
            <w:vAlign w:val="center"/>
          </w:tcPr>
          <w:p w14:paraId="130A28AD">
            <w:pPr>
              <w:spacing w:line="300" w:lineRule="auto"/>
              <w:jc w:val="both"/>
              <w:rPr>
                <w:sz w:val="21"/>
                <w:szCs w:val="21"/>
              </w:rPr>
            </w:pPr>
            <w:r>
              <w:rPr>
                <w:rFonts w:hint="eastAsia"/>
                <w:sz w:val="21"/>
                <w:szCs w:val="21"/>
              </w:rPr>
              <w:t>当通过</w:t>
            </w:r>
            <w:r>
              <w:rPr>
                <w:rFonts w:hint="eastAsia"/>
                <w:sz w:val="21"/>
                <w:szCs w:val="21"/>
                <w:lang w:val="en-US"/>
              </w:rPr>
              <w:t>初步评审（</w:t>
            </w:r>
            <w:r>
              <w:rPr>
                <w:rFonts w:hint="eastAsia"/>
                <w:sz w:val="21"/>
                <w:szCs w:val="21"/>
              </w:rPr>
              <w:t>形式评审、资格评审、响应性评审）的有效投标人大于5名时，去掉一个最高价和一个最低价，取余下有效投标</w:t>
            </w:r>
            <w:r>
              <w:rPr>
                <w:rFonts w:hint="eastAsia"/>
                <w:sz w:val="21"/>
                <w:szCs w:val="21"/>
                <w:lang w:val="en-US"/>
              </w:rPr>
              <w:t>总报价</w:t>
            </w:r>
            <w:r>
              <w:rPr>
                <w:rFonts w:hint="eastAsia"/>
                <w:sz w:val="21"/>
                <w:szCs w:val="21"/>
              </w:rPr>
              <w:t>的算术平均值的作为评标基准价。当通过</w:t>
            </w:r>
            <w:r>
              <w:rPr>
                <w:rFonts w:hint="eastAsia"/>
                <w:sz w:val="21"/>
                <w:szCs w:val="21"/>
                <w:lang w:val="en-US"/>
              </w:rPr>
              <w:t>初步评审（</w:t>
            </w:r>
            <w:r>
              <w:rPr>
                <w:rFonts w:hint="eastAsia"/>
                <w:sz w:val="21"/>
                <w:szCs w:val="21"/>
              </w:rPr>
              <w:t>形式评审、资格评审、响应性评审）的有效投标人小于</w:t>
            </w:r>
            <w:r>
              <w:rPr>
                <w:rFonts w:hint="eastAsia"/>
                <w:sz w:val="21"/>
                <w:szCs w:val="21"/>
                <w:lang w:val="en-US"/>
              </w:rPr>
              <w:t>或等于</w:t>
            </w:r>
            <w:r>
              <w:rPr>
                <w:rFonts w:hint="eastAsia"/>
                <w:sz w:val="21"/>
                <w:szCs w:val="21"/>
              </w:rPr>
              <w:t>5名时，取所有入围的有效投标</w:t>
            </w:r>
            <w:r>
              <w:rPr>
                <w:rFonts w:hint="eastAsia"/>
                <w:sz w:val="21"/>
                <w:szCs w:val="21"/>
                <w:lang w:val="en-US"/>
              </w:rPr>
              <w:t>总报价</w:t>
            </w:r>
            <w:r>
              <w:rPr>
                <w:rFonts w:hint="eastAsia"/>
                <w:sz w:val="21"/>
                <w:szCs w:val="21"/>
              </w:rPr>
              <w:t>的算术平均值作为评标基准价。低于最高投标限价80%的有效投标价不参与计算评标基准价。</w:t>
            </w:r>
          </w:p>
        </w:tc>
      </w:tr>
      <w:tr w14:paraId="5E74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1154" w:hRule="atLeast"/>
        </w:trPr>
        <w:tc>
          <w:tcPr>
            <w:tcW w:w="1750" w:type="dxa"/>
            <w:gridSpan w:val="2"/>
            <w:vAlign w:val="center"/>
          </w:tcPr>
          <w:p w14:paraId="7499B519">
            <w:pPr>
              <w:spacing w:line="300" w:lineRule="auto"/>
              <w:jc w:val="center"/>
              <w:rPr>
                <w:sz w:val="21"/>
                <w:szCs w:val="21"/>
              </w:rPr>
            </w:pPr>
            <w:r>
              <w:rPr>
                <w:rFonts w:hint="eastAsia"/>
                <w:sz w:val="21"/>
                <w:szCs w:val="21"/>
              </w:rPr>
              <w:t>2.2.3</w:t>
            </w:r>
          </w:p>
        </w:tc>
        <w:tc>
          <w:tcPr>
            <w:tcW w:w="2116" w:type="dxa"/>
            <w:vAlign w:val="center"/>
          </w:tcPr>
          <w:p w14:paraId="63BDEC41">
            <w:pPr>
              <w:spacing w:line="300" w:lineRule="auto"/>
              <w:rPr>
                <w:sz w:val="21"/>
                <w:szCs w:val="21"/>
              </w:rPr>
            </w:pPr>
            <w:r>
              <w:rPr>
                <w:rFonts w:hint="eastAsia"/>
                <w:sz w:val="21"/>
                <w:szCs w:val="21"/>
              </w:rPr>
              <w:t>投标报价的偏差率计算公式</w:t>
            </w:r>
          </w:p>
        </w:tc>
        <w:tc>
          <w:tcPr>
            <w:tcW w:w="6361" w:type="dxa"/>
            <w:vAlign w:val="center"/>
          </w:tcPr>
          <w:p w14:paraId="63EED196">
            <w:pPr>
              <w:spacing w:line="300" w:lineRule="auto"/>
              <w:rPr>
                <w:sz w:val="21"/>
                <w:szCs w:val="21"/>
              </w:rPr>
            </w:pPr>
            <w:r>
              <w:rPr>
                <w:rFonts w:hint="eastAsia"/>
                <w:sz w:val="21"/>
                <w:szCs w:val="21"/>
              </w:rPr>
              <w:t>偏差率=100% ×|（投标人有效投标报价-评标基准价）|/评标基准价（偏差率以四舍五入保留2位小数点，报价偏差率不足1%的，按直线内插法计算投标报价得分）。</w:t>
            </w:r>
          </w:p>
        </w:tc>
      </w:tr>
      <w:tr w14:paraId="215321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dxa"/>
          <w:trHeight w:val="504" w:hRule="atLeast"/>
        </w:trPr>
        <w:tc>
          <w:tcPr>
            <w:tcW w:w="1750" w:type="dxa"/>
            <w:gridSpan w:val="2"/>
            <w:tcBorders>
              <w:top w:val="single" w:color="auto" w:sz="4" w:space="0"/>
              <w:bottom w:val="single" w:color="auto" w:sz="4" w:space="0"/>
              <w:right w:val="single" w:color="auto" w:sz="4" w:space="0"/>
            </w:tcBorders>
            <w:vAlign w:val="center"/>
          </w:tcPr>
          <w:p w14:paraId="0EC0D280">
            <w:pPr>
              <w:spacing w:line="300" w:lineRule="auto"/>
              <w:jc w:val="center"/>
              <w:rPr>
                <w:b/>
                <w:sz w:val="21"/>
                <w:szCs w:val="21"/>
              </w:rPr>
            </w:pPr>
            <w:r>
              <w:rPr>
                <w:rFonts w:hint="eastAsia"/>
                <w:b/>
                <w:sz w:val="21"/>
                <w:szCs w:val="21"/>
              </w:rPr>
              <w:t>条款号</w:t>
            </w:r>
          </w:p>
        </w:tc>
        <w:tc>
          <w:tcPr>
            <w:tcW w:w="2116" w:type="dxa"/>
            <w:tcBorders>
              <w:top w:val="single" w:color="auto" w:sz="4" w:space="0"/>
              <w:left w:val="single" w:color="auto" w:sz="4" w:space="0"/>
              <w:bottom w:val="single" w:color="auto" w:sz="4" w:space="0"/>
              <w:right w:val="single" w:color="auto" w:sz="4" w:space="0"/>
            </w:tcBorders>
            <w:vAlign w:val="center"/>
          </w:tcPr>
          <w:p w14:paraId="701E2049">
            <w:pPr>
              <w:spacing w:line="300" w:lineRule="auto"/>
              <w:jc w:val="center"/>
              <w:rPr>
                <w:b/>
                <w:sz w:val="21"/>
                <w:szCs w:val="21"/>
              </w:rPr>
            </w:pPr>
            <w:r>
              <w:rPr>
                <w:rFonts w:hint="eastAsia"/>
                <w:b/>
                <w:sz w:val="21"/>
                <w:szCs w:val="21"/>
              </w:rPr>
              <w:t>评分因素</w:t>
            </w:r>
          </w:p>
        </w:tc>
        <w:tc>
          <w:tcPr>
            <w:tcW w:w="6361" w:type="dxa"/>
            <w:tcBorders>
              <w:top w:val="single" w:color="auto" w:sz="4" w:space="0"/>
              <w:left w:val="single" w:color="auto" w:sz="4" w:space="0"/>
              <w:bottom w:val="single" w:color="auto" w:sz="4" w:space="0"/>
              <w:right w:val="single" w:color="auto" w:sz="4" w:space="0"/>
            </w:tcBorders>
            <w:vAlign w:val="center"/>
          </w:tcPr>
          <w:p w14:paraId="229D8A49">
            <w:pPr>
              <w:spacing w:line="300" w:lineRule="auto"/>
              <w:jc w:val="center"/>
              <w:rPr>
                <w:b/>
                <w:sz w:val="21"/>
                <w:szCs w:val="21"/>
              </w:rPr>
            </w:pPr>
            <w:r>
              <w:rPr>
                <w:rFonts w:hint="eastAsia"/>
                <w:b/>
                <w:sz w:val="21"/>
                <w:szCs w:val="21"/>
              </w:rPr>
              <w:t>评分标准</w:t>
            </w:r>
          </w:p>
        </w:tc>
      </w:tr>
      <w:tr w14:paraId="6D15AA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753" w:type="dxa"/>
            <w:vMerge w:val="restart"/>
            <w:tcBorders>
              <w:top w:val="single" w:color="auto" w:sz="4" w:space="0"/>
              <w:right w:val="single" w:color="auto" w:sz="4" w:space="0"/>
            </w:tcBorders>
            <w:vAlign w:val="center"/>
          </w:tcPr>
          <w:p w14:paraId="6A36D1C3">
            <w:pPr>
              <w:snapToGrid w:val="0"/>
              <w:spacing w:line="300" w:lineRule="auto"/>
              <w:jc w:val="center"/>
              <w:rPr>
                <w:sz w:val="21"/>
                <w:szCs w:val="21"/>
              </w:rPr>
            </w:pPr>
            <w:r>
              <w:rPr>
                <w:rFonts w:hint="eastAsia"/>
                <w:sz w:val="21"/>
                <w:szCs w:val="21"/>
              </w:rPr>
              <w:t>2.2.4（1）</w:t>
            </w:r>
          </w:p>
        </w:tc>
        <w:tc>
          <w:tcPr>
            <w:tcW w:w="997" w:type="dxa"/>
            <w:vMerge w:val="restart"/>
            <w:tcBorders>
              <w:top w:val="single" w:color="auto" w:sz="4" w:space="0"/>
              <w:right w:val="single" w:color="auto" w:sz="4" w:space="0"/>
            </w:tcBorders>
            <w:vAlign w:val="center"/>
          </w:tcPr>
          <w:p w14:paraId="14A30977">
            <w:pPr>
              <w:pStyle w:val="25"/>
              <w:kinsoku w:val="0"/>
              <w:overflowPunct w:val="0"/>
              <w:adjustRightInd w:val="0"/>
              <w:snapToGrid w:val="0"/>
              <w:spacing w:line="300" w:lineRule="auto"/>
              <w:jc w:val="center"/>
              <w:rPr>
                <w:sz w:val="21"/>
                <w:szCs w:val="21"/>
              </w:rPr>
            </w:pPr>
            <w:r>
              <w:rPr>
                <w:rFonts w:hint="eastAsia"/>
                <w:sz w:val="21"/>
                <w:szCs w:val="21"/>
              </w:rPr>
              <w:t>资信业绩评分标准</w:t>
            </w:r>
          </w:p>
          <w:p w14:paraId="74CB8BC9">
            <w:pPr>
              <w:snapToGrid w:val="0"/>
              <w:spacing w:line="300" w:lineRule="auto"/>
              <w:rPr>
                <w:sz w:val="21"/>
                <w:szCs w:val="21"/>
              </w:rPr>
            </w:pPr>
            <w:r>
              <w:rPr>
                <w:rFonts w:hint="eastAsia"/>
                <w:sz w:val="21"/>
                <w:szCs w:val="21"/>
              </w:rPr>
              <w:t>（</w:t>
            </w:r>
            <w:r>
              <w:rPr>
                <w:rFonts w:hint="eastAsia"/>
                <w:sz w:val="21"/>
                <w:szCs w:val="21"/>
                <w:lang w:val="en-US" w:eastAsia="zh-CN"/>
              </w:rPr>
              <w:t>60</w:t>
            </w:r>
            <w:r>
              <w:rPr>
                <w:rFonts w:hint="eastAsia"/>
                <w:sz w:val="21"/>
                <w:szCs w:val="21"/>
              </w:rPr>
              <w:t>分）</w:t>
            </w:r>
          </w:p>
        </w:tc>
        <w:tc>
          <w:tcPr>
            <w:tcW w:w="2116" w:type="dxa"/>
            <w:tcBorders>
              <w:top w:val="single" w:color="auto" w:sz="4" w:space="0"/>
              <w:left w:val="single" w:color="auto" w:sz="4" w:space="0"/>
              <w:bottom w:val="single" w:color="auto" w:sz="4" w:space="0"/>
              <w:right w:val="single" w:color="auto" w:sz="4" w:space="0"/>
            </w:tcBorders>
            <w:vAlign w:val="center"/>
          </w:tcPr>
          <w:p w14:paraId="5D0C55DB">
            <w:pPr>
              <w:spacing w:line="300" w:lineRule="auto"/>
              <w:contextualSpacing/>
              <w:jc w:val="center"/>
              <w:rPr>
                <w:sz w:val="21"/>
                <w:szCs w:val="21"/>
              </w:rPr>
            </w:pPr>
            <w:r>
              <w:rPr>
                <w:rFonts w:hint="eastAsia"/>
                <w:sz w:val="21"/>
                <w:szCs w:val="21"/>
              </w:rPr>
              <w:t>类似业绩（10分）</w:t>
            </w:r>
          </w:p>
        </w:tc>
        <w:tc>
          <w:tcPr>
            <w:tcW w:w="6375" w:type="dxa"/>
            <w:gridSpan w:val="2"/>
            <w:tcBorders>
              <w:top w:val="single" w:color="auto" w:sz="4" w:space="0"/>
              <w:left w:val="single" w:color="auto" w:sz="4" w:space="0"/>
              <w:bottom w:val="single" w:color="auto" w:sz="4" w:space="0"/>
              <w:right w:val="single" w:color="auto" w:sz="4" w:space="0"/>
            </w:tcBorders>
            <w:vAlign w:val="center"/>
          </w:tcPr>
          <w:p w14:paraId="7CD8ECC5">
            <w:pPr>
              <w:pStyle w:val="18"/>
              <w:spacing w:line="300" w:lineRule="auto"/>
              <w:ind w:firstLine="0"/>
              <w:rPr>
                <w:szCs w:val="21"/>
              </w:rPr>
            </w:pPr>
            <w:r>
              <w:rPr>
                <w:rFonts w:hint="eastAsia"/>
                <w:szCs w:val="21"/>
              </w:rPr>
              <w:t>投标人（若为联合体投标，指联合体</w:t>
            </w:r>
            <w:r>
              <w:rPr>
                <w:rFonts w:hint="eastAsia"/>
                <w:szCs w:val="21"/>
                <w:lang w:val="en-US" w:eastAsia="zh-CN"/>
              </w:rPr>
              <w:t>主办方</w:t>
            </w:r>
            <w:r>
              <w:rPr>
                <w:rFonts w:hint="eastAsia"/>
                <w:szCs w:val="21"/>
              </w:rPr>
              <w:t>）自2020年1月1日至今，投标人承接过单项合同建筑面积15万平方米或以上的房屋建筑工程项目管理或代建或全过程工程咨询（必须包含工程项目管理）业绩一项得5分，本项最多得10分。</w:t>
            </w:r>
          </w:p>
          <w:p w14:paraId="0EFBAAF6">
            <w:pPr>
              <w:pStyle w:val="18"/>
              <w:spacing w:line="300" w:lineRule="auto"/>
              <w:ind w:firstLine="0"/>
              <w:rPr>
                <w:szCs w:val="21"/>
              </w:rPr>
            </w:pPr>
            <w:r>
              <w:rPr>
                <w:rFonts w:hint="eastAsia"/>
                <w:szCs w:val="21"/>
              </w:rPr>
              <w:t>（注：同时提供中标通知书或免招标的相关证明、合同等相关材料为证明文件，如若项目业绩为联合体承接的，投标人须为项目管理工作方或代建工作方或全过程工程咨询（必须包含工程项目管理）工作方。时间以合同签订时间为准。）</w:t>
            </w:r>
          </w:p>
        </w:tc>
      </w:tr>
      <w:tr w14:paraId="477B6A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753" w:type="dxa"/>
            <w:vMerge w:val="continue"/>
            <w:tcBorders>
              <w:right w:val="single" w:color="auto" w:sz="4" w:space="0"/>
            </w:tcBorders>
            <w:vAlign w:val="center"/>
          </w:tcPr>
          <w:p w14:paraId="003FFB41">
            <w:pPr>
              <w:snapToGrid w:val="0"/>
              <w:spacing w:line="300" w:lineRule="auto"/>
              <w:jc w:val="center"/>
              <w:rPr>
                <w:sz w:val="21"/>
                <w:szCs w:val="21"/>
              </w:rPr>
            </w:pPr>
          </w:p>
        </w:tc>
        <w:tc>
          <w:tcPr>
            <w:tcW w:w="997" w:type="dxa"/>
            <w:vMerge w:val="continue"/>
            <w:tcBorders>
              <w:right w:val="single" w:color="auto" w:sz="4" w:space="0"/>
            </w:tcBorders>
            <w:vAlign w:val="center"/>
          </w:tcPr>
          <w:p w14:paraId="1923D055">
            <w:pPr>
              <w:snapToGrid w:val="0"/>
              <w:spacing w:line="300" w:lineRule="auto"/>
              <w:rPr>
                <w:sz w:val="21"/>
                <w:szCs w:val="21"/>
              </w:rPr>
            </w:pPr>
          </w:p>
        </w:tc>
        <w:tc>
          <w:tcPr>
            <w:tcW w:w="2116" w:type="dxa"/>
            <w:tcBorders>
              <w:top w:val="single" w:color="auto" w:sz="4" w:space="0"/>
              <w:left w:val="single" w:color="auto" w:sz="4" w:space="0"/>
              <w:bottom w:val="single" w:color="auto" w:sz="4" w:space="0"/>
              <w:right w:val="single" w:color="auto" w:sz="4" w:space="0"/>
            </w:tcBorders>
            <w:vAlign w:val="center"/>
          </w:tcPr>
          <w:p w14:paraId="5C059E59">
            <w:pPr>
              <w:spacing w:line="300" w:lineRule="auto"/>
              <w:contextualSpacing/>
              <w:rPr>
                <w:sz w:val="21"/>
                <w:szCs w:val="21"/>
              </w:rPr>
            </w:pPr>
            <w:r>
              <w:rPr>
                <w:rFonts w:hint="eastAsia"/>
                <w:bCs/>
                <w:sz w:val="21"/>
                <w:szCs w:val="21"/>
              </w:rPr>
              <w:t>项目负责人（6分）</w:t>
            </w:r>
          </w:p>
        </w:tc>
        <w:tc>
          <w:tcPr>
            <w:tcW w:w="6375" w:type="dxa"/>
            <w:gridSpan w:val="2"/>
            <w:tcBorders>
              <w:top w:val="single" w:color="auto" w:sz="4" w:space="0"/>
              <w:left w:val="single" w:color="auto" w:sz="4" w:space="0"/>
              <w:bottom w:val="single" w:color="auto" w:sz="4" w:space="0"/>
              <w:right w:val="single" w:color="auto" w:sz="4" w:space="0"/>
            </w:tcBorders>
            <w:vAlign w:val="center"/>
          </w:tcPr>
          <w:p w14:paraId="1C275C0A">
            <w:pPr>
              <w:spacing w:line="300" w:lineRule="auto"/>
              <w:contextualSpacing/>
              <w:rPr>
                <w:sz w:val="21"/>
                <w:szCs w:val="21"/>
              </w:rPr>
            </w:pPr>
            <w:r>
              <w:rPr>
                <w:rFonts w:hint="eastAsia"/>
                <w:sz w:val="21"/>
                <w:szCs w:val="21"/>
              </w:rPr>
              <w:t>具备工程师或以上职称的得3分；</w:t>
            </w:r>
          </w:p>
          <w:p w14:paraId="7AF700D7">
            <w:pPr>
              <w:spacing w:line="300" w:lineRule="auto"/>
              <w:contextualSpacing/>
              <w:rPr>
                <w:sz w:val="21"/>
                <w:szCs w:val="21"/>
              </w:rPr>
            </w:pPr>
            <w:r>
              <w:rPr>
                <w:rFonts w:hint="eastAsia"/>
                <w:sz w:val="21"/>
                <w:szCs w:val="21"/>
              </w:rPr>
              <w:t>具备大学本科或以上学历的得3分。</w:t>
            </w:r>
          </w:p>
          <w:p w14:paraId="15D864DA">
            <w:pPr>
              <w:pStyle w:val="11"/>
              <w:spacing w:line="300" w:lineRule="auto"/>
              <w:rPr>
                <w:lang w:val="en-US"/>
              </w:rPr>
            </w:pPr>
            <w:r>
              <w:rPr>
                <w:rFonts w:hint="eastAsia" w:hAnsi="宋体"/>
                <w:sz w:val="21"/>
                <w:szCs w:val="21"/>
                <w:lang w:val="en-US"/>
              </w:rPr>
              <w:t>本项最多得6分。</w:t>
            </w:r>
          </w:p>
          <w:p w14:paraId="180148EE">
            <w:pPr>
              <w:spacing w:line="300" w:lineRule="auto"/>
              <w:contextualSpacing/>
              <w:rPr>
                <w:rFonts w:hint="eastAsia" w:eastAsia="宋体"/>
                <w:sz w:val="21"/>
                <w:szCs w:val="21"/>
                <w:lang w:val="en-US" w:eastAsia="zh-CN"/>
              </w:rPr>
            </w:pPr>
            <w:r>
              <w:rPr>
                <w:rFonts w:hint="eastAsia"/>
                <w:sz w:val="21"/>
                <w:szCs w:val="21"/>
              </w:rPr>
              <w:t>（</w:t>
            </w:r>
            <w:r>
              <w:rPr>
                <w:rFonts w:hint="eastAsia"/>
                <w:b/>
                <w:bCs/>
                <w:sz w:val="21"/>
                <w:szCs w:val="21"/>
              </w:rPr>
              <w:t>注：（若为联合体投标，指联合体任意一方）要求提供职称证和上述人员投标截止时间前近一个月或以上（含2025年4月）的投标人缴纳社会保险证明材料（退休返聘人员可提供退休及返聘证明代替社保证明）。不符合上述条件或未提供上述资料的不得分</w:t>
            </w:r>
            <w:r>
              <w:rPr>
                <w:rFonts w:hint="eastAsia"/>
                <w:sz w:val="21"/>
                <w:szCs w:val="21"/>
                <w:lang w:eastAsia="zh-CN"/>
              </w:rPr>
              <w:t>）</w:t>
            </w:r>
          </w:p>
        </w:tc>
      </w:tr>
      <w:tr w14:paraId="0E239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753" w:type="dxa"/>
            <w:vMerge w:val="continue"/>
            <w:tcBorders>
              <w:top w:val="single" w:color="auto" w:sz="4" w:space="0"/>
              <w:right w:val="single" w:color="auto" w:sz="4" w:space="0"/>
            </w:tcBorders>
            <w:vAlign w:val="center"/>
          </w:tcPr>
          <w:p w14:paraId="34FC5559">
            <w:pPr>
              <w:snapToGrid w:val="0"/>
              <w:spacing w:line="300" w:lineRule="auto"/>
              <w:jc w:val="center"/>
              <w:rPr>
                <w:sz w:val="21"/>
                <w:szCs w:val="21"/>
              </w:rPr>
            </w:pPr>
          </w:p>
        </w:tc>
        <w:tc>
          <w:tcPr>
            <w:tcW w:w="997" w:type="dxa"/>
            <w:vMerge w:val="continue"/>
            <w:tcBorders>
              <w:top w:val="single" w:color="auto" w:sz="4" w:space="0"/>
              <w:right w:val="single" w:color="auto" w:sz="4" w:space="0"/>
            </w:tcBorders>
            <w:vAlign w:val="center"/>
          </w:tcPr>
          <w:p w14:paraId="23AA23C6">
            <w:pPr>
              <w:snapToGrid w:val="0"/>
              <w:spacing w:line="300" w:lineRule="auto"/>
              <w:jc w:val="center"/>
              <w:rPr>
                <w:sz w:val="21"/>
                <w:szCs w:val="21"/>
              </w:rPr>
            </w:pPr>
          </w:p>
        </w:tc>
        <w:tc>
          <w:tcPr>
            <w:tcW w:w="2116" w:type="dxa"/>
            <w:tcBorders>
              <w:top w:val="single" w:color="auto" w:sz="4" w:space="0"/>
              <w:left w:val="single" w:color="auto" w:sz="4" w:space="0"/>
              <w:bottom w:val="single" w:color="auto" w:sz="4" w:space="0"/>
              <w:right w:val="single" w:color="auto" w:sz="4" w:space="0"/>
            </w:tcBorders>
            <w:vAlign w:val="center"/>
          </w:tcPr>
          <w:p w14:paraId="6A770F88">
            <w:pPr>
              <w:spacing w:line="300" w:lineRule="auto"/>
              <w:jc w:val="center"/>
              <w:rPr>
                <w:sz w:val="21"/>
                <w:szCs w:val="21"/>
                <w:lang w:val="en-US"/>
              </w:rPr>
            </w:pPr>
            <w:r>
              <w:rPr>
                <w:rFonts w:hint="eastAsia"/>
                <w:sz w:val="21"/>
                <w:szCs w:val="21"/>
              </w:rPr>
              <w:t>项目管理组织机构（1</w:t>
            </w:r>
            <w:r>
              <w:rPr>
                <w:rFonts w:hint="eastAsia"/>
                <w:sz w:val="21"/>
                <w:szCs w:val="21"/>
                <w:lang w:val="en-US"/>
              </w:rPr>
              <w:t>2</w:t>
            </w:r>
            <w:r>
              <w:rPr>
                <w:rFonts w:hint="eastAsia"/>
                <w:sz w:val="21"/>
                <w:szCs w:val="21"/>
              </w:rPr>
              <w:t>分）</w:t>
            </w:r>
          </w:p>
        </w:tc>
        <w:tc>
          <w:tcPr>
            <w:tcW w:w="6375" w:type="dxa"/>
            <w:gridSpan w:val="2"/>
            <w:tcBorders>
              <w:top w:val="single" w:color="auto" w:sz="4" w:space="0"/>
              <w:left w:val="single" w:color="auto" w:sz="4" w:space="0"/>
              <w:bottom w:val="single" w:color="auto" w:sz="4" w:space="0"/>
              <w:right w:val="single" w:color="auto" w:sz="4" w:space="0"/>
            </w:tcBorders>
            <w:vAlign w:val="center"/>
          </w:tcPr>
          <w:p w14:paraId="0F7B077D">
            <w:pPr>
              <w:numPr>
                <w:ilvl w:val="0"/>
                <w:numId w:val="1"/>
              </w:numPr>
              <w:spacing w:line="300" w:lineRule="auto"/>
              <w:contextualSpacing/>
              <w:rPr>
                <w:sz w:val="21"/>
                <w:szCs w:val="21"/>
              </w:rPr>
            </w:pPr>
            <w:r>
              <w:rPr>
                <w:rFonts w:hint="eastAsia"/>
                <w:sz w:val="21"/>
                <w:szCs w:val="21"/>
              </w:rPr>
              <w:t>满足招标文件第五章委托人要求中项目管理人员最低配置要求（详见《人员架构配备要求表》内容）的得6分，不满足要求不得分。</w:t>
            </w:r>
          </w:p>
          <w:p w14:paraId="24AE537B">
            <w:pPr>
              <w:numPr>
                <w:ilvl w:val="0"/>
                <w:numId w:val="1"/>
              </w:numPr>
              <w:spacing w:line="300" w:lineRule="auto"/>
              <w:contextualSpacing/>
              <w:rPr>
                <w:sz w:val="21"/>
                <w:szCs w:val="21"/>
              </w:rPr>
            </w:pPr>
            <w:r>
              <w:rPr>
                <w:rFonts w:hint="eastAsia"/>
                <w:sz w:val="21"/>
                <w:szCs w:val="21"/>
              </w:rPr>
              <w:t>在满足上述最低配置要求</w:t>
            </w:r>
            <w:bookmarkStart w:id="61" w:name="_GoBack"/>
            <w:bookmarkEnd w:id="61"/>
            <w:r>
              <w:rPr>
                <w:rFonts w:hint="eastAsia"/>
                <w:sz w:val="21"/>
                <w:szCs w:val="21"/>
              </w:rPr>
              <w:t>的基础上，除项目负责人外，其他人员中具有</w:t>
            </w:r>
            <w:r>
              <w:rPr>
                <w:rFonts w:hint="eastAsia"/>
                <w:lang w:val="en-US"/>
              </w:rPr>
              <w:t>相关专业的</w:t>
            </w:r>
            <w:r>
              <w:rPr>
                <w:rFonts w:hint="eastAsia"/>
                <w:sz w:val="21"/>
                <w:szCs w:val="21"/>
              </w:rPr>
              <w:t>高级工程师或以上职称的加</w:t>
            </w:r>
            <w:r>
              <w:rPr>
                <w:rFonts w:hint="eastAsia"/>
                <w:sz w:val="21"/>
                <w:szCs w:val="21"/>
                <w:lang w:val="en-US"/>
              </w:rPr>
              <w:t>1</w:t>
            </w:r>
            <w:r>
              <w:rPr>
                <w:rFonts w:hint="eastAsia"/>
                <w:sz w:val="21"/>
                <w:szCs w:val="21"/>
              </w:rPr>
              <w:t>分，</w:t>
            </w:r>
            <w:r>
              <w:rPr>
                <w:rFonts w:hint="eastAsia"/>
                <w:sz w:val="21"/>
                <w:szCs w:val="21"/>
                <w:lang w:val="en-US"/>
              </w:rPr>
              <w:t>本小项</w:t>
            </w:r>
            <w:r>
              <w:rPr>
                <w:rFonts w:hint="eastAsia"/>
                <w:sz w:val="21"/>
                <w:szCs w:val="21"/>
              </w:rPr>
              <w:t>最多加</w:t>
            </w:r>
            <w:r>
              <w:rPr>
                <w:rFonts w:hint="eastAsia"/>
                <w:sz w:val="21"/>
                <w:szCs w:val="21"/>
                <w:lang w:val="en-US"/>
              </w:rPr>
              <w:t>2</w:t>
            </w:r>
            <w:r>
              <w:rPr>
                <w:rFonts w:hint="eastAsia"/>
                <w:sz w:val="21"/>
                <w:szCs w:val="21"/>
              </w:rPr>
              <w:t>分。</w:t>
            </w:r>
          </w:p>
          <w:p w14:paraId="26FB2B10">
            <w:pPr>
              <w:pStyle w:val="18"/>
              <w:numPr>
                <w:ilvl w:val="0"/>
                <w:numId w:val="1"/>
              </w:numPr>
              <w:spacing w:line="300" w:lineRule="auto"/>
              <w:ind w:firstLine="0"/>
              <w:rPr>
                <w:szCs w:val="21"/>
              </w:rPr>
            </w:pPr>
            <w:r>
              <w:rPr>
                <w:rFonts w:hint="eastAsia"/>
                <w:szCs w:val="21"/>
              </w:rPr>
              <w:t>配备人员中获得过省级（或以上）工程类科学技术个人奖的每人</w:t>
            </w:r>
            <w:r>
              <w:rPr>
                <w:rFonts w:hint="eastAsia"/>
                <w:lang w:eastAsia="zh-CN"/>
              </w:rPr>
              <w:t>（</w:t>
            </w:r>
            <w:r>
              <w:rPr>
                <w:rFonts w:hint="eastAsia"/>
                <w:lang w:val="en-US" w:eastAsia="zh-CN"/>
              </w:rPr>
              <w:t>同一人获得不同奖项的不重复计分</w:t>
            </w:r>
            <w:r>
              <w:rPr>
                <w:rFonts w:hint="eastAsia"/>
                <w:lang w:eastAsia="zh-CN"/>
              </w:rPr>
              <w:t>）</w:t>
            </w:r>
            <w:r>
              <w:rPr>
                <w:rFonts w:hint="eastAsia"/>
                <w:szCs w:val="21"/>
              </w:rPr>
              <w:t>得2分，本小项最多得4分。</w:t>
            </w:r>
          </w:p>
          <w:p w14:paraId="118A8D86">
            <w:pPr>
              <w:pStyle w:val="18"/>
              <w:numPr>
                <w:ilvl w:val="255"/>
                <w:numId w:val="0"/>
              </w:numPr>
              <w:spacing w:line="300" w:lineRule="auto"/>
              <w:rPr>
                <w:szCs w:val="21"/>
              </w:rPr>
            </w:pPr>
            <w:r>
              <w:rPr>
                <w:rFonts w:hint="eastAsia"/>
                <w:szCs w:val="21"/>
              </w:rPr>
              <w:t>本项最多得12分。</w:t>
            </w:r>
          </w:p>
          <w:p w14:paraId="15D96E0A">
            <w:pPr>
              <w:spacing w:line="300" w:lineRule="auto"/>
              <w:contextualSpacing/>
              <w:rPr>
                <w:sz w:val="21"/>
                <w:szCs w:val="21"/>
                <w:lang w:val="en-US"/>
              </w:rPr>
            </w:pPr>
            <w:r>
              <w:rPr>
                <w:rFonts w:hint="eastAsia"/>
                <w:sz w:val="21"/>
                <w:szCs w:val="21"/>
              </w:rPr>
              <w:t>（</w:t>
            </w:r>
            <w:r>
              <w:rPr>
                <w:rFonts w:hint="eastAsia"/>
                <w:b/>
                <w:bCs/>
                <w:sz w:val="21"/>
                <w:szCs w:val="21"/>
              </w:rPr>
              <w:t>注：（若为联合体投标，指联合体任意一方）要求提供上述人员注册证（如有）、职称证（如有）和投标截止时间前近一个月或以上（含2025年4月）的投标人缴纳社会保险证明材料（退休返聘人员可提供退休及返聘证明代替社保证明）。不符合上述条件或未提供上述资料的不得分。</w:t>
            </w:r>
            <w:r>
              <w:rPr>
                <w:rFonts w:hint="eastAsia"/>
                <w:sz w:val="21"/>
                <w:szCs w:val="21"/>
              </w:rPr>
              <w:t>）</w:t>
            </w:r>
          </w:p>
        </w:tc>
      </w:tr>
      <w:tr w14:paraId="6906C0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753" w:type="dxa"/>
            <w:vMerge w:val="continue"/>
            <w:tcBorders>
              <w:top w:val="single" w:color="auto" w:sz="4" w:space="0"/>
              <w:right w:val="single" w:color="auto" w:sz="4" w:space="0"/>
            </w:tcBorders>
            <w:vAlign w:val="center"/>
          </w:tcPr>
          <w:p w14:paraId="3FEBC4C9">
            <w:pPr>
              <w:snapToGrid w:val="0"/>
              <w:spacing w:line="300" w:lineRule="auto"/>
              <w:jc w:val="center"/>
              <w:rPr>
                <w:sz w:val="21"/>
                <w:szCs w:val="21"/>
              </w:rPr>
            </w:pPr>
          </w:p>
        </w:tc>
        <w:tc>
          <w:tcPr>
            <w:tcW w:w="997" w:type="dxa"/>
            <w:vMerge w:val="continue"/>
            <w:tcBorders>
              <w:top w:val="single" w:color="auto" w:sz="4" w:space="0"/>
              <w:right w:val="single" w:color="auto" w:sz="4" w:space="0"/>
            </w:tcBorders>
            <w:vAlign w:val="center"/>
          </w:tcPr>
          <w:p w14:paraId="0AC7EA6F">
            <w:pPr>
              <w:snapToGrid w:val="0"/>
              <w:spacing w:line="300" w:lineRule="auto"/>
              <w:jc w:val="center"/>
              <w:rPr>
                <w:sz w:val="21"/>
                <w:szCs w:val="21"/>
              </w:rPr>
            </w:pPr>
          </w:p>
        </w:tc>
        <w:tc>
          <w:tcPr>
            <w:tcW w:w="2116" w:type="dxa"/>
            <w:tcBorders>
              <w:top w:val="single" w:color="auto" w:sz="4" w:space="0"/>
              <w:left w:val="single" w:color="auto" w:sz="4" w:space="0"/>
              <w:bottom w:val="single" w:color="auto" w:sz="4" w:space="0"/>
              <w:right w:val="single" w:color="auto" w:sz="4" w:space="0"/>
            </w:tcBorders>
            <w:vAlign w:val="center"/>
          </w:tcPr>
          <w:p w14:paraId="101208D0">
            <w:pPr>
              <w:spacing w:line="300" w:lineRule="auto"/>
              <w:contextualSpacing/>
              <w:jc w:val="center"/>
              <w:rPr>
                <w:sz w:val="21"/>
                <w:szCs w:val="21"/>
              </w:rPr>
            </w:pPr>
            <w:r>
              <w:rPr>
                <w:rFonts w:hint="eastAsia"/>
                <w:sz w:val="21"/>
                <w:szCs w:val="21"/>
              </w:rPr>
              <w:t>企业创新能力</w:t>
            </w:r>
          </w:p>
          <w:p w14:paraId="16828AA7">
            <w:pPr>
              <w:spacing w:line="300" w:lineRule="auto"/>
              <w:contextualSpacing/>
              <w:jc w:val="center"/>
              <w:rPr>
                <w:sz w:val="21"/>
                <w:szCs w:val="21"/>
              </w:rPr>
            </w:pPr>
            <w:r>
              <w:rPr>
                <w:rFonts w:hint="eastAsia"/>
                <w:sz w:val="21"/>
                <w:szCs w:val="21"/>
              </w:rPr>
              <w:t>（</w:t>
            </w:r>
            <w:r>
              <w:rPr>
                <w:rFonts w:hint="eastAsia"/>
                <w:sz w:val="21"/>
                <w:szCs w:val="21"/>
                <w:lang w:val="en-US"/>
              </w:rPr>
              <w:t>18</w:t>
            </w:r>
            <w:r>
              <w:rPr>
                <w:rFonts w:hint="eastAsia"/>
                <w:sz w:val="21"/>
                <w:szCs w:val="21"/>
              </w:rPr>
              <w:t>分）</w:t>
            </w:r>
          </w:p>
        </w:tc>
        <w:tc>
          <w:tcPr>
            <w:tcW w:w="6375" w:type="dxa"/>
            <w:gridSpan w:val="2"/>
            <w:tcBorders>
              <w:top w:val="single" w:color="auto" w:sz="4" w:space="0"/>
              <w:left w:val="single" w:color="auto" w:sz="4" w:space="0"/>
              <w:bottom w:val="single" w:color="auto" w:sz="4" w:space="0"/>
              <w:right w:val="single" w:color="auto" w:sz="4" w:space="0"/>
            </w:tcBorders>
            <w:vAlign w:val="center"/>
          </w:tcPr>
          <w:p w14:paraId="057D38D5">
            <w:pPr>
              <w:spacing w:line="300" w:lineRule="auto"/>
              <w:contextualSpacing/>
              <w:rPr>
                <w:rFonts w:hint="eastAsia"/>
                <w:sz w:val="21"/>
                <w:szCs w:val="21"/>
                <w:lang w:val="en-US"/>
              </w:rPr>
            </w:pPr>
            <w:r>
              <w:rPr>
                <w:rFonts w:hint="eastAsia"/>
                <w:sz w:val="21"/>
                <w:szCs w:val="21"/>
              </w:rPr>
              <w:t>1.投标人（若为联合体投标，指联合体主办方）获得高新技术企业证书的得</w:t>
            </w:r>
            <w:r>
              <w:rPr>
                <w:rFonts w:hint="eastAsia"/>
                <w:sz w:val="21"/>
                <w:szCs w:val="21"/>
                <w:lang w:val="en-US"/>
              </w:rPr>
              <w:t>2</w:t>
            </w:r>
            <w:r>
              <w:rPr>
                <w:rFonts w:hint="eastAsia"/>
                <w:sz w:val="21"/>
                <w:szCs w:val="21"/>
              </w:rPr>
              <w:t>分，没有的或证书不在有效期内的不得分。</w:t>
            </w:r>
            <w:r>
              <w:rPr>
                <w:rFonts w:hint="eastAsia"/>
                <w:sz w:val="21"/>
                <w:szCs w:val="21"/>
                <w:lang w:val="en-US"/>
              </w:rPr>
              <w:t>本小项最多得2分。</w:t>
            </w:r>
          </w:p>
          <w:p w14:paraId="6D83307B">
            <w:pPr>
              <w:spacing w:line="300" w:lineRule="auto"/>
              <w:contextualSpacing/>
              <w:rPr>
                <w:sz w:val="21"/>
                <w:szCs w:val="21"/>
                <w:lang w:val="en-US"/>
              </w:rPr>
            </w:pPr>
            <w:r>
              <w:rPr>
                <w:rFonts w:hint="eastAsia"/>
                <w:sz w:val="21"/>
                <w:szCs w:val="21"/>
                <w:lang w:val="en-US"/>
              </w:rPr>
              <w:t>2</w:t>
            </w:r>
            <w:r>
              <w:rPr>
                <w:rFonts w:hint="eastAsia"/>
                <w:sz w:val="21"/>
                <w:szCs w:val="21"/>
              </w:rPr>
              <w:t>.</w:t>
            </w:r>
            <w:r>
              <w:rPr>
                <w:rFonts w:hint="eastAsia"/>
                <w:sz w:val="21"/>
                <w:szCs w:val="21"/>
                <w:lang w:val="en-US" w:eastAsia="zh-CN"/>
              </w:rPr>
              <w:t>2020年1月1日至今，</w:t>
            </w:r>
            <w:r>
              <w:rPr>
                <w:rFonts w:hint="eastAsia"/>
                <w:sz w:val="21"/>
                <w:szCs w:val="21"/>
              </w:rPr>
              <w:t>投标人（若为联合体投标，指联合体主办方）获得</w:t>
            </w:r>
            <w:bookmarkStart w:id="38" w:name="OLE_LINK1"/>
            <w:r>
              <w:rPr>
                <w:rStyle w:val="33"/>
                <w:rFonts w:hint="default"/>
                <w:color w:val="auto"/>
                <w:lang w:bidi="ar"/>
              </w:rPr>
              <w:t>工程类发明专利</w:t>
            </w:r>
            <w:bookmarkEnd w:id="38"/>
            <w:r>
              <w:rPr>
                <w:rStyle w:val="33"/>
                <w:rFonts w:hint="default"/>
                <w:color w:val="auto"/>
                <w:lang w:bidi="ar"/>
              </w:rPr>
              <w:t>的，每项得</w:t>
            </w:r>
            <w:r>
              <w:rPr>
                <w:rStyle w:val="33"/>
                <w:rFonts w:hint="eastAsia"/>
                <w:color w:val="auto"/>
                <w:lang w:val="en-US" w:eastAsia="zh-CN" w:bidi="ar"/>
              </w:rPr>
              <w:t>3</w:t>
            </w:r>
            <w:r>
              <w:rPr>
                <w:rStyle w:val="33"/>
                <w:rFonts w:hint="default"/>
                <w:color w:val="auto"/>
                <w:lang w:bidi="ar"/>
              </w:rPr>
              <w:t>分，</w:t>
            </w:r>
            <w:r>
              <w:rPr>
                <w:rFonts w:hint="eastAsia"/>
                <w:sz w:val="21"/>
                <w:szCs w:val="21"/>
                <w:lang w:val="en-US"/>
              </w:rPr>
              <w:t>本小项最多得6分。</w:t>
            </w:r>
          </w:p>
          <w:p w14:paraId="633B7859">
            <w:pPr>
              <w:spacing w:line="300" w:lineRule="auto"/>
              <w:contextualSpacing/>
              <w:rPr>
                <w:rStyle w:val="33"/>
                <w:rFonts w:hint="default"/>
                <w:color w:val="auto"/>
                <w:lang w:bidi="ar"/>
              </w:rPr>
            </w:pPr>
            <w:r>
              <w:rPr>
                <w:rFonts w:hint="eastAsia"/>
                <w:sz w:val="21"/>
                <w:szCs w:val="21"/>
              </w:rPr>
              <w:t>3.2020年1月1日至今</w:t>
            </w:r>
            <w:r>
              <w:rPr>
                <w:rFonts w:hint="eastAsia"/>
                <w:bCs/>
                <w:sz w:val="21"/>
                <w:szCs w:val="21"/>
              </w:rPr>
              <w:t>，</w:t>
            </w:r>
            <w:r>
              <w:rPr>
                <w:rFonts w:hint="eastAsia"/>
                <w:sz w:val="21"/>
                <w:szCs w:val="21"/>
              </w:rPr>
              <w:t>投标人（若为联合体投标，指联合体主办方）获得</w:t>
            </w:r>
            <w:r>
              <w:rPr>
                <w:rStyle w:val="33"/>
                <w:rFonts w:hint="default"/>
                <w:color w:val="auto"/>
                <w:lang w:bidi="ar"/>
              </w:rPr>
              <w:t>过省级（或以上）工程类科学技术奖，每个得</w:t>
            </w:r>
            <w:r>
              <w:rPr>
                <w:rStyle w:val="33"/>
                <w:rFonts w:hint="default"/>
                <w:color w:val="auto"/>
                <w:lang w:val="en-US" w:bidi="ar"/>
              </w:rPr>
              <w:t>2</w:t>
            </w:r>
            <w:r>
              <w:rPr>
                <w:rStyle w:val="33"/>
                <w:rFonts w:hint="default"/>
                <w:color w:val="auto"/>
                <w:lang w:bidi="ar"/>
              </w:rPr>
              <w:t>分，</w:t>
            </w:r>
            <w:r>
              <w:rPr>
                <w:rStyle w:val="33"/>
                <w:rFonts w:hint="default"/>
                <w:color w:val="auto"/>
                <w:lang w:val="en-US" w:bidi="ar"/>
              </w:rPr>
              <w:t>本小项</w:t>
            </w:r>
            <w:r>
              <w:rPr>
                <w:rStyle w:val="33"/>
                <w:rFonts w:hint="default"/>
                <w:color w:val="auto"/>
                <w:lang w:bidi="ar"/>
              </w:rPr>
              <w:t>最多得</w:t>
            </w:r>
            <w:r>
              <w:rPr>
                <w:rStyle w:val="33"/>
                <w:rFonts w:hint="default"/>
                <w:color w:val="auto"/>
                <w:lang w:val="en-US" w:bidi="ar"/>
              </w:rPr>
              <w:t>10</w:t>
            </w:r>
            <w:r>
              <w:rPr>
                <w:rStyle w:val="33"/>
                <w:rFonts w:hint="default"/>
                <w:color w:val="auto"/>
                <w:lang w:bidi="ar"/>
              </w:rPr>
              <w:t>分。</w:t>
            </w:r>
          </w:p>
          <w:p w14:paraId="4381E592">
            <w:pPr>
              <w:pStyle w:val="11"/>
              <w:spacing w:line="300" w:lineRule="auto"/>
              <w:rPr>
                <w:lang w:val="en-US"/>
              </w:rPr>
            </w:pPr>
            <w:r>
              <w:rPr>
                <w:rStyle w:val="33"/>
                <w:rFonts w:hint="default"/>
                <w:color w:val="auto"/>
                <w:lang w:val="en-US" w:bidi="ar"/>
              </w:rPr>
              <w:t>本项最多得18分。</w:t>
            </w:r>
          </w:p>
          <w:p w14:paraId="2CC7B552">
            <w:pPr>
              <w:spacing w:line="300" w:lineRule="auto"/>
              <w:contextualSpacing/>
              <w:rPr>
                <w:rFonts w:hint="eastAsia"/>
                <w:sz w:val="21"/>
                <w:szCs w:val="21"/>
              </w:rPr>
            </w:pPr>
            <w:r>
              <w:rPr>
                <w:rFonts w:hint="eastAsia"/>
                <w:sz w:val="21"/>
                <w:szCs w:val="21"/>
              </w:rPr>
              <w:t>（注：1.同时提供有效的证书及在高新技术企业认定管理工作网（http://www.innocom.gov.cn/）查询结果网页截图。2.</w:t>
            </w:r>
            <w:r>
              <w:rPr>
                <w:rStyle w:val="33"/>
                <w:rFonts w:hint="default"/>
                <w:color w:val="auto"/>
                <w:lang w:bidi="ar"/>
              </w:rPr>
              <w:t>工程类发明专利：</w:t>
            </w:r>
            <w:r>
              <w:rPr>
                <w:rFonts w:hint="eastAsia"/>
                <w:sz w:val="21"/>
                <w:szCs w:val="21"/>
              </w:rPr>
              <w:t>提供有效的证书及在中国专利公布公告网（</w:t>
            </w:r>
            <w:r>
              <w:rPr>
                <w:sz w:val="21"/>
                <w:szCs w:val="21"/>
              </w:rPr>
              <w:t>http://epub.cnipa.gov.cn/</w:t>
            </w:r>
            <w:r>
              <w:rPr>
                <w:rFonts w:hint="eastAsia"/>
                <w:sz w:val="21"/>
                <w:szCs w:val="21"/>
              </w:rPr>
              <w:t>）查询结果网页截图。3.工程类科学技术奖：国家级证书须为中华人民共和国国务院颁发或国家级行业协会（或学会）颁发的“科学技术进步奖或科技进步奖或科学技术奖”，省级（或以上）证书须为省级（或以上）人民政府颁发或省级（或以上）行业协会（或学会）颁发的“科学技术进步奖或科技进步奖或科学技术奖”。投标人须提供获奖证书原件扫描件，时间以证书的颁发时间为准，只计算投标人自身（不含投标人的子公司或分公司），获奖单位名称须与投标人单位名称一致。）</w:t>
            </w:r>
          </w:p>
          <w:p w14:paraId="12C79FC0">
            <w:pPr>
              <w:spacing w:line="300" w:lineRule="auto"/>
              <w:contextualSpacing/>
              <w:rPr>
                <w:rFonts w:hint="eastAsia"/>
                <w:sz w:val="21"/>
                <w:szCs w:val="21"/>
                <w:lang w:val="en-US"/>
              </w:rPr>
            </w:pPr>
            <w:r>
              <w:rPr>
                <w:rFonts w:hint="eastAsia"/>
                <w:sz w:val="21"/>
                <w:szCs w:val="21"/>
              </w:rPr>
              <w:t>不符合上述条件或未提供上述资料的不得分。</w:t>
            </w:r>
          </w:p>
        </w:tc>
      </w:tr>
      <w:tr w14:paraId="6438F1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753" w:type="dxa"/>
            <w:vMerge w:val="continue"/>
            <w:tcBorders>
              <w:top w:val="single" w:color="auto" w:sz="4" w:space="0"/>
              <w:right w:val="single" w:color="auto" w:sz="4" w:space="0"/>
            </w:tcBorders>
            <w:vAlign w:val="center"/>
          </w:tcPr>
          <w:p w14:paraId="70872003">
            <w:pPr>
              <w:snapToGrid w:val="0"/>
              <w:spacing w:line="300" w:lineRule="auto"/>
              <w:jc w:val="center"/>
              <w:rPr>
                <w:sz w:val="21"/>
                <w:szCs w:val="21"/>
              </w:rPr>
            </w:pPr>
          </w:p>
        </w:tc>
        <w:tc>
          <w:tcPr>
            <w:tcW w:w="997" w:type="dxa"/>
            <w:vMerge w:val="continue"/>
            <w:tcBorders>
              <w:top w:val="single" w:color="auto" w:sz="4" w:space="0"/>
              <w:right w:val="single" w:color="auto" w:sz="4" w:space="0"/>
            </w:tcBorders>
            <w:vAlign w:val="center"/>
          </w:tcPr>
          <w:p w14:paraId="5DA43806">
            <w:pPr>
              <w:snapToGrid w:val="0"/>
              <w:spacing w:line="300" w:lineRule="auto"/>
              <w:jc w:val="center"/>
              <w:rPr>
                <w:sz w:val="21"/>
                <w:szCs w:val="21"/>
              </w:rPr>
            </w:pPr>
          </w:p>
        </w:tc>
        <w:tc>
          <w:tcPr>
            <w:tcW w:w="2116" w:type="dxa"/>
            <w:tcBorders>
              <w:top w:val="single" w:color="auto" w:sz="4" w:space="0"/>
              <w:left w:val="single" w:color="auto" w:sz="4" w:space="0"/>
              <w:bottom w:val="single" w:color="auto" w:sz="4" w:space="0"/>
              <w:right w:val="single" w:color="auto" w:sz="4" w:space="0"/>
            </w:tcBorders>
            <w:vAlign w:val="center"/>
          </w:tcPr>
          <w:p w14:paraId="59ED9CEF">
            <w:pPr>
              <w:spacing w:line="300" w:lineRule="auto"/>
              <w:jc w:val="center"/>
              <w:rPr>
                <w:sz w:val="21"/>
                <w:szCs w:val="21"/>
              </w:rPr>
            </w:pPr>
            <w:r>
              <w:rPr>
                <w:rFonts w:hint="eastAsia"/>
                <w:sz w:val="21"/>
                <w:szCs w:val="21"/>
              </w:rPr>
              <w:t>纳税信用等级</w:t>
            </w:r>
          </w:p>
          <w:p w14:paraId="091A821D">
            <w:pPr>
              <w:spacing w:line="300" w:lineRule="auto"/>
              <w:jc w:val="center"/>
              <w:rPr>
                <w:sz w:val="21"/>
                <w:szCs w:val="21"/>
              </w:rPr>
            </w:pPr>
            <w:r>
              <w:rPr>
                <w:rFonts w:hint="eastAsia"/>
                <w:sz w:val="21"/>
                <w:szCs w:val="21"/>
              </w:rPr>
              <w:t>（5分）</w:t>
            </w:r>
          </w:p>
        </w:tc>
        <w:tc>
          <w:tcPr>
            <w:tcW w:w="6375" w:type="dxa"/>
            <w:gridSpan w:val="2"/>
            <w:tcBorders>
              <w:top w:val="single" w:color="auto" w:sz="4" w:space="0"/>
              <w:left w:val="single" w:color="auto" w:sz="4" w:space="0"/>
              <w:bottom w:val="single" w:color="auto" w:sz="4" w:space="0"/>
              <w:right w:val="single" w:color="auto" w:sz="4" w:space="0"/>
            </w:tcBorders>
            <w:vAlign w:val="center"/>
          </w:tcPr>
          <w:p w14:paraId="18BA4BFA">
            <w:pPr>
              <w:spacing w:line="300" w:lineRule="auto"/>
              <w:ind w:left="95" w:leftChars="43"/>
              <w:rPr>
                <w:sz w:val="21"/>
                <w:szCs w:val="21"/>
              </w:rPr>
            </w:pPr>
            <w:r>
              <w:rPr>
                <w:rFonts w:hint="eastAsia"/>
                <w:sz w:val="21"/>
                <w:szCs w:val="21"/>
              </w:rPr>
              <w:t>投标人（若为联合体投标，指联合体主办方）获得国家税务局公布的信用等级A级纳税人称号，连续5个年度（须含2023年）或以上得5分，连续4个年度得4分，连续3个年度得3分，连续2个年度得2分，1个年度得1分。</w:t>
            </w:r>
          </w:p>
          <w:p w14:paraId="24167213">
            <w:pPr>
              <w:pStyle w:val="11"/>
              <w:spacing w:line="300" w:lineRule="auto"/>
              <w:rPr>
                <w:lang w:val="en-US"/>
              </w:rPr>
            </w:pPr>
            <w:r>
              <w:rPr>
                <w:rFonts w:hint="eastAsia" w:hAnsi="宋体"/>
                <w:sz w:val="21"/>
                <w:szCs w:val="21"/>
                <w:lang w:val="en-US"/>
              </w:rPr>
              <w:t>本项最多得5分。</w:t>
            </w:r>
          </w:p>
          <w:p w14:paraId="34E79AC1">
            <w:pPr>
              <w:spacing w:line="300" w:lineRule="auto"/>
              <w:rPr>
                <w:sz w:val="21"/>
                <w:szCs w:val="21"/>
              </w:rPr>
            </w:pPr>
            <w:r>
              <w:rPr>
                <w:rFonts w:hint="eastAsia"/>
                <w:sz w:val="21"/>
                <w:szCs w:val="21"/>
              </w:rPr>
              <w:t>（注：提供国家税务总局官网（http://www.chinatax.gov.cn/）或省级税务局网站纳税信用信息查询结果的网页截图，时间以国家税务总局或其省级（含直辖市）税务局网站纳税信用信息查询结果的网页截图公布的评价年度为准，只计算投标人自身（不计算投标人的分公司和子公司）。不符合上述条件或未提供上述资料的不得分。）</w:t>
            </w:r>
          </w:p>
        </w:tc>
      </w:tr>
      <w:tr w14:paraId="5437F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753" w:type="dxa"/>
            <w:vMerge w:val="continue"/>
            <w:tcBorders>
              <w:top w:val="single" w:color="auto" w:sz="4" w:space="0"/>
              <w:right w:val="single" w:color="auto" w:sz="4" w:space="0"/>
            </w:tcBorders>
            <w:vAlign w:val="center"/>
          </w:tcPr>
          <w:p w14:paraId="4AA4112A">
            <w:pPr>
              <w:snapToGrid w:val="0"/>
              <w:spacing w:line="300" w:lineRule="auto"/>
              <w:jc w:val="center"/>
              <w:rPr>
                <w:sz w:val="21"/>
                <w:szCs w:val="21"/>
              </w:rPr>
            </w:pPr>
          </w:p>
        </w:tc>
        <w:tc>
          <w:tcPr>
            <w:tcW w:w="997" w:type="dxa"/>
            <w:vMerge w:val="continue"/>
            <w:tcBorders>
              <w:top w:val="single" w:color="auto" w:sz="4" w:space="0"/>
              <w:right w:val="single" w:color="auto" w:sz="4" w:space="0"/>
            </w:tcBorders>
            <w:vAlign w:val="center"/>
          </w:tcPr>
          <w:p w14:paraId="30560C1D">
            <w:pPr>
              <w:snapToGrid w:val="0"/>
              <w:spacing w:line="300" w:lineRule="auto"/>
              <w:jc w:val="center"/>
              <w:rPr>
                <w:sz w:val="21"/>
                <w:szCs w:val="21"/>
              </w:rPr>
            </w:pPr>
          </w:p>
        </w:tc>
        <w:tc>
          <w:tcPr>
            <w:tcW w:w="2116" w:type="dxa"/>
            <w:tcBorders>
              <w:top w:val="single" w:color="auto" w:sz="4" w:space="0"/>
              <w:left w:val="single" w:color="auto" w:sz="4" w:space="0"/>
              <w:bottom w:val="single" w:color="auto" w:sz="4" w:space="0"/>
              <w:right w:val="single" w:color="auto" w:sz="4" w:space="0"/>
            </w:tcBorders>
            <w:vAlign w:val="center"/>
          </w:tcPr>
          <w:p w14:paraId="6C57DC01">
            <w:pPr>
              <w:spacing w:line="300" w:lineRule="auto"/>
              <w:contextualSpacing/>
              <w:jc w:val="center"/>
              <w:rPr>
                <w:sz w:val="21"/>
                <w:szCs w:val="21"/>
              </w:rPr>
            </w:pPr>
            <w:r>
              <w:rPr>
                <w:rFonts w:hint="eastAsia"/>
                <w:sz w:val="21"/>
                <w:szCs w:val="21"/>
              </w:rPr>
              <w:t>管理体系认证</w:t>
            </w:r>
          </w:p>
          <w:p w14:paraId="59F50D4C">
            <w:pPr>
              <w:spacing w:line="300" w:lineRule="auto"/>
              <w:contextualSpacing/>
              <w:jc w:val="center"/>
              <w:rPr>
                <w:sz w:val="21"/>
                <w:szCs w:val="21"/>
              </w:rPr>
            </w:pPr>
            <w:r>
              <w:rPr>
                <w:rFonts w:hint="eastAsia"/>
                <w:sz w:val="21"/>
                <w:szCs w:val="21"/>
              </w:rPr>
              <w:t>（9分）</w:t>
            </w:r>
          </w:p>
        </w:tc>
        <w:tc>
          <w:tcPr>
            <w:tcW w:w="6375" w:type="dxa"/>
            <w:gridSpan w:val="2"/>
            <w:tcBorders>
              <w:top w:val="single" w:color="auto" w:sz="4" w:space="0"/>
              <w:left w:val="single" w:color="auto" w:sz="4" w:space="0"/>
              <w:bottom w:val="single" w:color="auto" w:sz="4" w:space="0"/>
              <w:right w:val="single" w:color="auto" w:sz="4" w:space="0"/>
            </w:tcBorders>
            <w:vAlign w:val="center"/>
          </w:tcPr>
          <w:p w14:paraId="2F6499EB">
            <w:pPr>
              <w:spacing w:line="300" w:lineRule="auto"/>
              <w:rPr>
                <w:sz w:val="21"/>
                <w:szCs w:val="21"/>
              </w:rPr>
            </w:pPr>
            <w:r>
              <w:rPr>
                <w:rFonts w:hint="eastAsia"/>
                <w:sz w:val="21"/>
                <w:szCs w:val="21"/>
              </w:rPr>
              <w:t>按投标人（若为联合体投标，指联合体主办方）具有质量管理体系</w:t>
            </w:r>
            <w:r>
              <w:rPr>
                <w:rFonts w:hint="eastAsia"/>
                <w:color w:val="auto"/>
                <w:sz w:val="21"/>
                <w:szCs w:val="21"/>
              </w:rPr>
              <w:t>认证、环境管理体系认证、职业健康安全管理体系认证、信息安全管理体系认证、企业知识产权管理体系、诚信管理体系认证、社会责任管理体系认证证书认证项数由多到少排名，第1-3名得9分，第4-</w:t>
            </w:r>
            <w:r>
              <w:rPr>
                <w:rFonts w:hint="eastAsia"/>
                <w:sz w:val="21"/>
                <w:szCs w:val="21"/>
              </w:rPr>
              <w:t>6名得5分，第7名及之后的得1分，没有获得体系认证的或证书不在有效期内的不得分。认证项数相同的排名并列，占用下一名次。</w:t>
            </w:r>
          </w:p>
          <w:p w14:paraId="13F5A44E">
            <w:pPr>
              <w:spacing w:line="300" w:lineRule="auto"/>
              <w:rPr>
                <w:sz w:val="21"/>
                <w:szCs w:val="21"/>
                <w:lang w:val="en-US"/>
              </w:rPr>
            </w:pPr>
            <w:r>
              <w:rPr>
                <w:rFonts w:hint="eastAsia"/>
                <w:sz w:val="21"/>
                <w:szCs w:val="21"/>
                <w:lang w:val="en-US"/>
              </w:rPr>
              <w:t>本项最多得9分。</w:t>
            </w:r>
          </w:p>
          <w:p w14:paraId="4FC245EB">
            <w:pPr>
              <w:spacing w:line="300" w:lineRule="auto"/>
              <w:rPr>
                <w:sz w:val="21"/>
                <w:szCs w:val="21"/>
              </w:rPr>
            </w:pPr>
            <w:r>
              <w:rPr>
                <w:rFonts w:hint="eastAsia"/>
                <w:sz w:val="21"/>
                <w:szCs w:val="21"/>
                <w:lang w:val="en-US"/>
              </w:rPr>
              <w:t>（</w:t>
            </w:r>
            <w:r>
              <w:rPr>
                <w:rFonts w:hint="eastAsia"/>
                <w:sz w:val="21"/>
                <w:szCs w:val="21"/>
              </w:rPr>
              <w:t>注</w:t>
            </w:r>
            <w:r>
              <w:rPr>
                <w:rFonts w:hint="eastAsia"/>
                <w:sz w:val="21"/>
                <w:szCs w:val="21"/>
                <w:lang w:val="en-US"/>
              </w:rPr>
              <w:t>：</w:t>
            </w:r>
            <w:r>
              <w:rPr>
                <w:rFonts w:hint="eastAsia"/>
                <w:sz w:val="21"/>
                <w:szCs w:val="21"/>
              </w:rPr>
              <w:t>提供认证证书及全国认证认可信息公共服务平台</w:t>
            </w:r>
            <w:r>
              <w:rPr>
                <w:rFonts w:hint="eastAsia"/>
                <w:sz w:val="21"/>
                <w:szCs w:val="21"/>
                <w:lang w:val="en-US"/>
              </w:rPr>
              <w:t>（</w:t>
            </w:r>
            <w:r>
              <w:fldChar w:fldCharType="begin"/>
            </w:r>
            <w:r>
              <w:instrText xml:space="preserve"> HYPERLINK "http://cx.cnca.cn" </w:instrText>
            </w:r>
            <w:r>
              <w:fldChar w:fldCharType="separate"/>
            </w:r>
            <w:r>
              <w:rPr>
                <w:rFonts w:hint="eastAsia"/>
                <w:sz w:val="21"/>
                <w:szCs w:val="21"/>
                <w:lang w:val="en-US"/>
              </w:rPr>
              <w:t>http://cx.cnca.cn</w:t>
            </w:r>
            <w:r>
              <w:rPr>
                <w:rFonts w:hint="eastAsia"/>
                <w:sz w:val="21"/>
                <w:szCs w:val="21"/>
                <w:lang w:val="en-US"/>
              </w:rPr>
              <w:fldChar w:fldCharType="end"/>
            </w:r>
            <w:r>
              <w:rPr>
                <w:rFonts w:hint="eastAsia"/>
                <w:sz w:val="21"/>
                <w:szCs w:val="21"/>
                <w:lang w:val="en-US"/>
              </w:rPr>
              <w:t>）</w:t>
            </w:r>
            <w:r>
              <w:rPr>
                <w:rFonts w:hint="eastAsia"/>
                <w:sz w:val="21"/>
                <w:szCs w:val="21"/>
              </w:rPr>
              <w:t>查询结果网页截图</w:t>
            </w:r>
            <w:r>
              <w:rPr>
                <w:rFonts w:hint="eastAsia"/>
                <w:sz w:val="21"/>
                <w:szCs w:val="21"/>
                <w:lang w:val="en-US"/>
              </w:rPr>
              <w:t>，</w:t>
            </w:r>
            <w:r>
              <w:rPr>
                <w:rFonts w:hint="eastAsia"/>
                <w:sz w:val="21"/>
                <w:szCs w:val="21"/>
              </w:rPr>
              <w:t>认证范围须含项目管理或代建管理等相关认证范围方予计算。不符合上述条件或未提供上述资料的不得分。）</w:t>
            </w:r>
          </w:p>
        </w:tc>
      </w:tr>
      <w:tr w14:paraId="4F265F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753" w:type="dxa"/>
            <w:vMerge w:val="restart"/>
            <w:tcBorders>
              <w:top w:val="single" w:color="auto" w:sz="4" w:space="0"/>
              <w:right w:val="single" w:color="auto" w:sz="4" w:space="0"/>
            </w:tcBorders>
            <w:vAlign w:val="center"/>
          </w:tcPr>
          <w:p w14:paraId="670FEB1A">
            <w:pPr>
              <w:snapToGrid w:val="0"/>
              <w:spacing w:line="300" w:lineRule="auto"/>
              <w:jc w:val="center"/>
              <w:rPr>
                <w:sz w:val="21"/>
                <w:szCs w:val="21"/>
              </w:rPr>
            </w:pPr>
            <w:r>
              <w:rPr>
                <w:rFonts w:hint="eastAsia"/>
                <w:sz w:val="21"/>
                <w:szCs w:val="21"/>
              </w:rPr>
              <w:t>2.2.4（2）</w:t>
            </w:r>
          </w:p>
        </w:tc>
        <w:tc>
          <w:tcPr>
            <w:tcW w:w="997" w:type="dxa"/>
            <w:vMerge w:val="restart"/>
            <w:tcBorders>
              <w:top w:val="single" w:color="auto" w:sz="4" w:space="0"/>
              <w:right w:val="single" w:color="auto" w:sz="4" w:space="0"/>
            </w:tcBorders>
            <w:vAlign w:val="center"/>
          </w:tcPr>
          <w:p w14:paraId="63CEFDD8">
            <w:pPr>
              <w:spacing w:line="300" w:lineRule="auto"/>
              <w:contextualSpacing/>
              <w:jc w:val="center"/>
              <w:rPr>
                <w:sz w:val="21"/>
                <w:szCs w:val="21"/>
              </w:rPr>
            </w:pPr>
            <w:r>
              <w:rPr>
                <w:rFonts w:hint="eastAsia"/>
                <w:sz w:val="21"/>
                <w:szCs w:val="21"/>
              </w:rPr>
              <w:t>项目代建管理方案评分标准</w:t>
            </w:r>
          </w:p>
          <w:p w14:paraId="78A7763D">
            <w:pPr>
              <w:snapToGrid w:val="0"/>
              <w:spacing w:line="300" w:lineRule="auto"/>
              <w:jc w:val="center"/>
              <w:rPr>
                <w:sz w:val="21"/>
                <w:szCs w:val="21"/>
              </w:rPr>
            </w:pPr>
            <w:r>
              <w:rPr>
                <w:rFonts w:hint="eastAsia"/>
                <w:sz w:val="21"/>
                <w:szCs w:val="21"/>
              </w:rPr>
              <w:t>（30）</w:t>
            </w:r>
          </w:p>
        </w:tc>
        <w:tc>
          <w:tcPr>
            <w:tcW w:w="2116" w:type="dxa"/>
            <w:tcBorders>
              <w:top w:val="single" w:color="auto" w:sz="4" w:space="0"/>
              <w:left w:val="single" w:color="auto" w:sz="4" w:space="0"/>
              <w:bottom w:val="single" w:color="auto" w:sz="4" w:space="0"/>
              <w:right w:val="single" w:color="auto" w:sz="4" w:space="0"/>
            </w:tcBorders>
            <w:vAlign w:val="center"/>
          </w:tcPr>
          <w:p w14:paraId="04E8EFA3">
            <w:pPr>
              <w:spacing w:line="300" w:lineRule="auto"/>
              <w:jc w:val="center"/>
              <w:rPr>
                <w:bCs/>
                <w:sz w:val="21"/>
                <w:szCs w:val="21"/>
              </w:rPr>
            </w:pPr>
            <w:r>
              <w:rPr>
                <w:rFonts w:hint="eastAsia"/>
                <w:bCs/>
                <w:sz w:val="21"/>
                <w:szCs w:val="21"/>
              </w:rPr>
              <w:t>项目进度管理方案和措施</w:t>
            </w:r>
          </w:p>
          <w:p w14:paraId="67090B70">
            <w:pPr>
              <w:spacing w:line="300" w:lineRule="auto"/>
              <w:jc w:val="center"/>
              <w:rPr>
                <w:kern w:val="2"/>
                <w:sz w:val="21"/>
                <w:szCs w:val="21"/>
                <w:lang w:val="en-US" w:bidi="ar-SA"/>
              </w:rPr>
            </w:pPr>
            <w:r>
              <w:rPr>
                <w:rFonts w:hint="eastAsia"/>
                <w:sz w:val="21"/>
                <w:szCs w:val="21"/>
              </w:rPr>
              <w:t>（4分）</w:t>
            </w:r>
          </w:p>
        </w:tc>
        <w:tc>
          <w:tcPr>
            <w:tcW w:w="6375" w:type="dxa"/>
            <w:gridSpan w:val="2"/>
            <w:tcBorders>
              <w:top w:val="single" w:color="auto" w:sz="4" w:space="0"/>
              <w:left w:val="single" w:color="auto" w:sz="4" w:space="0"/>
              <w:bottom w:val="single" w:color="auto" w:sz="4" w:space="0"/>
              <w:right w:val="single" w:color="auto" w:sz="4" w:space="0"/>
            </w:tcBorders>
            <w:vAlign w:val="center"/>
          </w:tcPr>
          <w:p w14:paraId="350F0092">
            <w:pPr>
              <w:spacing w:line="300" w:lineRule="auto"/>
              <w:rPr>
                <w:sz w:val="21"/>
                <w:szCs w:val="21"/>
              </w:rPr>
            </w:pPr>
            <w:r>
              <w:rPr>
                <w:rFonts w:hint="eastAsia"/>
                <w:sz w:val="21"/>
                <w:szCs w:val="21"/>
              </w:rPr>
              <w:t>对项目进度管理有科学认识，对本项目管理过程中的各种问题（如工序、天气、前后工序对接、关键路线和节点、社会周边环境等问题）有切实可行的应对或应急方案，计划的柔性好，按时完工可靠性高；管理方案表述清晰完整、严谨合理得</w:t>
            </w:r>
            <w:r>
              <w:rPr>
                <w:rFonts w:hint="eastAsia"/>
                <w:sz w:val="21"/>
                <w:szCs w:val="21"/>
                <w:lang w:val="en-US"/>
              </w:rPr>
              <w:t>4</w:t>
            </w:r>
            <w:r>
              <w:rPr>
                <w:rFonts w:hint="eastAsia"/>
                <w:sz w:val="21"/>
                <w:szCs w:val="21"/>
              </w:rPr>
              <w:t>分；</w:t>
            </w:r>
          </w:p>
          <w:p w14:paraId="610572D3">
            <w:pPr>
              <w:spacing w:line="300" w:lineRule="auto"/>
              <w:rPr>
                <w:sz w:val="21"/>
                <w:szCs w:val="21"/>
              </w:rPr>
            </w:pPr>
            <w:r>
              <w:rPr>
                <w:rFonts w:hint="eastAsia"/>
                <w:sz w:val="21"/>
                <w:szCs w:val="21"/>
              </w:rPr>
              <w:t>对项目进度管理有科学认识，对本项目管理过程中的各种问题（如工序、天气、前后工序对接、关键路线和节点、社会周边环境等问题）有一定的应对或应急方案，基本能满足本项目工期要求；管理方案表述较清晰完整、合理得</w:t>
            </w:r>
            <w:r>
              <w:rPr>
                <w:rFonts w:hint="eastAsia"/>
                <w:sz w:val="21"/>
                <w:szCs w:val="21"/>
                <w:lang w:val="en-US"/>
              </w:rPr>
              <w:t>3</w:t>
            </w:r>
            <w:r>
              <w:rPr>
                <w:rFonts w:hint="eastAsia"/>
                <w:sz w:val="21"/>
                <w:szCs w:val="21"/>
              </w:rPr>
              <w:t>分；</w:t>
            </w:r>
          </w:p>
          <w:p w14:paraId="4105F519">
            <w:pPr>
              <w:spacing w:line="300" w:lineRule="auto"/>
              <w:rPr>
                <w:sz w:val="21"/>
                <w:szCs w:val="21"/>
              </w:rPr>
            </w:pPr>
            <w:r>
              <w:rPr>
                <w:rFonts w:hint="eastAsia"/>
                <w:sz w:val="21"/>
                <w:szCs w:val="21"/>
              </w:rPr>
              <w:t>对项目进度管理有科学认识，对本项目管理过程中的各种问题（如工序、天气、前后工序对接、关键路线和节点、社会周边环境等问题）没有应对方案，按时完工的可靠性差；管理方案表述不清晰，得</w:t>
            </w:r>
            <w:r>
              <w:rPr>
                <w:rFonts w:hint="eastAsia"/>
                <w:sz w:val="21"/>
                <w:szCs w:val="21"/>
                <w:lang w:val="en-US"/>
              </w:rPr>
              <w:t>2</w:t>
            </w:r>
            <w:r>
              <w:rPr>
                <w:rFonts w:hint="eastAsia"/>
                <w:sz w:val="21"/>
                <w:szCs w:val="21"/>
              </w:rPr>
              <w:t>分。</w:t>
            </w:r>
          </w:p>
          <w:p w14:paraId="4DFE7534">
            <w:pPr>
              <w:spacing w:line="300" w:lineRule="auto"/>
              <w:rPr>
                <w:sz w:val="21"/>
                <w:szCs w:val="21"/>
                <w:lang w:val="en-US"/>
              </w:rPr>
            </w:pPr>
            <w:r>
              <w:rPr>
                <w:rFonts w:hint="eastAsia"/>
                <w:sz w:val="21"/>
                <w:szCs w:val="21"/>
                <w:lang w:val="en-US"/>
              </w:rPr>
              <w:t>没有不得分。</w:t>
            </w:r>
          </w:p>
        </w:tc>
      </w:tr>
      <w:tr w14:paraId="24DAD8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53" w:type="dxa"/>
            <w:vMerge w:val="continue"/>
            <w:tcBorders>
              <w:right w:val="single" w:color="auto" w:sz="4" w:space="0"/>
            </w:tcBorders>
            <w:vAlign w:val="center"/>
          </w:tcPr>
          <w:p w14:paraId="1D2C31AB">
            <w:pPr>
              <w:snapToGrid w:val="0"/>
              <w:spacing w:line="300" w:lineRule="auto"/>
              <w:jc w:val="center"/>
              <w:rPr>
                <w:sz w:val="21"/>
                <w:szCs w:val="21"/>
              </w:rPr>
            </w:pPr>
          </w:p>
        </w:tc>
        <w:tc>
          <w:tcPr>
            <w:tcW w:w="997" w:type="dxa"/>
            <w:vMerge w:val="continue"/>
            <w:tcBorders>
              <w:right w:val="single" w:color="auto" w:sz="4" w:space="0"/>
            </w:tcBorders>
            <w:vAlign w:val="center"/>
          </w:tcPr>
          <w:p w14:paraId="0D3A3C6C">
            <w:pPr>
              <w:snapToGrid w:val="0"/>
              <w:spacing w:line="300" w:lineRule="auto"/>
              <w:jc w:val="center"/>
              <w:rPr>
                <w:sz w:val="21"/>
                <w:szCs w:val="21"/>
              </w:rPr>
            </w:pPr>
          </w:p>
        </w:tc>
        <w:tc>
          <w:tcPr>
            <w:tcW w:w="2116" w:type="dxa"/>
            <w:tcBorders>
              <w:top w:val="single" w:color="auto" w:sz="4" w:space="0"/>
              <w:left w:val="single" w:color="auto" w:sz="4" w:space="0"/>
              <w:bottom w:val="single" w:color="auto" w:sz="4" w:space="0"/>
              <w:right w:val="single" w:color="auto" w:sz="4" w:space="0"/>
            </w:tcBorders>
            <w:vAlign w:val="center"/>
          </w:tcPr>
          <w:p w14:paraId="13D8E187">
            <w:pPr>
              <w:spacing w:line="300" w:lineRule="auto"/>
              <w:jc w:val="center"/>
              <w:rPr>
                <w:sz w:val="21"/>
                <w:szCs w:val="21"/>
              </w:rPr>
            </w:pPr>
            <w:r>
              <w:rPr>
                <w:rFonts w:hint="eastAsia"/>
                <w:sz w:val="21"/>
                <w:szCs w:val="21"/>
              </w:rPr>
              <w:t>项目质量管理方案和措施</w:t>
            </w:r>
          </w:p>
          <w:p w14:paraId="6F687ABA">
            <w:pPr>
              <w:spacing w:line="300" w:lineRule="auto"/>
              <w:jc w:val="center"/>
              <w:rPr>
                <w:kern w:val="2"/>
                <w:sz w:val="21"/>
                <w:szCs w:val="21"/>
                <w:lang w:val="en-US" w:bidi="ar-SA"/>
              </w:rPr>
            </w:pPr>
            <w:r>
              <w:rPr>
                <w:rFonts w:hint="eastAsia"/>
                <w:sz w:val="21"/>
                <w:szCs w:val="21"/>
              </w:rPr>
              <w:t>（4分）</w:t>
            </w:r>
          </w:p>
        </w:tc>
        <w:tc>
          <w:tcPr>
            <w:tcW w:w="6375" w:type="dxa"/>
            <w:gridSpan w:val="2"/>
            <w:tcBorders>
              <w:top w:val="single" w:color="auto" w:sz="4" w:space="0"/>
              <w:left w:val="single" w:color="auto" w:sz="4" w:space="0"/>
              <w:bottom w:val="single" w:color="auto" w:sz="4" w:space="0"/>
              <w:right w:val="single" w:color="auto" w:sz="4" w:space="0"/>
            </w:tcBorders>
            <w:vAlign w:val="center"/>
          </w:tcPr>
          <w:p w14:paraId="4E2385E8">
            <w:pPr>
              <w:spacing w:line="300" w:lineRule="auto"/>
              <w:rPr>
                <w:sz w:val="21"/>
                <w:szCs w:val="21"/>
              </w:rPr>
            </w:pPr>
            <w:r>
              <w:rPr>
                <w:rFonts w:hint="eastAsia"/>
                <w:sz w:val="21"/>
                <w:szCs w:val="21"/>
              </w:rPr>
              <w:t>质量管理方案内容全面，质量目标明确，预控和动态控制管理措施明确具体、切实可行，实施工艺和手段先进、科学，质量管理体系和组织措施完善可靠，竣工验收与移交管理措施具体可行得</w:t>
            </w:r>
            <w:r>
              <w:rPr>
                <w:rFonts w:hint="eastAsia"/>
                <w:sz w:val="21"/>
                <w:szCs w:val="21"/>
                <w:lang w:val="en-US"/>
              </w:rPr>
              <w:t>4</w:t>
            </w:r>
            <w:r>
              <w:rPr>
                <w:rFonts w:hint="eastAsia"/>
                <w:sz w:val="21"/>
                <w:szCs w:val="21"/>
              </w:rPr>
              <w:t>分；</w:t>
            </w:r>
          </w:p>
          <w:p w14:paraId="54E9EF42">
            <w:pPr>
              <w:spacing w:line="300" w:lineRule="auto"/>
              <w:rPr>
                <w:sz w:val="21"/>
                <w:szCs w:val="21"/>
              </w:rPr>
            </w:pPr>
            <w:r>
              <w:rPr>
                <w:rFonts w:hint="eastAsia"/>
                <w:sz w:val="21"/>
                <w:szCs w:val="21"/>
              </w:rPr>
              <w:t>质量管理方案内容较全面，质量目标较明确，预控和动态控制管理措施较具体，各项措施较可行，实施工艺和手段较先进、科学，质量管理体系和组织措施较完善可靠，竣工验收与移交管理措施较具体可行，得</w:t>
            </w:r>
            <w:r>
              <w:rPr>
                <w:rFonts w:hint="eastAsia"/>
                <w:sz w:val="21"/>
                <w:szCs w:val="21"/>
                <w:lang w:val="en-US"/>
              </w:rPr>
              <w:t>3</w:t>
            </w:r>
            <w:r>
              <w:rPr>
                <w:rFonts w:hint="eastAsia"/>
                <w:sz w:val="21"/>
                <w:szCs w:val="21"/>
              </w:rPr>
              <w:t>分；</w:t>
            </w:r>
          </w:p>
          <w:p w14:paraId="7F16F722">
            <w:pPr>
              <w:spacing w:line="300" w:lineRule="auto"/>
              <w:rPr>
                <w:sz w:val="21"/>
                <w:szCs w:val="21"/>
              </w:rPr>
            </w:pPr>
            <w:r>
              <w:rPr>
                <w:rFonts w:hint="eastAsia"/>
                <w:sz w:val="21"/>
                <w:szCs w:val="21"/>
              </w:rPr>
              <w:t>质量管理方案内容不够全面，质量目标不明确，预控和动态控制管理措施不够具体，各项措施可行性差，得</w:t>
            </w:r>
            <w:r>
              <w:rPr>
                <w:rFonts w:hint="eastAsia"/>
                <w:sz w:val="21"/>
                <w:szCs w:val="21"/>
                <w:lang w:val="en-US"/>
              </w:rPr>
              <w:t>2</w:t>
            </w:r>
            <w:r>
              <w:rPr>
                <w:rFonts w:hint="eastAsia"/>
                <w:sz w:val="21"/>
                <w:szCs w:val="21"/>
              </w:rPr>
              <w:t>分。</w:t>
            </w:r>
          </w:p>
          <w:p w14:paraId="27D812B6">
            <w:pPr>
              <w:spacing w:line="300" w:lineRule="auto"/>
              <w:rPr>
                <w:sz w:val="21"/>
                <w:szCs w:val="21"/>
                <w:lang w:val="en-US"/>
              </w:rPr>
            </w:pPr>
            <w:r>
              <w:rPr>
                <w:rFonts w:hint="eastAsia"/>
                <w:sz w:val="21"/>
                <w:szCs w:val="21"/>
                <w:lang w:val="en-US"/>
              </w:rPr>
              <w:t>没有不得分。</w:t>
            </w:r>
          </w:p>
        </w:tc>
      </w:tr>
      <w:tr w14:paraId="7A0DF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53" w:type="dxa"/>
            <w:vMerge w:val="continue"/>
            <w:tcBorders>
              <w:right w:val="single" w:color="auto" w:sz="4" w:space="0"/>
            </w:tcBorders>
            <w:vAlign w:val="center"/>
          </w:tcPr>
          <w:p w14:paraId="6EEDB4D7">
            <w:pPr>
              <w:snapToGrid w:val="0"/>
              <w:spacing w:line="300" w:lineRule="auto"/>
              <w:rPr>
                <w:sz w:val="21"/>
                <w:szCs w:val="21"/>
              </w:rPr>
            </w:pPr>
          </w:p>
        </w:tc>
        <w:tc>
          <w:tcPr>
            <w:tcW w:w="997" w:type="dxa"/>
            <w:vMerge w:val="continue"/>
            <w:tcBorders>
              <w:right w:val="single" w:color="auto" w:sz="4" w:space="0"/>
            </w:tcBorders>
          </w:tcPr>
          <w:p w14:paraId="71B41201">
            <w:pPr>
              <w:snapToGrid w:val="0"/>
              <w:spacing w:line="300" w:lineRule="auto"/>
              <w:rPr>
                <w:sz w:val="21"/>
                <w:szCs w:val="21"/>
              </w:rPr>
            </w:pPr>
          </w:p>
        </w:tc>
        <w:tc>
          <w:tcPr>
            <w:tcW w:w="2116" w:type="dxa"/>
            <w:tcBorders>
              <w:top w:val="single" w:color="auto" w:sz="4" w:space="0"/>
              <w:left w:val="single" w:color="auto" w:sz="4" w:space="0"/>
              <w:bottom w:val="single" w:color="auto" w:sz="4" w:space="0"/>
              <w:right w:val="single" w:color="auto" w:sz="4" w:space="0"/>
            </w:tcBorders>
            <w:vAlign w:val="center"/>
          </w:tcPr>
          <w:p w14:paraId="01F74112">
            <w:pPr>
              <w:spacing w:line="300" w:lineRule="auto"/>
              <w:jc w:val="center"/>
              <w:rPr>
                <w:bCs/>
                <w:sz w:val="21"/>
                <w:szCs w:val="21"/>
              </w:rPr>
            </w:pPr>
            <w:r>
              <w:rPr>
                <w:rFonts w:hint="eastAsia"/>
                <w:bCs/>
                <w:sz w:val="21"/>
                <w:szCs w:val="21"/>
              </w:rPr>
              <w:t>项目安全文明施工管理方案和措施</w:t>
            </w:r>
          </w:p>
          <w:p w14:paraId="18EB7E6C">
            <w:pPr>
              <w:spacing w:line="300" w:lineRule="auto"/>
              <w:jc w:val="center"/>
              <w:rPr>
                <w:sz w:val="21"/>
                <w:szCs w:val="21"/>
              </w:rPr>
            </w:pPr>
            <w:r>
              <w:rPr>
                <w:rFonts w:hint="eastAsia"/>
                <w:sz w:val="21"/>
                <w:szCs w:val="21"/>
              </w:rPr>
              <w:t>（4分）</w:t>
            </w:r>
          </w:p>
        </w:tc>
        <w:tc>
          <w:tcPr>
            <w:tcW w:w="6375" w:type="dxa"/>
            <w:gridSpan w:val="2"/>
            <w:tcBorders>
              <w:top w:val="single" w:color="auto" w:sz="4" w:space="0"/>
              <w:left w:val="single" w:color="auto" w:sz="4" w:space="0"/>
              <w:bottom w:val="single" w:color="auto" w:sz="4" w:space="0"/>
              <w:right w:val="single" w:color="auto" w:sz="4" w:space="0"/>
            </w:tcBorders>
            <w:vAlign w:val="center"/>
          </w:tcPr>
          <w:p w14:paraId="43EAC128">
            <w:pPr>
              <w:spacing w:line="300" w:lineRule="auto"/>
              <w:rPr>
                <w:sz w:val="21"/>
                <w:szCs w:val="21"/>
              </w:rPr>
            </w:pPr>
            <w:r>
              <w:rPr>
                <w:rFonts w:hint="eastAsia"/>
                <w:sz w:val="21"/>
                <w:szCs w:val="21"/>
              </w:rPr>
              <w:t>文明施工及安全保证措施明确、具体可行、各项措施落实，项目管理期内相关的管理人员不违反业主监管安全规定，得</w:t>
            </w:r>
            <w:r>
              <w:rPr>
                <w:rFonts w:hint="eastAsia"/>
                <w:sz w:val="21"/>
                <w:szCs w:val="21"/>
                <w:lang w:val="en-US"/>
              </w:rPr>
              <w:t>4</w:t>
            </w:r>
            <w:r>
              <w:rPr>
                <w:rFonts w:hint="eastAsia"/>
                <w:sz w:val="21"/>
                <w:szCs w:val="21"/>
              </w:rPr>
              <w:t>分；</w:t>
            </w:r>
          </w:p>
          <w:p w14:paraId="4632929C">
            <w:pPr>
              <w:spacing w:line="300" w:lineRule="auto"/>
              <w:rPr>
                <w:sz w:val="21"/>
                <w:szCs w:val="21"/>
              </w:rPr>
            </w:pPr>
            <w:r>
              <w:rPr>
                <w:rFonts w:hint="eastAsia"/>
                <w:sz w:val="21"/>
                <w:szCs w:val="21"/>
              </w:rPr>
              <w:t>文明施工及安全保证措施较明确、具体、措施落实一般，项目管理期内相关的管理人员不违反业主监管安全规定，得</w:t>
            </w:r>
            <w:r>
              <w:rPr>
                <w:rFonts w:hint="eastAsia"/>
                <w:sz w:val="21"/>
                <w:szCs w:val="21"/>
                <w:lang w:val="en-US"/>
              </w:rPr>
              <w:t>3</w:t>
            </w:r>
            <w:r>
              <w:rPr>
                <w:rFonts w:hint="eastAsia"/>
                <w:sz w:val="21"/>
                <w:szCs w:val="21"/>
              </w:rPr>
              <w:t>分；</w:t>
            </w:r>
          </w:p>
          <w:p w14:paraId="14640CF7">
            <w:pPr>
              <w:spacing w:line="300" w:lineRule="auto"/>
              <w:rPr>
                <w:sz w:val="21"/>
                <w:szCs w:val="21"/>
              </w:rPr>
            </w:pPr>
            <w:r>
              <w:rPr>
                <w:rFonts w:hint="eastAsia"/>
                <w:sz w:val="21"/>
                <w:szCs w:val="21"/>
              </w:rPr>
              <w:t>方案及措施不明确、不具体、不落实，项目管理期内相关的管理人员不违反业主监管安全规定，得</w:t>
            </w:r>
            <w:r>
              <w:rPr>
                <w:rFonts w:hint="eastAsia"/>
                <w:sz w:val="21"/>
                <w:szCs w:val="21"/>
                <w:lang w:val="en-US"/>
              </w:rPr>
              <w:t>2</w:t>
            </w:r>
            <w:r>
              <w:rPr>
                <w:rFonts w:hint="eastAsia"/>
                <w:sz w:val="21"/>
                <w:szCs w:val="21"/>
              </w:rPr>
              <w:t>分。</w:t>
            </w:r>
          </w:p>
          <w:p w14:paraId="442079A5">
            <w:pPr>
              <w:spacing w:line="300" w:lineRule="auto"/>
              <w:rPr>
                <w:sz w:val="21"/>
                <w:szCs w:val="21"/>
              </w:rPr>
            </w:pPr>
            <w:r>
              <w:rPr>
                <w:rFonts w:hint="eastAsia"/>
                <w:sz w:val="21"/>
                <w:szCs w:val="21"/>
                <w:lang w:val="en-US"/>
              </w:rPr>
              <w:t>没有不得分。</w:t>
            </w:r>
          </w:p>
        </w:tc>
      </w:tr>
      <w:tr w14:paraId="6202AB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4" w:hRule="atLeast"/>
        </w:trPr>
        <w:tc>
          <w:tcPr>
            <w:tcW w:w="753" w:type="dxa"/>
            <w:vMerge w:val="continue"/>
            <w:tcBorders>
              <w:right w:val="single" w:color="auto" w:sz="4" w:space="0"/>
            </w:tcBorders>
            <w:vAlign w:val="center"/>
          </w:tcPr>
          <w:p w14:paraId="6D488581">
            <w:pPr>
              <w:snapToGrid w:val="0"/>
              <w:spacing w:line="300" w:lineRule="auto"/>
              <w:rPr>
                <w:sz w:val="21"/>
                <w:szCs w:val="21"/>
              </w:rPr>
            </w:pPr>
          </w:p>
        </w:tc>
        <w:tc>
          <w:tcPr>
            <w:tcW w:w="997" w:type="dxa"/>
            <w:vMerge w:val="continue"/>
            <w:tcBorders>
              <w:right w:val="single" w:color="auto" w:sz="4" w:space="0"/>
            </w:tcBorders>
          </w:tcPr>
          <w:p w14:paraId="2DD64592">
            <w:pPr>
              <w:snapToGrid w:val="0"/>
              <w:spacing w:line="300" w:lineRule="auto"/>
              <w:rPr>
                <w:sz w:val="21"/>
                <w:szCs w:val="21"/>
              </w:rPr>
            </w:pPr>
          </w:p>
        </w:tc>
        <w:tc>
          <w:tcPr>
            <w:tcW w:w="2116" w:type="dxa"/>
            <w:tcBorders>
              <w:top w:val="single" w:color="auto" w:sz="4" w:space="0"/>
              <w:left w:val="single" w:color="auto" w:sz="4" w:space="0"/>
              <w:bottom w:val="single" w:color="auto" w:sz="4" w:space="0"/>
              <w:right w:val="single" w:color="auto" w:sz="4" w:space="0"/>
            </w:tcBorders>
            <w:vAlign w:val="center"/>
          </w:tcPr>
          <w:p w14:paraId="529F3418">
            <w:pPr>
              <w:spacing w:line="300" w:lineRule="auto"/>
              <w:jc w:val="center"/>
              <w:rPr>
                <w:bCs/>
                <w:sz w:val="21"/>
                <w:szCs w:val="21"/>
                <w:highlight w:val="none"/>
              </w:rPr>
            </w:pPr>
            <w:r>
              <w:rPr>
                <w:rFonts w:hint="eastAsia"/>
                <w:bCs/>
                <w:sz w:val="21"/>
                <w:szCs w:val="21"/>
                <w:highlight w:val="none"/>
              </w:rPr>
              <w:t>项目档案管理方案和措施</w:t>
            </w:r>
          </w:p>
          <w:p w14:paraId="0216FFF4">
            <w:pPr>
              <w:spacing w:line="300" w:lineRule="auto"/>
              <w:jc w:val="center"/>
              <w:rPr>
                <w:sz w:val="21"/>
                <w:szCs w:val="21"/>
                <w:highlight w:val="none"/>
                <w:lang w:val="en-US" w:bidi="ar-SA"/>
              </w:rPr>
            </w:pPr>
            <w:r>
              <w:rPr>
                <w:rFonts w:hint="eastAsia"/>
                <w:sz w:val="21"/>
                <w:szCs w:val="21"/>
                <w:highlight w:val="none"/>
              </w:rPr>
              <w:t>（4分）</w:t>
            </w:r>
          </w:p>
        </w:tc>
        <w:tc>
          <w:tcPr>
            <w:tcW w:w="6375" w:type="dxa"/>
            <w:gridSpan w:val="2"/>
            <w:tcBorders>
              <w:top w:val="single" w:color="auto" w:sz="4" w:space="0"/>
              <w:left w:val="single" w:color="auto" w:sz="4" w:space="0"/>
              <w:bottom w:val="single" w:color="auto" w:sz="4" w:space="0"/>
              <w:right w:val="single" w:color="auto" w:sz="4" w:space="0"/>
            </w:tcBorders>
            <w:vAlign w:val="center"/>
          </w:tcPr>
          <w:p w14:paraId="6AC94AD1">
            <w:pPr>
              <w:spacing w:line="300" w:lineRule="auto"/>
              <w:rPr>
                <w:sz w:val="21"/>
                <w:szCs w:val="21"/>
                <w:highlight w:val="none"/>
              </w:rPr>
            </w:pPr>
            <w:r>
              <w:rPr>
                <w:rFonts w:hint="eastAsia"/>
                <w:sz w:val="21"/>
                <w:szCs w:val="21"/>
                <w:highlight w:val="none"/>
              </w:rPr>
              <w:t>项目档案管理方案符合国家档案管理要求，管理措施完善、可行、合理，操作性强，得</w:t>
            </w:r>
            <w:r>
              <w:rPr>
                <w:rFonts w:hint="eastAsia"/>
                <w:sz w:val="21"/>
                <w:szCs w:val="21"/>
                <w:highlight w:val="none"/>
                <w:lang w:val="en-US"/>
              </w:rPr>
              <w:t>4</w:t>
            </w:r>
            <w:r>
              <w:rPr>
                <w:rFonts w:hint="eastAsia"/>
                <w:sz w:val="21"/>
                <w:szCs w:val="21"/>
                <w:highlight w:val="none"/>
              </w:rPr>
              <w:t>分；</w:t>
            </w:r>
          </w:p>
          <w:p w14:paraId="6B1C58FA">
            <w:pPr>
              <w:spacing w:line="300" w:lineRule="auto"/>
              <w:rPr>
                <w:sz w:val="21"/>
                <w:szCs w:val="21"/>
                <w:highlight w:val="none"/>
              </w:rPr>
            </w:pPr>
            <w:r>
              <w:rPr>
                <w:rFonts w:hint="eastAsia"/>
                <w:sz w:val="21"/>
                <w:szCs w:val="21"/>
                <w:highlight w:val="none"/>
              </w:rPr>
              <w:t>项目档案管理方案符合国家档案管理要求，管理措施一般、可行、合理，操作性一般，得</w:t>
            </w:r>
            <w:r>
              <w:rPr>
                <w:rFonts w:hint="eastAsia"/>
                <w:sz w:val="21"/>
                <w:szCs w:val="21"/>
                <w:highlight w:val="none"/>
                <w:lang w:val="en-US"/>
              </w:rPr>
              <w:t>3</w:t>
            </w:r>
            <w:r>
              <w:rPr>
                <w:rFonts w:hint="eastAsia"/>
                <w:sz w:val="21"/>
                <w:szCs w:val="21"/>
                <w:highlight w:val="none"/>
              </w:rPr>
              <w:t>分；</w:t>
            </w:r>
          </w:p>
          <w:p w14:paraId="654556CE">
            <w:pPr>
              <w:spacing w:line="300" w:lineRule="auto"/>
              <w:rPr>
                <w:sz w:val="21"/>
                <w:szCs w:val="21"/>
                <w:highlight w:val="none"/>
              </w:rPr>
            </w:pPr>
            <w:r>
              <w:rPr>
                <w:rFonts w:hint="eastAsia"/>
                <w:sz w:val="21"/>
                <w:szCs w:val="21"/>
                <w:highlight w:val="none"/>
              </w:rPr>
              <w:t>项目档案管理方案基本符合国家档案管理要求，管理措施较完善、可行，操作性差，得</w:t>
            </w:r>
            <w:r>
              <w:rPr>
                <w:rFonts w:hint="eastAsia"/>
                <w:sz w:val="21"/>
                <w:szCs w:val="21"/>
                <w:highlight w:val="none"/>
                <w:lang w:val="en-US"/>
              </w:rPr>
              <w:t>2</w:t>
            </w:r>
            <w:r>
              <w:rPr>
                <w:rFonts w:hint="eastAsia"/>
                <w:sz w:val="21"/>
                <w:szCs w:val="21"/>
                <w:highlight w:val="none"/>
              </w:rPr>
              <w:t>分。</w:t>
            </w:r>
          </w:p>
          <w:p w14:paraId="70D85001">
            <w:pPr>
              <w:spacing w:line="300" w:lineRule="auto"/>
              <w:rPr>
                <w:sz w:val="21"/>
                <w:szCs w:val="21"/>
                <w:highlight w:val="none"/>
                <w:lang w:val="en-US"/>
              </w:rPr>
            </w:pPr>
            <w:r>
              <w:rPr>
                <w:rFonts w:hint="eastAsia"/>
                <w:sz w:val="21"/>
                <w:szCs w:val="21"/>
                <w:highlight w:val="none"/>
                <w:lang w:val="en-US"/>
              </w:rPr>
              <w:t>没有不得分。</w:t>
            </w:r>
          </w:p>
        </w:tc>
      </w:tr>
      <w:tr w14:paraId="745514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53" w:type="dxa"/>
            <w:vMerge w:val="continue"/>
            <w:tcBorders>
              <w:right w:val="single" w:color="auto" w:sz="4" w:space="0"/>
            </w:tcBorders>
            <w:vAlign w:val="center"/>
          </w:tcPr>
          <w:p w14:paraId="753A7920">
            <w:pPr>
              <w:snapToGrid w:val="0"/>
              <w:spacing w:line="300" w:lineRule="auto"/>
              <w:rPr>
                <w:sz w:val="21"/>
                <w:szCs w:val="21"/>
              </w:rPr>
            </w:pPr>
          </w:p>
        </w:tc>
        <w:tc>
          <w:tcPr>
            <w:tcW w:w="997" w:type="dxa"/>
            <w:vMerge w:val="continue"/>
            <w:tcBorders>
              <w:right w:val="single" w:color="auto" w:sz="4" w:space="0"/>
            </w:tcBorders>
          </w:tcPr>
          <w:p w14:paraId="5155C903">
            <w:pPr>
              <w:snapToGrid w:val="0"/>
              <w:spacing w:line="300" w:lineRule="auto"/>
              <w:rPr>
                <w:sz w:val="21"/>
                <w:szCs w:val="21"/>
              </w:rPr>
            </w:pPr>
          </w:p>
        </w:tc>
        <w:tc>
          <w:tcPr>
            <w:tcW w:w="2116" w:type="dxa"/>
            <w:tcBorders>
              <w:top w:val="single" w:color="auto" w:sz="4" w:space="0"/>
              <w:left w:val="single" w:color="auto" w:sz="4" w:space="0"/>
              <w:bottom w:val="single" w:color="auto" w:sz="4" w:space="0"/>
              <w:right w:val="single" w:color="auto" w:sz="4" w:space="0"/>
            </w:tcBorders>
            <w:vAlign w:val="center"/>
          </w:tcPr>
          <w:p w14:paraId="590D0849">
            <w:pPr>
              <w:spacing w:line="300" w:lineRule="auto"/>
              <w:jc w:val="center"/>
              <w:rPr>
                <w:sz w:val="21"/>
                <w:szCs w:val="21"/>
                <w:lang w:val="en-US" w:bidi="ar-SA"/>
              </w:rPr>
            </w:pPr>
            <w:r>
              <w:rPr>
                <w:rFonts w:hint="eastAsia"/>
                <w:bCs/>
                <w:sz w:val="21"/>
                <w:szCs w:val="21"/>
              </w:rPr>
              <w:t>项目管理重点难点分析、合理化建议及应对不定性因素的措施</w:t>
            </w:r>
            <w:r>
              <w:rPr>
                <w:rFonts w:hint="eastAsia"/>
                <w:sz w:val="21"/>
                <w:szCs w:val="21"/>
              </w:rPr>
              <w:t>（4分）</w:t>
            </w:r>
          </w:p>
        </w:tc>
        <w:tc>
          <w:tcPr>
            <w:tcW w:w="6375" w:type="dxa"/>
            <w:gridSpan w:val="2"/>
            <w:tcBorders>
              <w:top w:val="single" w:color="auto" w:sz="4" w:space="0"/>
              <w:left w:val="single" w:color="auto" w:sz="4" w:space="0"/>
              <w:bottom w:val="single" w:color="auto" w:sz="4" w:space="0"/>
              <w:right w:val="single" w:color="auto" w:sz="4" w:space="0"/>
            </w:tcBorders>
            <w:vAlign w:val="center"/>
          </w:tcPr>
          <w:p w14:paraId="11B4956F">
            <w:pPr>
              <w:spacing w:line="300" w:lineRule="auto"/>
              <w:rPr>
                <w:sz w:val="21"/>
                <w:szCs w:val="21"/>
              </w:rPr>
            </w:pPr>
            <w:r>
              <w:rPr>
                <w:rFonts w:hint="eastAsia"/>
                <w:sz w:val="21"/>
                <w:szCs w:val="21"/>
              </w:rPr>
              <w:t>对本项目管理中重点难点分析到位，合理化建议切实可行，应对不定性因素措施可靠，得4分；</w:t>
            </w:r>
          </w:p>
          <w:p w14:paraId="5E4A19E8">
            <w:pPr>
              <w:spacing w:line="300" w:lineRule="auto"/>
              <w:rPr>
                <w:sz w:val="21"/>
                <w:szCs w:val="21"/>
              </w:rPr>
            </w:pPr>
            <w:r>
              <w:rPr>
                <w:rFonts w:hint="eastAsia"/>
                <w:sz w:val="21"/>
                <w:szCs w:val="21"/>
              </w:rPr>
              <w:t>对本项目管理中重点难点分析较到位，合理化建议有一定的可行性，应对不定性因素措施一般，得3分；</w:t>
            </w:r>
          </w:p>
          <w:p w14:paraId="3DFA2F6B">
            <w:pPr>
              <w:spacing w:line="300" w:lineRule="auto"/>
              <w:rPr>
                <w:sz w:val="21"/>
                <w:szCs w:val="21"/>
              </w:rPr>
            </w:pPr>
            <w:r>
              <w:rPr>
                <w:rFonts w:hint="eastAsia"/>
                <w:sz w:val="21"/>
                <w:szCs w:val="21"/>
              </w:rPr>
              <w:t>对本项目管理中重点难点有基本认识，无合理化建议或建议不可行，应对不定性因素措施不可靠，得</w:t>
            </w:r>
            <w:r>
              <w:rPr>
                <w:rFonts w:hint="eastAsia"/>
                <w:sz w:val="21"/>
                <w:szCs w:val="21"/>
                <w:lang w:val="en-US"/>
              </w:rPr>
              <w:t>2</w:t>
            </w:r>
            <w:r>
              <w:rPr>
                <w:rFonts w:hint="eastAsia"/>
                <w:sz w:val="21"/>
                <w:szCs w:val="21"/>
              </w:rPr>
              <w:t>分。</w:t>
            </w:r>
          </w:p>
          <w:p w14:paraId="57646F6E">
            <w:pPr>
              <w:spacing w:line="300" w:lineRule="auto"/>
              <w:rPr>
                <w:sz w:val="21"/>
                <w:szCs w:val="21"/>
                <w:lang w:val="en-US"/>
              </w:rPr>
            </w:pPr>
            <w:r>
              <w:rPr>
                <w:rFonts w:hint="eastAsia"/>
                <w:sz w:val="21"/>
                <w:szCs w:val="21"/>
                <w:lang w:val="en-US"/>
              </w:rPr>
              <w:t>没有不得分。</w:t>
            </w:r>
          </w:p>
        </w:tc>
      </w:tr>
      <w:tr w14:paraId="43C37B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753" w:type="dxa"/>
            <w:vMerge w:val="continue"/>
            <w:tcBorders>
              <w:right w:val="single" w:color="auto" w:sz="4" w:space="0"/>
            </w:tcBorders>
            <w:vAlign w:val="center"/>
          </w:tcPr>
          <w:p w14:paraId="0500138E">
            <w:pPr>
              <w:snapToGrid w:val="0"/>
              <w:spacing w:line="300" w:lineRule="auto"/>
              <w:rPr>
                <w:sz w:val="21"/>
                <w:szCs w:val="21"/>
              </w:rPr>
            </w:pPr>
          </w:p>
        </w:tc>
        <w:tc>
          <w:tcPr>
            <w:tcW w:w="997" w:type="dxa"/>
            <w:vMerge w:val="continue"/>
            <w:tcBorders>
              <w:right w:val="single" w:color="auto" w:sz="4" w:space="0"/>
            </w:tcBorders>
          </w:tcPr>
          <w:p w14:paraId="139A9147">
            <w:pPr>
              <w:snapToGrid w:val="0"/>
              <w:spacing w:line="300" w:lineRule="auto"/>
              <w:rPr>
                <w:sz w:val="21"/>
                <w:szCs w:val="21"/>
              </w:rPr>
            </w:pPr>
          </w:p>
        </w:tc>
        <w:tc>
          <w:tcPr>
            <w:tcW w:w="2116" w:type="dxa"/>
            <w:tcBorders>
              <w:top w:val="single" w:color="auto" w:sz="4" w:space="0"/>
              <w:left w:val="single" w:color="auto" w:sz="4" w:space="0"/>
              <w:bottom w:val="single" w:color="auto" w:sz="4" w:space="0"/>
              <w:right w:val="single" w:color="auto" w:sz="4" w:space="0"/>
            </w:tcBorders>
            <w:vAlign w:val="center"/>
          </w:tcPr>
          <w:p w14:paraId="714F9E80">
            <w:pPr>
              <w:spacing w:line="300" w:lineRule="auto"/>
              <w:jc w:val="center"/>
              <w:rPr>
                <w:bCs/>
                <w:sz w:val="21"/>
                <w:szCs w:val="21"/>
              </w:rPr>
            </w:pPr>
            <w:r>
              <w:rPr>
                <w:rFonts w:hint="eastAsia"/>
                <w:bCs/>
                <w:sz w:val="21"/>
                <w:szCs w:val="21"/>
              </w:rPr>
              <w:t>项目管理的工作程序和工作制度</w:t>
            </w:r>
          </w:p>
          <w:p w14:paraId="6AF3FCA6">
            <w:pPr>
              <w:spacing w:line="300" w:lineRule="auto"/>
              <w:jc w:val="center"/>
              <w:rPr>
                <w:sz w:val="21"/>
                <w:szCs w:val="21"/>
              </w:rPr>
            </w:pPr>
            <w:r>
              <w:rPr>
                <w:rFonts w:hint="eastAsia"/>
                <w:sz w:val="21"/>
                <w:szCs w:val="21"/>
              </w:rPr>
              <w:t>（4分）</w:t>
            </w:r>
          </w:p>
        </w:tc>
        <w:tc>
          <w:tcPr>
            <w:tcW w:w="6375" w:type="dxa"/>
            <w:gridSpan w:val="2"/>
            <w:tcBorders>
              <w:top w:val="single" w:color="auto" w:sz="4" w:space="0"/>
              <w:left w:val="single" w:color="auto" w:sz="4" w:space="0"/>
              <w:bottom w:val="single" w:color="auto" w:sz="4" w:space="0"/>
              <w:right w:val="single" w:color="auto" w:sz="4" w:space="0"/>
            </w:tcBorders>
            <w:vAlign w:val="center"/>
          </w:tcPr>
          <w:p w14:paraId="410CF470">
            <w:pPr>
              <w:spacing w:line="300" w:lineRule="auto"/>
              <w:rPr>
                <w:sz w:val="21"/>
                <w:szCs w:val="21"/>
              </w:rPr>
            </w:pPr>
            <w:r>
              <w:rPr>
                <w:rFonts w:hint="eastAsia"/>
                <w:sz w:val="21"/>
                <w:szCs w:val="21"/>
              </w:rPr>
              <w:t>根据本项目管理要求制定相关的工作程序及工作制度，工作程序符合建设程序且合理、可行，工作制度全面、合理，得4分；</w:t>
            </w:r>
          </w:p>
          <w:p w14:paraId="7450DFEB">
            <w:pPr>
              <w:spacing w:line="300" w:lineRule="auto"/>
              <w:rPr>
                <w:sz w:val="21"/>
                <w:szCs w:val="21"/>
              </w:rPr>
            </w:pPr>
            <w:r>
              <w:rPr>
                <w:rFonts w:hint="eastAsia"/>
                <w:sz w:val="21"/>
                <w:szCs w:val="21"/>
              </w:rPr>
              <w:t>能基本根据本项目管理的要求制定相关的工作程序及工作制度，工作程序符合建设程序且基本合理，工作制度较全面，得3分；</w:t>
            </w:r>
          </w:p>
          <w:p w14:paraId="060330E5">
            <w:pPr>
              <w:spacing w:line="300" w:lineRule="auto"/>
              <w:rPr>
                <w:sz w:val="21"/>
                <w:szCs w:val="21"/>
              </w:rPr>
            </w:pPr>
            <w:r>
              <w:rPr>
                <w:rFonts w:hint="eastAsia"/>
                <w:sz w:val="21"/>
                <w:szCs w:val="21"/>
              </w:rPr>
              <w:t>能提出本项目管理过程的工作程序和工作制度，工作程序不完全符合建设程序的要求，工作制度不全面，得</w:t>
            </w:r>
            <w:r>
              <w:rPr>
                <w:rFonts w:hint="eastAsia"/>
                <w:sz w:val="21"/>
                <w:szCs w:val="21"/>
                <w:lang w:val="en-US"/>
              </w:rPr>
              <w:t>2</w:t>
            </w:r>
            <w:r>
              <w:rPr>
                <w:rFonts w:hint="eastAsia"/>
                <w:sz w:val="21"/>
                <w:szCs w:val="21"/>
              </w:rPr>
              <w:t>分。</w:t>
            </w:r>
          </w:p>
          <w:p w14:paraId="0E03B0FE">
            <w:pPr>
              <w:spacing w:line="300" w:lineRule="auto"/>
              <w:rPr>
                <w:sz w:val="21"/>
                <w:szCs w:val="21"/>
              </w:rPr>
            </w:pPr>
            <w:r>
              <w:rPr>
                <w:rFonts w:hint="eastAsia"/>
                <w:sz w:val="21"/>
                <w:szCs w:val="21"/>
                <w:lang w:val="en-US"/>
              </w:rPr>
              <w:t>没有不得分。</w:t>
            </w:r>
          </w:p>
        </w:tc>
      </w:tr>
      <w:tr w14:paraId="0172F9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53" w:type="dxa"/>
            <w:vMerge w:val="continue"/>
            <w:tcBorders>
              <w:right w:val="single" w:color="auto" w:sz="4" w:space="0"/>
            </w:tcBorders>
            <w:vAlign w:val="center"/>
          </w:tcPr>
          <w:p w14:paraId="038C9546">
            <w:pPr>
              <w:snapToGrid w:val="0"/>
              <w:spacing w:line="300" w:lineRule="auto"/>
              <w:rPr>
                <w:sz w:val="21"/>
                <w:szCs w:val="21"/>
              </w:rPr>
            </w:pPr>
          </w:p>
        </w:tc>
        <w:tc>
          <w:tcPr>
            <w:tcW w:w="997" w:type="dxa"/>
            <w:vMerge w:val="continue"/>
            <w:tcBorders>
              <w:right w:val="single" w:color="auto" w:sz="4" w:space="0"/>
            </w:tcBorders>
          </w:tcPr>
          <w:p w14:paraId="791BD5CF">
            <w:pPr>
              <w:snapToGrid w:val="0"/>
              <w:spacing w:line="300" w:lineRule="auto"/>
              <w:rPr>
                <w:sz w:val="21"/>
                <w:szCs w:val="21"/>
              </w:rPr>
            </w:pPr>
          </w:p>
        </w:tc>
        <w:tc>
          <w:tcPr>
            <w:tcW w:w="2116" w:type="dxa"/>
            <w:tcBorders>
              <w:top w:val="single" w:color="auto" w:sz="4" w:space="0"/>
              <w:left w:val="single" w:color="auto" w:sz="4" w:space="0"/>
              <w:bottom w:val="single" w:color="auto" w:sz="4" w:space="0"/>
              <w:right w:val="single" w:color="auto" w:sz="4" w:space="0"/>
            </w:tcBorders>
            <w:vAlign w:val="center"/>
          </w:tcPr>
          <w:p w14:paraId="4A3D8600">
            <w:pPr>
              <w:spacing w:line="300" w:lineRule="auto"/>
              <w:jc w:val="center"/>
              <w:rPr>
                <w:bCs/>
                <w:sz w:val="21"/>
                <w:szCs w:val="21"/>
              </w:rPr>
            </w:pPr>
            <w:r>
              <w:rPr>
                <w:rFonts w:hint="eastAsia"/>
                <w:bCs/>
                <w:sz w:val="21"/>
                <w:szCs w:val="21"/>
              </w:rPr>
              <w:t>项目管理过程中与有关部门的协调方案</w:t>
            </w:r>
          </w:p>
          <w:p w14:paraId="579E9CA5">
            <w:pPr>
              <w:spacing w:line="300" w:lineRule="auto"/>
              <w:jc w:val="center"/>
              <w:rPr>
                <w:sz w:val="21"/>
                <w:szCs w:val="21"/>
              </w:rPr>
            </w:pPr>
            <w:r>
              <w:rPr>
                <w:rFonts w:hint="eastAsia"/>
                <w:sz w:val="21"/>
                <w:szCs w:val="21"/>
              </w:rPr>
              <w:t>（4分）</w:t>
            </w:r>
          </w:p>
        </w:tc>
        <w:tc>
          <w:tcPr>
            <w:tcW w:w="6375" w:type="dxa"/>
            <w:gridSpan w:val="2"/>
            <w:tcBorders>
              <w:top w:val="single" w:color="auto" w:sz="4" w:space="0"/>
              <w:left w:val="single" w:color="auto" w:sz="4" w:space="0"/>
              <w:bottom w:val="single" w:color="auto" w:sz="4" w:space="0"/>
              <w:right w:val="single" w:color="auto" w:sz="4" w:space="0"/>
            </w:tcBorders>
            <w:vAlign w:val="center"/>
          </w:tcPr>
          <w:p w14:paraId="21A7588E">
            <w:pPr>
              <w:spacing w:line="300" w:lineRule="auto"/>
              <w:rPr>
                <w:sz w:val="21"/>
                <w:szCs w:val="21"/>
              </w:rPr>
            </w:pPr>
            <w:r>
              <w:rPr>
                <w:rFonts w:hint="eastAsia"/>
                <w:sz w:val="21"/>
                <w:szCs w:val="21"/>
              </w:rPr>
              <w:t>与有关部门工作沟通、协调的方案和措施，有全面具体的措施，措施可行，方法合理，得4分；</w:t>
            </w:r>
          </w:p>
          <w:p w14:paraId="4B802880">
            <w:pPr>
              <w:spacing w:line="300" w:lineRule="auto"/>
              <w:rPr>
                <w:sz w:val="21"/>
                <w:szCs w:val="21"/>
              </w:rPr>
            </w:pPr>
            <w:r>
              <w:rPr>
                <w:rFonts w:hint="eastAsia"/>
                <w:sz w:val="21"/>
                <w:szCs w:val="21"/>
              </w:rPr>
              <w:t xml:space="preserve">与政府有关部门工作沟通、协调的方案和措施，有措施，措施一般，得3分； </w:t>
            </w:r>
          </w:p>
          <w:p w14:paraId="0BB1FA4C">
            <w:pPr>
              <w:spacing w:line="300" w:lineRule="auto"/>
              <w:rPr>
                <w:sz w:val="21"/>
                <w:szCs w:val="21"/>
              </w:rPr>
            </w:pPr>
            <w:r>
              <w:rPr>
                <w:rFonts w:hint="eastAsia"/>
                <w:sz w:val="21"/>
                <w:szCs w:val="21"/>
              </w:rPr>
              <w:t>无与政府有关部门工作沟通、协调的方案和措施，或措施不可行，得</w:t>
            </w:r>
            <w:r>
              <w:rPr>
                <w:rFonts w:hint="eastAsia"/>
                <w:sz w:val="21"/>
                <w:szCs w:val="21"/>
                <w:lang w:val="en-US"/>
              </w:rPr>
              <w:t>2</w:t>
            </w:r>
            <w:r>
              <w:rPr>
                <w:rFonts w:hint="eastAsia"/>
                <w:sz w:val="21"/>
                <w:szCs w:val="21"/>
              </w:rPr>
              <w:t>分。</w:t>
            </w:r>
          </w:p>
          <w:p w14:paraId="5EA93D8B">
            <w:pPr>
              <w:spacing w:line="300" w:lineRule="auto"/>
              <w:rPr>
                <w:sz w:val="21"/>
                <w:szCs w:val="21"/>
              </w:rPr>
            </w:pPr>
            <w:r>
              <w:rPr>
                <w:rFonts w:hint="eastAsia"/>
                <w:sz w:val="21"/>
                <w:szCs w:val="21"/>
                <w:lang w:val="en-US"/>
              </w:rPr>
              <w:t>没有不得分。</w:t>
            </w:r>
          </w:p>
        </w:tc>
      </w:tr>
      <w:tr w14:paraId="3AB068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753" w:type="dxa"/>
            <w:vMerge w:val="continue"/>
            <w:tcBorders>
              <w:right w:val="single" w:color="auto" w:sz="4" w:space="0"/>
            </w:tcBorders>
          </w:tcPr>
          <w:p w14:paraId="51391129">
            <w:pPr>
              <w:snapToGrid w:val="0"/>
              <w:spacing w:line="300" w:lineRule="auto"/>
              <w:rPr>
                <w:sz w:val="21"/>
                <w:szCs w:val="21"/>
              </w:rPr>
            </w:pPr>
          </w:p>
        </w:tc>
        <w:tc>
          <w:tcPr>
            <w:tcW w:w="997" w:type="dxa"/>
            <w:vMerge w:val="continue"/>
            <w:tcBorders>
              <w:right w:val="single" w:color="auto" w:sz="4" w:space="0"/>
            </w:tcBorders>
          </w:tcPr>
          <w:p w14:paraId="627B7D39">
            <w:pPr>
              <w:snapToGrid w:val="0"/>
              <w:spacing w:line="300" w:lineRule="auto"/>
              <w:rPr>
                <w:sz w:val="21"/>
                <w:szCs w:val="21"/>
              </w:rPr>
            </w:pPr>
          </w:p>
        </w:tc>
        <w:tc>
          <w:tcPr>
            <w:tcW w:w="211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1C472A3">
            <w:pPr>
              <w:spacing w:line="300" w:lineRule="auto"/>
              <w:jc w:val="center"/>
              <w:rPr>
                <w:bCs/>
                <w:sz w:val="21"/>
                <w:szCs w:val="21"/>
              </w:rPr>
            </w:pPr>
            <w:r>
              <w:rPr>
                <w:rFonts w:hint="eastAsia"/>
                <w:bCs/>
                <w:sz w:val="21"/>
                <w:szCs w:val="21"/>
              </w:rPr>
              <w:t>项目建设总体计划安排</w:t>
            </w:r>
          </w:p>
          <w:p w14:paraId="567C44BE">
            <w:pPr>
              <w:spacing w:line="300" w:lineRule="auto"/>
              <w:jc w:val="center"/>
              <w:rPr>
                <w:sz w:val="21"/>
                <w:szCs w:val="21"/>
              </w:rPr>
            </w:pPr>
            <w:r>
              <w:rPr>
                <w:rFonts w:hint="eastAsia"/>
                <w:sz w:val="21"/>
                <w:szCs w:val="21"/>
              </w:rPr>
              <w:t>（2分）</w:t>
            </w:r>
          </w:p>
        </w:tc>
        <w:tc>
          <w:tcPr>
            <w:tcW w:w="6375"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F7ECA97">
            <w:pPr>
              <w:spacing w:line="300" w:lineRule="auto"/>
              <w:rPr>
                <w:sz w:val="21"/>
                <w:szCs w:val="21"/>
              </w:rPr>
            </w:pPr>
            <w:r>
              <w:rPr>
                <w:rFonts w:hint="eastAsia"/>
                <w:sz w:val="21"/>
                <w:szCs w:val="21"/>
              </w:rPr>
              <w:t>有项目建设总体计划进度安排，项目工期安排合理，满足本项目建设要求，得2分；</w:t>
            </w:r>
          </w:p>
          <w:p w14:paraId="201804BB">
            <w:pPr>
              <w:spacing w:line="300" w:lineRule="auto"/>
              <w:rPr>
                <w:sz w:val="21"/>
                <w:szCs w:val="21"/>
              </w:rPr>
            </w:pPr>
            <w:r>
              <w:rPr>
                <w:rFonts w:hint="eastAsia"/>
                <w:sz w:val="21"/>
                <w:szCs w:val="21"/>
              </w:rPr>
              <w:t>有项目建设总体计划进度安排，但工程安排不够合理，只能勉强满足本项目建设要求，得</w:t>
            </w:r>
            <w:r>
              <w:rPr>
                <w:rFonts w:hint="eastAsia"/>
                <w:sz w:val="21"/>
                <w:szCs w:val="21"/>
                <w:lang w:val="en-US"/>
              </w:rPr>
              <w:t>1</w:t>
            </w:r>
            <w:r>
              <w:rPr>
                <w:rFonts w:hint="eastAsia"/>
                <w:sz w:val="21"/>
                <w:szCs w:val="21"/>
              </w:rPr>
              <w:t>分。</w:t>
            </w:r>
          </w:p>
          <w:p w14:paraId="739A0058">
            <w:pPr>
              <w:spacing w:line="300" w:lineRule="auto"/>
              <w:rPr>
                <w:sz w:val="21"/>
                <w:szCs w:val="21"/>
              </w:rPr>
            </w:pPr>
            <w:r>
              <w:rPr>
                <w:rFonts w:hint="eastAsia"/>
                <w:sz w:val="21"/>
                <w:szCs w:val="21"/>
                <w:lang w:val="en-US"/>
              </w:rPr>
              <w:t>没有不得分。</w:t>
            </w:r>
          </w:p>
        </w:tc>
      </w:tr>
      <w:tr w14:paraId="40C2CC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53" w:type="dxa"/>
            <w:tcBorders>
              <w:top w:val="single" w:color="auto" w:sz="4" w:space="0"/>
              <w:left w:val="single" w:color="auto" w:sz="4" w:space="0"/>
              <w:bottom w:val="single" w:color="auto" w:sz="4" w:space="0"/>
              <w:right w:val="single" w:color="auto" w:sz="4" w:space="0"/>
            </w:tcBorders>
            <w:vAlign w:val="center"/>
          </w:tcPr>
          <w:p w14:paraId="474DD3DC">
            <w:pPr>
              <w:snapToGrid w:val="0"/>
              <w:spacing w:line="300" w:lineRule="auto"/>
              <w:jc w:val="center"/>
              <w:rPr>
                <w:sz w:val="21"/>
                <w:szCs w:val="21"/>
              </w:rPr>
            </w:pPr>
            <w:r>
              <w:rPr>
                <w:rFonts w:hint="eastAsia"/>
                <w:sz w:val="21"/>
                <w:szCs w:val="21"/>
              </w:rPr>
              <w:t>2.2.4（</w:t>
            </w:r>
            <w:r>
              <w:rPr>
                <w:rFonts w:hint="eastAsia"/>
                <w:sz w:val="21"/>
                <w:szCs w:val="21"/>
                <w:lang w:val="en-US"/>
              </w:rPr>
              <w:t>3</w:t>
            </w:r>
            <w:r>
              <w:rPr>
                <w:rFonts w:hint="eastAsia"/>
                <w:sz w:val="21"/>
                <w:szCs w:val="21"/>
              </w:rPr>
              <w:t>）</w:t>
            </w:r>
          </w:p>
        </w:tc>
        <w:tc>
          <w:tcPr>
            <w:tcW w:w="3113" w:type="dxa"/>
            <w:gridSpan w:val="2"/>
            <w:tcBorders>
              <w:top w:val="single" w:color="auto" w:sz="4" w:space="0"/>
              <w:left w:val="single" w:color="auto" w:sz="4" w:space="0"/>
              <w:bottom w:val="single" w:color="auto" w:sz="4" w:space="0"/>
              <w:right w:val="single" w:color="auto" w:sz="4" w:space="0"/>
            </w:tcBorders>
            <w:vAlign w:val="center"/>
          </w:tcPr>
          <w:p w14:paraId="045F7B24">
            <w:pPr>
              <w:snapToGrid w:val="0"/>
              <w:spacing w:line="300" w:lineRule="auto"/>
              <w:jc w:val="center"/>
              <w:rPr>
                <w:sz w:val="21"/>
                <w:szCs w:val="21"/>
              </w:rPr>
            </w:pPr>
            <w:r>
              <w:rPr>
                <w:rFonts w:hint="eastAsia"/>
                <w:sz w:val="21"/>
                <w:szCs w:val="21"/>
              </w:rPr>
              <w:t>投标报价</w:t>
            </w:r>
            <w:r>
              <w:rPr>
                <w:rFonts w:hint="eastAsia"/>
                <w:sz w:val="21"/>
                <w:szCs w:val="21"/>
                <w:lang w:val="en-US"/>
              </w:rPr>
              <w:t>得分</w:t>
            </w:r>
          </w:p>
          <w:p w14:paraId="34EBE586">
            <w:pPr>
              <w:snapToGrid w:val="0"/>
              <w:spacing w:line="300" w:lineRule="auto"/>
              <w:jc w:val="center"/>
              <w:rPr>
                <w:sz w:val="21"/>
                <w:szCs w:val="21"/>
              </w:rPr>
            </w:pPr>
            <w:r>
              <w:rPr>
                <w:rFonts w:hint="eastAsia"/>
                <w:sz w:val="21"/>
                <w:szCs w:val="21"/>
              </w:rPr>
              <w:t>(</w:t>
            </w:r>
            <w:r>
              <w:rPr>
                <w:rFonts w:hint="eastAsia"/>
                <w:sz w:val="21"/>
                <w:szCs w:val="21"/>
                <w:lang w:val="en-US"/>
              </w:rPr>
              <w:t>10</w:t>
            </w:r>
            <w:r>
              <w:rPr>
                <w:rFonts w:hint="eastAsia"/>
                <w:sz w:val="21"/>
                <w:szCs w:val="21"/>
              </w:rPr>
              <w:t>分)</w:t>
            </w:r>
          </w:p>
        </w:tc>
        <w:tc>
          <w:tcPr>
            <w:tcW w:w="6375" w:type="dxa"/>
            <w:gridSpan w:val="2"/>
            <w:tcBorders>
              <w:top w:val="single" w:color="auto" w:sz="4" w:space="0"/>
              <w:left w:val="single" w:color="auto" w:sz="4" w:space="0"/>
              <w:bottom w:val="single" w:color="auto" w:sz="4" w:space="0"/>
              <w:right w:val="single" w:color="auto" w:sz="4" w:space="0"/>
            </w:tcBorders>
            <w:vAlign w:val="center"/>
          </w:tcPr>
          <w:p w14:paraId="2E74A86B">
            <w:pPr>
              <w:snapToGrid w:val="0"/>
              <w:spacing w:line="300" w:lineRule="auto"/>
              <w:rPr>
                <w:sz w:val="21"/>
                <w:szCs w:val="21"/>
              </w:rPr>
            </w:pPr>
            <w:r>
              <w:rPr>
                <w:rFonts w:hint="eastAsia"/>
                <w:bCs/>
                <w:sz w:val="21"/>
                <w:szCs w:val="21"/>
              </w:rPr>
              <w:t>以评标基准价作为计算各有效投标价得分的基础，当有效投标报价等于评标基准价时得10分；投标有效报价与评标基准价之差，每上偏1%扣0.6分，下偏1%扣0.3分，最多扣10分。</w:t>
            </w:r>
          </w:p>
        </w:tc>
      </w:tr>
    </w:tbl>
    <w:p w14:paraId="0FEE108E">
      <w:pPr>
        <w:spacing w:line="300" w:lineRule="auto"/>
        <w:rPr>
          <w:b/>
          <w:bCs/>
          <w:sz w:val="21"/>
          <w:szCs w:val="21"/>
        </w:rPr>
      </w:pPr>
      <w:r>
        <w:rPr>
          <w:rFonts w:hint="eastAsia"/>
          <w:b/>
          <w:bCs/>
          <w:sz w:val="21"/>
          <w:szCs w:val="21"/>
        </w:rPr>
        <w:t>说明：</w:t>
      </w:r>
    </w:p>
    <w:p w14:paraId="126EE29C">
      <w:pPr>
        <w:spacing w:line="360" w:lineRule="auto"/>
        <w:rPr>
          <w:b/>
          <w:bCs/>
          <w:sz w:val="21"/>
          <w:szCs w:val="21"/>
          <w:u w:val="single"/>
        </w:rPr>
      </w:pPr>
      <w:r>
        <w:rPr>
          <w:rFonts w:hint="eastAsia"/>
          <w:b/>
          <w:bCs/>
          <w:sz w:val="21"/>
          <w:szCs w:val="21"/>
          <w:u w:val="single"/>
        </w:rPr>
        <w:t>1、若投标人为联合体，资信业绩评分，除“项目负责人”和“项目管理组织机构”两评审因素可以同时按主办方和联合体成员方提交的资料进行评审外，其余评审因素均只以联合体主办方提交的资料为评审依据。</w:t>
      </w:r>
    </w:p>
    <w:p w14:paraId="027BF601">
      <w:pPr>
        <w:spacing w:line="360" w:lineRule="auto"/>
        <w:rPr>
          <w:b/>
          <w:bCs/>
          <w:sz w:val="21"/>
          <w:szCs w:val="21"/>
        </w:rPr>
      </w:pPr>
      <w:r>
        <w:rPr>
          <w:rFonts w:hint="eastAsia"/>
          <w:b/>
          <w:bCs/>
          <w:sz w:val="21"/>
          <w:szCs w:val="21"/>
        </w:rPr>
        <w:t>2、投标人总得分＝各评委评分总分（A+B+C）的算术平均值。</w:t>
      </w:r>
    </w:p>
    <w:p w14:paraId="2AB5A428">
      <w:pPr>
        <w:spacing w:line="360" w:lineRule="auto"/>
        <w:rPr>
          <w:b/>
          <w:sz w:val="32"/>
        </w:rPr>
      </w:pPr>
      <w:r>
        <w:rPr>
          <w:rFonts w:hint="eastAsia"/>
          <w:b/>
          <w:bCs/>
          <w:sz w:val="21"/>
          <w:szCs w:val="21"/>
        </w:rPr>
        <w:t>3、评分如出现小数点，则保留小数点后两位，第三位四舍五入。</w:t>
      </w:r>
      <w:r>
        <w:rPr>
          <w:rFonts w:hint="eastAsia"/>
          <w:b/>
          <w:sz w:val="32"/>
        </w:rPr>
        <w:br w:type="page"/>
      </w:r>
    </w:p>
    <w:p w14:paraId="5162E1BC">
      <w:pPr>
        <w:spacing w:line="360" w:lineRule="auto"/>
        <w:rPr>
          <w:b/>
          <w:sz w:val="32"/>
        </w:rPr>
      </w:pPr>
      <w:r>
        <w:rPr>
          <w:rFonts w:hint="eastAsia"/>
          <w:b/>
          <w:sz w:val="32"/>
        </w:rPr>
        <w:t>1.评标方法</w:t>
      </w:r>
    </w:p>
    <w:p w14:paraId="58723814">
      <w:pPr>
        <w:spacing w:line="360" w:lineRule="auto"/>
        <w:ind w:left="80" w:firstLine="420"/>
        <w:rPr>
          <w:sz w:val="21"/>
          <w:szCs w:val="21"/>
          <w:u w:val="single"/>
        </w:rPr>
      </w:pPr>
      <w:r>
        <w:rPr>
          <w:rFonts w:hint="eastAsia"/>
          <w:sz w:val="21"/>
          <w:szCs w:val="21"/>
          <w:u w:val="single"/>
        </w:rPr>
        <w:t>本次评标采用综合评估法。评标委员会对满足招标文件实质性要求的投标文件，按照本章第2.2款规定的评分标准进行打分，并按总得分由高到低的顺序推荐中标候选人，排序的前一至三名分别为第一中标候选人、第二中标候选人和第三中标候选人。总得分相等时，以资信业绩得分高的优先；资信业绩得分也相等的，以项目代建管理方案得分高的优先；如果仍存在相同情况，由评标委员会采用记名投票方式，以得票多的优先。</w:t>
      </w:r>
    </w:p>
    <w:p w14:paraId="4B81DFA9">
      <w:pPr>
        <w:spacing w:line="360" w:lineRule="auto"/>
        <w:rPr>
          <w:b/>
          <w:sz w:val="32"/>
        </w:rPr>
      </w:pPr>
      <w:r>
        <w:rPr>
          <w:rFonts w:hint="eastAsia"/>
          <w:b/>
          <w:sz w:val="32"/>
        </w:rPr>
        <w:t>2.评审标准</w:t>
      </w:r>
    </w:p>
    <w:p w14:paraId="447ABBC3">
      <w:pPr>
        <w:spacing w:line="360" w:lineRule="auto"/>
        <w:rPr>
          <w:b/>
          <w:sz w:val="28"/>
          <w:szCs w:val="28"/>
        </w:rPr>
      </w:pPr>
      <w:r>
        <w:rPr>
          <w:rFonts w:hint="eastAsia"/>
          <w:b/>
          <w:sz w:val="28"/>
          <w:szCs w:val="28"/>
        </w:rPr>
        <w:t>2.1</w:t>
      </w:r>
      <w:r>
        <w:rPr>
          <w:rFonts w:hint="eastAsia"/>
          <w:b/>
          <w:sz w:val="28"/>
          <w:szCs w:val="28"/>
          <w:lang w:val="en-US"/>
        </w:rPr>
        <w:t xml:space="preserve"> </w:t>
      </w:r>
      <w:r>
        <w:rPr>
          <w:rFonts w:hint="eastAsia"/>
          <w:b/>
          <w:sz w:val="28"/>
          <w:szCs w:val="28"/>
        </w:rPr>
        <w:t>初步评审标准</w:t>
      </w:r>
    </w:p>
    <w:p w14:paraId="7A04141F">
      <w:pPr>
        <w:spacing w:line="360" w:lineRule="auto"/>
        <w:ind w:firstLine="210" w:firstLineChars="100"/>
        <w:rPr>
          <w:sz w:val="21"/>
        </w:rPr>
      </w:pPr>
      <w:r>
        <w:rPr>
          <w:rFonts w:hint="eastAsia"/>
          <w:sz w:val="21"/>
        </w:rPr>
        <w:t>2.1.1形式评审标准：见评标办法前附表。</w:t>
      </w:r>
    </w:p>
    <w:p w14:paraId="495468D0">
      <w:pPr>
        <w:spacing w:line="360" w:lineRule="auto"/>
        <w:ind w:firstLine="210" w:firstLineChars="100"/>
        <w:rPr>
          <w:sz w:val="21"/>
        </w:rPr>
      </w:pPr>
      <w:r>
        <w:rPr>
          <w:rFonts w:hint="eastAsia"/>
          <w:sz w:val="21"/>
        </w:rPr>
        <w:t>2.1.2资格评审标准：见评标办法前附表。</w:t>
      </w:r>
    </w:p>
    <w:p w14:paraId="70220BB4">
      <w:pPr>
        <w:spacing w:line="360" w:lineRule="auto"/>
        <w:ind w:firstLine="210" w:firstLineChars="100"/>
        <w:rPr>
          <w:sz w:val="21"/>
        </w:rPr>
      </w:pPr>
      <w:r>
        <w:rPr>
          <w:rFonts w:hint="eastAsia"/>
          <w:sz w:val="21"/>
        </w:rPr>
        <w:t>2.1.3响应性评审标准：见评标办法前附表。</w:t>
      </w:r>
    </w:p>
    <w:p w14:paraId="7A42AC0C">
      <w:pPr>
        <w:spacing w:line="360" w:lineRule="auto"/>
        <w:rPr>
          <w:b/>
          <w:sz w:val="28"/>
          <w:szCs w:val="28"/>
        </w:rPr>
      </w:pPr>
      <w:r>
        <w:rPr>
          <w:rFonts w:hint="eastAsia"/>
          <w:b/>
          <w:sz w:val="28"/>
          <w:szCs w:val="28"/>
        </w:rPr>
        <w:t>2.2</w:t>
      </w:r>
      <w:r>
        <w:rPr>
          <w:rFonts w:hint="eastAsia"/>
          <w:b/>
          <w:sz w:val="28"/>
          <w:szCs w:val="28"/>
          <w:lang w:val="en-US"/>
        </w:rPr>
        <w:t xml:space="preserve"> </w:t>
      </w:r>
      <w:r>
        <w:rPr>
          <w:rFonts w:hint="eastAsia"/>
          <w:b/>
          <w:sz w:val="28"/>
          <w:szCs w:val="28"/>
        </w:rPr>
        <w:t>分值构成与评分标准</w:t>
      </w:r>
    </w:p>
    <w:p w14:paraId="04EBF9A8">
      <w:pPr>
        <w:spacing w:line="360" w:lineRule="auto"/>
        <w:ind w:firstLine="210" w:firstLineChars="100"/>
        <w:rPr>
          <w:sz w:val="21"/>
          <w:szCs w:val="21"/>
        </w:rPr>
      </w:pPr>
      <w:r>
        <w:rPr>
          <w:rFonts w:hint="eastAsia"/>
          <w:sz w:val="21"/>
          <w:szCs w:val="21"/>
        </w:rPr>
        <w:t>2.2.1分值构成</w:t>
      </w:r>
    </w:p>
    <w:p w14:paraId="5642D61F">
      <w:pPr>
        <w:spacing w:line="360" w:lineRule="auto"/>
        <w:rPr>
          <w:sz w:val="21"/>
          <w:szCs w:val="21"/>
        </w:rPr>
      </w:pPr>
      <w:r>
        <w:rPr>
          <w:rFonts w:hint="eastAsia"/>
          <w:sz w:val="21"/>
          <w:szCs w:val="21"/>
        </w:rPr>
        <w:t>（1）资信业绩部分：见评标办法前附表。</w:t>
      </w:r>
    </w:p>
    <w:p w14:paraId="7CBADADD">
      <w:pPr>
        <w:spacing w:line="360" w:lineRule="auto"/>
        <w:rPr>
          <w:sz w:val="21"/>
          <w:szCs w:val="21"/>
        </w:rPr>
      </w:pPr>
      <w:r>
        <w:rPr>
          <w:rFonts w:hint="eastAsia"/>
          <w:sz w:val="21"/>
          <w:szCs w:val="21"/>
        </w:rPr>
        <w:t>（</w:t>
      </w:r>
      <w:r>
        <w:rPr>
          <w:rFonts w:hint="eastAsia"/>
          <w:sz w:val="21"/>
          <w:szCs w:val="21"/>
          <w:lang w:val="en-US"/>
        </w:rPr>
        <w:t>2</w:t>
      </w:r>
      <w:r>
        <w:rPr>
          <w:rFonts w:hint="eastAsia"/>
          <w:sz w:val="21"/>
          <w:szCs w:val="21"/>
        </w:rPr>
        <w:t>）</w:t>
      </w:r>
      <w:r>
        <w:rPr>
          <w:rFonts w:hint="eastAsia"/>
          <w:sz w:val="21"/>
          <w:szCs w:val="21"/>
          <w:u w:val="single"/>
          <w:lang w:val="en-US"/>
        </w:rPr>
        <w:t>项目代建管理方案部分</w:t>
      </w:r>
      <w:r>
        <w:rPr>
          <w:rFonts w:hint="eastAsia"/>
          <w:sz w:val="21"/>
          <w:szCs w:val="21"/>
        </w:rPr>
        <w:t>：见评标办法前附表。</w:t>
      </w:r>
    </w:p>
    <w:p w14:paraId="50F25B88">
      <w:pPr>
        <w:spacing w:line="360" w:lineRule="auto"/>
        <w:rPr>
          <w:sz w:val="21"/>
          <w:szCs w:val="21"/>
        </w:rPr>
      </w:pPr>
      <w:r>
        <w:rPr>
          <w:rFonts w:hint="eastAsia"/>
          <w:sz w:val="21"/>
          <w:szCs w:val="21"/>
        </w:rPr>
        <w:t>（</w:t>
      </w:r>
      <w:r>
        <w:rPr>
          <w:rFonts w:hint="eastAsia"/>
          <w:sz w:val="21"/>
          <w:szCs w:val="21"/>
          <w:lang w:val="en-US"/>
        </w:rPr>
        <w:t>3</w:t>
      </w:r>
      <w:r>
        <w:rPr>
          <w:rFonts w:hint="eastAsia"/>
          <w:sz w:val="21"/>
          <w:szCs w:val="21"/>
        </w:rPr>
        <w:t>）投标报价：见评标办法前附表。</w:t>
      </w:r>
    </w:p>
    <w:p w14:paraId="55CB3BA0">
      <w:pPr>
        <w:spacing w:line="360" w:lineRule="auto"/>
        <w:ind w:firstLine="210" w:firstLineChars="100"/>
        <w:rPr>
          <w:sz w:val="21"/>
          <w:szCs w:val="21"/>
        </w:rPr>
      </w:pPr>
      <w:r>
        <w:rPr>
          <w:rFonts w:hint="eastAsia"/>
          <w:sz w:val="21"/>
          <w:szCs w:val="21"/>
        </w:rPr>
        <w:t>2.2.2评标基准价计算</w:t>
      </w:r>
    </w:p>
    <w:p w14:paraId="4B6BA48A">
      <w:pPr>
        <w:spacing w:line="360" w:lineRule="auto"/>
        <w:rPr>
          <w:sz w:val="21"/>
          <w:szCs w:val="21"/>
        </w:rPr>
      </w:pPr>
      <w:r>
        <w:rPr>
          <w:rFonts w:hint="eastAsia"/>
          <w:sz w:val="21"/>
          <w:szCs w:val="21"/>
        </w:rPr>
        <w:t>评标基准价计算方法：见评标办法前附表。</w:t>
      </w:r>
    </w:p>
    <w:p w14:paraId="06B6344F">
      <w:pPr>
        <w:spacing w:line="360" w:lineRule="auto"/>
        <w:ind w:firstLine="210" w:firstLineChars="100"/>
        <w:rPr>
          <w:sz w:val="21"/>
          <w:szCs w:val="21"/>
        </w:rPr>
      </w:pPr>
      <w:r>
        <w:rPr>
          <w:rFonts w:hint="eastAsia"/>
          <w:sz w:val="21"/>
          <w:szCs w:val="21"/>
        </w:rPr>
        <w:t>2.2.3投标报价的偏差率计算</w:t>
      </w:r>
    </w:p>
    <w:p w14:paraId="6B6081FC">
      <w:pPr>
        <w:spacing w:line="360" w:lineRule="auto"/>
        <w:rPr>
          <w:sz w:val="21"/>
          <w:szCs w:val="21"/>
        </w:rPr>
      </w:pPr>
      <w:r>
        <w:rPr>
          <w:rFonts w:hint="eastAsia"/>
          <w:sz w:val="21"/>
          <w:szCs w:val="21"/>
        </w:rPr>
        <w:t>投标报价的偏差率计算公式：见评标办法前附表。</w:t>
      </w:r>
    </w:p>
    <w:p w14:paraId="35E9208B">
      <w:pPr>
        <w:spacing w:line="360" w:lineRule="auto"/>
        <w:ind w:firstLine="210" w:firstLineChars="100"/>
        <w:rPr>
          <w:sz w:val="21"/>
          <w:szCs w:val="21"/>
        </w:rPr>
      </w:pPr>
      <w:r>
        <w:rPr>
          <w:rFonts w:hint="eastAsia"/>
          <w:sz w:val="21"/>
          <w:szCs w:val="21"/>
        </w:rPr>
        <w:t>2.2.4评分标准</w:t>
      </w:r>
    </w:p>
    <w:p w14:paraId="5B6397C9">
      <w:pPr>
        <w:spacing w:line="360" w:lineRule="auto"/>
        <w:rPr>
          <w:sz w:val="21"/>
          <w:szCs w:val="21"/>
        </w:rPr>
      </w:pPr>
      <w:r>
        <w:rPr>
          <w:rFonts w:hint="eastAsia"/>
          <w:sz w:val="21"/>
          <w:szCs w:val="21"/>
        </w:rPr>
        <w:t>（1）资信业绩评分标准：见评标办法前附表。</w:t>
      </w:r>
    </w:p>
    <w:p w14:paraId="71B58F60">
      <w:pPr>
        <w:spacing w:line="360" w:lineRule="auto"/>
        <w:rPr>
          <w:sz w:val="21"/>
          <w:szCs w:val="21"/>
        </w:rPr>
      </w:pPr>
      <w:r>
        <w:rPr>
          <w:rFonts w:hint="eastAsia"/>
          <w:sz w:val="21"/>
          <w:szCs w:val="21"/>
        </w:rPr>
        <w:t>（</w:t>
      </w:r>
      <w:r>
        <w:rPr>
          <w:rFonts w:hint="eastAsia"/>
          <w:sz w:val="21"/>
          <w:szCs w:val="21"/>
          <w:lang w:val="en-US"/>
        </w:rPr>
        <w:t>2</w:t>
      </w:r>
      <w:r>
        <w:rPr>
          <w:rFonts w:hint="eastAsia"/>
          <w:sz w:val="21"/>
          <w:szCs w:val="21"/>
        </w:rPr>
        <w:t>）</w:t>
      </w:r>
      <w:r>
        <w:rPr>
          <w:rFonts w:hint="eastAsia"/>
          <w:sz w:val="21"/>
          <w:szCs w:val="21"/>
          <w:u w:val="single"/>
          <w:lang w:val="en-US"/>
        </w:rPr>
        <w:t>项目代建管理方案</w:t>
      </w:r>
      <w:r>
        <w:rPr>
          <w:rFonts w:hint="eastAsia"/>
          <w:sz w:val="21"/>
          <w:szCs w:val="21"/>
        </w:rPr>
        <w:t>评分标准：见评标办法前附表。</w:t>
      </w:r>
    </w:p>
    <w:p w14:paraId="2AE5EE2F">
      <w:pPr>
        <w:spacing w:line="360" w:lineRule="auto"/>
        <w:rPr>
          <w:sz w:val="21"/>
          <w:szCs w:val="21"/>
        </w:rPr>
      </w:pPr>
      <w:r>
        <w:rPr>
          <w:rFonts w:hint="eastAsia"/>
          <w:sz w:val="21"/>
          <w:szCs w:val="21"/>
        </w:rPr>
        <w:t>（</w:t>
      </w:r>
      <w:r>
        <w:rPr>
          <w:rFonts w:hint="eastAsia"/>
          <w:sz w:val="21"/>
          <w:szCs w:val="21"/>
          <w:lang w:val="en-US"/>
        </w:rPr>
        <w:t>3</w:t>
      </w:r>
      <w:r>
        <w:rPr>
          <w:rFonts w:hint="eastAsia"/>
          <w:sz w:val="21"/>
          <w:szCs w:val="21"/>
        </w:rPr>
        <w:t>）投标报价评分标准：见评标办法前附表。</w:t>
      </w:r>
    </w:p>
    <w:p w14:paraId="1BF1364B">
      <w:pPr>
        <w:spacing w:line="360" w:lineRule="auto"/>
        <w:rPr>
          <w:b/>
          <w:sz w:val="32"/>
        </w:rPr>
      </w:pPr>
      <w:r>
        <w:rPr>
          <w:rFonts w:hint="eastAsia"/>
          <w:b/>
          <w:sz w:val="32"/>
        </w:rPr>
        <w:t>3.评标程序</w:t>
      </w:r>
    </w:p>
    <w:p w14:paraId="6FBB1A42">
      <w:pPr>
        <w:spacing w:line="360" w:lineRule="auto"/>
        <w:rPr>
          <w:b/>
          <w:sz w:val="28"/>
          <w:szCs w:val="28"/>
        </w:rPr>
      </w:pPr>
      <w:r>
        <w:rPr>
          <w:rFonts w:hint="eastAsia"/>
          <w:b/>
          <w:sz w:val="28"/>
          <w:szCs w:val="28"/>
        </w:rPr>
        <w:t>3.1</w:t>
      </w:r>
      <w:r>
        <w:rPr>
          <w:rFonts w:hint="eastAsia"/>
          <w:b/>
          <w:sz w:val="28"/>
          <w:szCs w:val="28"/>
          <w:lang w:val="en-US"/>
        </w:rPr>
        <w:t xml:space="preserve"> </w:t>
      </w:r>
      <w:r>
        <w:rPr>
          <w:rFonts w:hint="eastAsia"/>
          <w:b/>
          <w:sz w:val="28"/>
          <w:szCs w:val="28"/>
        </w:rPr>
        <w:t>初步评审</w:t>
      </w:r>
    </w:p>
    <w:p w14:paraId="2445136C">
      <w:pPr>
        <w:spacing w:line="360" w:lineRule="auto"/>
        <w:ind w:firstLine="210" w:firstLineChars="100"/>
        <w:rPr>
          <w:sz w:val="21"/>
          <w:szCs w:val="21"/>
        </w:rPr>
      </w:pPr>
      <w:r>
        <w:rPr>
          <w:rFonts w:hint="eastAsia"/>
          <w:sz w:val="21"/>
          <w:szCs w:val="21"/>
        </w:rPr>
        <w:t>3.1.1评标委员会可以要求投标人提交第二章“投标人须知”规定的有关证明和证件的原件， 以便核验。评标委员会依据本章第 2.1 款规定的标准对投标文件进行初步评审。有一项不符合评审标准的，评标委员会应当否决其投标。</w:t>
      </w:r>
      <w:r>
        <w:rPr>
          <w:rFonts w:hint="eastAsia"/>
          <w:sz w:val="21"/>
          <w:szCs w:val="21"/>
          <w:u w:val="single"/>
        </w:rPr>
        <w:t>评委发现投标文件中含义不明确、对同类问题表述不一致、有明显文字和计算错误的，应当要求投标人作必要的澄清、说明后再判定投标人是否通过初步</w:t>
      </w:r>
      <w:r>
        <w:rPr>
          <w:rFonts w:hint="eastAsia"/>
          <w:sz w:val="21"/>
          <w:szCs w:val="21"/>
          <w:u w:val="single"/>
          <w:lang w:val="en-US"/>
        </w:rPr>
        <w:t>评审</w:t>
      </w:r>
      <w:r>
        <w:rPr>
          <w:rFonts w:hint="eastAsia"/>
          <w:sz w:val="21"/>
          <w:szCs w:val="21"/>
          <w:u w:val="single"/>
        </w:rPr>
        <w:t>，不得直接否决投标。如评标委员会的评审意见不一致时，以评标委员会过半数成员的意见作为评标委员会对该情形的认定结论。若通过初步评审的投标人不足三名时，则本项目招标失败。</w:t>
      </w:r>
    </w:p>
    <w:p w14:paraId="7B800525">
      <w:pPr>
        <w:spacing w:line="360" w:lineRule="auto"/>
        <w:ind w:firstLine="210" w:firstLineChars="100"/>
        <w:rPr>
          <w:sz w:val="21"/>
          <w:szCs w:val="21"/>
        </w:rPr>
      </w:pPr>
      <w:r>
        <w:rPr>
          <w:rFonts w:hint="eastAsia"/>
          <w:sz w:val="21"/>
          <w:szCs w:val="21"/>
        </w:rPr>
        <w:t>3.1.2投标人有以下情形之一的，评标委员会应当否决其投标：</w:t>
      </w:r>
    </w:p>
    <w:p w14:paraId="13F8863D">
      <w:pPr>
        <w:spacing w:line="360" w:lineRule="auto"/>
        <w:rPr>
          <w:sz w:val="21"/>
          <w:szCs w:val="21"/>
        </w:rPr>
      </w:pPr>
      <w:r>
        <w:rPr>
          <w:rFonts w:hint="eastAsia"/>
          <w:sz w:val="21"/>
          <w:szCs w:val="21"/>
        </w:rPr>
        <w:t>（1）投标文件没有对招标文件的实质性要求和条件作出响应，或者对招标文件的偏差超出招标文件规定的偏差范围或最高项数；</w:t>
      </w:r>
    </w:p>
    <w:p w14:paraId="1E359EE0">
      <w:pPr>
        <w:spacing w:line="360" w:lineRule="auto"/>
        <w:rPr>
          <w:sz w:val="21"/>
          <w:szCs w:val="21"/>
        </w:rPr>
      </w:pPr>
      <w:r>
        <w:rPr>
          <w:rFonts w:hint="eastAsia"/>
          <w:sz w:val="21"/>
          <w:szCs w:val="21"/>
        </w:rPr>
        <w:t>（2）有串通投标、弄虚作假、行贿等违法行为。</w:t>
      </w:r>
    </w:p>
    <w:p w14:paraId="549C52C8">
      <w:pPr>
        <w:spacing w:line="360" w:lineRule="auto"/>
        <w:ind w:firstLine="210" w:firstLineChars="100"/>
        <w:rPr>
          <w:sz w:val="21"/>
          <w:szCs w:val="21"/>
        </w:rPr>
      </w:pPr>
      <w:r>
        <w:rPr>
          <w:rFonts w:hint="eastAsia"/>
          <w:sz w:val="21"/>
          <w:szCs w:val="21"/>
        </w:rPr>
        <w:t>3.1.3投标报价有算术错误及其他错误的，评标委员会按以下原则要求投标人对投标报价进行修正，并要求投标人书面澄清确认。投标人拒不澄清确认的，评标委员会应当否决其投标：</w:t>
      </w:r>
    </w:p>
    <w:p w14:paraId="5450F4A5">
      <w:pPr>
        <w:spacing w:line="360" w:lineRule="auto"/>
        <w:rPr>
          <w:sz w:val="21"/>
          <w:szCs w:val="21"/>
        </w:rPr>
      </w:pPr>
      <w:r>
        <w:rPr>
          <w:rFonts w:hint="eastAsia"/>
          <w:sz w:val="21"/>
          <w:szCs w:val="21"/>
        </w:rPr>
        <w:t>（1）投标文件中的大写金额与小写金额不一致的，以大写金额为准；</w:t>
      </w:r>
    </w:p>
    <w:p w14:paraId="4BBAEDB1">
      <w:pPr>
        <w:spacing w:line="360" w:lineRule="auto"/>
        <w:rPr>
          <w:sz w:val="21"/>
          <w:szCs w:val="21"/>
        </w:rPr>
      </w:pPr>
      <w:r>
        <w:rPr>
          <w:rFonts w:hint="eastAsia"/>
          <w:sz w:val="21"/>
          <w:szCs w:val="21"/>
        </w:rPr>
        <w:t>（2）总价金额与单价金额不一致的，以单价金额为准，但单价金额小数点有明显错误的除外。</w:t>
      </w:r>
    </w:p>
    <w:p w14:paraId="2D1EC35D">
      <w:pPr>
        <w:pStyle w:val="5"/>
        <w:spacing w:line="360" w:lineRule="auto"/>
        <w:ind w:firstLine="210" w:firstLineChars="100"/>
        <w:rPr>
          <w:sz w:val="21"/>
          <w:szCs w:val="21"/>
        </w:rPr>
      </w:pPr>
      <w:r>
        <w:rPr>
          <w:rFonts w:hint="eastAsia" w:cs="Arial"/>
          <w:sz w:val="21"/>
          <w:szCs w:val="21"/>
          <w:u w:val="single"/>
        </w:rPr>
        <w:t>3.1.4 招标人需将开标异议提交给评标委员会的评审确认时，评标委员会须进行评审确认，不得以任何理由拒绝。</w:t>
      </w:r>
    </w:p>
    <w:p w14:paraId="5A9FBB82">
      <w:pPr>
        <w:spacing w:line="360" w:lineRule="auto"/>
        <w:rPr>
          <w:b/>
          <w:sz w:val="28"/>
          <w:szCs w:val="28"/>
        </w:rPr>
      </w:pPr>
      <w:r>
        <w:rPr>
          <w:rFonts w:hint="eastAsia"/>
          <w:b/>
          <w:sz w:val="28"/>
          <w:szCs w:val="28"/>
        </w:rPr>
        <w:t>3.2</w:t>
      </w:r>
      <w:r>
        <w:rPr>
          <w:rFonts w:hint="eastAsia"/>
          <w:b/>
          <w:sz w:val="28"/>
          <w:szCs w:val="28"/>
          <w:lang w:val="en-US"/>
        </w:rPr>
        <w:t xml:space="preserve"> </w:t>
      </w:r>
      <w:r>
        <w:rPr>
          <w:rFonts w:hint="eastAsia"/>
          <w:b/>
          <w:sz w:val="28"/>
          <w:szCs w:val="28"/>
        </w:rPr>
        <w:t>详细评审</w:t>
      </w:r>
    </w:p>
    <w:p w14:paraId="69836E78">
      <w:pPr>
        <w:spacing w:line="360" w:lineRule="auto"/>
        <w:ind w:firstLine="210" w:firstLineChars="100"/>
        <w:rPr>
          <w:sz w:val="21"/>
        </w:rPr>
      </w:pPr>
      <w:r>
        <w:rPr>
          <w:rFonts w:hint="eastAsia"/>
          <w:sz w:val="21"/>
        </w:rPr>
        <w:t>3.2.1评标委员会按本章第 2.2 款规定的量化因素和分值进行打分，并计算出综合评估得分。</w:t>
      </w:r>
    </w:p>
    <w:p w14:paraId="49462101">
      <w:pPr>
        <w:spacing w:line="360" w:lineRule="auto"/>
        <w:rPr>
          <w:sz w:val="21"/>
        </w:rPr>
      </w:pPr>
      <w:r>
        <w:rPr>
          <w:rFonts w:hint="eastAsia"/>
          <w:sz w:val="21"/>
        </w:rPr>
        <w:t>（1）按本章第 2.2.4（1）目规定的评审因素和分值对资信业绩部分计算出得分A；</w:t>
      </w:r>
    </w:p>
    <w:p w14:paraId="78F71E37">
      <w:pPr>
        <w:spacing w:line="360" w:lineRule="auto"/>
        <w:rPr>
          <w:sz w:val="21"/>
        </w:rPr>
      </w:pPr>
      <w:r>
        <w:rPr>
          <w:rFonts w:hint="eastAsia"/>
          <w:sz w:val="21"/>
        </w:rPr>
        <w:t>（</w:t>
      </w:r>
      <w:r>
        <w:rPr>
          <w:rFonts w:hint="eastAsia"/>
          <w:sz w:val="21"/>
          <w:lang w:val="en-US"/>
        </w:rPr>
        <w:t>2</w:t>
      </w:r>
      <w:r>
        <w:rPr>
          <w:rFonts w:hint="eastAsia"/>
          <w:sz w:val="21"/>
        </w:rPr>
        <w:t>）按本章第 2.2.4（</w:t>
      </w:r>
      <w:r>
        <w:rPr>
          <w:rFonts w:hint="eastAsia"/>
          <w:sz w:val="21"/>
          <w:lang w:val="en-US"/>
        </w:rPr>
        <w:t>2</w:t>
      </w:r>
      <w:r>
        <w:rPr>
          <w:rFonts w:hint="eastAsia"/>
          <w:sz w:val="21"/>
        </w:rPr>
        <w:t>）目规定的评审因素和分值对</w:t>
      </w:r>
      <w:r>
        <w:rPr>
          <w:rFonts w:hint="eastAsia"/>
          <w:sz w:val="21"/>
          <w:szCs w:val="21"/>
          <w:u w:val="single"/>
          <w:lang w:val="en-US"/>
        </w:rPr>
        <w:t>项目代建管理方案</w:t>
      </w:r>
      <w:r>
        <w:rPr>
          <w:rFonts w:hint="eastAsia"/>
          <w:sz w:val="21"/>
        </w:rPr>
        <w:t>计算出得分</w:t>
      </w:r>
      <w:r>
        <w:rPr>
          <w:rFonts w:hint="eastAsia"/>
          <w:sz w:val="21"/>
          <w:lang w:val="en-US"/>
        </w:rPr>
        <w:t>B</w:t>
      </w:r>
      <w:r>
        <w:rPr>
          <w:rFonts w:hint="eastAsia"/>
          <w:sz w:val="21"/>
        </w:rPr>
        <w:t>；</w:t>
      </w:r>
    </w:p>
    <w:p w14:paraId="755990C4">
      <w:pPr>
        <w:spacing w:line="360" w:lineRule="auto"/>
        <w:rPr>
          <w:sz w:val="21"/>
        </w:rPr>
      </w:pPr>
      <w:r>
        <w:rPr>
          <w:rFonts w:hint="eastAsia"/>
          <w:sz w:val="21"/>
        </w:rPr>
        <w:t>（</w:t>
      </w:r>
      <w:r>
        <w:rPr>
          <w:rFonts w:hint="eastAsia"/>
          <w:sz w:val="21"/>
          <w:lang w:val="en-US"/>
        </w:rPr>
        <w:t>3</w:t>
      </w:r>
      <w:r>
        <w:rPr>
          <w:rFonts w:hint="eastAsia"/>
          <w:sz w:val="21"/>
        </w:rPr>
        <w:t>）按本章第 2.2.4（</w:t>
      </w:r>
      <w:r>
        <w:rPr>
          <w:rFonts w:hint="eastAsia"/>
          <w:sz w:val="21"/>
          <w:lang w:val="en-US"/>
        </w:rPr>
        <w:t>3</w:t>
      </w:r>
      <w:r>
        <w:rPr>
          <w:rFonts w:hint="eastAsia"/>
          <w:sz w:val="21"/>
        </w:rPr>
        <w:t>）目规定的评审因素和分值对</w:t>
      </w:r>
      <w:r>
        <w:rPr>
          <w:rFonts w:hint="eastAsia"/>
          <w:sz w:val="21"/>
          <w:szCs w:val="21"/>
        </w:rPr>
        <w:t>投标报价</w:t>
      </w:r>
      <w:r>
        <w:rPr>
          <w:rFonts w:hint="eastAsia"/>
          <w:sz w:val="21"/>
        </w:rPr>
        <w:t>计算出得分</w:t>
      </w:r>
      <w:r>
        <w:rPr>
          <w:rFonts w:hint="eastAsia"/>
          <w:sz w:val="21"/>
          <w:lang w:val="en-US"/>
        </w:rPr>
        <w:t>C</w:t>
      </w:r>
      <w:r>
        <w:rPr>
          <w:rFonts w:hint="eastAsia"/>
          <w:sz w:val="21"/>
        </w:rPr>
        <w:t>。</w:t>
      </w:r>
    </w:p>
    <w:p w14:paraId="272686EC">
      <w:pPr>
        <w:spacing w:line="360" w:lineRule="auto"/>
        <w:ind w:firstLine="210" w:firstLineChars="100"/>
        <w:rPr>
          <w:sz w:val="21"/>
        </w:rPr>
      </w:pPr>
      <w:r>
        <w:rPr>
          <w:rFonts w:hint="eastAsia"/>
          <w:sz w:val="21"/>
        </w:rPr>
        <w:t>3.2.2评分分值计算保留小数点后两位，小数点后第三位“四舍五入”。</w:t>
      </w:r>
    </w:p>
    <w:p w14:paraId="3ABA86BB">
      <w:pPr>
        <w:spacing w:line="360" w:lineRule="auto"/>
        <w:ind w:firstLine="210" w:firstLineChars="100"/>
        <w:rPr>
          <w:sz w:val="21"/>
        </w:rPr>
      </w:pPr>
      <w:r>
        <w:rPr>
          <w:rFonts w:hint="eastAsia"/>
          <w:sz w:val="21"/>
        </w:rPr>
        <w:t>3.2.3投标人得分=A+</w:t>
      </w:r>
      <w:r>
        <w:rPr>
          <w:rFonts w:hint="eastAsia"/>
          <w:sz w:val="21"/>
          <w:lang w:val="en-US"/>
        </w:rPr>
        <w:t>B</w:t>
      </w:r>
      <w:r>
        <w:rPr>
          <w:rFonts w:hint="eastAsia"/>
          <w:sz w:val="21"/>
        </w:rPr>
        <w:t>+</w:t>
      </w:r>
      <w:r>
        <w:rPr>
          <w:rFonts w:hint="eastAsia"/>
          <w:sz w:val="21"/>
          <w:lang w:val="en-US"/>
        </w:rPr>
        <w:t>C</w:t>
      </w:r>
      <w:r>
        <w:rPr>
          <w:rFonts w:hint="eastAsia"/>
          <w:sz w:val="21"/>
        </w:rPr>
        <w:t>。</w:t>
      </w:r>
    </w:p>
    <w:p w14:paraId="58144BE9">
      <w:pPr>
        <w:spacing w:line="360" w:lineRule="auto"/>
        <w:ind w:firstLine="210" w:firstLineChars="100"/>
        <w:rPr>
          <w:sz w:val="21"/>
        </w:rPr>
      </w:pPr>
      <w:r>
        <w:rPr>
          <w:rFonts w:hint="eastAsia"/>
          <w:sz w:val="21"/>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353554BD">
      <w:pPr>
        <w:spacing w:line="360" w:lineRule="auto"/>
        <w:rPr>
          <w:b/>
          <w:sz w:val="28"/>
          <w:szCs w:val="28"/>
        </w:rPr>
      </w:pPr>
      <w:r>
        <w:rPr>
          <w:rFonts w:hint="eastAsia"/>
          <w:b/>
          <w:sz w:val="28"/>
          <w:szCs w:val="28"/>
        </w:rPr>
        <w:t>3.3</w:t>
      </w:r>
      <w:r>
        <w:rPr>
          <w:rFonts w:hint="eastAsia"/>
          <w:b/>
          <w:sz w:val="28"/>
          <w:szCs w:val="28"/>
          <w:lang w:val="en-US"/>
        </w:rPr>
        <w:t xml:space="preserve"> </w:t>
      </w:r>
      <w:r>
        <w:rPr>
          <w:rFonts w:hint="eastAsia"/>
          <w:b/>
          <w:sz w:val="28"/>
          <w:szCs w:val="28"/>
        </w:rPr>
        <w:t>投标文件的澄清</w:t>
      </w:r>
    </w:p>
    <w:p w14:paraId="584F0CF9">
      <w:pPr>
        <w:spacing w:line="360" w:lineRule="auto"/>
        <w:ind w:firstLine="420" w:firstLineChars="200"/>
        <w:rPr>
          <w:sz w:val="21"/>
        </w:rPr>
      </w:pPr>
      <w:r>
        <w:rPr>
          <w:rFonts w:hint="eastAsia"/>
          <w:sz w:val="21"/>
        </w:rPr>
        <w:t>3.3.1</w:t>
      </w:r>
      <w:r>
        <w:rPr>
          <w:rFonts w:hint="eastAsia"/>
          <w:sz w:val="21"/>
          <w:lang w:val="en-US"/>
        </w:rPr>
        <w:t xml:space="preserve"> </w:t>
      </w:r>
      <w:r>
        <w:rPr>
          <w:rFonts w:hint="eastAsia"/>
          <w:sz w:val="21"/>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7EC8D5C4">
      <w:pPr>
        <w:spacing w:line="360" w:lineRule="auto"/>
        <w:ind w:firstLine="420" w:firstLineChars="200"/>
        <w:rPr>
          <w:sz w:val="21"/>
        </w:rPr>
      </w:pPr>
      <w:r>
        <w:rPr>
          <w:rFonts w:hint="eastAsia"/>
          <w:sz w:val="21"/>
        </w:rPr>
        <w:t>3.3.2</w:t>
      </w:r>
      <w:r>
        <w:rPr>
          <w:rFonts w:hint="eastAsia"/>
          <w:sz w:val="21"/>
          <w:lang w:val="en-US"/>
        </w:rPr>
        <w:t xml:space="preserve"> </w:t>
      </w:r>
      <w:r>
        <w:rPr>
          <w:rFonts w:hint="eastAsia"/>
          <w:sz w:val="21"/>
        </w:rPr>
        <w:t>澄清、说明或补正不得超出投标文件的范围且不得改变投标文件的实质性内容，并构成投标文件的组成部分。</w:t>
      </w:r>
    </w:p>
    <w:p w14:paraId="33E2D804">
      <w:pPr>
        <w:spacing w:line="360" w:lineRule="auto"/>
        <w:ind w:firstLine="420" w:firstLineChars="200"/>
        <w:rPr>
          <w:sz w:val="21"/>
        </w:rPr>
      </w:pPr>
      <w:r>
        <w:rPr>
          <w:rFonts w:hint="eastAsia"/>
          <w:sz w:val="21"/>
        </w:rPr>
        <w:t>3.3.3</w:t>
      </w:r>
      <w:r>
        <w:rPr>
          <w:rFonts w:hint="eastAsia"/>
          <w:sz w:val="21"/>
          <w:lang w:val="en-US"/>
        </w:rPr>
        <w:t xml:space="preserve"> </w:t>
      </w:r>
      <w:r>
        <w:rPr>
          <w:rFonts w:hint="eastAsia"/>
          <w:sz w:val="21"/>
        </w:rPr>
        <w:t>评标委员会对投标人提交的澄清、说明或补正有疑问的，可以要求投标人进一步澄清、说明或补正，直至满足评标委员会的要求。</w:t>
      </w:r>
    </w:p>
    <w:p w14:paraId="4C2EDEDF">
      <w:pPr>
        <w:spacing w:line="360" w:lineRule="auto"/>
        <w:ind w:firstLine="420" w:firstLineChars="200"/>
        <w:rPr>
          <w:sz w:val="21"/>
          <w:u w:val="single"/>
        </w:rPr>
      </w:pPr>
      <w:r>
        <w:rPr>
          <w:rFonts w:hint="eastAsia"/>
          <w:sz w:val="21"/>
          <w:u w:val="single"/>
        </w:rPr>
        <w:t>3.4.4 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14:paraId="0A03E25E">
      <w:pPr>
        <w:spacing w:line="360" w:lineRule="auto"/>
        <w:ind w:firstLine="420" w:firstLineChars="200"/>
        <w:rPr>
          <w:sz w:val="21"/>
          <w:u w:val="single"/>
        </w:rPr>
      </w:pPr>
      <w:r>
        <w:rPr>
          <w:rFonts w:hint="eastAsia"/>
          <w:sz w:val="21"/>
          <w:u w:val="single"/>
        </w:rPr>
        <w:t>若在评标期间，经评标委员会两人以上（含两人）以书面形式提出动议，评标委员会应当书面发出澄清通知，要求投标人对投标文件含义不明确的内容作出澄清。</w:t>
      </w:r>
    </w:p>
    <w:p w14:paraId="63B915C7">
      <w:pPr>
        <w:spacing w:line="360" w:lineRule="auto"/>
        <w:ind w:firstLine="420" w:firstLineChars="200"/>
        <w:rPr>
          <w:sz w:val="21"/>
          <w:u w:val="single"/>
        </w:rPr>
      </w:pPr>
      <w:r>
        <w:rPr>
          <w:rFonts w:hint="eastAsia"/>
          <w:sz w:val="21"/>
          <w:u w:val="single"/>
        </w:rPr>
        <w:t>投标人应以书面形式进行澄清，澄清中的承诺性意思表示在投标文件有效期内均对投标人有约束力。澄清不得超出投标文件的范围或改变投标文件的实质性内容，超出部分不作为评标委员会评审的依据。</w:t>
      </w:r>
    </w:p>
    <w:p w14:paraId="27C7C13C">
      <w:pPr>
        <w:spacing w:line="360" w:lineRule="auto"/>
        <w:ind w:firstLine="420" w:firstLineChars="200"/>
        <w:rPr>
          <w:sz w:val="21"/>
          <w:u w:val="single"/>
        </w:rPr>
      </w:pPr>
      <w:r>
        <w:rPr>
          <w:rFonts w:hint="eastAsia"/>
          <w:sz w:val="21"/>
          <w:u w:val="single"/>
        </w:rPr>
        <w:t>评标委员会均应当阅读投标人的澄清，但应独立参考澄清对投标文件进行评审。</w:t>
      </w:r>
    </w:p>
    <w:p w14:paraId="17F9B5CB">
      <w:pPr>
        <w:spacing w:line="360" w:lineRule="auto"/>
        <w:rPr>
          <w:b/>
          <w:sz w:val="28"/>
          <w:szCs w:val="28"/>
        </w:rPr>
      </w:pPr>
      <w:r>
        <w:rPr>
          <w:rFonts w:hint="eastAsia"/>
          <w:b/>
          <w:sz w:val="28"/>
          <w:szCs w:val="28"/>
        </w:rPr>
        <w:t>3.4</w:t>
      </w:r>
      <w:r>
        <w:rPr>
          <w:rFonts w:hint="eastAsia"/>
          <w:b/>
          <w:sz w:val="28"/>
          <w:szCs w:val="28"/>
          <w:lang w:val="en-US"/>
        </w:rPr>
        <w:t xml:space="preserve"> </w:t>
      </w:r>
      <w:r>
        <w:rPr>
          <w:rFonts w:hint="eastAsia"/>
          <w:b/>
          <w:sz w:val="28"/>
          <w:szCs w:val="28"/>
        </w:rPr>
        <w:t>评标结果</w:t>
      </w:r>
    </w:p>
    <w:p w14:paraId="10F26F6A">
      <w:pPr>
        <w:spacing w:line="360" w:lineRule="auto"/>
        <w:ind w:firstLine="420" w:firstLineChars="200"/>
        <w:rPr>
          <w:sz w:val="21"/>
        </w:rPr>
      </w:pPr>
      <w:r>
        <w:rPr>
          <w:rFonts w:hint="eastAsia"/>
          <w:sz w:val="21"/>
        </w:rPr>
        <w:t>3.4.1</w:t>
      </w:r>
      <w:r>
        <w:rPr>
          <w:rFonts w:hint="eastAsia"/>
          <w:sz w:val="21"/>
          <w:lang w:val="en-US"/>
        </w:rPr>
        <w:t xml:space="preserve"> </w:t>
      </w:r>
      <w:r>
        <w:rPr>
          <w:rFonts w:hint="eastAsia"/>
          <w:sz w:val="21"/>
        </w:rPr>
        <w:t>除第二章“投标人须知”前附表授权直接确定中标人外，评标委员会按照得分由高到低的顺序推荐中标候选人，并标明排序。</w:t>
      </w:r>
    </w:p>
    <w:p w14:paraId="27089CC6">
      <w:pPr>
        <w:spacing w:line="360" w:lineRule="auto"/>
        <w:ind w:firstLine="420" w:firstLineChars="200"/>
        <w:rPr>
          <w:sz w:val="21"/>
        </w:rPr>
      </w:pPr>
      <w:r>
        <w:rPr>
          <w:rFonts w:hint="eastAsia"/>
          <w:sz w:val="21"/>
          <w:lang w:val="en-US"/>
        </w:rPr>
        <w:t xml:space="preserve">3.4.2 </w:t>
      </w:r>
      <w:r>
        <w:rPr>
          <w:rFonts w:hint="eastAsia"/>
          <w:sz w:val="21"/>
        </w:rPr>
        <w:t>评标委员会完成评标后，应当向招标人提交书面评标报告和中标候选人名单。</w:t>
      </w:r>
    </w:p>
    <w:p w14:paraId="705CB950">
      <w:pPr>
        <w:spacing w:line="360" w:lineRule="auto"/>
        <w:rPr>
          <w:sz w:val="21"/>
        </w:rPr>
        <w:sectPr>
          <w:pgSz w:w="11906" w:h="16838"/>
          <w:pgMar w:top="1417" w:right="1417" w:bottom="1417" w:left="1417" w:header="0" w:footer="839" w:gutter="0"/>
          <w:cols w:space="0" w:num="1"/>
        </w:sectPr>
      </w:pPr>
    </w:p>
    <w:p w14:paraId="525703C2">
      <w:pPr>
        <w:pStyle w:val="2"/>
        <w:spacing w:line="360" w:lineRule="auto"/>
        <w:rPr>
          <w:rFonts w:ascii="宋体" w:hAnsi="宋体" w:eastAsia="宋体" w:cs="宋体"/>
        </w:rPr>
        <w:sectPr>
          <w:footerReference r:id="rId7" w:type="default"/>
          <w:type w:val="continuous"/>
          <w:pgSz w:w="11906" w:h="16838"/>
          <w:pgMar w:top="1417" w:right="1417" w:bottom="1417" w:left="1417" w:header="850" w:footer="850" w:gutter="0"/>
          <w:cols w:space="0" w:num="1"/>
        </w:sectPr>
      </w:pPr>
      <w:bookmarkStart w:id="39" w:name="_Toc24117"/>
    </w:p>
    <w:p w14:paraId="37F311A4">
      <w:pPr>
        <w:pStyle w:val="2"/>
        <w:spacing w:line="360" w:lineRule="auto"/>
        <w:rPr>
          <w:rFonts w:ascii="宋体" w:hAnsi="宋体" w:eastAsia="宋体" w:cs="宋体"/>
        </w:rPr>
      </w:pPr>
      <w:r>
        <w:rPr>
          <w:rFonts w:hint="eastAsia" w:ascii="宋体" w:hAnsi="宋体" w:eastAsia="宋体" w:cs="宋体"/>
        </w:rPr>
        <w:t>第四章</w:t>
      </w:r>
      <w:r>
        <w:rPr>
          <w:rFonts w:hint="eastAsia" w:ascii="宋体" w:hAnsi="宋体" w:eastAsia="宋体" w:cs="宋体"/>
          <w:lang w:val="en-US"/>
        </w:rPr>
        <w:t xml:space="preserve"> </w:t>
      </w:r>
      <w:r>
        <w:rPr>
          <w:rFonts w:hint="eastAsia" w:ascii="宋体" w:hAnsi="宋体" w:eastAsia="宋体" w:cs="宋体"/>
        </w:rPr>
        <w:t>合同条款及格式</w:t>
      </w:r>
      <w:bookmarkEnd w:id="39"/>
    </w:p>
    <w:p w14:paraId="259C1345">
      <w:pPr>
        <w:spacing w:line="360" w:lineRule="auto"/>
        <w:jc w:val="center"/>
        <w:rPr>
          <w:bCs/>
          <w:kern w:val="2"/>
          <w:sz w:val="32"/>
          <w:szCs w:val="32"/>
          <w:lang w:val="en-US" w:bidi="ar-SA"/>
        </w:rPr>
        <w:sectPr>
          <w:footerReference r:id="rId8" w:type="default"/>
          <w:pgSz w:w="11906" w:h="16838"/>
          <w:pgMar w:top="1417" w:right="1417" w:bottom="1417" w:left="1417" w:header="850" w:footer="850" w:gutter="0"/>
          <w:cols w:space="0" w:num="1"/>
        </w:sectPr>
      </w:pPr>
      <w:bookmarkStart w:id="40" w:name="_bookmark94"/>
      <w:bookmarkEnd w:id="40"/>
      <w:r>
        <w:rPr>
          <w:rFonts w:hint="eastAsia"/>
          <w:bCs/>
          <w:kern w:val="2"/>
          <w:sz w:val="32"/>
          <w:szCs w:val="32"/>
          <w:lang w:val="en-US" w:bidi="ar-SA"/>
        </w:rPr>
        <w:t>（另册）</w:t>
      </w:r>
    </w:p>
    <w:p w14:paraId="2623005E">
      <w:pPr>
        <w:spacing w:line="360" w:lineRule="auto"/>
        <w:sectPr>
          <w:type w:val="continuous"/>
          <w:pgSz w:w="11906" w:h="16838"/>
          <w:pgMar w:top="1417" w:right="1417" w:bottom="1417" w:left="1417" w:header="0" w:footer="839" w:gutter="0"/>
          <w:cols w:space="0" w:num="1"/>
        </w:sectPr>
      </w:pPr>
    </w:p>
    <w:p w14:paraId="7BF5B942">
      <w:pPr>
        <w:pStyle w:val="2"/>
        <w:spacing w:before="68" w:line="360" w:lineRule="auto"/>
        <w:ind w:right="458"/>
        <w:rPr>
          <w:rFonts w:ascii="宋体" w:hAnsi="宋体" w:eastAsia="宋体" w:cs="宋体"/>
          <w:lang w:val="en-US"/>
        </w:rPr>
      </w:pPr>
      <w:bookmarkStart w:id="41" w:name="_Toc12073"/>
      <w:r>
        <w:rPr>
          <w:rFonts w:hint="eastAsia" w:ascii="宋体" w:hAnsi="宋体" w:eastAsia="宋体" w:cs="宋体"/>
        </w:rPr>
        <w:t>第五章</w:t>
      </w:r>
      <w:r>
        <w:rPr>
          <w:rFonts w:hint="eastAsia" w:ascii="宋体" w:hAnsi="宋体" w:eastAsia="宋体" w:cs="宋体"/>
          <w:lang w:val="en-US"/>
        </w:rPr>
        <w:t xml:space="preserve"> </w:t>
      </w:r>
      <w:r>
        <w:rPr>
          <w:rFonts w:hint="eastAsia" w:ascii="宋体" w:hAnsi="宋体" w:eastAsia="宋体" w:cs="宋体"/>
        </w:rPr>
        <w:t>委托人要求</w:t>
      </w:r>
      <w:bookmarkEnd w:id="41"/>
    </w:p>
    <w:p w14:paraId="4A6E9D36">
      <w:pPr>
        <w:pStyle w:val="9"/>
        <w:spacing w:before="5" w:line="360" w:lineRule="auto"/>
        <w:jc w:val="both"/>
        <w:rPr>
          <w:sz w:val="24"/>
          <w:szCs w:val="24"/>
        </w:rPr>
      </w:pPr>
      <w:r>
        <w:rPr>
          <w:b/>
          <w:sz w:val="24"/>
          <w:szCs w:val="24"/>
        </w:rPr>
        <w:t>委托人要求包括但不限于以下内容：</w:t>
      </w:r>
    </w:p>
    <w:p w14:paraId="30E244B0">
      <w:pPr>
        <w:pStyle w:val="3"/>
        <w:spacing w:line="360" w:lineRule="auto"/>
        <w:ind w:left="0" w:firstLine="0"/>
        <w:rPr>
          <w:rFonts w:ascii="宋体" w:hAnsi="宋体" w:eastAsia="宋体" w:cs="Times New Roman"/>
          <w:sz w:val="24"/>
          <w:szCs w:val="24"/>
          <w:lang w:val="en-US"/>
        </w:rPr>
      </w:pPr>
      <w:bookmarkStart w:id="42" w:name="_bookmark171"/>
      <w:bookmarkEnd w:id="42"/>
      <w:bookmarkStart w:id="43" w:name="_bookmark164"/>
      <w:bookmarkEnd w:id="43"/>
      <w:bookmarkStart w:id="44" w:name="_bookmark163"/>
      <w:bookmarkEnd w:id="44"/>
      <w:r>
        <w:rPr>
          <w:rFonts w:hint="eastAsia" w:ascii="宋体" w:hAnsi="宋体" w:eastAsia="宋体" w:cs="Times New Roman"/>
          <w:sz w:val="24"/>
          <w:szCs w:val="24"/>
          <w:lang w:val="en-US"/>
        </w:rPr>
        <w:t>一、项目概况</w:t>
      </w:r>
    </w:p>
    <w:p w14:paraId="5193E61C">
      <w:pPr>
        <w:widowControl/>
        <w:spacing w:line="360" w:lineRule="auto"/>
        <w:ind w:firstLine="480" w:firstLineChars="200"/>
        <w:rPr>
          <w:rFonts w:cs="Times New Roman"/>
          <w:snapToGrid w:val="0"/>
          <w:sz w:val="24"/>
          <w:szCs w:val="24"/>
          <w:lang w:val="en-US"/>
        </w:rPr>
      </w:pPr>
      <w:r>
        <w:rPr>
          <w:rFonts w:hint="eastAsia" w:cs="Times New Roman"/>
          <w:snapToGrid w:val="0"/>
          <w:sz w:val="24"/>
          <w:szCs w:val="24"/>
          <w:lang w:val="en-US"/>
        </w:rPr>
        <w:t>1.项目名称：番禺区桥山村村镇工业集聚区更新改造试点项目（一期、二期、三期）工程代建。</w:t>
      </w:r>
    </w:p>
    <w:p w14:paraId="7DB6C35B">
      <w:pPr>
        <w:spacing w:line="360" w:lineRule="auto"/>
        <w:ind w:firstLine="480" w:firstLineChars="200"/>
        <w:rPr>
          <w:rFonts w:cs="Times New Roman"/>
          <w:snapToGrid w:val="0"/>
          <w:sz w:val="24"/>
          <w:szCs w:val="24"/>
          <w:lang w:val="en-US"/>
        </w:rPr>
      </w:pPr>
      <w:r>
        <w:rPr>
          <w:rFonts w:hint="eastAsia" w:cs="Times New Roman"/>
          <w:snapToGrid w:val="0"/>
          <w:sz w:val="24"/>
          <w:szCs w:val="24"/>
          <w:lang w:val="en-US"/>
        </w:rPr>
        <w:t>2.建设单位：</w:t>
      </w:r>
      <w:r>
        <w:rPr>
          <w:rFonts w:hint="eastAsia" w:cs="Times New Roman"/>
          <w:snapToGrid w:val="0"/>
          <w:sz w:val="24"/>
          <w:szCs w:val="24"/>
          <w:lang w:val="en-US" w:bidi="ar-SA"/>
        </w:rPr>
        <w:t>广州市番禺区石碁镇桥山村股份合作经济社。</w:t>
      </w:r>
    </w:p>
    <w:p w14:paraId="5E738968">
      <w:pPr>
        <w:tabs>
          <w:tab w:val="left" w:pos="7513"/>
        </w:tabs>
        <w:spacing w:line="360" w:lineRule="auto"/>
        <w:ind w:firstLine="480" w:firstLineChars="200"/>
        <w:rPr>
          <w:sz w:val="24"/>
          <w:szCs w:val="24"/>
          <w:lang w:bidi="ar-SA"/>
        </w:rPr>
      </w:pPr>
      <w:r>
        <w:rPr>
          <w:rFonts w:hint="eastAsia"/>
          <w:sz w:val="24"/>
          <w:szCs w:val="24"/>
          <w:lang w:val="en-US"/>
        </w:rPr>
        <w:t>3.</w:t>
      </w:r>
      <w:r>
        <w:rPr>
          <w:rFonts w:hint="eastAsia"/>
          <w:sz w:val="24"/>
          <w:szCs w:val="24"/>
        </w:rPr>
        <w:t>工程建设地点：</w:t>
      </w:r>
      <w:r>
        <w:rPr>
          <w:rFonts w:hint="eastAsia"/>
          <w:sz w:val="24"/>
          <w:szCs w:val="24"/>
          <w:lang w:bidi="ar-SA"/>
        </w:rPr>
        <w:t>广州市番禺区石碁镇桥山村草岗工业集聚区。</w:t>
      </w:r>
    </w:p>
    <w:p w14:paraId="0DBA2BE1">
      <w:pPr>
        <w:tabs>
          <w:tab w:val="left" w:pos="7513"/>
        </w:tabs>
        <w:spacing w:line="360" w:lineRule="auto"/>
        <w:ind w:firstLine="480" w:firstLineChars="200"/>
        <w:rPr>
          <w:sz w:val="24"/>
          <w:u w:val="single"/>
          <w:lang w:val="en-US"/>
        </w:rPr>
      </w:pPr>
      <w:r>
        <w:rPr>
          <w:rFonts w:hint="eastAsia"/>
          <w:bCs/>
          <w:sz w:val="24"/>
          <w:szCs w:val="24"/>
          <w:lang w:val="en-US"/>
        </w:rPr>
        <w:t>4.</w:t>
      </w:r>
      <w:r>
        <w:rPr>
          <w:rFonts w:hint="eastAsia"/>
          <w:bCs/>
          <w:sz w:val="24"/>
          <w:szCs w:val="24"/>
        </w:rPr>
        <w:t>工程建设</w:t>
      </w:r>
      <w:r>
        <w:rPr>
          <w:rFonts w:hint="eastAsia"/>
          <w:sz w:val="24"/>
          <w:szCs w:val="24"/>
          <w:lang w:bidi="ar-SA"/>
        </w:rPr>
        <w:t>规模：</w:t>
      </w:r>
      <w:r>
        <w:rPr>
          <w:rFonts w:hint="eastAsia"/>
          <w:sz w:val="24"/>
          <w:u w:val="single"/>
          <w:lang w:val="en-US"/>
        </w:rPr>
        <w:t>一期：</w:t>
      </w:r>
      <w:r>
        <w:rPr>
          <w:rFonts w:hint="eastAsia"/>
          <w:sz w:val="24"/>
          <w:u w:val="single"/>
        </w:rPr>
        <w:t>位于桥山村草岗村镇工业集聚区，</w:t>
      </w:r>
      <w:r>
        <w:rPr>
          <w:rFonts w:hint="eastAsia"/>
          <w:sz w:val="24"/>
          <w:u w:val="single"/>
          <w:lang w:val="en-US"/>
        </w:rPr>
        <w:t>项目总占地面积约36219.95平方米，建筑面积约114148平方米，主要建设13栋厂房，1栋23层的宿舍，1栋商业楼，项目建成后将专注于吸引设备制造、新能源设备、制衣等领域的企业入驻。</w:t>
      </w:r>
    </w:p>
    <w:p w14:paraId="65153A1A">
      <w:pPr>
        <w:pStyle w:val="11"/>
        <w:spacing w:line="360" w:lineRule="auto"/>
        <w:ind w:firstLine="480" w:firstLineChars="200"/>
        <w:rPr>
          <w:rFonts w:hAnsi="宋体"/>
          <w:sz w:val="24"/>
          <w:u w:val="single"/>
          <w:lang w:val="en-US"/>
        </w:rPr>
      </w:pPr>
      <w:r>
        <w:rPr>
          <w:rFonts w:hint="eastAsia" w:hAnsi="宋体"/>
          <w:sz w:val="24"/>
          <w:u w:val="single"/>
          <w:lang w:val="en-US"/>
        </w:rPr>
        <w:t>二期：</w:t>
      </w:r>
      <w:r>
        <w:rPr>
          <w:rFonts w:hint="eastAsia" w:hAnsi="宋体" w:cs="Times New Roman"/>
          <w:kern w:val="2"/>
          <w:sz w:val="24"/>
          <w:szCs w:val="24"/>
          <w:u w:val="single"/>
        </w:rPr>
        <w:t>位于桥山村草岗村镇工业集聚区，</w:t>
      </w:r>
      <w:r>
        <w:rPr>
          <w:rFonts w:hint="eastAsia" w:hAnsi="宋体"/>
          <w:sz w:val="24"/>
          <w:u w:val="single"/>
          <w:lang w:val="en-US"/>
        </w:rPr>
        <w:t>（地块二和地块三）占地面积约25370.73平方米，建筑面积约80697平方米，主要建设2栋多层厂房和3栋高层厂房，项目建成后将专注于吸引设备制造、新能源设备、制衣等领域的企业入驻。</w:t>
      </w:r>
    </w:p>
    <w:p w14:paraId="2015F555">
      <w:pPr>
        <w:spacing w:line="360" w:lineRule="auto"/>
        <w:ind w:firstLine="480" w:firstLineChars="200"/>
        <w:rPr>
          <w:lang w:val="en-US"/>
        </w:rPr>
      </w:pPr>
      <w:r>
        <w:rPr>
          <w:rFonts w:hint="eastAsia"/>
          <w:sz w:val="24"/>
          <w:u w:val="single"/>
          <w:lang w:val="en-US"/>
        </w:rPr>
        <w:t>三期：</w:t>
      </w:r>
      <w:r>
        <w:rPr>
          <w:rFonts w:hint="eastAsia" w:cs="Times New Roman"/>
          <w:sz w:val="24"/>
          <w:u w:val="single"/>
        </w:rPr>
        <w:t>位于桥山村草岗村镇工业集聚区，</w:t>
      </w:r>
      <w:r>
        <w:rPr>
          <w:rFonts w:hint="eastAsia"/>
          <w:sz w:val="24"/>
          <w:u w:val="single"/>
          <w:lang w:val="en-US"/>
        </w:rPr>
        <w:t>（地块一）占地面积约18740.8平方米，建筑面积约58503平方米，主要建设5栋高层厂房，1栋首末站，项目建成后将专注于吸引设备制造、新能源设备、制衣等领域的企业入驻。</w:t>
      </w:r>
    </w:p>
    <w:p w14:paraId="006A5F54">
      <w:pPr>
        <w:adjustRightInd w:val="0"/>
        <w:snapToGrid w:val="0"/>
        <w:spacing w:line="360" w:lineRule="auto"/>
        <w:ind w:firstLine="480" w:firstLineChars="200"/>
        <w:rPr>
          <w:sz w:val="24"/>
          <w:szCs w:val="24"/>
          <w:u w:val="single"/>
          <w:lang w:bidi="ar-SA"/>
        </w:rPr>
      </w:pPr>
      <w:r>
        <w:rPr>
          <w:rFonts w:hint="eastAsia"/>
          <w:sz w:val="24"/>
          <w:szCs w:val="24"/>
          <w:lang w:val="en-US"/>
        </w:rPr>
        <w:t>5.</w:t>
      </w:r>
      <w:r>
        <w:rPr>
          <w:rFonts w:hint="eastAsia"/>
          <w:sz w:val="24"/>
          <w:szCs w:val="24"/>
        </w:rPr>
        <w:t>项目投</w:t>
      </w:r>
      <w:r>
        <w:rPr>
          <w:rFonts w:hint="eastAsia"/>
          <w:sz w:val="24"/>
          <w:szCs w:val="24"/>
          <w:lang w:bidi="ar-SA"/>
        </w:rPr>
        <w:t>资估算：</w:t>
      </w:r>
      <w:r>
        <w:rPr>
          <w:rFonts w:hint="eastAsia"/>
          <w:sz w:val="24"/>
          <w:u w:val="single"/>
          <w:lang w:val="en-US" w:bidi="ar-SA"/>
        </w:rPr>
        <w:t>70000.01万元，其中建安费投资估算为</w:t>
      </w:r>
      <w:r>
        <w:rPr>
          <w:rFonts w:hint="eastAsia"/>
          <w:sz w:val="24"/>
          <w:u w:val="single"/>
        </w:rPr>
        <w:t>56846.77</w:t>
      </w:r>
      <w:r>
        <w:rPr>
          <w:rFonts w:hint="eastAsia"/>
          <w:sz w:val="24"/>
          <w:u w:val="single"/>
          <w:lang w:val="en-US"/>
        </w:rPr>
        <w:t>万元</w:t>
      </w:r>
      <w:r>
        <w:rPr>
          <w:rFonts w:hint="eastAsia"/>
          <w:sz w:val="24"/>
          <w:u w:val="single"/>
        </w:rPr>
        <w:t>（未含征地拆迁费）</w:t>
      </w:r>
      <w:r>
        <w:rPr>
          <w:rFonts w:hint="eastAsia"/>
          <w:sz w:val="24"/>
          <w:u w:val="single"/>
          <w:lang w:val="en-US"/>
        </w:rPr>
        <w:t>，</w:t>
      </w:r>
      <w:r>
        <w:rPr>
          <w:rFonts w:hint="eastAsia"/>
          <w:sz w:val="24"/>
          <w:u w:val="single"/>
          <w:lang w:val="en-US" w:bidi="ar-SA"/>
        </w:rPr>
        <w:t>建安费投资估算</w:t>
      </w:r>
      <w:r>
        <w:rPr>
          <w:rFonts w:hint="eastAsia"/>
          <w:sz w:val="24"/>
          <w:u w:val="single"/>
          <w:lang w:val="en-US"/>
        </w:rPr>
        <w:t>包含二类费用（暂列）为4100万元；一期</w:t>
      </w:r>
      <w:r>
        <w:rPr>
          <w:rFonts w:hint="eastAsia"/>
          <w:sz w:val="24"/>
          <w:u w:val="single"/>
          <w:lang w:val="en-US" w:bidi="ar-SA"/>
        </w:rPr>
        <w:t>建安</w:t>
      </w:r>
      <w:r>
        <w:rPr>
          <w:rFonts w:hint="eastAsia"/>
          <w:sz w:val="24"/>
          <w:u w:val="single"/>
          <w:lang w:bidi="ar-SA"/>
        </w:rPr>
        <w:t>费</w:t>
      </w:r>
      <w:r>
        <w:rPr>
          <w:rFonts w:hint="eastAsia"/>
          <w:sz w:val="24"/>
          <w:u w:val="single"/>
          <w:lang w:val="en-US" w:bidi="ar-SA"/>
        </w:rPr>
        <w:t>为</w:t>
      </w:r>
      <w:r>
        <w:rPr>
          <w:rFonts w:hint="eastAsia"/>
          <w:sz w:val="24"/>
          <w:szCs w:val="32"/>
          <w:u w:val="single"/>
          <w:lang w:val="en-US"/>
        </w:rPr>
        <w:t>23765.49</w:t>
      </w:r>
      <w:r>
        <w:rPr>
          <w:rFonts w:hint="eastAsia"/>
          <w:sz w:val="24"/>
          <w:u w:val="single"/>
          <w:lang w:bidi="ar-SA"/>
        </w:rPr>
        <w:t>万元</w:t>
      </w:r>
      <w:r>
        <w:rPr>
          <w:rFonts w:hint="eastAsia"/>
          <w:sz w:val="24"/>
          <w:u w:val="single"/>
          <w:lang w:val="en-US"/>
        </w:rPr>
        <w:t>；二期</w:t>
      </w:r>
      <w:r>
        <w:rPr>
          <w:rFonts w:hint="eastAsia"/>
          <w:sz w:val="24"/>
          <w:u w:val="single"/>
          <w:lang w:val="en-US" w:bidi="ar-SA"/>
        </w:rPr>
        <w:t>建安费为16801.03万元</w:t>
      </w:r>
      <w:r>
        <w:rPr>
          <w:rFonts w:hint="eastAsia"/>
          <w:sz w:val="24"/>
          <w:u w:val="single"/>
          <w:lang w:val="en-US"/>
        </w:rPr>
        <w:t>；三期</w:t>
      </w:r>
      <w:r>
        <w:rPr>
          <w:rFonts w:hint="eastAsia"/>
          <w:sz w:val="24"/>
          <w:szCs w:val="20"/>
          <w:u w:val="single"/>
          <w:lang w:val="en-US"/>
        </w:rPr>
        <w:t>建安费为12180.25万元</w:t>
      </w:r>
      <w:r>
        <w:rPr>
          <w:rFonts w:hint="eastAsia"/>
          <w:sz w:val="24"/>
          <w:u w:val="single"/>
          <w:lang w:val="en-US"/>
        </w:rPr>
        <w:t>。</w:t>
      </w:r>
    </w:p>
    <w:p w14:paraId="7A57CB82">
      <w:pPr>
        <w:rPr>
          <w:lang w:val="en-US"/>
        </w:rPr>
      </w:pPr>
    </w:p>
    <w:p w14:paraId="3E453E86">
      <w:pPr>
        <w:pStyle w:val="3"/>
        <w:spacing w:line="360" w:lineRule="auto"/>
        <w:ind w:left="0" w:firstLine="0"/>
        <w:rPr>
          <w:rFonts w:ascii="宋体" w:hAnsi="宋体" w:eastAsia="宋体" w:cs="Times New Roman"/>
          <w:sz w:val="24"/>
          <w:szCs w:val="24"/>
          <w:lang w:val="en-US"/>
        </w:rPr>
      </w:pPr>
      <w:r>
        <w:rPr>
          <w:rFonts w:hint="eastAsia" w:ascii="宋体" w:hAnsi="宋体" w:eastAsia="宋体" w:cs="Times New Roman"/>
          <w:sz w:val="24"/>
          <w:szCs w:val="24"/>
          <w:lang w:val="en-US"/>
        </w:rPr>
        <w:t>二、项目管理服务期</w:t>
      </w:r>
    </w:p>
    <w:p w14:paraId="7FE61738">
      <w:pPr>
        <w:ind w:firstLine="420"/>
        <w:rPr>
          <w:rFonts w:hAnsi="宋体"/>
          <w:sz w:val="24"/>
          <w:szCs w:val="24"/>
        </w:rPr>
      </w:pPr>
      <w:r>
        <w:rPr>
          <w:rFonts w:hint="eastAsia" w:ascii="宋体" w:hAnsi="Times New Roman" w:eastAsia="宋体" w:cs="宋体"/>
          <w:b w:val="0"/>
          <w:bCs w:val="0"/>
          <w:sz w:val="24"/>
          <w:szCs w:val="24"/>
        </w:rPr>
        <w:t>从合同签订之日起至本项目工程竣工验收及缺陷责任期满并完成工程结算之日止。</w:t>
      </w:r>
    </w:p>
    <w:p w14:paraId="486B143D">
      <w:pPr>
        <w:rPr>
          <w:lang w:val="en-US"/>
        </w:rPr>
      </w:pPr>
    </w:p>
    <w:p w14:paraId="5A202AD2">
      <w:pPr>
        <w:pStyle w:val="3"/>
        <w:spacing w:line="360" w:lineRule="auto"/>
        <w:ind w:left="0" w:firstLine="0"/>
        <w:rPr>
          <w:rFonts w:ascii="宋体" w:hAnsi="宋体" w:eastAsia="宋体" w:cs="Times New Roman"/>
          <w:sz w:val="24"/>
          <w:szCs w:val="24"/>
          <w:lang w:val="en-US"/>
        </w:rPr>
      </w:pPr>
      <w:r>
        <w:rPr>
          <w:rFonts w:hint="eastAsia" w:ascii="宋体" w:hAnsi="宋体" w:eastAsia="宋体" w:cs="Times New Roman"/>
          <w:sz w:val="24"/>
          <w:szCs w:val="24"/>
          <w:lang w:val="en-US"/>
        </w:rPr>
        <w:t>三、项目管理目标要求</w:t>
      </w:r>
    </w:p>
    <w:p w14:paraId="11617C0B">
      <w:pPr>
        <w:pStyle w:val="3"/>
        <w:spacing w:line="360" w:lineRule="auto"/>
        <w:ind w:left="0" w:firstLine="482" w:firstLineChars="200"/>
        <w:rPr>
          <w:rFonts w:ascii="宋体" w:hAnsi="宋体" w:eastAsia="宋体" w:cs="宋体"/>
          <w:b w:val="0"/>
          <w:bCs w:val="0"/>
          <w:sz w:val="24"/>
          <w:szCs w:val="24"/>
        </w:rPr>
      </w:pPr>
      <w:r>
        <w:rPr>
          <w:rFonts w:hint="eastAsia" w:ascii="宋体" w:hAnsi="宋体" w:eastAsia="宋体" w:cs="宋体"/>
          <w:sz w:val="24"/>
          <w:szCs w:val="24"/>
        </w:rPr>
        <w:t>质量控制目标：</w:t>
      </w:r>
      <w:r>
        <w:rPr>
          <w:rFonts w:hint="eastAsia" w:ascii="宋体" w:hAnsi="宋体" w:eastAsia="宋体" w:cs="宋体"/>
          <w:b w:val="0"/>
          <w:bCs w:val="0"/>
          <w:sz w:val="24"/>
          <w:szCs w:val="24"/>
        </w:rPr>
        <w:t>竣工验收达到合格标准。</w:t>
      </w:r>
    </w:p>
    <w:p w14:paraId="651DA408"/>
    <w:p w14:paraId="08715202">
      <w:pPr>
        <w:pStyle w:val="3"/>
        <w:spacing w:line="360" w:lineRule="auto"/>
        <w:ind w:left="0" w:firstLine="0"/>
        <w:rPr>
          <w:rFonts w:ascii="宋体" w:hAnsi="宋体" w:eastAsia="宋体" w:cs="Times New Roman"/>
          <w:sz w:val="24"/>
          <w:szCs w:val="24"/>
        </w:rPr>
      </w:pPr>
      <w:r>
        <w:rPr>
          <w:rFonts w:hint="eastAsia" w:ascii="宋体" w:hAnsi="宋体" w:eastAsia="宋体" w:cs="Times New Roman"/>
          <w:sz w:val="24"/>
          <w:szCs w:val="24"/>
          <w:lang w:val="en-US"/>
        </w:rPr>
        <w:t>四、项目管理服务工作内容及范围</w:t>
      </w:r>
    </w:p>
    <w:p w14:paraId="122780FC">
      <w:pPr>
        <w:spacing w:line="360" w:lineRule="auto"/>
        <w:ind w:firstLine="420"/>
        <w:rPr>
          <w:rFonts w:cs="Times New Roman"/>
          <w:snapToGrid w:val="0"/>
          <w:sz w:val="24"/>
          <w:szCs w:val="24"/>
          <w:lang w:val="en-US"/>
        </w:rPr>
      </w:pPr>
      <w:r>
        <w:rPr>
          <w:rFonts w:hint="eastAsia"/>
          <w:sz w:val="24"/>
          <w:szCs w:val="24"/>
          <w:shd w:val="clear" w:color="auto" w:fill="FFFFFF"/>
        </w:rPr>
        <w:t>负责对项目建设的全过程进行建设管理，内容包括但不限于以下内容：负责自合同签订起至项目竣工验收、竣工结算、财务决算、移交和保修期满的全过程统筹管理工作。包括但不限于勘察设计、概算评审、规划报建、监理、施工、设备材料、招标投标等实施过程中建设管理工作及各种手续的报审管理工作，并对工程项目进行质量、安全、进度、投资、合同、信息、档案等方面的有效统筹管理和控制，直到办理竣工验收手续和竣工结算、移交使用单位和保修期、项目财务决算等实施过程的建设管理工作及各种手续的报审管理工作。</w:t>
      </w:r>
      <w:r>
        <w:rPr>
          <w:rFonts w:hint="eastAsia" w:cs="Times New Roman"/>
          <w:snapToGrid w:val="0"/>
          <w:sz w:val="24"/>
          <w:szCs w:val="24"/>
          <w:lang w:val="en-US"/>
        </w:rPr>
        <w:t>具体以合同为准。</w:t>
      </w:r>
    </w:p>
    <w:p w14:paraId="5BFD878F">
      <w:pPr>
        <w:rPr>
          <w:lang w:val="en-US"/>
        </w:rPr>
      </w:pPr>
    </w:p>
    <w:p w14:paraId="48020FE7">
      <w:pPr>
        <w:pStyle w:val="3"/>
        <w:spacing w:line="360" w:lineRule="auto"/>
        <w:ind w:left="0" w:firstLine="0"/>
        <w:rPr>
          <w:rFonts w:ascii="宋体" w:hAnsi="宋体" w:eastAsia="宋体" w:cs="Times New Roman"/>
          <w:sz w:val="24"/>
          <w:szCs w:val="24"/>
          <w:lang w:val="en-US"/>
        </w:rPr>
      </w:pPr>
      <w:r>
        <w:rPr>
          <w:rFonts w:hint="eastAsia" w:ascii="宋体" w:hAnsi="宋体" w:eastAsia="宋体" w:cs="Times New Roman"/>
          <w:sz w:val="24"/>
          <w:szCs w:val="24"/>
          <w:lang w:val="en-US"/>
        </w:rPr>
        <w:t>五、项目管理服务单位人员架构要求</w:t>
      </w:r>
    </w:p>
    <w:p w14:paraId="10E06E4C">
      <w:pPr>
        <w:spacing w:line="360" w:lineRule="auto"/>
        <w:ind w:firstLine="420"/>
        <w:rPr>
          <w:sz w:val="24"/>
          <w:szCs w:val="24"/>
        </w:rPr>
      </w:pPr>
      <w:r>
        <w:rPr>
          <w:rFonts w:hint="eastAsia"/>
          <w:sz w:val="24"/>
          <w:szCs w:val="24"/>
          <w:lang w:val="en-US"/>
        </w:rPr>
        <w:t>1.</w:t>
      </w:r>
      <w:r>
        <w:rPr>
          <w:rFonts w:hint="eastAsia"/>
          <w:sz w:val="24"/>
          <w:szCs w:val="24"/>
        </w:rPr>
        <w:t>项目管理服务单位应在项目开工前按要求组建项目管理架构，并将项目管理架构报建设单位备案，现场项目负责人负责核实人员是否符合合同、招投标文件的要求以及人员的实际到位情况。</w:t>
      </w:r>
    </w:p>
    <w:p w14:paraId="35271081">
      <w:pPr>
        <w:spacing w:line="360" w:lineRule="auto"/>
        <w:ind w:firstLine="420"/>
        <w:rPr>
          <w:sz w:val="24"/>
          <w:szCs w:val="24"/>
        </w:rPr>
      </w:pPr>
      <w:r>
        <w:rPr>
          <w:rFonts w:hint="eastAsia"/>
          <w:sz w:val="24"/>
          <w:szCs w:val="24"/>
          <w:lang w:val="en-US"/>
        </w:rPr>
        <w:t>2.</w:t>
      </w:r>
      <w:r>
        <w:rPr>
          <w:rFonts w:hint="eastAsia"/>
          <w:sz w:val="24"/>
          <w:szCs w:val="24"/>
        </w:rPr>
        <w:t>项目管理架构组成人员应符合招投标文件、合同的要求，如因特殊情况部分投标人员不能到位应向建设单位书面提出人员更换申请，得到批准并按合同要求办理相应变更手续后方可进行人员更换；人员的更换应在施工准备阶段完成，经备案后的项目管理架构人员不允许随便变更。项目管理人员最低配置要求如下：</w:t>
      </w:r>
    </w:p>
    <w:p w14:paraId="64103CF6">
      <w:pPr>
        <w:topLinePunct/>
        <w:spacing w:line="360" w:lineRule="auto"/>
        <w:ind w:firstLine="480" w:firstLineChars="200"/>
        <w:jc w:val="center"/>
        <w:rPr>
          <w:sz w:val="24"/>
          <w:szCs w:val="24"/>
        </w:rPr>
      </w:pPr>
      <w:r>
        <w:rPr>
          <w:rFonts w:hint="eastAsia"/>
          <w:sz w:val="24"/>
          <w:szCs w:val="24"/>
        </w:rPr>
        <w:t>人员架构配备要求表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1530"/>
        <w:gridCol w:w="1365"/>
        <w:gridCol w:w="4699"/>
      </w:tblGrid>
      <w:tr w14:paraId="2C08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399" w:type="dxa"/>
            <w:vMerge w:val="restart"/>
            <w:vAlign w:val="center"/>
          </w:tcPr>
          <w:p w14:paraId="4B4E195B">
            <w:pPr>
              <w:adjustRightInd w:val="0"/>
              <w:snapToGrid w:val="0"/>
              <w:jc w:val="center"/>
            </w:pPr>
            <w:r>
              <w:rPr>
                <w:rFonts w:hint="eastAsia"/>
              </w:rPr>
              <w:t>项目管理团队人员要求</w:t>
            </w:r>
          </w:p>
        </w:tc>
        <w:tc>
          <w:tcPr>
            <w:tcW w:w="1530" w:type="dxa"/>
            <w:vAlign w:val="center"/>
          </w:tcPr>
          <w:p w14:paraId="5272A8B2">
            <w:pPr>
              <w:adjustRightInd w:val="0"/>
              <w:snapToGrid w:val="0"/>
              <w:jc w:val="center"/>
            </w:pPr>
            <w:r>
              <w:rPr>
                <w:rFonts w:hint="eastAsia"/>
              </w:rPr>
              <w:t>岗位</w:t>
            </w:r>
          </w:p>
        </w:tc>
        <w:tc>
          <w:tcPr>
            <w:tcW w:w="1365" w:type="dxa"/>
            <w:vAlign w:val="center"/>
          </w:tcPr>
          <w:p w14:paraId="130CC273">
            <w:pPr>
              <w:adjustRightInd w:val="0"/>
              <w:snapToGrid w:val="0"/>
              <w:jc w:val="center"/>
            </w:pPr>
            <w:r>
              <w:rPr>
                <w:rFonts w:hint="eastAsia"/>
              </w:rPr>
              <w:t>数量要求</w:t>
            </w:r>
          </w:p>
        </w:tc>
        <w:tc>
          <w:tcPr>
            <w:tcW w:w="4699" w:type="dxa"/>
            <w:vAlign w:val="center"/>
          </w:tcPr>
          <w:p w14:paraId="619367BB">
            <w:pPr>
              <w:adjustRightInd w:val="0"/>
              <w:snapToGrid w:val="0"/>
              <w:jc w:val="center"/>
            </w:pPr>
            <w:r>
              <w:rPr>
                <w:rFonts w:hint="eastAsia"/>
              </w:rPr>
              <w:t>基本要求</w:t>
            </w:r>
          </w:p>
        </w:tc>
      </w:tr>
      <w:tr w14:paraId="1B99E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399" w:type="dxa"/>
            <w:vMerge w:val="continue"/>
            <w:vAlign w:val="center"/>
          </w:tcPr>
          <w:p w14:paraId="105F4468">
            <w:pPr>
              <w:adjustRightInd w:val="0"/>
              <w:snapToGrid w:val="0"/>
              <w:jc w:val="center"/>
            </w:pPr>
          </w:p>
        </w:tc>
        <w:tc>
          <w:tcPr>
            <w:tcW w:w="1530" w:type="dxa"/>
            <w:vAlign w:val="center"/>
          </w:tcPr>
          <w:p w14:paraId="164D442D">
            <w:pPr>
              <w:adjustRightInd w:val="0"/>
              <w:snapToGrid w:val="0"/>
              <w:jc w:val="center"/>
            </w:pPr>
            <w:r>
              <w:rPr>
                <w:rFonts w:hint="eastAsia"/>
              </w:rPr>
              <w:t>项目负责人</w:t>
            </w:r>
          </w:p>
        </w:tc>
        <w:tc>
          <w:tcPr>
            <w:tcW w:w="1365" w:type="dxa"/>
            <w:vAlign w:val="center"/>
          </w:tcPr>
          <w:p w14:paraId="720439A2">
            <w:pPr>
              <w:adjustRightInd w:val="0"/>
              <w:snapToGrid w:val="0"/>
              <w:jc w:val="center"/>
            </w:pPr>
            <w:r>
              <w:t>1</w:t>
            </w:r>
            <w:r>
              <w:rPr>
                <w:rFonts w:hint="eastAsia"/>
              </w:rPr>
              <w:t>名</w:t>
            </w:r>
          </w:p>
        </w:tc>
        <w:tc>
          <w:tcPr>
            <w:tcW w:w="4699" w:type="dxa"/>
            <w:vAlign w:val="center"/>
          </w:tcPr>
          <w:p w14:paraId="0D2113BC">
            <w:pPr>
              <w:adjustRightInd w:val="0"/>
              <w:snapToGrid w:val="0"/>
            </w:pPr>
            <w:r>
              <w:rPr>
                <w:rFonts w:hint="eastAsia"/>
              </w:rPr>
              <w:t>具有注册监理工程师或一级建造师或一级结构师或一级建筑师或一级造价师执业资格证书</w:t>
            </w:r>
          </w:p>
        </w:tc>
      </w:tr>
      <w:tr w14:paraId="5D65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399" w:type="dxa"/>
            <w:vMerge w:val="continue"/>
            <w:vAlign w:val="center"/>
          </w:tcPr>
          <w:p w14:paraId="1018F2F9">
            <w:pPr>
              <w:adjustRightInd w:val="0"/>
              <w:snapToGrid w:val="0"/>
              <w:jc w:val="center"/>
            </w:pPr>
          </w:p>
        </w:tc>
        <w:tc>
          <w:tcPr>
            <w:tcW w:w="1530" w:type="dxa"/>
            <w:vAlign w:val="center"/>
          </w:tcPr>
          <w:p w14:paraId="749B3323">
            <w:pPr>
              <w:adjustRightInd w:val="0"/>
              <w:snapToGrid w:val="0"/>
              <w:jc w:val="center"/>
            </w:pPr>
            <w:r>
              <w:rPr>
                <w:rFonts w:hint="eastAsia"/>
              </w:rPr>
              <w:t>技术负责人</w:t>
            </w:r>
          </w:p>
        </w:tc>
        <w:tc>
          <w:tcPr>
            <w:tcW w:w="1365" w:type="dxa"/>
            <w:vAlign w:val="center"/>
          </w:tcPr>
          <w:p w14:paraId="25F9BA1F">
            <w:pPr>
              <w:adjustRightInd w:val="0"/>
              <w:snapToGrid w:val="0"/>
              <w:jc w:val="center"/>
            </w:pPr>
            <w:r>
              <w:rPr>
                <w:rFonts w:hint="eastAsia"/>
              </w:rPr>
              <w:t>1名</w:t>
            </w:r>
          </w:p>
        </w:tc>
        <w:tc>
          <w:tcPr>
            <w:tcW w:w="4699" w:type="dxa"/>
            <w:vAlign w:val="center"/>
          </w:tcPr>
          <w:p w14:paraId="3F39FA81">
            <w:pPr>
              <w:adjustRightInd w:val="0"/>
              <w:snapToGrid w:val="0"/>
            </w:pPr>
            <w:r>
              <w:rPr>
                <w:rFonts w:hint="eastAsia"/>
              </w:rPr>
              <w:t>具有注册监理工程师或一级建造师或一级结构师或一级建筑师或一级造价师执业资格证书</w:t>
            </w:r>
          </w:p>
        </w:tc>
      </w:tr>
      <w:tr w14:paraId="7017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99" w:type="dxa"/>
            <w:vMerge w:val="continue"/>
            <w:vAlign w:val="center"/>
          </w:tcPr>
          <w:p w14:paraId="182C864E">
            <w:pPr>
              <w:adjustRightInd w:val="0"/>
              <w:snapToGrid w:val="0"/>
              <w:jc w:val="center"/>
            </w:pPr>
          </w:p>
        </w:tc>
        <w:tc>
          <w:tcPr>
            <w:tcW w:w="1530" w:type="dxa"/>
            <w:vAlign w:val="center"/>
          </w:tcPr>
          <w:p w14:paraId="1D6A1B77">
            <w:pPr>
              <w:adjustRightInd w:val="0"/>
              <w:snapToGrid w:val="0"/>
              <w:jc w:val="center"/>
            </w:pPr>
            <w:r>
              <w:rPr>
                <w:rFonts w:hint="eastAsia"/>
              </w:rPr>
              <w:t>设计管理工程师</w:t>
            </w:r>
          </w:p>
        </w:tc>
        <w:tc>
          <w:tcPr>
            <w:tcW w:w="1365" w:type="dxa"/>
            <w:vAlign w:val="center"/>
          </w:tcPr>
          <w:p w14:paraId="4C728173">
            <w:pPr>
              <w:adjustRightInd w:val="0"/>
              <w:snapToGrid w:val="0"/>
              <w:jc w:val="center"/>
            </w:pPr>
            <w:r>
              <w:rPr>
                <w:rFonts w:hint="eastAsia"/>
              </w:rPr>
              <w:t>1名</w:t>
            </w:r>
          </w:p>
        </w:tc>
        <w:tc>
          <w:tcPr>
            <w:tcW w:w="4699" w:type="dxa"/>
            <w:vAlign w:val="center"/>
          </w:tcPr>
          <w:p w14:paraId="60391727">
            <w:pPr>
              <w:adjustRightInd w:val="0"/>
              <w:snapToGrid w:val="0"/>
            </w:pPr>
            <w:r>
              <w:rPr>
                <w:rFonts w:hint="eastAsia"/>
              </w:rPr>
              <w:t>具有注册一级结构师或一级建筑师执业资格证书</w:t>
            </w:r>
          </w:p>
        </w:tc>
      </w:tr>
      <w:tr w14:paraId="2456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399" w:type="dxa"/>
            <w:vMerge w:val="continue"/>
            <w:vAlign w:val="center"/>
          </w:tcPr>
          <w:p w14:paraId="4AD46E00">
            <w:pPr>
              <w:adjustRightInd w:val="0"/>
              <w:snapToGrid w:val="0"/>
              <w:jc w:val="center"/>
            </w:pPr>
          </w:p>
        </w:tc>
        <w:tc>
          <w:tcPr>
            <w:tcW w:w="1530" w:type="dxa"/>
            <w:vAlign w:val="center"/>
          </w:tcPr>
          <w:p w14:paraId="09A300AE">
            <w:pPr>
              <w:adjustRightInd w:val="0"/>
              <w:snapToGrid w:val="0"/>
              <w:jc w:val="center"/>
            </w:pPr>
            <w:r>
              <w:rPr>
                <w:rFonts w:hint="eastAsia"/>
              </w:rPr>
              <w:t>造价管理工程师</w:t>
            </w:r>
          </w:p>
        </w:tc>
        <w:tc>
          <w:tcPr>
            <w:tcW w:w="1365" w:type="dxa"/>
            <w:vAlign w:val="center"/>
          </w:tcPr>
          <w:p w14:paraId="4B295B1A">
            <w:pPr>
              <w:adjustRightInd w:val="0"/>
              <w:snapToGrid w:val="0"/>
              <w:jc w:val="center"/>
            </w:pPr>
            <w:r>
              <w:t>1</w:t>
            </w:r>
            <w:r>
              <w:rPr>
                <w:rFonts w:hint="eastAsia"/>
              </w:rPr>
              <w:t>名</w:t>
            </w:r>
          </w:p>
        </w:tc>
        <w:tc>
          <w:tcPr>
            <w:tcW w:w="4699" w:type="dxa"/>
            <w:vAlign w:val="center"/>
          </w:tcPr>
          <w:p w14:paraId="1D59C5C5">
            <w:pPr>
              <w:adjustRightInd w:val="0"/>
              <w:snapToGrid w:val="0"/>
            </w:pPr>
            <w:r>
              <w:rPr>
                <w:rFonts w:hint="eastAsia"/>
              </w:rPr>
              <w:t>具有注册一级造价师执业资格证书</w:t>
            </w:r>
          </w:p>
        </w:tc>
      </w:tr>
      <w:tr w14:paraId="0D79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399" w:type="dxa"/>
            <w:vMerge w:val="continue"/>
            <w:vAlign w:val="center"/>
          </w:tcPr>
          <w:p w14:paraId="27F09D40">
            <w:pPr>
              <w:adjustRightInd w:val="0"/>
              <w:snapToGrid w:val="0"/>
              <w:jc w:val="center"/>
            </w:pPr>
          </w:p>
        </w:tc>
        <w:tc>
          <w:tcPr>
            <w:tcW w:w="1530" w:type="dxa"/>
            <w:vAlign w:val="center"/>
          </w:tcPr>
          <w:p w14:paraId="18939C09">
            <w:pPr>
              <w:adjustRightInd w:val="0"/>
              <w:snapToGrid w:val="0"/>
              <w:jc w:val="center"/>
            </w:pPr>
            <w:r>
              <w:rPr>
                <w:rFonts w:hint="eastAsia"/>
              </w:rPr>
              <w:t>施工管理工程师</w:t>
            </w:r>
          </w:p>
        </w:tc>
        <w:tc>
          <w:tcPr>
            <w:tcW w:w="1365" w:type="dxa"/>
            <w:vAlign w:val="center"/>
          </w:tcPr>
          <w:p w14:paraId="3A0A3564">
            <w:pPr>
              <w:adjustRightInd w:val="0"/>
              <w:snapToGrid w:val="0"/>
              <w:jc w:val="center"/>
            </w:pPr>
            <w:r>
              <w:rPr>
                <w:rFonts w:hint="eastAsia"/>
              </w:rPr>
              <w:t>1名</w:t>
            </w:r>
          </w:p>
        </w:tc>
        <w:tc>
          <w:tcPr>
            <w:tcW w:w="4699" w:type="dxa"/>
            <w:vAlign w:val="center"/>
          </w:tcPr>
          <w:p w14:paraId="521140A6">
            <w:pPr>
              <w:adjustRightInd w:val="0"/>
              <w:snapToGrid w:val="0"/>
            </w:pPr>
            <w:r>
              <w:rPr>
                <w:rFonts w:hint="eastAsia"/>
              </w:rPr>
              <w:t>具有注册一级建造师执业资格证书</w:t>
            </w:r>
          </w:p>
        </w:tc>
      </w:tr>
      <w:tr w14:paraId="1AE2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99" w:type="dxa"/>
            <w:vMerge w:val="continue"/>
            <w:vAlign w:val="center"/>
          </w:tcPr>
          <w:p w14:paraId="7F992ACF">
            <w:pPr>
              <w:adjustRightInd w:val="0"/>
              <w:snapToGrid w:val="0"/>
              <w:jc w:val="center"/>
            </w:pPr>
          </w:p>
        </w:tc>
        <w:tc>
          <w:tcPr>
            <w:tcW w:w="1530" w:type="dxa"/>
            <w:vAlign w:val="center"/>
          </w:tcPr>
          <w:p w14:paraId="2991F8A0">
            <w:pPr>
              <w:adjustRightInd w:val="0"/>
              <w:snapToGrid w:val="0"/>
              <w:jc w:val="center"/>
            </w:pPr>
            <w:r>
              <w:rPr>
                <w:rFonts w:hint="eastAsia"/>
              </w:rPr>
              <w:t>项目管理员</w:t>
            </w:r>
          </w:p>
        </w:tc>
        <w:tc>
          <w:tcPr>
            <w:tcW w:w="1365" w:type="dxa"/>
            <w:vAlign w:val="center"/>
          </w:tcPr>
          <w:p w14:paraId="6C0107A3">
            <w:pPr>
              <w:adjustRightInd w:val="0"/>
              <w:snapToGrid w:val="0"/>
              <w:jc w:val="center"/>
            </w:pPr>
            <w:r>
              <w:rPr>
                <w:rFonts w:hint="eastAsia"/>
              </w:rPr>
              <w:t>1名</w:t>
            </w:r>
          </w:p>
        </w:tc>
        <w:tc>
          <w:tcPr>
            <w:tcW w:w="4699" w:type="dxa"/>
            <w:vAlign w:val="center"/>
          </w:tcPr>
          <w:p w14:paraId="7973CAAF">
            <w:pPr>
              <w:adjustRightInd w:val="0"/>
              <w:snapToGrid w:val="0"/>
            </w:pPr>
            <w:r>
              <w:rPr>
                <w:rFonts w:hint="eastAsia"/>
              </w:rPr>
              <w:t>具有注册监理工程师或二级（含）以上建造师或二级（含）以上造价师资格证书</w:t>
            </w:r>
          </w:p>
        </w:tc>
      </w:tr>
      <w:tr w14:paraId="50E3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399" w:type="dxa"/>
            <w:vMerge w:val="continue"/>
            <w:vAlign w:val="center"/>
          </w:tcPr>
          <w:p w14:paraId="54BD330B">
            <w:pPr>
              <w:adjustRightInd w:val="0"/>
              <w:snapToGrid w:val="0"/>
              <w:jc w:val="center"/>
            </w:pPr>
          </w:p>
        </w:tc>
        <w:tc>
          <w:tcPr>
            <w:tcW w:w="1530" w:type="dxa"/>
            <w:vAlign w:val="center"/>
          </w:tcPr>
          <w:p w14:paraId="2D555F51">
            <w:pPr>
              <w:adjustRightInd w:val="0"/>
              <w:snapToGrid w:val="0"/>
              <w:jc w:val="center"/>
            </w:pPr>
            <w:r>
              <w:rPr>
                <w:rFonts w:hint="eastAsia"/>
              </w:rPr>
              <w:t>总计</w:t>
            </w:r>
          </w:p>
        </w:tc>
        <w:tc>
          <w:tcPr>
            <w:tcW w:w="1365" w:type="dxa"/>
            <w:vAlign w:val="center"/>
          </w:tcPr>
          <w:p w14:paraId="503339AB">
            <w:pPr>
              <w:adjustRightInd w:val="0"/>
              <w:snapToGrid w:val="0"/>
              <w:jc w:val="center"/>
            </w:pPr>
            <w:r>
              <w:rPr>
                <w:rFonts w:hint="eastAsia"/>
              </w:rPr>
              <w:t>6名</w:t>
            </w:r>
          </w:p>
        </w:tc>
        <w:tc>
          <w:tcPr>
            <w:tcW w:w="4699" w:type="dxa"/>
            <w:vAlign w:val="center"/>
          </w:tcPr>
          <w:p w14:paraId="72D64D9B">
            <w:pPr>
              <w:adjustRightInd w:val="0"/>
              <w:snapToGrid w:val="0"/>
            </w:pPr>
          </w:p>
        </w:tc>
      </w:tr>
    </w:tbl>
    <w:p w14:paraId="08DD6FC1">
      <w:pPr>
        <w:pStyle w:val="32"/>
        <w:spacing w:line="360" w:lineRule="auto"/>
        <w:rPr>
          <w:rFonts w:cs="Times New Roman"/>
          <w:sz w:val="24"/>
          <w:szCs w:val="24"/>
          <w:lang w:val="en-US" w:bidi="ar-SA"/>
        </w:rPr>
      </w:pPr>
      <w:r>
        <w:rPr>
          <w:rFonts w:hint="eastAsia" w:cs="Times New Roman"/>
          <w:sz w:val="24"/>
          <w:szCs w:val="24"/>
          <w:lang w:val="en-US" w:bidi="ar-SA"/>
        </w:rPr>
        <w:t>备注：以上为投标人承诺可为本项目独立配置的人员。实际人员配置结合建设阶段和管理需要，以招标人要求或经招标人批准的人员配置方案为准。</w:t>
      </w:r>
    </w:p>
    <w:p w14:paraId="17F90B53">
      <w:pPr>
        <w:rPr>
          <w:lang w:val="en-US"/>
        </w:rPr>
      </w:pPr>
    </w:p>
    <w:p w14:paraId="3F5296DF">
      <w:pPr>
        <w:pStyle w:val="3"/>
        <w:spacing w:line="360" w:lineRule="auto"/>
        <w:ind w:left="0" w:firstLine="0"/>
        <w:rPr>
          <w:rFonts w:ascii="宋体" w:hAnsi="宋体" w:eastAsia="宋体" w:cs="Times New Roman"/>
          <w:sz w:val="24"/>
          <w:szCs w:val="24"/>
          <w:lang w:val="en-US"/>
        </w:rPr>
      </w:pPr>
      <w:r>
        <w:rPr>
          <w:rFonts w:hint="eastAsia" w:ascii="宋体" w:hAnsi="宋体" w:eastAsia="宋体" w:cs="Times New Roman"/>
          <w:sz w:val="24"/>
          <w:szCs w:val="24"/>
          <w:lang w:val="en-US"/>
        </w:rPr>
        <w:t>六、对项目管理服务单位的其他要求</w:t>
      </w:r>
    </w:p>
    <w:p w14:paraId="604A76DE">
      <w:pPr>
        <w:spacing w:line="360" w:lineRule="auto"/>
        <w:ind w:firstLine="420"/>
        <w:rPr>
          <w:rFonts w:cs="Times New Roman"/>
          <w:sz w:val="24"/>
          <w:szCs w:val="24"/>
          <w:lang w:val="en-US"/>
        </w:rPr>
      </w:pPr>
      <w:r>
        <w:rPr>
          <w:rFonts w:hint="eastAsia" w:cs="Times New Roman"/>
          <w:sz w:val="24"/>
          <w:szCs w:val="24"/>
          <w:lang w:val="en-US"/>
        </w:rPr>
        <w:t>1.需在本项目所在地办公或设置项目部。</w:t>
      </w:r>
    </w:p>
    <w:p w14:paraId="6B32904B">
      <w:pPr>
        <w:spacing w:line="360" w:lineRule="auto"/>
        <w:ind w:firstLine="420"/>
        <w:rPr>
          <w:rFonts w:cs="Times New Roman"/>
          <w:sz w:val="24"/>
          <w:szCs w:val="24"/>
          <w:lang w:val="en-US"/>
        </w:rPr>
      </w:pPr>
      <w:r>
        <w:rPr>
          <w:rFonts w:hint="eastAsia" w:cs="Times New Roman"/>
          <w:sz w:val="24"/>
          <w:szCs w:val="24"/>
          <w:lang w:val="en-US"/>
        </w:rPr>
        <w:t>2.不得将项目管理服务转包给其他单位。</w:t>
      </w:r>
    </w:p>
    <w:p w14:paraId="5BB0F789">
      <w:pPr>
        <w:pStyle w:val="9"/>
        <w:adjustRightInd w:val="0"/>
        <w:snapToGrid w:val="0"/>
        <w:spacing w:line="360" w:lineRule="auto"/>
        <w:rPr>
          <w:rFonts w:cs="Times New Roman"/>
          <w:b/>
          <w:bCs/>
          <w:sz w:val="24"/>
          <w:szCs w:val="24"/>
          <w:lang w:val="en-US"/>
        </w:rPr>
      </w:pPr>
    </w:p>
    <w:p w14:paraId="6B3E7108">
      <w:pPr>
        <w:pStyle w:val="9"/>
        <w:adjustRightInd w:val="0"/>
        <w:snapToGrid w:val="0"/>
        <w:spacing w:line="360" w:lineRule="auto"/>
        <w:rPr>
          <w:sz w:val="24"/>
          <w:szCs w:val="24"/>
          <w:u w:val="single"/>
        </w:rPr>
        <w:sectPr>
          <w:pgSz w:w="11906" w:h="16838"/>
          <w:pgMar w:top="1417" w:right="1417" w:bottom="1417" w:left="1417" w:header="0" w:footer="839" w:gutter="0"/>
          <w:cols w:space="0" w:num="1"/>
        </w:sectPr>
      </w:pPr>
      <w:r>
        <w:rPr>
          <w:rFonts w:hint="eastAsia" w:cs="Times New Roman"/>
          <w:b/>
          <w:bCs/>
          <w:sz w:val="24"/>
          <w:szCs w:val="24"/>
          <w:lang w:val="en-US"/>
        </w:rPr>
        <w:t>七、委托人的其他要求：其他要求以合同为准。</w:t>
      </w:r>
    </w:p>
    <w:p w14:paraId="1E2C6F2D">
      <w:bookmarkStart w:id="45" w:name="_Toc30980"/>
    </w:p>
    <w:p w14:paraId="2E970A87">
      <w:pPr>
        <w:pStyle w:val="2"/>
        <w:spacing w:line="360" w:lineRule="auto"/>
        <w:ind w:right="458"/>
        <w:rPr>
          <w:rFonts w:ascii="宋体" w:hAnsi="宋体" w:eastAsia="宋体" w:cs="宋体"/>
        </w:rPr>
      </w:pPr>
      <w:r>
        <w:rPr>
          <w:rFonts w:hint="eastAsia" w:ascii="宋体" w:hAnsi="宋体" w:eastAsia="宋体" w:cs="宋体"/>
        </w:rPr>
        <w:t>第六章</w:t>
      </w:r>
      <w:r>
        <w:rPr>
          <w:rFonts w:hint="eastAsia" w:ascii="宋体" w:hAnsi="宋体" w:eastAsia="宋体" w:cs="宋体"/>
          <w:lang w:val="en-US"/>
        </w:rPr>
        <w:t xml:space="preserve"> </w:t>
      </w:r>
      <w:r>
        <w:rPr>
          <w:rFonts w:hint="eastAsia" w:ascii="宋体" w:hAnsi="宋体" w:eastAsia="宋体" w:cs="宋体"/>
        </w:rPr>
        <w:t>投标文件格式</w:t>
      </w:r>
      <w:bookmarkEnd w:id="45"/>
    </w:p>
    <w:p w14:paraId="660348E9">
      <w:pPr>
        <w:spacing w:line="360" w:lineRule="auto"/>
        <w:sectPr>
          <w:pgSz w:w="11906" w:h="16838"/>
          <w:pgMar w:top="1417" w:right="1417" w:bottom="1417" w:left="1417" w:header="0" w:footer="839" w:gutter="0"/>
          <w:cols w:space="0" w:num="1"/>
        </w:sectPr>
      </w:pPr>
    </w:p>
    <w:p w14:paraId="4A37FA6F">
      <w:pPr>
        <w:pStyle w:val="9"/>
        <w:spacing w:line="360" w:lineRule="auto"/>
        <w:rPr>
          <w:b/>
          <w:sz w:val="20"/>
        </w:rPr>
      </w:pPr>
    </w:p>
    <w:p w14:paraId="39421C4B">
      <w:pPr>
        <w:pStyle w:val="9"/>
        <w:spacing w:line="360" w:lineRule="auto"/>
        <w:rPr>
          <w:b/>
          <w:sz w:val="20"/>
        </w:rPr>
      </w:pPr>
    </w:p>
    <w:p w14:paraId="0228B16E">
      <w:pPr>
        <w:pStyle w:val="9"/>
        <w:spacing w:before="4" w:line="360" w:lineRule="auto"/>
        <w:rPr>
          <w:b/>
          <w:sz w:val="18"/>
        </w:rPr>
      </w:pPr>
    </w:p>
    <w:p w14:paraId="47AE940F">
      <w:pPr>
        <w:tabs>
          <w:tab w:val="left" w:pos="1118"/>
        </w:tabs>
        <w:spacing w:before="70" w:line="360" w:lineRule="auto"/>
        <w:ind w:right="453"/>
        <w:jc w:val="center"/>
        <w:rPr>
          <w:sz w:val="28"/>
        </w:rPr>
      </w:pPr>
      <w:r>
        <w:rPr>
          <w:rFonts w:hint="eastAsia"/>
          <w:sz w:val="28"/>
          <w:u w:val="single"/>
        </w:rPr>
        <w:t xml:space="preserve"> </w:t>
      </w:r>
      <w:r>
        <w:rPr>
          <w:rFonts w:hint="eastAsia"/>
          <w:sz w:val="28"/>
          <w:u w:val="single"/>
        </w:rPr>
        <w:tab/>
      </w:r>
      <w:r>
        <w:rPr>
          <w:rFonts w:hint="eastAsia"/>
          <w:sz w:val="28"/>
          <w:u w:val="single"/>
        </w:rPr>
        <w:t>（</w:t>
      </w:r>
      <w:r>
        <w:rPr>
          <w:rFonts w:hint="eastAsia"/>
          <w:spacing w:val="-1"/>
          <w:sz w:val="28"/>
        </w:rPr>
        <w:t>项目名称）</w:t>
      </w:r>
    </w:p>
    <w:p w14:paraId="6EF96BDE">
      <w:pPr>
        <w:pStyle w:val="9"/>
        <w:spacing w:line="360" w:lineRule="auto"/>
        <w:rPr>
          <w:sz w:val="20"/>
        </w:rPr>
      </w:pPr>
    </w:p>
    <w:p w14:paraId="64673A5E">
      <w:pPr>
        <w:spacing w:before="209" w:line="360" w:lineRule="auto"/>
        <w:ind w:right="455"/>
        <w:jc w:val="center"/>
        <w:rPr>
          <w:b/>
          <w:bCs/>
          <w:sz w:val="44"/>
        </w:rPr>
      </w:pPr>
      <w:r>
        <w:rPr>
          <w:rFonts w:hint="eastAsia"/>
          <w:b/>
          <w:bCs/>
          <w:sz w:val="44"/>
        </w:rPr>
        <w:t>投 标 文 件</w:t>
      </w:r>
    </w:p>
    <w:p w14:paraId="183BD6EB">
      <w:pPr>
        <w:pStyle w:val="9"/>
        <w:spacing w:line="360" w:lineRule="auto"/>
        <w:rPr>
          <w:sz w:val="44"/>
        </w:rPr>
      </w:pPr>
    </w:p>
    <w:p w14:paraId="14FB5B2F">
      <w:pPr>
        <w:pStyle w:val="9"/>
        <w:spacing w:line="360" w:lineRule="auto"/>
        <w:rPr>
          <w:sz w:val="44"/>
        </w:rPr>
      </w:pPr>
    </w:p>
    <w:p w14:paraId="475598A0">
      <w:pPr>
        <w:pStyle w:val="9"/>
        <w:spacing w:line="360" w:lineRule="auto"/>
        <w:rPr>
          <w:sz w:val="44"/>
        </w:rPr>
      </w:pPr>
    </w:p>
    <w:p w14:paraId="3D635C2D">
      <w:pPr>
        <w:pStyle w:val="9"/>
        <w:spacing w:line="360" w:lineRule="auto"/>
        <w:rPr>
          <w:sz w:val="44"/>
        </w:rPr>
      </w:pPr>
    </w:p>
    <w:p w14:paraId="26C113FF">
      <w:pPr>
        <w:pStyle w:val="9"/>
        <w:spacing w:line="360" w:lineRule="auto"/>
        <w:rPr>
          <w:sz w:val="44"/>
        </w:rPr>
      </w:pPr>
    </w:p>
    <w:p w14:paraId="25A9B739">
      <w:pPr>
        <w:pStyle w:val="9"/>
        <w:spacing w:line="360" w:lineRule="auto"/>
        <w:rPr>
          <w:sz w:val="44"/>
        </w:rPr>
      </w:pPr>
    </w:p>
    <w:p w14:paraId="6E7AAE4D">
      <w:pPr>
        <w:pStyle w:val="9"/>
        <w:spacing w:line="360" w:lineRule="auto"/>
        <w:rPr>
          <w:sz w:val="44"/>
        </w:rPr>
      </w:pPr>
    </w:p>
    <w:p w14:paraId="713713DC">
      <w:pPr>
        <w:pStyle w:val="9"/>
        <w:spacing w:before="3" w:line="360" w:lineRule="auto"/>
        <w:rPr>
          <w:sz w:val="52"/>
        </w:rPr>
      </w:pPr>
    </w:p>
    <w:p w14:paraId="024B35D1">
      <w:pPr>
        <w:tabs>
          <w:tab w:val="left" w:pos="5737"/>
          <w:tab w:val="left" w:pos="7102"/>
        </w:tabs>
        <w:spacing w:line="360" w:lineRule="auto"/>
        <w:ind w:left="1361" w:right="795"/>
        <w:rPr>
          <w:spacing w:val="-16"/>
          <w:sz w:val="28"/>
        </w:rPr>
      </w:pPr>
      <w:r>
        <w:rPr>
          <w:rFonts w:hint="eastAsia"/>
          <w:sz w:val="28"/>
        </w:rPr>
        <w:t>投标人：</w:t>
      </w:r>
      <w:r>
        <w:rPr>
          <w:rFonts w:hint="eastAsia"/>
          <w:sz w:val="28"/>
          <w:u w:val="single"/>
        </w:rPr>
        <w:t xml:space="preserve"> </w:t>
      </w:r>
      <w:r>
        <w:rPr>
          <w:rFonts w:hint="eastAsia"/>
          <w:sz w:val="28"/>
          <w:u w:val="single"/>
        </w:rPr>
        <w:tab/>
      </w:r>
      <w:r>
        <w:rPr>
          <w:rFonts w:hint="eastAsia"/>
          <w:sz w:val="28"/>
        </w:rPr>
        <w:t>（盖</w:t>
      </w:r>
      <w:r>
        <w:rPr>
          <w:rFonts w:hint="eastAsia"/>
          <w:spacing w:val="-3"/>
          <w:sz w:val="28"/>
        </w:rPr>
        <w:t>单</w:t>
      </w:r>
      <w:r>
        <w:rPr>
          <w:rFonts w:hint="eastAsia"/>
          <w:sz w:val="28"/>
        </w:rPr>
        <w:t>位</w:t>
      </w:r>
      <w:r>
        <w:rPr>
          <w:rFonts w:hint="eastAsia"/>
          <w:spacing w:val="-3"/>
          <w:sz w:val="28"/>
        </w:rPr>
        <w:t>章</w:t>
      </w:r>
      <w:r>
        <w:rPr>
          <w:rFonts w:hint="eastAsia"/>
          <w:spacing w:val="-16"/>
          <w:sz w:val="28"/>
        </w:rPr>
        <w:t xml:space="preserve">） </w:t>
      </w:r>
    </w:p>
    <w:p w14:paraId="58526C3F">
      <w:pPr>
        <w:tabs>
          <w:tab w:val="left" w:pos="5737"/>
          <w:tab w:val="left" w:pos="7102"/>
        </w:tabs>
        <w:spacing w:line="360" w:lineRule="auto"/>
        <w:ind w:left="1361" w:right="795"/>
        <w:rPr>
          <w:sz w:val="28"/>
        </w:rPr>
      </w:pPr>
      <w:r>
        <w:rPr>
          <w:rFonts w:hint="eastAsia"/>
          <w:sz w:val="28"/>
        </w:rPr>
        <w:t>法定代</w:t>
      </w:r>
      <w:r>
        <w:rPr>
          <w:rFonts w:hint="eastAsia"/>
          <w:spacing w:val="-3"/>
          <w:sz w:val="28"/>
        </w:rPr>
        <w:t>表</w:t>
      </w:r>
      <w:r>
        <w:rPr>
          <w:rFonts w:hint="eastAsia"/>
          <w:sz w:val="28"/>
        </w:rPr>
        <w:t>人或</w:t>
      </w:r>
      <w:r>
        <w:rPr>
          <w:rFonts w:hint="eastAsia"/>
          <w:spacing w:val="-3"/>
          <w:sz w:val="28"/>
        </w:rPr>
        <w:t>其委</w:t>
      </w:r>
      <w:r>
        <w:rPr>
          <w:rFonts w:hint="eastAsia"/>
          <w:sz w:val="28"/>
        </w:rPr>
        <w:t>托代理</w:t>
      </w:r>
      <w:r>
        <w:rPr>
          <w:rFonts w:hint="eastAsia"/>
          <w:spacing w:val="-3"/>
          <w:sz w:val="28"/>
        </w:rPr>
        <w:t>人</w:t>
      </w:r>
      <w:r>
        <w:rPr>
          <w:rFonts w:hint="eastAsia"/>
          <w:sz w:val="28"/>
        </w:rPr>
        <w:t>：</w:t>
      </w:r>
      <w:r>
        <w:rPr>
          <w:rFonts w:hint="eastAsia"/>
          <w:sz w:val="28"/>
          <w:u w:val="single"/>
        </w:rPr>
        <w:t xml:space="preserve"> </w:t>
      </w:r>
      <w:r>
        <w:rPr>
          <w:rFonts w:hint="eastAsia"/>
          <w:sz w:val="28"/>
          <w:u w:val="single"/>
          <w:lang w:val="en-US"/>
        </w:rPr>
        <w:t xml:space="preserve">    </w:t>
      </w:r>
      <w:r>
        <w:rPr>
          <w:rFonts w:hint="eastAsia"/>
          <w:sz w:val="28"/>
          <w:u w:val="single"/>
        </w:rPr>
        <w:tab/>
      </w:r>
      <w:r>
        <w:rPr>
          <w:rFonts w:hint="eastAsia"/>
          <w:spacing w:val="-3"/>
          <w:sz w:val="28"/>
        </w:rPr>
        <w:t>（</w:t>
      </w:r>
      <w:r>
        <w:rPr>
          <w:rFonts w:hint="eastAsia"/>
          <w:sz w:val="28"/>
        </w:rPr>
        <w:t>签字</w:t>
      </w:r>
      <w:r>
        <w:rPr>
          <w:rFonts w:hint="eastAsia"/>
          <w:sz w:val="28"/>
          <w:lang w:val="en-US"/>
        </w:rPr>
        <w:t>或盖章</w:t>
      </w:r>
      <w:r>
        <w:rPr>
          <w:rFonts w:hint="eastAsia"/>
          <w:sz w:val="28"/>
        </w:rPr>
        <w:t>）</w:t>
      </w:r>
    </w:p>
    <w:p w14:paraId="200E5643">
      <w:pPr>
        <w:pStyle w:val="9"/>
        <w:spacing w:before="5" w:line="360" w:lineRule="auto"/>
        <w:rPr>
          <w:sz w:val="23"/>
        </w:rPr>
      </w:pPr>
    </w:p>
    <w:p w14:paraId="7ABE0DD3">
      <w:pPr>
        <w:tabs>
          <w:tab w:val="left" w:pos="734"/>
          <w:tab w:val="left" w:pos="1749"/>
          <w:tab w:val="left" w:pos="2765"/>
        </w:tabs>
        <w:spacing w:before="62" w:line="360" w:lineRule="auto"/>
        <w:ind w:right="459"/>
        <w:jc w:val="center"/>
        <w:rPr>
          <w:sz w:val="28"/>
        </w:rPr>
      </w:pPr>
      <w:r>
        <w:rPr>
          <w:rFonts w:hint="eastAsia"/>
          <w:sz w:val="28"/>
          <w:u w:val="single"/>
        </w:rPr>
        <w:t xml:space="preserve"> </w:t>
      </w:r>
      <w:r>
        <w:rPr>
          <w:rFonts w:hint="eastAsia"/>
          <w:sz w:val="28"/>
          <w:u w:val="single"/>
        </w:rPr>
        <w:tab/>
      </w:r>
      <w:r>
        <w:rPr>
          <w:rFonts w:hint="eastAsia"/>
          <w:sz w:val="28"/>
        </w:rPr>
        <w:t>年</w:t>
      </w:r>
      <w:r>
        <w:rPr>
          <w:rFonts w:hint="eastAsia"/>
          <w:sz w:val="28"/>
          <w:u w:val="single"/>
        </w:rPr>
        <w:t xml:space="preserve"> </w:t>
      </w:r>
      <w:r>
        <w:rPr>
          <w:rFonts w:hint="eastAsia"/>
          <w:sz w:val="28"/>
          <w:u w:val="single"/>
        </w:rPr>
        <w:tab/>
      </w:r>
      <w:r>
        <w:rPr>
          <w:rFonts w:hint="eastAsia"/>
          <w:sz w:val="28"/>
        </w:rPr>
        <w:t>月</w:t>
      </w:r>
      <w:r>
        <w:rPr>
          <w:rFonts w:hint="eastAsia"/>
          <w:sz w:val="28"/>
          <w:u w:val="single"/>
        </w:rPr>
        <w:t xml:space="preserve"> </w:t>
      </w:r>
      <w:r>
        <w:rPr>
          <w:rFonts w:hint="eastAsia"/>
          <w:sz w:val="28"/>
          <w:u w:val="single"/>
        </w:rPr>
        <w:tab/>
      </w:r>
      <w:r>
        <w:rPr>
          <w:rFonts w:hint="eastAsia"/>
          <w:sz w:val="28"/>
        </w:rPr>
        <w:t>日</w:t>
      </w:r>
    </w:p>
    <w:p w14:paraId="212034A8">
      <w:pPr>
        <w:spacing w:line="360" w:lineRule="auto"/>
        <w:jc w:val="center"/>
        <w:rPr>
          <w:sz w:val="28"/>
        </w:rPr>
        <w:sectPr>
          <w:pgSz w:w="11906" w:h="16838"/>
          <w:pgMar w:top="1417" w:right="1417" w:bottom="1417" w:left="1417" w:header="0" w:footer="839" w:gutter="0"/>
          <w:cols w:space="0" w:num="1"/>
        </w:sectPr>
      </w:pPr>
    </w:p>
    <w:p w14:paraId="6FFA76B0">
      <w:pPr>
        <w:pStyle w:val="3"/>
        <w:spacing w:line="360" w:lineRule="auto"/>
        <w:ind w:left="0" w:right="457" w:firstLine="0"/>
        <w:jc w:val="center"/>
        <w:rPr>
          <w:rFonts w:ascii="宋体" w:hAnsi="宋体" w:eastAsia="宋体" w:cs="宋体"/>
        </w:rPr>
      </w:pPr>
      <w:bookmarkStart w:id="46" w:name="_bookmark175"/>
      <w:bookmarkEnd w:id="46"/>
      <w:r>
        <w:rPr>
          <w:rFonts w:hint="eastAsia" w:ascii="宋体" w:hAnsi="宋体" w:eastAsia="宋体" w:cs="宋体"/>
        </w:rPr>
        <w:t>目录</w:t>
      </w:r>
    </w:p>
    <w:p w14:paraId="77A51D25">
      <w:pPr>
        <w:pStyle w:val="9"/>
        <w:spacing w:line="360" w:lineRule="auto"/>
        <w:rPr>
          <w:b/>
          <w:sz w:val="20"/>
        </w:rPr>
      </w:pPr>
    </w:p>
    <w:p w14:paraId="77E4FE5A">
      <w:pPr>
        <w:pStyle w:val="9"/>
        <w:spacing w:before="1" w:line="360" w:lineRule="auto"/>
        <w:rPr>
          <w:b/>
          <w:sz w:val="24"/>
        </w:rPr>
      </w:pPr>
    </w:p>
    <w:p w14:paraId="70FD3AC0">
      <w:pPr>
        <w:pStyle w:val="9"/>
        <w:spacing w:before="71" w:line="360" w:lineRule="auto"/>
        <w:ind w:left="240" w:right="6"/>
      </w:pPr>
      <w:bookmarkStart w:id="47" w:name="_bookmark176"/>
      <w:bookmarkEnd w:id="47"/>
      <w:r>
        <w:rPr>
          <w:rFonts w:hint="eastAsia"/>
        </w:rPr>
        <w:t>一、投标函及投标函附录</w:t>
      </w:r>
    </w:p>
    <w:p w14:paraId="5E6B0020">
      <w:pPr>
        <w:pStyle w:val="9"/>
        <w:spacing w:line="360" w:lineRule="auto"/>
        <w:ind w:left="240" w:right="6"/>
      </w:pPr>
      <w:r>
        <w:rPr>
          <w:rFonts w:hint="eastAsia"/>
        </w:rPr>
        <w:t>二、法定代表人身份证明</w:t>
      </w:r>
    </w:p>
    <w:p w14:paraId="2247D85C">
      <w:pPr>
        <w:pStyle w:val="9"/>
        <w:spacing w:line="360" w:lineRule="auto"/>
        <w:ind w:left="240" w:right="6"/>
      </w:pPr>
      <w:r>
        <w:rPr>
          <w:rFonts w:hint="eastAsia"/>
        </w:rPr>
        <w:t>三、授权委托书</w:t>
      </w:r>
    </w:p>
    <w:p w14:paraId="3DADA638">
      <w:pPr>
        <w:pStyle w:val="9"/>
        <w:spacing w:line="360" w:lineRule="auto"/>
        <w:ind w:left="240" w:right="6"/>
        <w:rPr>
          <w:spacing w:val="-5"/>
        </w:rPr>
      </w:pPr>
      <w:r>
        <w:rPr>
          <w:rFonts w:hint="eastAsia"/>
          <w:spacing w:val="-5"/>
        </w:rPr>
        <w:t>四、资格审查资料</w:t>
      </w:r>
    </w:p>
    <w:p w14:paraId="3ABD568D">
      <w:pPr>
        <w:pStyle w:val="9"/>
        <w:spacing w:line="360" w:lineRule="auto"/>
        <w:ind w:left="240" w:right="6"/>
        <w:rPr>
          <w:lang w:val="en-US"/>
        </w:rPr>
      </w:pPr>
      <w:r>
        <w:rPr>
          <w:rFonts w:hint="eastAsia"/>
          <w:spacing w:val="-5"/>
          <w:lang w:val="en-US"/>
        </w:rPr>
        <w:t>五</w:t>
      </w:r>
      <w:r>
        <w:rPr>
          <w:rFonts w:hint="eastAsia"/>
          <w:spacing w:val="-5"/>
        </w:rPr>
        <w:t>、</w:t>
      </w:r>
      <w:r>
        <w:rPr>
          <w:rFonts w:hint="eastAsia"/>
          <w:spacing w:val="-5"/>
          <w:lang w:val="en-US"/>
        </w:rPr>
        <w:t>投标人声明</w:t>
      </w:r>
    </w:p>
    <w:p w14:paraId="0A62902A">
      <w:pPr>
        <w:pStyle w:val="9"/>
        <w:spacing w:line="360" w:lineRule="auto"/>
        <w:ind w:left="240" w:right="6"/>
        <w:rPr>
          <w:lang w:val="en-US"/>
        </w:rPr>
      </w:pPr>
      <w:r>
        <w:rPr>
          <w:rFonts w:hint="eastAsia"/>
          <w:lang w:val="en-US"/>
        </w:rPr>
        <w:t>六</w:t>
      </w:r>
      <w:r>
        <w:rPr>
          <w:rFonts w:hint="eastAsia"/>
        </w:rPr>
        <w:t>、</w:t>
      </w:r>
      <w:r>
        <w:rPr>
          <w:rFonts w:hint="eastAsia"/>
          <w:lang w:val="en-US"/>
        </w:rPr>
        <w:t>资信业绩证明</w:t>
      </w:r>
    </w:p>
    <w:p w14:paraId="521FC4AB">
      <w:pPr>
        <w:pStyle w:val="9"/>
        <w:spacing w:line="360" w:lineRule="auto"/>
        <w:ind w:left="240" w:right="6"/>
        <w:rPr>
          <w:lang w:val="en-US"/>
        </w:rPr>
      </w:pPr>
      <w:r>
        <w:rPr>
          <w:rFonts w:hint="eastAsia"/>
          <w:spacing w:val="-5"/>
          <w:lang w:val="en-US"/>
        </w:rPr>
        <w:t>七、项目代建管理方案</w:t>
      </w:r>
    </w:p>
    <w:p w14:paraId="0D6CB05B">
      <w:pPr>
        <w:pStyle w:val="9"/>
        <w:spacing w:line="360" w:lineRule="auto"/>
        <w:ind w:left="240" w:right="6"/>
        <w:sectPr>
          <w:pgSz w:w="11906" w:h="16838"/>
          <w:pgMar w:top="1417" w:right="1417" w:bottom="1417" w:left="1417" w:header="0" w:footer="839" w:gutter="0"/>
          <w:cols w:space="0" w:num="1"/>
        </w:sectPr>
      </w:pPr>
      <w:r>
        <w:rPr>
          <w:rFonts w:hint="eastAsia"/>
          <w:lang w:val="en-US"/>
        </w:rPr>
        <w:t>八</w:t>
      </w:r>
      <w:r>
        <w:rPr>
          <w:rFonts w:hint="eastAsia"/>
        </w:rPr>
        <w:t>、其他资料</w:t>
      </w:r>
    </w:p>
    <w:p w14:paraId="6E2F8406">
      <w:pPr>
        <w:spacing w:line="360" w:lineRule="auto"/>
        <w:ind w:right="456"/>
        <w:jc w:val="center"/>
        <w:rPr>
          <w:b/>
          <w:sz w:val="32"/>
        </w:rPr>
      </w:pPr>
      <w:r>
        <w:rPr>
          <w:rFonts w:hint="eastAsia"/>
          <w:b/>
          <w:sz w:val="32"/>
        </w:rPr>
        <w:t>一、投标函及投标函附录</w:t>
      </w:r>
    </w:p>
    <w:p w14:paraId="2AB3BD5A">
      <w:pPr>
        <w:pStyle w:val="9"/>
        <w:spacing w:before="6" w:line="360" w:lineRule="auto"/>
        <w:rPr>
          <w:b/>
          <w:sz w:val="23"/>
        </w:rPr>
      </w:pPr>
    </w:p>
    <w:p w14:paraId="7C1B9FCD">
      <w:pPr>
        <w:spacing w:before="62" w:line="360" w:lineRule="auto"/>
        <w:ind w:left="377"/>
        <w:jc w:val="center"/>
        <w:rPr>
          <w:sz w:val="28"/>
        </w:rPr>
      </w:pPr>
      <w:bookmarkStart w:id="48" w:name="_bookmark177"/>
      <w:bookmarkEnd w:id="48"/>
      <w:r>
        <w:rPr>
          <w:rFonts w:hint="eastAsia"/>
          <w:sz w:val="28"/>
        </w:rPr>
        <w:t>（一）投标函</w:t>
      </w:r>
    </w:p>
    <w:p w14:paraId="445F91E0">
      <w:pPr>
        <w:pStyle w:val="9"/>
        <w:spacing w:line="360" w:lineRule="auto"/>
        <w:rPr>
          <w:sz w:val="28"/>
        </w:rPr>
      </w:pPr>
    </w:p>
    <w:p w14:paraId="02851DA3">
      <w:pPr>
        <w:rPr>
          <w:szCs w:val="21"/>
        </w:rPr>
      </w:pPr>
      <w:r>
        <w:rPr>
          <w:rFonts w:hint="eastAsia"/>
          <w:szCs w:val="21"/>
          <w:u w:val="single"/>
        </w:rPr>
        <w:t xml:space="preserve">                  </w:t>
      </w:r>
      <w:r>
        <w:rPr>
          <w:rFonts w:hint="eastAsia"/>
          <w:szCs w:val="21"/>
        </w:rPr>
        <w:t>（招标人名称）：</w:t>
      </w:r>
    </w:p>
    <w:p w14:paraId="6A463FFB">
      <w:pPr>
        <w:rPr>
          <w:szCs w:val="21"/>
        </w:rPr>
      </w:pPr>
      <w:r>
        <w:rPr>
          <w:rFonts w:hint="eastAsia"/>
          <w:szCs w:val="21"/>
        </w:rPr>
        <w:t>1．我方已仔细研究了</w:t>
      </w:r>
      <w:r>
        <w:rPr>
          <w:rFonts w:hint="eastAsia"/>
          <w:szCs w:val="21"/>
          <w:u w:val="single"/>
        </w:rPr>
        <w:t xml:space="preserve">                  </w:t>
      </w:r>
      <w:r>
        <w:rPr>
          <w:rFonts w:hint="eastAsia"/>
          <w:szCs w:val="21"/>
        </w:rPr>
        <w:t>（项目名称）</w:t>
      </w:r>
      <w:r>
        <w:rPr>
          <w:rFonts w:hint="eastAsia"/>
          <w:szCs w:val="21"/>
          <w:lang w:val="en-US"/>
        </w:rPr>
        <w:t>招标项目</w:t>
      </w:r>
      <w:r>
        <w:rPr>
          <w:rFonts w:hint="eastAsia"/>
          <w:szCs w:val="21"/>
        </w:rPr>
        <w:t>招标文件的全部内容，愿意以投标函附录中的投标报价和服务期限，按合同约定完成</w:t>
      </w:r>
      <w:r>
        <w:rPr>
          <w:rFonts w:hint="eastAsia"/>
          <w:szCs w:val="21"/>
          <w:lang w:val="en-US"/>
        </w:rPr>
        <w:t>项目</w:t>
      </w:r>
      <w:r>
        <w:rPr>
          <w:rFonts w:hint="eastAsia"/>
          <w:szCs w:val="21"/>
          <w:u w:val="single"/>
          <w:lang w:val="en-US"/>
        </w:rPr>
        <w:t>工程代建</w:t>
      </w:r>
      <w:r>
        <w:rPr>
          <w:rFonts w:hint="eastAsia"/>
          <w:szCs w:val="21"/>
        </w:rPr>
        <w:t>工作。</w:t>
      </w:r>
    </w:p>
    <w:p w14:paraId="52EF25C7">
      <w:pPr>
        <w:rPr>
          <w:szCs w:val="21"/>
        </w:rPr>
      </w:pPr>
      <w:r>
        <w:rPr>
          <w:rFonts w:hint="eastAsia"/>
          <w:szCs w:val="21"/>
        </w:rPr>
        <w:t>2. 我方的投标文件包括下列内容：</w:t>
      </w:r>
    </w:p>
    <w:p w14:paraId="47F5A584">
      <w:pPr>
        <w:ind w:firstLine="440" w:firstLineChars="200"/>
        <w:rPr>
          <w:szCs w:val="21"/>
        </w:rPr>
      </w:pPr>
      <w:r>
        <w:rPr>
          <w:rFonts w:hint="eastAsia"/>
          <w:szCs w:val="21"/>
        </w:rPr>
        <w:t>（</w:t>
      </w:r>
      <w:r>
        <w:rPr>
          <w:rFonts w:hint="eastAsia"/>
          <w:szCs w:val="21"/>
          <w:lang w:val="en-US"/>
        </w:rPr>
        <w:t>1</w:t>
      </w:r>
      <w:r>
        <w:rPr>
          <w:rFonts w:hint="eastAsia"/>
          <w:szCs w:val="21"/>
        </w:rPr>
        <w:t>）投标函及投标函附录</w:t>
      </w:r>
    </w:p>
    <w:p w14:paraId="59515DFA">
      <w:pPr>
        <w:ind w:firstLine="440" w:firstLineChars="200"/>
        <w:rPr>
          <w:szCs w:val="21"/>
        </w:rPr>
      </w:pPr>
      <w:r>
        <w:rPr>
          <w:rFonts w:hint="eastAsia"/>
          <w:szCs w:val="21"/>
        </w:rPr>
        <w:t>（</w:t>
      </w:r>
      <w:r>
        <w:rPr>
          <w:rFonts w:hint="eastAsia"/>
          <w:szCs w:val="21"/>
          <w:lang w:val="en-US"/>
        </w:rPr>
        <w:t>2</w:t>
      </w:r>
      <w:r>
        <w:rPr>
          <w:rFonts w:hint="eastAsia"/>
          <w:szCs w:val="21"/>
        </w:rPr>
        <w:t>）法定代表人身份证明</w:t>
      </w:r>
    </w:p>
    <w:p w14:paraId="38DFBF04">
      <w:pPr>
        <w:ind w:firstLine="440" w:firstLineChars="200"/>
        <w:rPr>
          <w:szCs w:val="21"/>
        </w:rPr>
      </w:pPr>
      <w:r>
        <w:rPr>
          <w:rFonts w:hint="eastAsia"/>
          <w:szCs w:val="21"/>
        </w:rPr>
        <w:t>（</w:t>
      </w:r>
      <w:r>
        <w:rPr>
          <w:rFonts w:hint="eastAsia"/>
          <w:szCs w:val="21"/>
          <w:lang w:val="en-US"/>
        </w:rPr>
        <w:t>3</w:t>
      </w:r>
      <w:r>
        <w:rPr>
          <w:rFonts w:hint="eastAsia"/>
          <w:szCs w:val="21"/>
        </w:rPr>
        <w:t>）授权委托书</w:t>
      </w:r>
    </w:p>
    <w:p w14:paraId="07521EB9">
      <w:pPr>
        <w:ind w:firstLine="440" w:firstLineChars="200"/>
        <w:rPr>
          <w:szCs w:val="21"/>
        </w:rPr>
      </w:pPr>
      <w:r>
        <w:rPr>
          <w:rFonts w:hint="eastAsia"/>
          <w:szCs w:val="21"/>
        </w:rPr>
        <w:t>（</w:t>
      </w:r>
      <w:r>
        <w:rPr>
          <w:rFonts w:hint="eastAsia"/>
          <w:szCs w:val="21"/>
          <w:lang w:val="en-US"/>
        </w:rPr>
        <w:t>4</w:t>
      </w:r>
      <w:r>
        <w:rPr>
          <w:rFonts w:hint="eastAsia"/>
          <w:szCs w:val="21"/>
        </w:rPr>
        <w:t>）资格审查资料</w:t>
      </w:r>
    </w:p>
    <w:p w14:paraId="5267D223">
      <w:pPr>
        <w:ind w:firstLine="440" w:firstLineChars="200"/>
        <w:rPr>
          <w:szCs w:val="21"/>
        </w:rPr>
      </w:pPr>
      <w:r>
        <w:rPr>
          <w:rFonts w:hint="eastAsia"/>
          <w:szCs w:val="21"/>
        </w:rPr>
        <w:t>（</w:t>
      </w:r>
      <w:r>
        <w:rPr>
          <w:rFonts w:hint="eastAsia"/>
          <w:szCs w:val="21"/>
          <w:lang w:val="en-US"/>
        </w:rPr>
        <w:t>5</w:t>
      </w:r>
      <w:r>
        <w:rPr>
          <w:rFonts w:hint="eastAsia"/>
          <w:szCs w:val="21"/>
        </w:rPr>
        <w:t>）</w:t>
      </w:r>
      <w:r>
        <w:rPr>
          <w:rFonts w:hint="eastAsia"/>
          <w:spacing w:val="-5"/>
          <w:lang w:val="en-US"/>
        </w:rPr>
        <w:t>投标人声明</w:t>
      </w:r>
    </w:p>
    <w:p w14:paraId="05967705">
      <w:pPr>
        <w:ind w:firstLine="440" w:firstLineChars="200"/>
        <w:rPr>
          <w:szCs w:val="21"/>
        </w:rPr>
      </w:pPr>
      <w:r>
        <w:rPr>
          <w:rFonts w:hint="eastAsia"/>
          <w:szCs w:val="21"/>
        </w:rPr>
        <w:t>（</w:t>
      </w:r>
      <w:r>
        <w:rPr>
          <w:rFonts w:hint="eastAsia"/>
          <w:szCs w:val="21"/>
          <w:lang w:val="en-US"/>
        </w:rPr>
        <w:t>6</w:t>
      </w:r>
      <w:r>
        <w:rPr>
          <w:rFonts w:hint="eastAsia"/>
          <w:szCs w:val="21"/>
        </w:rPr>
        <w:t>）</w:t>
      </w:r>
      <w:r>
        <w:rPr>
          <w:rFonts w:hint="eastAsia"/>
          <w:lang w:val="en-US"/>
        </w:rPr>
        <w:t>资信业绩证明</w:t>
      </w:r>
    </w:p>
    <w:p w14:paraId="5677A1C2">
      <w:pPr>
        <w:ind w:firstLine="440" w:firstLineChars="200"/>
        <w:rPr>
          <w:szCs w:val="21"/>
          <w:lang w:val="en-US"/>
        </w:rPr>
      </w:pPr>
      <w:r>
        <w:rPr>
          <w:rFonts w:hint="eastAsia"/>
          <w:szCs w:val="21"/>
        </w:rPr>
        <w:t>（</w:t>
      </w:r>
      <w:r>
        <w:rPr>
          <w:rFonts w:hint="eastAsia"/>
          <w:szCs w:val="21"/>
          <w:lang w:val="en-US"/>
        </w:rPr>
        <w:t>7</w:t>
      </w:r>
      <w:r>
        <w:rPr>
          <w:rFonts w:hint="eastAsia"/>
          <w:szCs w:val="21"/>
        </w:rPr>
        <w:t>）</w:t>
      </w:r>
      <w:r>
        <w:rPr>
          <w:rFonts w:hint="eastAsia"/>
          <w:szCs w:val="21"/>
          <w:lang w:val="en-US"/>
        </w:rPr>
        <w:t>项目代建管理</w:t>
      </w:r>
      <w:r>
        <w:rPr>
          <w:rFonts w:hint="eastAsia"/>
          <w:szCs w:val="21"/>
        </w:rPr>
        <w:t>方案</w:t>
      </w:r>
    </w:p>
    <w:p w14:paraId="097291AE">
      <w:pPr>
        <w:ind w:firstLine="440" w:firstLineChars="200"/>
        <w:rPr>
          <w:szCs w:val="21"/>
        </w:rPr>
      </w:pPr>
      <w:r>
        <w:rPr>
          <w:rFonts w:hint="eastAsia"/>
          <w:szCs w:val="21"/>
        </w:rPr>
        <w:t>（</w:t>
      </w:r>
      <w:r>
        <w:rPr>
          <w:rFonts w:hint="eastAsia"/>
          <w:szCs w:val="21"/>
          <w:lang w:val="en-US"/>
        </w:rPr>
        <w:t>8</w:t>
      </w:r>
      <w:r>
        <w:rPr>
          <w:rFonts w:hint="eastAsia"/>
          <w:szCs w:val="21"/>
        </w:rPr>
        <w:t>）其他资料</w:t>
      </w:r>
    </w:p>
    <w:p w14:paraId="31688DCB">
      <w:pPr>
        <w:ind w:firstLine="440" w:firstLineChars="200"/>
        <w:rPr>
          <w:szCs w:val="21"/>
        </w:rPr>
      </w:pPr>
      <w:r>
        <w:rPr>
          <w:rFonts w:hint="eastAsia"/>
          <w:szCs w:val="21"/>
        </w:rPr>
        <w:t>投标文件的上述组成部分如存在内容不一致的，以投标函为准。</w:t>
      </w:r>
    </w:p>
    <w:p w14:paraId="572F53F9">
      <w:pPr>
        <w:rPr>
          <w:szCs w:val="21"/>
        </w:rPr>
      </w:pPr>
      <w:r>
        <w:rPr>
          <w:rFonts w:hint="eastAsia"/>
          <w:szCs w:val="21"/>
        </w:rPr>
        <w:t>3．我方承诺在招标文件规定的投标有效期内不撤销投标文件。</w:t>
      </w:r>
    </w:p>
    <w:p w14:paraId="403C1306">
      <w:pPr>
        <w:rPr>
          <w:szCs w:val="21"/>
        </w:rPr>
      </w:pPr>
      <w:r>
        <w:rPr>
          <w:rFonts w:hint="eastAsia"/>
          <w:szCs w:val="21"/>
        </w:rPr>
        <w:t>4．如我方中标，我方承诺：</w:t>
      </w:r>
    </w:p>
    <w:p w14:paraId="2C4FC00B">
      <w:pPr>
        <w:rPr>
          <w:szCs w:val="21"/>
        </w:rPr>
      </w:pPr>
      <w:r>
        <w:rPr>
          <w:rFonts w:hint="eastAsia"/>
          <w:szCs w:val="21"/>
        </w:rPr>
        <w:t>（1）在收到中标通知书后，在中标通知书规定的期限内与你方签订合同；</w:t>
      </w:r>
    </w:p>
    <w:p w14:paraId="20B8C8FB">
      <w:pPr>
        <w:rPr>
          <w:szCs w:val="21"/>
        </w:rPr>
      </w:pPr>
      <w:r>
        <w:rPr>
          <w:rFonts w:hint="eastAsia"/>
          <w:szCs w:val="21"/>
        </w:rPr>
        <w:t>（2）在签订合同时不向你方提出附加条件；</w:t>
      </w:r>
    </w:p>
    <w:p w14:paraId="3207467E">
      <w:pPr>
        <w:rPr>
          <w:szCs w:val="21"/>
        </w:rPr>
      </w:pPr>
      <w:r>
        <w:rPr>
          <w:rFonts w:hint="eastAsia"/>
          <w:szCs w:val="21"/>
        </w:rPr>
        <w:t>（</w:t>
      </w:r>
      <w:r>
        <w:rPr>
          <w:rFonts w:hint="eastAsia"/>
          <w:szCs w:val="21"/>
          <w:lang w:val="en-US"/>
        </w:rPr>
        <w:t>3</w:t>
      </w:r>
      <w:r>
        <w:rPr>
          <w:rFonts w:hint="eastAsia"/>
          <w:szCs w:val="21"/>
        </w:rPr>
        <w:t>）在合同约定的期限内完成合同规定的全部义务。</w:t>
      </w:r>
    </w:p>
    <w:p w14:paraId="73FD1866">
      <w:pPr>
        <w:rPr>
          <w:szCs w:val="21"/>
        </w:rPr>
      </w:pPr>
      <w:r>
        <w:rPr>
          <w:rFonts w:hint="eastAsia"/>
          <w:szCs w:val="21"/>
        </w:rPr>
        <w:t>5．我方在此声明，所递交的投标文件及有关资料内容完整、真实和准确，且不存在第二章“投标人须知”第1.4.3项规定的任何一种情形。</w:t>
      </w:r>
    </w:p>
    <w:p w14:paraId="70DE1438">
      <w:pPr>
        <w:rPr>
          <w:szCs w:val="21"/>
          <w:u w:val="single"/>
        </w:rPr>
      </w:pPr>
      <w:r>
        <w:rPr>
          <w:rFonts w:hint="eastAsia"/>
          <w:szCs w:val="21"/>
        </w:rPr>
        <w:t>6．</w:t>
      </w:r>
      <w:r>
        <w:rPr>
          <w:rFonts w:hint="eastAsia"/>
          <w:szCs w:val="21"/>
          <w:u w:val="single"/>
        </w:rPr>
        <w:t>如我方中标，我方承诺，满足“委托人要求”中的所有内容。</w:t>
      </w:r>
    </w:p>
    <w:p w14:paraId="651D338D">
      <w:pPr>
        <w:rPr>
          <w:szCs w:val="21"/>
        </w:rPr>
      </w:pPr>
      <w:r>
        <w:rPr>
          <w:rFonts w:hint="eastAsia"/>
          <w:szCs w:val="21"/>
          <w:u w:val="single"/>
        </w:rPr>
        <w:t>7．如我方中标，我方承诺：我司提交的所有投标资料真实可靠，并在中标通知书发放之前，如招标人、建设行政管理部门、工程招标监督机构等提出复查投标资料原件的，我方在3个工作日之内提供。投标资料弄虚作假的，我方将承担与此有关的一切责任，包括但不限于取消投标资格或中标资格（如果已取得中标）、接受行政监督部门的行政处罚等。</w:t>
      </w:r>
    </w:p>
    <w:p w14:paraId="7A7BDDB4">
      <w:pPr>
        <w:spacing w:line="440" w:lineRule="exact"/>
        <w:ind w:firstLine="2640" w:firstLineChars="1200"/>
        <w:rPr>
          <w:szCs w:val="21"/>
        </w:rPr>
      </w:pPr>
      <w:r>
        <w:rPr>
          <w:rFonts w:hint="eastAsia"/>
          <w:szCs w:val="21"/>
        </w:rPr>
        <w:t>投 标 人：</w:t>
      </w:r>
      <w:r>
        <w:rPr>
          <w:rFonts w:hint="eastAsia"/>
          <w:szCs w:val="21"/>
          <w:u w:val="single"/>
        </w:rPr>
        <w:t xml:space="preserve">                                </w:t>
      </w:r>
      <w:r>
        <w:rPr>
          <w:rFonts w:hint="eastAsia"/>
          <w:szCs w:val="21"/>
          <w:u w:val="single"/>
        </w:rPr>
        <w:tab/>
      </w:r>
      <w:r>
        <w:rPr>
          <w:rFonts w:hint="eastAsia"/>
          <w:szCs w:val="21"/>
        </w:rPr>
        <w:t>（盖单位章）</w:t>
      </w:r>
    </w:p>
    <w:p w14:paraId="770159CA">
      <w:pPr>
        <w:spacing w:line="440" w:lineRule="exact"/>
        <w:rPr>
          <w:szCs w:val="21"/>
        </w:rPr>
      </w:pPr>
      <w:r>
        <w:rPr>
          <w:rFonts w:hint="eastAsia"/>
          <w:szCs w:val="21"/>
        </w:rPr>
        <w:t xml:space="preserve">                        法定代表人或其委托代理人：</w:t>
      </w:r>
      <w:r>
        <w:rPr>
          <w:rFonts w:hint="eastAsia"/>
          <w:szCs w:val="21"/>
          <w:u w:val="single"/>
        </w:rPr>
        <w:t xml:space="preserve">    </w:t>
      </w:r>
      <w:r>
        <w:rPr>
          <w:rFonts w:hint="eastAsia"/>
          <w:szCs w:val="21"/>
          <w:u w:val="single"/>
          <w:lang w:val="en-US"/>
        </w:rPr>
        <w:t xml:space="preserve">         </w:t>
      </w:r>
      <w:r>
        <w:rPr>
          <w:rFonts w:hint="eastAsia"/>
          <w:szCs w:val="21"/>
          <w:u w:val="single"/>
        </w:rPr>
        <w:t xml:space="preserve">   </w:t>
      </w:r>
      <w:r>
        <w:rPr>
          <w:rFonts w:hint="eastAsia"/>
          <w:szCs w:val="21"/>
          <w:u w:val="single"/>
        </w:rPr>
        <w:tab/>
      </w:r>
      <w:r>
        <w:rPr>
          <w:rFonts w:hint="eastAsia"/>
          <w:szCs w:val="21"/>
        </w:rPr>
        <w:t>（签字</w:t>
      </w:r>
      <w:r>
        <w:rPr>
          <w:rFonts w:hint="eastAsia"/>
          <w:szCs w:val="21"/>
          <w:lang w:val="en-US"/>
        </w:rPr>
        <w:t>或盖章</w:t>
      </w:r>
      <w:r>
        <w:rPr>
          <w:rFonts w:hint="eastAsia"/>
          <w:szCs w:val="21"/>
        </w:rPr>
        <w:t>）</w:t>
      </w:r>
    </w:p>
    <w:p w14:paraId="275CD8F5">
      <w:pPr>
        <w:spacing w:line="440" w:lineRule="exact"/>
        <w:ind w:firstLine="2640" w:firstLineChars="1200"/>
        <w:rPr>
          <w:szCs w:val="21"/>
        </w:rPr>
      </w:pPr>
      <w:r>
        <w:rPr>
          <w:rFonts w:hint="eastAsia"/>
          <w:szCs w:val="21"/>
        </w:rPr>
        <w:t>地    址：</w:t>
      </w:r>
      <w:r>
        <w:rPr>
          <w:rFonts w:hint="eastAsia"/>
          <w:szCs w:val="21"/>
          <w:u w:val="single"/>
        </w:rPr>
        <w:t xml:space="preserve">          </w:t>
      </w:r>
      <w:r>
        <w:rPr>
          <w:rFonts w:hint="eastAsia"/>
          <w:szCs w:val="21"/>
          <w:u w:val="single"/>
        </w:rPr>
        <w:tab/>
      </w:r>
      <w:r>
        <w:rPr>
          <w:rFonts w:hint="eastAsia"/>
          <w:szCs w:val="21"/>
          <w:u w:val="single"/>
        </w:rPr>
        <w:t xml:space="preserve">                             </w:t>
      </w:r>
      <w:r>
        <w:rPr>
          <w:rFonts w:hint="eastAsia"/>
          <w:szCs w:val="21"/>
          <w:u w:val="single"/>
        </w:rPr>
        <w:tab/>
      </w:r>
    </w:p>
    <w:p w14:paraId="69EC9FF9">
      <w:pPr>
        <w:spacing w:line="440" w:lineRule="exact"/>
        <w:ind w:firstLine="2640" w:firstLineChars="1200"/>
        <w:rPr>
          <w:szCs w:val="21"/>
        </w:rPr>
      </w:pPr>
      <w:r>
        <w:rPr>
          <w:rFonts w:hint="eastAsia"/>
          <w:szCs w:val="21"/>
        </w:rPr>
        <w:t>网    址：</w:t>
      </w:r>
      <w:r>
        <w:rPr>
          <w:rFonts w:hint="eastAsia"/>
          <w:szCs w:val="21"/>
          <w:u w:val="single"/>
        </w:rPr>
        <w:t xml:space="preserve">                                      </w:t>
      </w:r>
      <w:r>
        <w:rPr>
          <w:rFonts w:hint="eastAsia"/>
          <w:szCs w:val="21"/>
          <w:u w:val="single"/>
        </w:rPr>
        <w:tab/>
      </w:r>
      <w:r>
        <w:rPr>
          <w:rFonts w:hint="eastAsia"/>
          <w:szCs w:val="21"/>
          <w:u w:val="single"/>
        </w:rPr>
        <w:t xml:space="preserve">    </w:t>
      </w:r>
    </w:p>
    <w:p w14:paraId="784A92A0">
      <w:pPr>
        <w:spacing w:line="440" w:lineRule="exact"/>
        <w:ind w:firstLine="2640" w:firstLineChars="1200"/>
        <w:rPr>
          <w:szCs w:val="21"/>
        </w:rPr>
      </w:pPr>
      <w:r>
        <w:rPr>
          <w:rFonts w:hint="eastAsia"/>
          <w:szCs w:val="21"/>
        </w:rPr>
        <w:t>电    话：</w:t>
      </w:r>
      <w:r>
        <w:rPr>
          <w:rFonts w:hint="eastAsia"/>
          <w:szCs w:val="21"/>
          <w:u w:val="single"/>
        </w:rPr>
        <w:t xml:space="preserve">          </w:t>
      </w:r>
      <w:r>
        <w:rPr>
          <w:rFonts w:hint="eastAsia"/>
          <w:szCs w:val="21"/>
          <w:u w:val="single"/>
        </w:rPr>
        <w:tab/>
      </w:r>
      <w:r>
        <w:rPr>
          <w:rFonts w:hint="eastAsia"/>
          <w:szCs w:val="21"/>
          <w:u w:val="single"/>
        </w:rPr>
        <w:t xml:space="preserve">                          </w:t>
      </w:r>
      <w:r>
        <w:rPr>
          <w:rFonts w:hint="eastAsia"/>
          <w:szCs w:val="21"/>
          <w:u w:val="single"/>
        </w:rPr>
        <w:tab/>
      </w:r>
      <w:r>
        <w:rPr>
          <w:rFonts w:hint="eastAsia"/>
          <w:szCs w:val="21"/>
          <w:u w:val="single"/>
        </w:rPr>
        <w:t xml:space="preserve">    </w:t>
      </w:r>
    </w:p>
    <w:p w14:paraId="1FCA35AB">
      <w:pPr>
        <w:spacing w:line="440" w:lineRule="exact"/>
        <w:ind w:firstLine="2640" w:firstLineChars="1200"/>
        <w:rPr>
          <w:szCs w:val="21"/>
        </w:rPr>
      </w:pPr>
      <w:r>
        <w:rPr>
          <w:rFonts w:hint="eastAsia"/>
          <w:szCs w:val="21"/>
        </w:rPr>
        <w:t>传    真：</w:t>
      </w:r>
      <w:r>
        <w:rPr>
          <w:rFonts w:hint="eastAsia"/>
          <w:szCs w:val="21"/>
          <w:u w:val="single"/>
        </w:rPr>
        <w:t xml:space="preserve">          </w:t>
      </w:r>
      <w:r>
        <w:rPr>
          <w:rFonts w:hint="eastAsia"/>
          <w:szCs w:val="21"/>
          <w:u w:val="single"/>
        </w:rPr>
        <w:tab/>
      </w:r>
      <w:r>
        <w:rPr>
          <w:rFonts w:hint="eastAsia"/>
          <w:szCs w:val="21"/>
          <w:u w:val="single"/>
        </w:rPr>
        <w:t xml:space="preserve">                               </w:t>
      </w:r>
    </w:p>
    <w:p w14:paraId="43A6344C">
      <w:pPr>
        <w:spacing w:line="440" w:lineRule="exact"/>
        <w:ind w:firstLine="2640" w:firstLineChars="1200"/>
        <w:rPr>
          <w:szCs w:val="21"/>
        </w:rPr>
      </w:pPr>
      <w:r>
        <w:rPr>
          <w:rFonts w:hint="eastAsia"/>
          <w:szCs w:val="21"/>
        </w:rPr>
        <w:t>邮政编码：</w:t>
      </w:r>
      <w:r>
        <w:rPr>
          <w:rFonts w:hint="eastAsia"/>
          <w:szCs w:val="21"/>
          <w:u w:val="single"/>
        </w:rPr>
        <w:t xml:space="preserve">          </w:t>
      </w:r>
      <w:r>
        <w:rPr>
          <w:rFonts w:hint="eastAsia"/>
          <w:szCs w:val="21"/>
          <w:u w:val="single"/>
        </w:rPr>
        <w:tab/>
      </w:r>
      <w:r>
        <w:rPr>
          <w:rFonts w:hint="eastAsia"/>
          <w:szCs w:val="21"/>
          <w:u w:val="single"/>
        </w:rPr>
        <w:t xml:space="preserve">                               </w:t>
      </w:r>
    </w:p>
    <w:p w14:paraId="6ACF40A2">
      <w:pPr>
        <w:pStyle w:val="9"/>
        <w:tabs>
          <w:tab w:val="left" w:pos="6990"/>
          <w:tab w:val="left" w:pos="7830"/>
          <w:tab w:val="left" w:pos="8670"/>
        </w:tabs>
        <w:spacing w:before="171" w:line="360" w:lineRule="auto"/>
        <w:ind w:left="6359"/>
      </w:pPr>
      <w:r>
        <w:rPr>
          <w:rFonts w:hint="eastAsia"/>
        </w:rPr>
        <w:t xml:space="preserve">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7C31382B">
      <w:pPr>
        <w:spacing w:line="360" w:lineRule="auto"/>
        <w:sectPr>
          <w:pgSz w:w="11906" w:h="16838"/>
          <w:pgMar w:top="1417" w:right="1417" w:bottom="1417" w:left="1417" w:header="0" w:footer="839" w:gutter="0"/>
          <w:cols w:space="0" w:num="1"/>
        </w:sectPr>
      </w:pPr>
    </w:p>
    <w:p w14:paraId="3D9B7A39">
      <w:pPr>
        <w:spacing w:before="43" w:line="360" w:lineRule="auto"/>
        <w:ind w:left="377"/>
        <w:rPr>
          <w:sz w:val="20"/>
        </w:rPr>
      </w:pPr>
      <w:bookmarkStart w:id="49" w:name="_bookmark178"/>
      <w:bookmarkEnd w:id="49"/>
      <w:r>
        <w:rPr>
          <w:rFonts w:hint="eastAsia"/>
          <w:sz w:val="28"/>
        </w:rPr>
        <w:t>（二）投标函附录</w:t>
      </w:r>
    </w:p>
    <w:p w14:paraId="43E849B2">
      <w:pPr>
        <w:pStyle w:val="9"/>
        <w:spacing w:before="9" w:line="360" w:lineRule="auto"/>
        <w:rPr>
          <w:sz w:val="20"/>
        </w:rPr>
      </w:pPr>
    </w:p>
    <w:tbl>
      <w:tblPr>
        <w:tblStyle w:val="19"/>
        <w:tblW w:w="508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2"/>
        <w:gridCol w:w="661"/>
        <w:gridCol w:w="427"/>
        <w:gridCol w:w="2414"/>
        <w:gridCol w:w="3252"/>
        <w:gridCol w:w="1477"/>
      </w:tblGrid>
      <w:tr w14:paraId="49787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543" w:type="pct"/>
            <w:vAlign w:val="center"/>
          </w:tcPr>
          <w:p w14:paraId="1785852E">
            <w:pPr>
              <w:pStyle w:val="25"/>
              <w:spacing w:before="59"/>
              <w:ind w:right="-67"/>
              <w:jc w:val="center"/>
              <w:rPr>
                <w:b/>
                <w:sz w:val="21"/>
              </w:rPr>
            </w:pPr>
            <w:r>
              <w:rPr>
                <w:rFonts w:hint="eastAsia"/>
                <w:b/>
                <w:sz w:val="21"/>
              </w:rPr>
              <w:t>序号</w:t>
            </w:r>
          </w:p>
        </w:tc>
        <w:tc>
          <w:tcPr>
            <w:tcW w:w="1895" w:type="pct"/>
            <w:gridSpan w:val="3"/>
            <w:vAlign w:val="center"/>
          </w:tcPr>
          <w:p w14:paraId="2840C532">
            <w:pPr>
              <w:pStyle w:val="25"/>
              <w:spacing w:before="59"/>
              <w:ind w:left="218" w:right="210"/>
              <w:jc w:val="center"/>
              <w:rPr>
                <w:b/>
                <w:sz w:val="21"/>
              </w:rPr>
            </w:pPr>
            <w:r>
              <w:rPr>
                <w:rFonts w:hint="eastAsia"/>
                <w:b/>
                <w:sz w:val="21"/>
              </w:rPr>
              <w:t>条款名称</w:t>
            </w:r>
          </w:p>
        </w:tc>
        <w:tc>
          <w:tcPr>
            <w:tcW w:w="1760" w:type="pct"/>
            <w:vAlign w:val="center"/>
          </w:tcPr>
          <w:p w14:paraId="3428F4DD">
            <w:pPr>
              <w:pStyle w:val="25"/>
              <w:spacing w:before="59"/>
              <w:jc w:val="center"/>
              <w:rPr>
                <w:b/>
                <w:sz w:val="21"/>
              </w:rPr>
            </w:pPr>
            <w:r>
              <w:rPr>
                <w:rFonts w:hint="eastAsia"/>
                <w:b/>
                <w:sz w:val="21"/>
              </w:rPr>
              <w:t>约定内容</w:t>
            </w:r>
          </w:p>
        </w:tc>
        <w:tc>
          <w:tcPr>
            <w:tcW w:w="800" w:type="pct"/>
            <w:vAlign w:val="center"/>
          </w:tcPr>
          <w:p w14:paraId="770CB51F">
            <w:pPr>
              <w:pStyle w:val="25"/>
              <w:spacing w:before="59"/>
              <w:ind w:left="502" w:right="502"/>
              <w:jc w:val="both"/>
              <w:rPr>
                <w:b/>
                <w:sz w:val="21"/>
              </w:rPr>
            </w:pPr>
            <w:r>
              <w:rPr>
                <w:rFonts w:hint="eastAsia"/>
                <w:b/>
                <w:sz w:val="21"/>
              </w:rPr>
              <w:t>备注</w:t>
            </w:r>
          </w:p>
        </w:tc>
      </w:tr>
      <w:tr w14:paraId="32606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exact"/>
        </w:trPr>
        <w:tc>
          <w:tcPr>
            <w:tcW w:w="543" w:type="pct"/>
            <w:vAlign w:val="center"/>
          </w:tcPr>
          <w:p w14:paraId="6F6F0EB2">
            <w:pPr>
              <w:pStyle w:val="25"/>
              <w:spacing w:before="94"/>
              <w:ind w:left="7"/>
              <w:jc w:val="center"/>
              <w:rPr>
                <w:sz w:val="21"/>
              </w:rPr>
            </w:pPr>
            <w:r>
              <w:rPr>
                <w:rFonts w:hint="eastAsia"/>
                <w:sz w:val="21"/>
              </w:rPr>
              <w:t>1</w:t>
            </w:r>
          </w:p>
        </w:tc>
        <w:tc>
          <w:tcPr>
            <w:tcW w:w="1895" w:type="pct"/>
            <w:gridSpan w:val="3"/>
            <w:vAlign w:val="center"/>
          </w:tcPr>
          <w:p w14:paraId="1B073DB0">
            <w:pPr>
              <w:pStyle w:val="25"/>
              <w:spacing w:before="142"/>
              <w:ind w:left="218" w:leftChars="99" w:right="210"/>
              <w:jc w:val="both"/>
              <w:rPr>
                <w:sz w:val="21"/>
                <w:lang w:val="en-US"/>
              </w:rPr>
            </w:pPr>
            <w:r>
              <w:rPr>
                <w:rFonts w:hint="eastAsia"/>
                <w:sz w:val="21"/>
                <w:lang w:val="en-US"/>
              </w:rPr>
              <w:t>项目负责人</w:t>
            </w:r>
          </w:p>
        </w:tc>
        <w:tc>
          <w:tcPr>
            <w:tcW w:w="1760" w:type="pct"/>
            <w:vAlign w:val="center"/>
          </w:tcPr>
          <w:p w14:paraId="2CCB5CAB">
            <w:pPr>
              <w:pStyle w:val="25"/>
              <w:spacing w:before="142"/>
              <w:ind w:left="218" w:leftChars="99" w:right="210"/>
              <w:jc w:val="both"/>
              <w:rPr>
                <w:sz w:val="21"/>
              </w:rPr>
            </w:pPr>
            <w:r>
              <w:rPr>
                <w:rFonts w:hint="eastAsia"/>
                <w:sz w:val="21"/>
              </w:rPr>
              <w:t>姓名：</w:t>
            </w:r>
          </w:p>
          <w:p w14:paraId="240BFA23">
            <w:pPr>
              <w:pStyle w:val="25"/>
              <w:spacing w:before="142"/>
              <w:ind w:left="218" w:leftChars="99" w:right="210"/>
              <w:jc w:val="both"/>
              <w:rPr>
                <w:sz w:val="21"/>
              </w:rPr>
            </w:pPr>
            <w:r>
              <w:rPr>
                <w:rFonts w:hint="eastAsia"/>
                <w:sz w:val="21"/>
              </w:rPr>
              <w:t>注册证号：</w:t>
            </w:r>
          </w:p>
        </w:tc>
        <w:tc>
          <w:tcPr>
            <w:tcW w:w="800" w:type="pct"/>
            <w:vAlign w:val="center"/>
          </w:tcPr>
          <w:p w14:paraId="23C309B8">
            <w:pPr>
              <w:pStyle w:val="25"/>
              <w:jc w:val="center"/>
              <w:rPr>
                <w:sz w:val="20"/>
              </w:rPr>
            </w:pPr>
          </w:p>
        </w:tc>
      </w:tr>
      <w:tr w14:paraId="49649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exact"/>
        </w:trPr>
        <w:tc>
          <w:tcPr>
            <w:tcW w:w="543" w:type="pct"/>
            <w:vAlign w:val="center"/>
          </w:tcPr>
          <w:p w14:paraId="03B90471">
            <w:pPr>
              <w:pStyle w:val="25"/>
              <w:spacing w:before="91"/>
              <w:ind w:left="7"/>
              <w:jc w:val="center"/>
              <w:rPr>
                <w:sz w:val="21"/>
              </w:rPr>
            </w:pPr>
            <w:r>
              <w:rPr>
                <w:rFonts w:hint="eastAsia"/>
                <w:sz w:val="21"/>
              </w:rPr>
              <w:t>2</w:t>
            </w:r>
          </w:p>
        </w:tc>
        <w:tc>
          <w:tcPr>
            <w:tcW w:w="1895" w:type="pct"/>
            <w:gridSpan w:val="3"/>
            <w:vAlign w:val="center"/>
          </w:tcPr>
          <w:p w14:paraId="255F929B">
            <w:pPr>
              <w:pStyle w:val="25"/>
              <w:spacing w:before="142"/>
              <w:ind w:left="218" w:leftChars="99" w:right="210"/>
              <w:jc w:val="both"/>
              <w:rPr>
                <w:sz w:val="21"/>
              </w:rPr>
            </w:pPr>
            <w:r>
              <w:rPr>
                <w:rFonts w:hint="eastAsia"/>
                <w:sz w:val="21"/>
              </w:rPr>
              <w:t>服务期限</w:t>
            </w:r>
          </w:p>
        </w:tc>
        <w:tc>
          <w:tcPr>
            <w:tcW w:w="1760" w:type="pct"/>
            <w:vAlign w:val="center"/>
          </w:tcPr>
          <w:p w14:paraId="69FE83C6">
            <w:pPr>
              <w:pStyle w:val="25"/>
              <w:spacing w:before="142"/>
              <w:ind w:left="218" w:leftChars="99" w:right="210"/>
              <w:jc w:val="both"/>
              <w:rPr>
                <w:sz w:val="21"/>
              </w:rPr>
            </w:pPr>
            <w:r>
              <w:rPr>
                <w:rFonts w:hint="eastAsia"/>
                <w:sz w:val="21"/>
              </w:rPr>
              <w:t>按招标文件要求</w:t>
            </w:r>
          </w:p>
        </w:tc>
        <w:tc>
          <w:tcPr>
            <w:tcW w:w="800" w:type="pct"/>
            <w:vAlign w:val="center"/>
          </w:tcPr>
          <w:p w14:paraId="46114778">
            <w:pPr>
              <w:pStyle w:val="25"/>
              <w:jc w:val="center"/>
              <w:rPr>
                <w:sz w:val="20"/>
              </w:rPr>
            </w:pPr>
          </w:p>
        </w:tc>
      </w:tr>
      <w:tr w14:paraId="76AEF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exact"/>
        </w:trPr>
        <w:tc>
          <w:tcPr>
            <w:tcW w:w="543" w:type="pct"/>
            <w:vAlign w:val="center"/>
          </w:tcPr>
          <w:p w14:paraId="6238162F">
            <w:pPr>
              <w:pStyle w:val="25"/>
              <w:ind w:left="446" w:right="439"/>
              <w:jc w:val="center"/>
              <w:rPr>
                <w:sz w:val="21"/>
              </w:rPr>
            </w:pPr>
            <w:r>
              <w:rPr>
                <w:rFonts w:hint="eastAsia"/>
                <w:sz w:val="21"/>
                <w:lang w:val="en-US"/>
              </w:rPr>
              <w:t>3</w:t>
            </w:r>
          </w:p>
        </w:tc>
        <w:tc>
          <w:tcPr>
            <w:tcW w:w="1895" w:type="pct"/>
            <w:gridSpan w:val="3"/>
            <w:vAlign w:val="center"/>
          </w:tcPr>
          <w:p w14:paraId="58295CDD">
            <w:pPr>
              <w:pStyle w:val="25"/>
              <w:spacing w:before="142"/>
              <w:ind w:left="218" w:leftChars="99" w:right="210"/>
              <w:jc w:val="both"/>
              <w:rPr>
                <w:sz w:val="21"/>
              </w:rPr>
            </w:pPr>
            <w:r>
              <w:rPr>
                <w:rFonts w:hint="eastAsia"/>
                <w:sz w:val="21"/>
              </w:rPr>
              <w:t>质量</w:t>
            </w:r>
            <w:r>
              <w:rPr>
                <w:rFonts w:hint="eastAsia"/>
                <w:sz w:val="21"/>
                <w:lang w:val="en-US"/>
              </w:rPr>
              <w:t>标准</w:t>
            </w:r>
          </w:p>
        </w:tc>
        <w:tc>
          <w:tcPr>
            <w:tcW w:w="1760" w:type="pct"/>
            <w:vAlign w:val="center"/>
          </w:tcPr>
          <w:p w14:paraId="0227C0C0">
            <w:pPr>
              <w:pStyle w:val="25"/>
              <w:spacing w:before="142"/>
              <w:ind w:left="218" w:leftChars="99" w:right="210"/>
              <w:jc w:val="both"/>
              <w:rPr>
                <w:sz w:val="21"/>
              </w:rPr>
            </w:pPr>
            <w:r>
              <w:rPr>
                <w:rFonts w:hint="eastAsia"/>
                <w:sz w:val="21"/>
              </w:rPr>
              <w:t>按招标文件要求</w:t>
            </w:r>
          </w:p>
        </w:tc>
        <w:tc>
          <w:tcPr>
            <w:tcW w:w="800" w:type="pct"/>
            <w:vAlign w:val="center"/>
          </w:tcPr>
          <w:p w14:paraId="7968C3B2">
            <w:pPr>
              <w:pStyle w:val="25"/>
              <w:jc w:val="center"/>
              <w:rPr>
                <w:sz w:val="20"/>
              </w:rPr>
            </w:pPr>
          </w:p>
        </w:tc>
      </w:tr>
      <w:tr w14:paraId="05AE6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exact"/>
        </w:trPr>
        <w:tc>
          <w:tcPr>
            <w:tcW w:w="543" w:type="pct"/>
            <w:vAlign w:val="center"/>
          </w:tcPr>
          <w:p w14:paraId="26867757">
            <w:pPr>
              <w:pStyle w:val="25"/>
              <w:ind w:left="446" w:right="439"/>
              <w:jc w:val="center"/>
              <w:rPr>
                <w:b/>
                <w:bCs/>
                <w:sz w:val="21"/>
                <w:lang w:val="en-US"/>
              </w:rPr>
            </w:pPr>
            <w:r>
              <w:rPr>
                <w:rFonts w:hint="eastAsia"/>
                <w:sz w:val="21"/>
                <w:lang w:val="en-US"/>
              </w:rPr>
              <w:t>4</w:t>
            </w:r>
          </w:p>
        </w:tc>
        <w:tc>
          <w:tcPr>
            <w:tcW w:w="1895" w:type="pct"/>
            <w:gridSpan w:val="3"/>
            <w:vAlign w:val="center"/>
          </w:tcPr>
          <w:p w14:paraId="3B6117F6">
            <w:pPr>
              <w:pStyle w:val="25"/>
              <w:spacing w:before="142"/>
              <w:ind w:left="218" w:leftChars="99" w:right="210"/>
              <w:jc w:val="both"/>
              <w:rPr>
                <w:b/>
                <w:bCs/>
                <w:sz w:val="21"/>
                <w:szCs w:val="21"/>
              </w:rPr>
            </w:pPr>
            <w:r>
              <w:rPr>
                <w:rFonts w:hint="eastAsia"/>
                <w:sz w:val="21"/>
              </w:rPr>
              <w:t>投标有效期</w:t>
            </w:r>
          </w:p>
        </w:tc>
        <w:tc>
          <w:tcPr>
            <w:tcW w:w="1760" w:type="pct"/>
            <w:vAlign w:val="center"/>
          </w:tcPr>
          <w:p w14:paraId="0EA6C89F">
            <w:pPr>
              <w:pStyle w:val="25"/>
              <w:spacing w:before="142"/>
              <w:ind w:right="210" w:firstLine="210" w:firstLineChars="100"/>
              <w:jc w:val="both"/>
              <w:rPr>
                <w:sz w:val="21"/>
                <w:lang w:val="en-US"/>
              </w:rPr>
            </w:pPr>
            <w:r>
              <w:rPr>
                <w:rFonts w:hint="eastAsia"/>
                <w:sz w:val="21"/>
              </w:rPr>
              <w:t>按招标文件要求</w:t>
            </w:r>
          </w:p>
        </w:tc>
        <w:tc>
          <w:tcPr>
            <w:tcW w:w="800" w:type="pct"/>
            <w:vAlign w:val="center"/>
          </w:tcPr>
          <w:p w14:paraId="733DB380">
            <w:pPr>
              <w:pStyle w:val="25"/>
              <w:jc w:val="center"/>
              <w:rPr>
                <w:sz w:val="20"/>
              </w:rPr>
            </w:pPr>
          </w:p>
        </w:tc>
      </w:tr>
      <w:tr w14:paraId="26524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exact"/>
        </w:trPr>
        <w:tc>
          <w:tcPr>
            <w:tcW w:w="543" w:type="pct"/>
            <w:vMerge w:val="restart"/>
            <w:vAlign w:val="center"/>
          </w:tcPr>
          <w:p w14:paraId="4B4AA803">
            <w:pPr>
              <w:pStyle w:val="25"/>
              <w:ind w:left="446" w:right="439"/>
              <w:jc w:val="center"/>
              <w:rPr>
                <w:b/>
                <w:bCs/>
                <w:sz w:val="21"/>
                <w:lang w:val="en-US"/>
              </w:rPr>
            </w:pPr>
            <w:r>
              <w:rPr>
                <w:rFonts w:hint="eastAsia"/>
                <w:sz w:val="21"/>
                <w:lang w:val="en-US"/>
              </w:rPr>
              <w:t>5</w:t>
            </w:r>
          </w:p>
        </w:tc>
        <w:tc>
          <w:tcPr>
            <w:tcW w:w="589" w:type="pct"/>
            <w:gridSpan w:val="2"/>
            <w:vMerge w:val="restart"/>
            <w:vAlign w:val="center"/>
          </w:tcPr>
          <w:p w14:paraId="50EE0276">
            <w:pPr>
              <w:pStyle w:val="25"/>
              <w:spacing w:before="142"/>
              <w:ind w:left="218" w:leftChars="99" w:right="210"/>
              <w:jc w:val="both"/>
              <w:rPr>
                <w:b/>
                <w:bCs/>
                <w:sz w:val="21"/>
                <w:szCs w:val="21"/>
              </w:rPr>
            </w:pPr>
            <w:r>
              <w:rPr>
                <w:rFonts w:hint="eastAsia"/>
                <w:sz w:val="21"/>
                <w:szCs w:val="21"/>
                <w:lang w:val="en-US"/>
              </w:rPr>
              <w:t>投标总报价</w:t>
            </w:r>
          </w:p>
        </w:tc>
        <w:tc>
          <w:tcPr>
            <w:tcW w:w="1306" w:type="pct"/>
            <w:vAlign w:val="center"/>
          </w:tcPr>
          <w:p w14:paraId="07AC6C57">
            <w:pPr>
              <w:pStyle w:val="25"/>
              <w:spacing w:before="142"/>
              <w:ind w:left="218" w:leftChars="99" w:right="210"/>
              <w:jc w:val="both"/>
              <w:rPr>
                <w:sz w:val="21"/>
                <w:szCs w:val="21"/>
                <w:lang w:val="en-US"/>
              </w:rPr>
            </w:pPr>
            <w:r>
              <w:rPr>
                <w:rFonts w:hint="eastAsia"/>
                <w:sz w:val="21"/>
                <w:szCs w:val="21"/>
              </w:rPr>
              <w:t>（</w:t>
            </w:r>
            <w:r>
              <w:rPr>
                <w:rFonts w:hint="eastAsia"/>
                <w:sz w:val="21"/>
                <w:szCs w:val="21"/>
                <w:lang w:val="en-US"/>
              </w:rPr>
              <w:t>1</w:t>
            </w:r>
            <w:r>
              <w:rPr>
                <w:rFonts w:hint="eastAsia"/>
                <w:sz w:val="21"/>
                <w:szCs w:val="21"/>
              </w:rPr>
              <w:t>）</w:t>
            </w:r>
            <w:r>
              <w:rPr>
                <w:rFonts w:hint="eastAsia"/>
                <w:sz w:val="21"/>
                <w:szCs w:val="21"/>
                <w:lang w:val="en-US"/>
              </w:rPr>
              <w:t>+</w:t>
            </w:r>
            <w:r>
              <w:rPr>
                <w:rFonts w:hint="eastAsia"/>
                <w:sz w:val="21"/>
                <w:szCs w:val="21"/>
              </w:rPr>
              <w:t>（</w:t>
            </w:r>
            <w:r>
              <w:rPr>
                <w:rFonts w:hint="eastAsia"/>
                <w:sz w:val="21"/>
                <w:szCs w:val="21"/>
                <w:lang w:val="en-US"/>
              </w:rPr>
              <w:t>2</w:t>
            </w:r>
            <w:r>
              <w:rPr>
                <w:rFonts w:hint="eastAsia"/>
                <w:sz w:val="21"/>
                <w:szCs w:val="21"/>
              </w:rPr>
              <w:t>）</w:t>
            </w:r>
            <w:r>
              <w:rPr>
                <w:rFonts w:hint="eastAsia"/>
                <w:sz w:val="21"/>
                <w:szCs w:val="21"/>
                <w:lang w:val="en-US"/>
              </w:rPr>
              <w:t>+</w:t>
            </w:r>
            <w:r>
              <w:rPr>
                <w:rFonts w:hint="eastAsia"/>
                <w:sz w:val="21"/>
                <w:szCs w:val="21"/>
              </w:rPr>
              <w:t>（</w:t>
            </w:r>
            <w:r>
              <w:rPr>
                <w:rFonts w:hint="eastAsia"/>
                <w:sz w:val="21"/>
                <w:szCs w:val="21"/>
                <w:lang w:val="en-US"/>
              </w:rPr>
              <w:t>3</w:t>
            </w:r>
            <w:r>
              <w:rPr>
                <w:rFonts w:hint="eastAsia"/>
                <w:sz w:val="21"/>
                <w:szCs w:val="21"/>
              </w:rPr>
              <w:t>）</w:t>
            </w:r>
          </w:p>
        </w:tc>
        <w:tc>
          <w:tcPr>
            <w:tcW w:w="1760" w:type="pct"/>
            <w:vAlign w:val="center"/>
          </w:tcPr>
          <w:p w14:paraId="3FD6086D">
            <w:pPr>
              <w:pStyle w:val="25"/>
              <w:spacing w:before="142"/>
              <w:ind w:left="218" w:leftChars="99" w:right="210"/>
              <w:jc w:val="both"/>
              <w:rPr>
                <w:sz w:val="21"/>
                <w:szCs w:val="21"/>
                <w:lang w:val="en-US"/>
              </w:rPr>
            </w:pPr>
            <w:r>
              <w:rPr>
                <w:rFonts w:hint="eastAsia"/>
                <w:sz w:val="21"/>
                <w:szCs w:val="21"/>
                <w:lang w:val="en-US"/>
              </w:rPr>
              <w:t>大写：</w:t>
            </w:r>
            <w:r>
              <w:rPr>
                <w:rFonts w:hint="eastAsia"/>
                <w:sz w:val="21"/>
                <w:szCs w:val="21"/>
                <w:u w:val="single"/>
                <w:lang w:val="en-US"/>
              </w:rPr>
              <w:t xml:space="preserve">                </w:t>
            </w:r>
            <w:r>
              <w:rPr>
                <w:rFonts w:hint="eastAsia"/>
                <w:sz w:val="21"/>
                <w:szCs w:val="21"/>
                <w:lang w:val="en-US"/>
              </w:rPr>
              <w:t>元</w:t>
            </w:r>
          </w:p>
          <w:p w14:paraId="70F43E87">
            <w:pPr>
              <w:pStyle w:val="25"/>
              <w:spacing w:before="142"/>
              <w:ind w:left="218" w:leftChars="99" w:right="210"/>
              <w:jc w:val="both"/>
              <w:rPr>
                <w:sz w:val="21"/>
                <w:szCs w:val="21"/>
                <w:lang w:val="en-US"/>
              </w:rPr>
            </w:pPr>
            <w:r>
              <w:rPr>
                <w:rFonts w:hint="eastAsia"/>
                <w:sz w:val="21"/>
                <w:szCs w:val="21"/>
                <w:lang w:val="en-US"/>
              </w:rPr>
              <w:t>小写：</w:t>
            </w:r>
            <w:r>
              <w:rPr>
                <w:rFonts w:hint="eastAsia"/>
                <w:sz w:val="21"/>
                <w:szCs w:val="21"/>
                <w:u w:val="single"/>
                <w:lang w:val="en-US"/>
              </w:rPr>
              <w:t xml:space="preserve">                </w:t>
            </w:r>
            <w:r>
              <w:rPr>
                <w:rFonts w:hint="eastAsia"/>
                <w:sz w:val="21"/>
                <w:szCs w:val="21"/>
                <w:lang w:val="en-US"/>
              </w:rPr>
              <w:t>元</w:t>
            </w:r>
          </w:p>
        </w:tc>
        <w:tc>
          <w:tcPr>
            <w:tcW w:w="800" w:type="pct"/>
            <w:vAlign w:val="center"/>
          </w:tcPr>
          <w:p w14:paraId="31C15469">
            <w:pPr>
              <w:pStyle w:val="25"/>
              <w:jc w:val="center"/>
              <w:rPr>
                <w:sz w:val="20"/>
              </w:rPr>
            </w:pPr>
          </w:p>
        </w:tc>
      </w:tr>
      <w:tr w14:paraId="53401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exact"/>
        </w:trPr>
        <w:tc>
          <w:tcPr>
            <w:tcW w:w="543" w:type="pct"/>
            <w:vMerge w:val="continue"/>
            <w:vAlign w:val="center"/>
          </w:tcPr>
          <w:p w14:paraId="7BEDE4A1">
            <w:pPr>
              <w:pStyle w:val="25"/>
              <w:ind w:left="446" w:right="439"/>
              <w:jc w:val="center"/>
              <w:rPr>
                <w:sz w:val="21"/>
                <w:lang w:val="en-US"/>
              </w:rPr>
            </w:pPr>
          </w:p>
        </w:tc>
        <w:tc>
          <w:tcPr>
            <w:tcW w:w="589" w:type="pct"/>
            <w:gridSpan w:val="2"/>
            <w:vMerge w:val="continue"/>
            <w:vAlign w:val="center"/>
          </w:tcPr>
          <w:p w14:paraId="077E4ADC">
            <w:pPr>
              <w:pStyle w:val="25"/>
              <w:spacing w:before="142"/>
              <w:ind w:left="218" w:leftChars="99" w:right="210"/>
              <w:jc w:val="both"/>
              <w:rPr>
                <w:sz w:val="21"/>
                <w:szCs w:val="21"/>
              </w:rPr>
            </w:pPr>
          </w:p>
        </w:tc>
        <w:tc>
          <w:tcPr>
            <w:tcW w:w="1306" w:type="pct"/>
            <w:vAlign w:val="center"/>
          </w:tcPr>
          <w:p w14:paraId="5C90729E">
            <w:pPr>
              <w:pStyle w:val="25"/>
              <w:spacing w:before="142"/>
              <w:ind w:left="218" w:leftChars="99" w:right="210"/>
              <w:jc w:val="both"/>
              <w:rPr>
                <w:sz w:val="21"/>
                <w:szCs w:val="21"/>
              </w:rPr>
            </w:pPr>
            <w:r>
              <w:rPr>
                <w:rFonts w:hint="eastAsia"/>
                <w:bCs/>
                <w:sz w:val="21"/>
                <w:szCs w:val="21"/>
              </w:rPr>
              <w:t>投标下浮率（</w:t>
            </w:r>
            <w:r>
              <w:rPr>
                <w:rFonts w:hint="eastAsia"/>
                <w:bCs/>
                <w:sz w:val="21"/>
                <w:szCs w:val="21"/>
                <w:lang w:val="en-US"/>
              </w:rPr>
              <w:t>一期、二期、三期下浮率均需为同一值</w:t>
            </w:r>
            <w:r>
              <w:rPr>
                <w:rFonts w:hint="eastAsia"/>
                <w:bCs/>
                <w:sz w:val="21"/>
                <w:szCs w:val="21"/>
              </w:rPr>
              <w:t>）</w:t>
            </w:r>
          </w:p>
        </w:tc>
        <w:tc>
          <w:tcPr>
            <w:tcW w:w="1760" w:type="pct"/>
            <w:vAlign w:val="center"/>
          </w:tcPr>
          <w:p w14:paraId="5D7CAEF4">
            <w:pPr>
              <w:pStyle w:val="25"/>
              <w:spacing w:before="142"/>
              <w:ind w:left="218" w:leftChars="99" w:right="210" w:firstLine="420" w:firstLineChars="200"/>
              <w:jc w:val="both"/>
              <w:rPr>
                <w:sz w:val="21"/>
                <w:szCs w:val="21"/>
                <w:lang w:val="en-US"/>
              </w:rPr>
            </w:pPr>
            <w:r>
              <w:rPr>
                <w:rFonts w:hint="eastAsia"/>
                <w:bCs/>
                <w:sz w:val="21"/>
                <w:szCs w:val="21"/>
                <w:u w:val="single"/>
              </w:rPr>
              <w:t xml:space="preserve">      %</w:t>
            </w:r>
          </w:p>
        </w:tc>
        <w:tc>
          <w:tcPr>
            <w:tcW w:w="800" w:type="pct"/>
            <w:vAlign w:val="center"/>
          </w:tcPr>
          <w:p w14:paraId="36A5EE4D">
            <w:pPr>
              <w:pStyle w:val="25"/>
              <w:jc w:val="center"/>
              <w:rPr>
                <w:sz w:val="20"/>
              </w:rPr>
            </w:pPr>
          </w:p>
        </w:tc>
      </w:tr>
      <w:tr w14:paraId="607E6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exact"/>
        </w:trPr>
        <w:tc>
          <w:tcPr>
            <w:tcW w:w="543" w:type="pct"/>
            <w:vMerge w:val="continue"/>
            <w:vAlign w:val="center"/>
          </w:tcPr>
          <w:p w14:paraId="5E369F50">
            <w:pPr>
              <w:pStyle w:val="25"/>
              <w:ind w:left="446" w:right="439"/>
              <w:jc w:val="center"/>
              <w:rPr>
                <w:sz w:val="21"/>
                <w:lang w:val="en-US"/>
              </w:rPr>
            </w:pPr>
          </w:p>
        </w:tc>
        <w:tc>
          <w:tcPr>
            <w:tcW w:w="358" w:type="pct"/>
            <w:vAlign w:val="center"/>
          </w:tcPr>
          <w:p w14:paraId="0D4C0FCB">
            <w:pPr>
              <w:pStyle w:val="25"/>
              <w:spacing w:before="142"/>
              <w:ind w:right="210"/>
              <w:jc w:val="center"/>
              <w:rPr>
                <w:sz w:val="21"/>
              </w:rPr>
            </w:pPr>
            <w:r>
              <w:rPr>
                <w:rFonts w:hint="eastAsia"/>
                <w:sz w:val="21"/>
              </w:rPr>
              <w:t>（</w:t>
            </w:r>
            <w:r>
              <w:rPr>
                <w:rFonts w:hint="eastAsia"/>
                <w:sz w:val="21"/>
                <w:lang w:val="en-US"/>
              </w:rPr>
              <w:t>1</w:t>
            </w:r>
            <w:r>
              <w:rPr>
                <w:rFonts w:hint="eastAsia"/>
                <w:sz w:val="21"/>
              </w:rPr>
              <w:t>）</w:t>
            </w:r>
          </w:p>
        </w:tc>
        <w:tc>
          <w:tcPr>
            <w:tcW w:w="1537" w:type="pct"/>
            <w:gridSpan w:val="2"/>
            <w:vAlign w:val="center"/>
          </w:tcPr>
          <w:p w14:paraId="7E166F8B">
            <w:pPr>
              <w:pStyle w:val="25"/>
              <w:spacing w:before="142"/>
              <w:ind w:left="218" w:leftChars="99" w:right="210"/>
              <w:jc w:val="both"/>
              <w:rPr>
                <w:sz w:val="21"/>
              </w:rPr>
            </w:pPr>
            <w:r>
              <w:rPr>
                <w:rFonts w:hint="eastAsia"/>
                <w:sz w:val="21"/>
              </w:rPr>
              <w:t>一期投标报价</w:t>
            </w:r>
          </w:p>
        </w:tc>
        <w:tc>
          <w:tcPr>
            <w:tcW w:w="1760" w:type="pct"/>
            <w:vAlign w:val="center"/>
          </w:tcPr>
          <w:p w14:paraId="653F5EB1">
            <w:pPr>
              <w:pStyle w:val="25"/>
              <w:spacing w:before="142"/>
              <w:ind w:left="218" w:leftChars="99" w:right="210"/>
              <w:jc w:val="both"/>
              <w:rPr>
                <w:sz w:val="21"/>
                <w:lang w:val="en-US"/>
              </w:rPr>
            </w:pPr>
            <w:r>
              <w:rPr>
                <w:rFonts w:hint="eastAsia"/>
                <w:sz w:val="21"/>
                <w:lang w:val="en-US"/>
              </w:rPr>
              <w:t>大写：</w:t>
            </w:r>
            <w:r>
              <w:rPr>
                <w:rFonts w:hint="eastAsia"/>
                <w:sz w:val="21"/>
                <w:u w:val="single"/>
                <w:lang w:val="en-US"/>
              </w:rPr>
              <w:t xml:space="preserve">                </w:t>
            </w:r>
            <w:r>
              <w:rPr>
                <w:rFonts w:hint="eastAsia"/>
                <w:sz w:val="21"/>
                <w:lang w:val="en-US"/>
              </w:rPr>
              <w:t>元</w:t>
            </w:r>
          </w:p>
          <w:p w14:paraId="4AE683DE">
            <w:pPr>
              <w:pStyle w:val="25"/>
              <w:spacing w:before="142"/>
              <w:ind w:left="218" w:leftChars="99" w:right="210"/>
              <w:jc w:val="both"/>
              <w:rPr>
                <w:bCs/>
                <w:sz w:val="24"/>
                <w:szCs w:val="24"/>
              </w:rPr>
            </w:pPr>
            <w:r>
              <w:rPr>
                <w:rFonts w:hint="eastAsia"/>
                <w:sz w:val="21"/>
                <w:lang w:val="en-US"/>
              </w:rPr>
              <w:t>小写：</w:t>
            </w:r>
            <w:r>
              <w:rPr>
                <w:rFonts w:hint="eastAsia"/>
                <w:sz w:val="21"/>
                <w:u w:val="single"/>
                <w:lang w:val="en-US"/>
              </w:rPr>
              <w:t xml:space="preserve">                </w:t>
            </w:r>
            <w:r>
              <w:rPr>
                <w:rFonts w:hint="eastAsia"/>
                <w:sz w:val="21"/>
                <w:lang w:val="en-US"/>
              </w:rPr>
              <w:t>元</w:t>
            </w:r>
          </w:p>
        </w:tc>
        <w:tc>
          <w:tcPr>
            <w:tcW w:w="800" w:type="pct"/>
            <w:vAlign w:val="center"/>
          </w:tcPr>
          <w:p w14:paraId="3CE44C50">
            <w:pPr>
              <w:pStyle w:val="25"/>
              <w:jc w:val="center"/>
              <w:rPr>
                <w:sz w:val="20"/>
              </w:rPr>
            </w:pPr>
          </w:p>
        </w:tc>
      </w:tr>
      <w:tr w14:paraId="1B7FC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exact"/>
        </w:trPr>
        <w:tc>
          <w:tcPr>
            <w:tcW w:w="543" w:type="pct"/>
            <w:vMerge w:val="continue"/>
            <w:vAlign w:val="center"/>
          </w:tcPr>
          <w:p w14:paraId="7673585E">
            <w:pPr>
              <w:pStyle w:val="25"/>
              <w:ind w:left="446" w:right="439"/>
              <w:jc w:val="center"/>
              <w:rPr>
                <w:sz w:val="21"/>
                <w:lang w:val="en-US"/>
              </w:rPr>
            </w:pPr>
          </w:p>
        </w:tc>
        <w:tc>
          <w:tcPr>
            <w:tcW w:w="358" w:type="pct"/>
            <w:vAlign w:val="center"/>
          </w:tcPr>
          <w:p w14:paraId="6B82586D">
            <w:pPr>
              <w:pStyle w:val="25"/>
              <w:spacing w:before="142"/>
              <w:ind w:right="210"/>
              <w:jc w:val="center"/>
              <w:rPr>
                <w:sz w:val="21"/>
                <w:lang w:val="en-US"/>
              </w:rPr>
            </w:pPr>
            <w:r>
              <w:rPr>
                <w:rFonts w:hint="eastAsia"/>
                <w:sz w:val="21"/>
              </w:rPr>
              <w:t>（</w:t>
            </w:r>
            <w:r>
              <w:rPr>
                <w:rFonts w:hint="eastAsia"/>
                <w:sz w:val="21"/>
                <w:lang w:val="en-US"/>
              </w:rPr>
              <w:t>2</w:t>
            </w:r>
            <w:r>
              <w:rPr>
                <w:rFonts w:hint="eastAsia"/>
                <w:sz w:val="21"/>
              </w:rPr>
              <w:t>）</w:t>
            </w:r>
          </w:p>
        </w:tc>
        <w:tc>
          <w:tcPr>
            <w:tcW w:w="1537" w:type="pct"/>
            <w:gridSpan w:val="2"/>
            <w:vAlign w:val="center"/>
          </w:tcPr>
          <w:p w14:paraId="11E3913A">
            <w:pPr>
              <w:pStyle w:val="25"/>
              <w:spacing w:before="142"/>
              <w:ind w:left="218" w:leftChars="99" w:right="210"/>
              <w:jc w:val="both"/>
              <w:rPr>
                <w:sz w:val="21"/>
              </w:rPr>
            </w:pPr>
            <w:r>
              <w:rPr>
                <w:rFonts w:hint="eastAsia"/>
                <w:sz w:val="21"/>
                <w:lang w:val="en-US"/>
              </w:rPr>
              <w:t>二</w:t>
            </w:r>
            <w:r>
              <w:rPr>
                <w:rFonts w:hint="eastAsia"/>
                <w:sz w:val="21"/>
              </w:rPr>
              <w:t>期投标报价</w:t>
            </w:r>
          </w:p>
        </w:tc>
        <w:tc>
          <w:tcPr>
            <w:tcW w:w="1760" w:type="pct"/>
            <w:vAlign w:val="center"/>
          </w:tcPr>
          <w:p w14:paraId="2838C023">
            <w:pPr>
              <w:pStyle w:val="25"/>
              <w:spacing w:before="142"/>
              <w:ind w:left="218" w:leftChars="99" w:right="210"/>
              <w:jc w:val="both"/>
              <w:rPr>
                <w:sz w:val="21"/>
                <w:lang w:val="en-US"/>
              </w:rPr>
            </w:pPr>
            <w:r>
              <w:rPr>
                <w:rFonts w:hint="eastAsia"/>
                <w:sz w:val="21"/>
                <w:lang w:val="en-US"/>
              </w:rPr>
              <w:t>大写：</w:t>
            </w:r>
            <w:r>
              <w:rPr>
                <w:rFonts w:hint="eastAsia"/>
                <w:sz w:val="21"/>
                <w:u w:val="single"/>
                <w:lang w:val="en-US"/>
              </w:rPr>
              <w:t xml:space="preserve">                </w:t>
            </w:r>
            <w:r>
              <w:rPr>
                <w:rFonts w:hint="eastAsia"/>
                <w:sz w:val="21"/>
                <w:lang w:val="en-US"/>
              </w:rPr>
              <w:t>元</w:t>
            </w:r>
          </w:p>
          <w:p w14:paraId="5AD28BB8">
            <w:pPr>
              <w:pStyle w:val="25"/>
              <w:spacing w:before="142"/>
              <w:ind w:left="218" w:leftChars="99" w:right="210"/>
              <w:jc w:val="both"/>
              <w:rPr>
                <w:bCs/>
                <w:sz w:val="24"/>
                <w:szCs w:val="24"/>
              </w:rPr>
            </w:pPr>
            <w:r>
              <w:rPr>
                <w:rFonts w:hint="eastAsia"/>
                <w:sz w:val="21"/>
                <w:lang w:val="en-US"/>
              </w:rPr>
              <w:t>小写：</w:t>
            </w:r>
            <w:r>
              <w:rPr>
                <w:rFonts w:hint="eastAsia"/>
                <w:sz w:val="21"/>
                <w:u w:val="single"/>
                <w:lang w:val="en-US"/>
              </w:rPr>
              <w:t xml:space="preserve">                </w:t>
            </w:r>
            <w:r>
              <w:rPr>
                <w:rFonts w:hint="eastAsia"/>
                <w:sz w:val="21"/>
                <w:lang w:val="en-US"/>
              </w:rPr>
              <w:t>元</w:t>
            </w:r>
          </w:p>
        </w:tc>
        <w:tc>
          <w:tcPr>
            <w:tcW w:w="800" w:type="pct"/>
            <w:vAlign w:val="center"/>
          </w:tcPr>
          <w:p w14:paraId="79385262">
            <w:pPr>
              <w:pStyle w:val="25"/>
              <w:jc w:val="center"/>
              <w:rPr>
                <w:sz w:val="20"/>
              </w:rPr>
            </w:pPr>
          </w:p>
        </w:tc>
      </w:tr>
      <w:tr w14:paraId="6FF47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exact"/>
        </w:trPr>
        <w:tc>
          <w:tcPr>
            <w:tcW w:w="543" w:type="pct"/>
            <w:vMerge w:val="continue"/>
            <w:vAlign w:val="center"/>
          </w:tcPr>
          <w:p w14:paraId="29B4FE0D">
            <w:pPr>
              <w:pStyle w:val="25"/>
              <w:ind w:left="446" w:right="439"/>
              <w:jc w:val="center"/>
              <w:rPr>
                <w:sz w:val="21"/>
                <w:lang w:val="en-US"/>
              </w:rPr>
            </w:pPr>
          </w:p>
        </w:tc>
        <w:tc>
          <w:tcPr>
            <w:tcW w:w="358" w:type="pct"/>
            <w:vAlign w:val="center"/>
          </w:tcPr>
          <w:p w14:paraId="32A08E10">
            <w:pPr>
              <w:pStyle w:val="25"/>
              <w:spacing w:before="142"/>
              <w:ind w:right="210"/>
              <w:jc w:val="center"/>
              <w:rPr>
                <w:sz w:val="21"/>
                <w:lang w:val="en-US"/>
              </w:rPr>
            </w:pPr>
            <w:r>
              <w:rPr>
                <w:rFonts w:hint="eastAsia"/>
                <w:sz w:val="21"/>
              </w:rPr>
              <w:t>（</w:t>
            </w:r>
            <w:r>
              <w:rPr>
                <w:rFonts w:hint="eastAsia"/>
                <w:sz w:val="21"/>
                <w:lang w:val="en-US"/>
              </w:rPr>
              <w:t>3</w:t>
            </w:r>
            <w:r>
              <w:rPr>
                <w:rFonts w:hint="eastAsia"/>
                <w:sz w:val="21"/>
              </w:rPr>
              <w:t>）</w:t>
            </w:r>
          </w:p>
        </w:tc>
        <w:tc>
          <w:tcPr>
            <w:tcW w:w="1537" w:type="pct"/>
            <w:gridSpan w:val="2"/>
            <w:vAlign w:val="center"/>
          </w:tcPr>
          <w:p w14:paraId="2C308257">
            <w:pPr>
              <w:pStyle w:val="25"/>
              <w:spacing w:before="142"/>
              <w:ind w:left="218" w:leftChars="99" w:right="210"/>
              <w:jc w:val="both"/>
              <w:rPr>
                <w:sz w:val="21"/>
              </w:rPr>
            </w:pPr>
            <w:r>
              <w:rPr>
                <w:rFonts w:hint="eastAsia"/>
                <w:sz w:val="21"/>
                <w:lang w:val="en-US"/>
              </w:rPr>
              <w:t>三</w:t>
            </w:r>
            <w:r>
              <w:rPr>
                <w:rFonts w:hint="eastAsia"/>
                <w:sz w:val="21"/>
              </w:rPr>
              <w:t>期投标报价</w:t>
            </w:r>
          </w:p>
        </w:tc>
        <w:tc>
          <w:tcPr>
            <w:tcW w:w="1760" w:type="pct"/>
            <w:vAlign w:val="center"/>
          </w:tcPr>
          <w:p w14:paraId="0F56A4C7">
            <w:pPr>
              <w:pStyle w:val="25"/>
              <w:spacing w:before="142"/>
              <w:ind w:left="218" w:leftChars="99" w:right="210"/>
              <w:jc w:val="both"/>
              <w:rPr>
                <w:sz w:val="21"/>
                <w:lang w:val="en-US"/>
              </w:rPr>
            </w:pPr>
            <w:r>
              <w:rPr>
                <w:rFonts w:hint="eastAsia"/>
                <w:sz w:val="21"/>
                <w:lang w:val="en-US"/>
              </w:rPr>
              <w:t>大写：</w:t>
            </w:r>
            <w:r>
              <w:rPr>
                <w:rFonts w:hint="eastAsia"/>
                <w:sz w:val="21"/>
                <w:u w:val="single"/>
                <w:lang w:val="en-US"/>
              </w:rPr>
              <w:t xml:space="preserve">                </w:t>
            </w:r>
            <w:r>
              <w:rPr>
                <w:rFonts w:hint="eastAsia"/>
                <w:sz w:val="21"/>
                <w:lang w:val="en-US"/>
              </w:rPr>
              <w:t>元</w:t>
            </w:r>
          </w:p>
          <w:p w14:paraId="6BFE765A">
            <w:pPr>
              <w:pStyle w:val="25"/>
              <w:spacing w:before="142"/>
              <w:ind w:left="218" w:leftChars="99" w:right="210"/>
              <w:jc w:val="both"/>
              <w:rPr>
                <w:bCs/>
                <w:sz w:val="24"/>
                <w:szCs w:val="24"/>
              </w:rPr>
            </w:pPr>
            <w:r>
              <w:rPr>
                <w:rFonts w:hint="eastAsia"/>
                <w:sz w:val="21"/>
                <w:lang w:val="en-US"/>
              </w:rPr>
              <w:t>小写：</w:t>
            </w:r>
            <w:r>
              <w:rPr>
                <w:rFonts w:hint="eastAsia"/>
                <w:sz w:val="21"/>
                <w:u w:val="single"/>
                <w:lang w:val="en-US"/>
              </w:rPr>
              <w:t xml:space="preserve">                </w:t>
            </w:r>
            <w:r>
              <w:rPr>
                <w:rFonts w:hint="eastAsia"/>
                <w:sz w:val="21"/>
                <w:lang w:val="en-US"/>
              </w:rPr>
              <w:t>元</w:t>
            </w:r>
          </w:p>
        </w:tc>
        <w:tc>
          <w:tcPr>
            <w:tcW w:w="800" w:type="pct"/>
            <w:vAlign w:val="center"/>
          </w:tcPr>
          <w:p w14:paraId="2A82017D">
            <w:pPr>
              <w:pStyle w:val="25"/>
              <w:jc w:val="center"/>
              <w:rPr>
                <w:sz w:val="20"/>
              </w:rPr>
            </w:pPr>
          </w:p>
        </w:tc>
      </w:tr>
    </w:tbl>
    <w:p w14:paraId="178E9DE0">
      <w:pPr>
        <w:adjustRightInd w:val="0"/>
        <w:snapToGrid w:val="0"/>
        <w:spacing w:line="360" w:lineRule="auto"/>
        <w:ind w:firstLine="482"/>
        <w:rPr>
          <w:bCs/>
          <w:sz w:val="21"/>
          <w:szCs w:val="21"/>
        </w:rPr>
      </w:pPr>
      <w:r>
        <w:rPr>
          <w:rFonts w:hint="eastAsia"/>
          <w:bCs/>
          <w:sz w:val="21"/>
          <w:szCs w:val="21"/>
        </w:rPr>
        <w:t>注：</w:t>
      </w:r>
      <w:r>
        <w:rPr>
          <w:rFonts w:hint="eastAsia"/>
          <w:bCs/>
          <w:sz w:val="21"/>
          <w:szCs w:val="21"/>
          <w:lang w:val="en-US"/>
        </w:rPr>
        <w:t>1、</w:t>
      </w:r>
      <w:r>
        <w:rPr>
          <w:rFonts w:hint="eastAsia"/>
          <w:bCs/>
          <w:sz w:val="21"/>
          <w:szCs w:val="21"/>
        </w:rPr>
        <w:t>投标报价以“元”为单位，小数点后保留两位小数，第三位小数四舍五入。</w:t>
      </w:r>
      <w:r>
        <w:rPr>
          <w:rFonts w:hint="eastAsia"/>
          <w:bCs/>
          <w:sz w:val="21"/>
          <w:szCs w:val="21"/>
          <w:u w:val="single"/>
        </w:rPr>
        <w:t>如投标报价形式不符合本点要求的，不作为否决投标条件，由评标委员会进行修正；修正后的投标报价若超过对应的最高投标限价，则由评标委员会作无效投标处理。</w:t>
      </w:r>
    </w:p>
    <w:p w14:paraId="1AE52EF3">
      <w:pPr>
        <w:pStyle w:val="9"/>
        <w:spacing w:before="4" w:line="360" w:lineRule="auto"/>
        <w:ind w:firstLine="420" w:firstLineChars="200"/>
        <w:rPr>
          <w:bCs/>
        </w:rPr>
      </w:pPr>
      <w:r>
        <w:rPr>
          <w:rFonts w:hint="eastAsia"/>
          <w:bCs/>
          <w:lang w:val="en-US" w:bidi="ar"/>
        </w:rPr>
        <w:t>2、</w:t>
      </w:r>
      <w:r>
        <w:rPr>
          <w:rFonts w:hint="eastAsia"/>
          <w:bCs/>
          <w:lang w:bidi="ar"/>
        </w:rPr>
        <w:t>投标报价</w:t>
      </w:r>
      <w:r>
        <w:rPr>
          <w:rFonts w:hint="eastAsia"/>
          <w:bCs/>
        </w:rPr>
        <w:t>与下浮率所算出的价格不一致的，以</w:t>
      </w:r>
      <w:r>
        <w:rPr>
          <w:rFonts w:hint="eastAsia"/>
          <w:bCs/>
          <w:lang w:bidi="ar"/>
        </w:rPr>
        <w:t>投标报价</w:t>
      </w:r>
      <w:r>
        <w:rPr>
          <w:rFonts w:hint="eastAsia"/>
          <w:bCs/>
        </w:rPr>
        <w:t>为准，修正下浮率=1-</w:t>
      </w:r>
      <w:r>
        <w:rPr>
          <w:rFonts w:hint="eastAsia"/>
          <w:bCs/>
          <w:lang w:bidi="ar"/>
        </w:rPr>
        <w:t>投标报价</w:t>
      </w:r>
      <w:r>
        <w:rPr>
          <w:rFonts w:hint="eastAsia"/>
          <w:bCs/>
        </w:rPr>
        <w:t>/最高投标限价（以%为单位，精确到小数点后2位）。评标委员会按上述修正错误的原则及方法修正投标文件的下浮率，调整后的下浮率对投标人起约束作用。如果投标人不接受修正后的下浮率，则取消其中标资格</w:t>
      </w:r>
      <w:r>
        <w:rPr>
          <w:rFonts w:hint="eastAsia"/>
          <w:bCs/>
          <w:kern w:val="2"/>
        </w:rPr>
        <w:t>。</w:t>
      </w:r>
    </w:p>
    <w:p w14:paraId="73DF0FBE">
      <w:pPr>
        <w:pStyle w:val="9"/>
        <w:tabs>
          <w:tab w:val="left" w:pos="7381"/>
        </w:tabs>
        <w:spacing w:before="78" w:line="360" w:lineRule="auto"/>
        <w:ind w:left="2761"/>
      </w:pPr>
      <w:r>
        <w:rPr>
          <w:rFonts w:hint="eastAsia"/>
        </w:rPr>
        <w:t>投 标 人</w:t>
      </w:r>
      <w:r>
        <w:rPr>
          <w:rFonts w:hint="eastAsia"/>
          <w:spacing w:val="-3"/>
        </w:rPr>
        <w:t>：</w:t>
      </w:r>
      <w:r>
        <w:rPr>
          <w:rFonts w:hint="eastAsia"/>
          <w:spacing w:val="-3"/>
          <w:u w:val="single"/>
        </w:rPr>
        <w:t xml:space="preserve"> </w:t>
      </w:r>
      <w:r>
        <w:rPr>
          <w:rFonts w:hint="eastAsia"/>
          <w:spacing w:val="-3"/>
          <w:u w:val="single"/>
        </w:rPr>
        <w:tab/>
      </w:r>
      <w:r>
        <w:rPr>
          <w:rFonts w:hint="eastAsia"/>
        </w:rPr>
        <w:t>（盖</w:t>
      </w:r>
      <w:r>
        <w:rPr>
          <w:rFonts w:hint="eastAsia"/>
          <w:spacing w:val="-3"/>
        </w:rPr>
        <w:t>单</w:t>
      </w:r>
      <w:r>
        <w:rPr>
          <w:rFonts w:hint="eastAsia"/>
        </w:rPr>
        <w:t>位</w:t>
      </w:r>
      <w:r>
        <w:rPr>
          <w:rFonts w:hint="eastAsia"/>
          <w:spacing w:val="-3"/>
        </w:rPr>
        <w:t>章</w:t>
      </w:r>
      <w:r>
        <w:rPr>
          <w:rFonts w:hint="eastAsia"/>
        </w:rPr>
        <w:t>）</w:t>
      </w:r>
    </w:p>
    <w:p w14:paraId="69D1C696">
      <w:pPr>
        <w:pStyle w:val="9"/>
        <w:tabs>
          <w:tab w:val="left" w:pos="6541"/>
        </w:tabs>
        <w:spacing w:before="173" w:line="360" w:lineRule="auto"/>
        <w:ind w:left="2761"/>
      </w:pPr>
      <w:r>
        <w:rPr>
          <w:rFonts w:hint="eastAsia"/>
        </w:rPr>
        <w:t>法</w:t>
      </w:r>
      <w:r>
        <w:rPr>
          <w:rFonts w:hint="eastAsia"/>
          <w:spacing w:val="-3"/>
        </w:rPr>
        <w:t>定</w:t>
      </w:r>
      <w:r>
        <w:rPr>
          <w:rFonts w:hint="eastAsia"/>
        </w:rPr>
        <w:t>代</w:t>
      </w:r>
      <w:r>
        <w:rPr>
          <w:rFonts w:hint="eastAsia"/>
          <w:spacing w:val="-3"/>
        </w:rPr>
        <w:t>表</w:t>
      </w:r>
      <w:r>
        <w:rPr>
          <w:rFonts w:hint="eastAsia"/>
        </w:rPr>
        <w:t>人</w:t>
      </w:r>
      <w:r>
        <w:rPr>
          <w:rFonts w:hint="eastAsia"/>
          <w:spacing w:val="-3"/>
        </w:rPr>
        <w:t>或</w:t>
      </w:r>
      <w:r>
        <w:rPr>
          <w:rFonts w:hint="eastAsia"/>
        </w:rPr>
        <w:t>其</w:t>
      </w:r>
      <w:r>
        <w:rPr>
          <w:rFonts w:hint="eastAsia"/>
          <w:spacing w:val="-3"/>
        </w:rPr>
        <w:t>委</w:t>
      </w:r>
      <w:r>
        <w:rPr>
          <w:rFonts w:hint="eastAsia"/>
        </w:rPr>
        <w:t>托</w:t>
      </w:r>
      <w:r>
        <w:rPr>
          <w:rFonts w:hint="eastAsia"/>
          <w:spacing w:val="-3"/>
        </w:rPr>
        <w:t>代理</w:t>
      </w:r>
      <w:r>
        <w:rPr>
          <w:rFonts w:hint="eastAsia"/>
        </w:rPr>
        <w:t>人：</w:t>
      </w:r>
      <w:r>
        <w:rPr>
          <w:rFonts w:hint="eastAsia"/>
          <w:u w:val="single"/>
        </w:rPr>
        <w:t xml:space="preserve"> </w:t>
      </w:r>
      <w:r>
        <w:rPr>
          <w:rFonts w:hint="eastAsia"/>
          <w:u w:val="single"/>
        </w:rPr>
        <w:tab/>
      </w:r>
      <w:r>
        <w:rPr>
          <w:rFonts w:hint="eastAsia"/>
          <w:u w:val="single"/>
          <w:lang w:val="en-US"/>
        </w:rPr>
        <w:t xml:space="preserve">        </w:t>
      </w:r>
      <w:r>
        <w:rPr>
          <w:rFonts w:hint="eastAsia"/>
        </w:rPr>
        <w:t>（签</w:t>
      </w:r>
      <w:r>
        <w:rPr>
          <w:rFonts w:hint="eastAsia"/>
          <w:spacing w:val="-3"/>
        </w:rPr>
        <w:t>字</w:t>
      </w:r>
      <w:r>
        <w:rPr>
          <w:rFonts w:hint="eastAsia"/>
          <w:lang w:val="en-US"/>
        </w:rPr>
        <w:t>或盖章</w:t>
      </w:r>
      <w:r>
        <w:rPr>
          <w:rFonts w:hint="eastAsia"/>
        </w:rPr>
        <w:t>）</w:t>
      </w:r>
    </w:p>
    <w:p w14:paraId="43F5A738">
      <w:pPr>
        <w:pStyle w:val="9"/>
        <w:tabs>
          <w:tab w:val="left" w:pos="6990"/>
          <w:tab w:val="left" w:pos="7830"/>
          <w:tab w:val="left" w:pos="8670"/>
        </w:tabs>
        <w:spacing w:before="170" w:line="360" w:lineRule="auto"/>
        <w:ind w:left="6359"/>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14:paraId="3947DEA7">
      <w:pPr>
        <w:spacing w:line="360" w:lineRule="auto"/>
        <w:sectPr>
          <w:pgSz w:w="11906" w:h="16838"/>
          <w:pgMar w:top="1417" w:right="1417" w:bottom="1417" w:left="1417" w:header="0" w:footer="839" w:gutter="0"/>
          <w:cols w:space="0" w:num="1"/>
        </w:sectPr>
      </w:pPr>
    </w:p>
    <w:p w14:paraId="1EBD985A">
      <w:pPr>
        <w:spacing w:line="360" w:lineRule="auto"/>
        <w:ind w:right="457"/>
        <w:jc w:val="center"/>
        <w:rPr>
          <w:b/>
          <w:sz w:val="32"/>
        </w:rPr>
      </w:pPr>
      <w:bookmarkStart w:id="50" w:name="_bookmark179"/>
      <w:bookmarkEnd w:id="50"/>
      <w:r>
        <w:rPr>
          <w:rFonts w:hint="eastAsia"/>
          <w:b/>
          <w:sz w:val="32"/>
        </w:rPr>
        <w:t>二、法定代表人身份证明</w:t>
      </w:r>
      <w:r>
        <w:rPr>
          <w:rFonts w:hint="eastAsia"/>
          <w:b/>
          <w:sz w:val="32"/>
          <w:lang w:val="en-US"/>
        </w:rPr>
        <w:t xml:space="preserve"> </w:t>
      </w:r>
    </w:p>
    <w:p w14:paraId="28ED939D">
      <w:pPr>
        <w:pStyle w:val="9"/>
        <w:spacing w:line="360" w:lineRule="auto"/>
        <w:rPr>
          <w:b/>
          <w:sz w:val="32"/>
        </w:rPr>
      </w:pPr>
    </w:p>
    <w:p w14:paraId="58D7AF2A">
      <w:pPr>
        <w:pStyle w:val="9"/>
        <w:spacing w:line="360" w:lineRule="auto"/>
        <w:rPr>
          <w:b/>
          <w:sz w:val="32"/>
        </w:rPr>
      </w:pPr>
    </w:p>
    <w:p w14:paraId="07934C6B">
      <w:pPr>
        <w:pStyle w:val="9"/>
        <w:spacing w:before="3" w:line="360" w:lineRule="auto"/>
        <w:rPr>
          <w:b/>
          <w:sz w:val="18"/>
        </w:rPr>
      </w:pPr>
    </w:p>
    <w:p w14:paraId="5398BC9D">
      <w:pPr>
        <w:pStyle w:val="9"/>
        <w:tabs>
          <w:tab w:val="left" w:pos="4068"/>
        </w:tabs>
        <w:spacing w:line="360" w:lineRule="auto"/>
        <w:ind w:left="240"/>
      </w:pPr>
      <w:r>
        <w:rPr>
          <w:rFonts w:hint="eastAsia"/>
          <w:spacing w:val="-1"/>
        </w:rPr>
        <w:t>投</w:t>
      </w:r>
      <w:r>
        <w:rPr>
          <w:rFonts w:hint="eastAsia"/>
        </w:rPr>
        <w:t>标</w:t>
      </w:r>
      <w:r>
        <w:rPr>
          <w:rFonts w:hint="eastAsia"/>
          <w:spacing w:val="-3"/>
        </w:rPr>
        <w:t>人</w:t>
      </w:r>
      <w:r>
        <w:rPr>
          <w:rFonts w:hint="eastAsia"/>
        </w:rPr>
        <w:t>名</w:t>
      </w:r>
      <w:r>
        <w:rPr>
          <w:rFonts w:hint="eastAsia"/>
          <w:spacing w:val="-3"/>
        </w:rPr>
        <w:t>称</w:t>
      </w:r>
      <w:r>
        <w:rPr>
          <w:rFonts w:hint="eastAsia"/>
        </w:rPr>
        <w:t>：</w:t>
      </w:r>
      <w:r>
        <w:rPr>
          <w:rFonts w:hint="eastAsia"/>
          <w:u w:val="single"/>
        </w:rPr>
        <w:t xml:space="preserve"> </w:t>
      </w:r>
      <w:r>
        <w:rPr>
          <w:rFonts w:hint="eastAsia"/>
          <w:u w:val="single"/>
        </w:rPr>
        <w:tab/>
      </w:r>
    </w:p>
    <w:p w14:paraId="6804A979">
      <w:pPr>
        <w:pStyle w:val="9"/>
        <w:tabs>
          <w:tab w:val="left" w:pos="2552"/>
          <w:tab w:val="left" w:pos="4023"/>
          <w:tab w:val="left" w:pos="5492"/>
          <w:tab w:val="left" w:pos="7009"/>
        </w:tabs>
        <w:spacing w:before="170" w:line="360" w:lineRule="auto"/>
        <w:ind w:left="240"/>
      </w:pPr>
      <w:r>
        <w:rPr>
          <w:rFonts w:hint="eastAsia"/>
        </w:rPr>
        <w:t>姓名</w:t>
      </w:r>
      <w:r>
        <w:rPr>
          <w:rFonts w:hint="eastAsia"/>
          <w:spacing w:val="-3"/>
        </w:rPr>
        <w:t>：</w:t>
      </w:r>
      <w:r>
        <w:rPr>
          <w:rFonts w:hint="eastAsia"/>
          <w:spacing w:val="-3"/>
          <w:u w:val="single"/>
        </w:rPr>
        <w:t xml:space="preserve"> </w:t>
      </w:r>
      <w:r>
        <w:rPr>
          <w:rFonts w:hint="eastAsia"/>
          <w:spacing w:val="-3"/>
          <w:u w:val="single"/>
        </w:rPr>
        <w:tab/>
      </w:r>
      <w:r>
        <w:rPr>
          <w:rFonts w:hint="eastAsia"/>
        </w:rPr>
        <w:t>性别</w:t>
      </w:r>
      <w:r>
        <w:rPr>
          <w:rFonts w:hint="eastAsia"/>
          <w:spacing w:val="-3"/>
        </w:rPr>
        <w:t>：</w:t>
      </w:r>
      <w:r>
        <w:rPr>
          <w:rFonts w:hint="eastAsia"/>
          <w:spacing w:val="-3"/>
          <w:u w:val="single"/>
        </w:rPr>
        <w:t xml:space="preserve"> </w:t>
      </w:r>
      <w:r>
        <w:rPr>
          <w:rFonts w:hint="eastAsia"/>
          <w:spacing w:val="-3"/>
          <w:u w:val="single"/>
        </w:rPr>
        <w:tab/>
      </w:r>
      <w:r>
        <w:rPr>
          <w:rFonts w:hint="eastAsia"/>
        </w:rPr>
        <w:t>年</w:t>
      </w:r>
      <w:r>
        <w:rPr>
          <w:rFonts w:hint="eastAsia"/>
          <w:spacing w:val="-3"/>
        </w:rPr>
        <w:t>龄</w:t>
      </w:r>
      <w:r>
        <w:rPr>
          <w:rFonts w:hint="eastAsia"/>
        </w:rPr>
        <w:t>：</w:t>
      </w:r>
      <w:r>
        <w:rPr>
          <w:rFonts w:hint="eastAsia"/>
          <w:u w:val="single"/>
        </w:rPr>
        <w:t xml:space="preserve"> </w:t>
      </w:r>
      <w:r>
        <w:rPr>
          <w:rFonts w:hint="eastAsia"/>
          <w:u w:val="single"/>
        </w:rPr>
        <w:tab/>
      </w:r>
      <w:r>
        <w:rPr>
          <w:rFonts w:hint="eastAsia"/>
          <w:spacing w:val="-1"/>
        </w:rPr>
        <w:t>职</w:t>
      </w:r>
      <w:r>
        <w:rPr>
          <w:rFonts w:hint="eastAsia"/>
          <w:spacing w:val="-3"/>
        </w:rPr>
        <w:t>务</w:t>
      </w:r>
      <w:r>
        <w:rPr>
          <w:rFonts w:hint="eastAsia"/>
        </w:rPr>
        <w:t>：</w:t>
      </w:r>
      <w:r>
        <w:rPr>
          <w:rFonts w:hint="eastAsia"/>
          <w:u w:val="single"/>
        </w:rPr>
        <w:t xml:space="preserve"> </w:t>
      </w:r>
      <w:r>
        <w:rPr>
          <w:rFonts w:hint="eastAsia"/>
          <w:u w:val="single"/>
        </w:rPr>
        <w:tab/>
      </w:r>
    </w:p>
    <w:p w14:paraId="00E68FCD">
      <w:pPr>
        <w:pStyle w:val="9"/>
        <w:tabs>
          <w:tab w:val="left" w:pos="2972"/>
        </w:tabs>
        <w:spacing w:before="173" w:line="360" w:lineRule="auto"/>
        <w:ind w:left="240"/>
      </w:pPr>
      <w:r>
        <w:rPr>
          <w:rFonts w:hint="eastAsia"/>
        </w:rPr>
        <w:t>系</w:t>
      </w:r>
      <w:r>
        <w:rPr>
          <w:rFonts w:hint="eastAsia"/>
          <w:u w:val="single"/>
        </w:rPr>
        <w:t xml:space="preserve"> </w:t>
      </w:r>
      <w:r>
        <w:rPr>
          <w:rFonts w:hint="eastAsia"/>
          <w:u w:val="single"/>
        </w:rPr>
        <w:tab/>
      </w:r>
      <w:r>
        <w:rPr>
          <w:rFonts w:hint="eastAsia"/>
          <w:spacing w:val="-3"/>
        </w:rPr>
        <w:t>（</w:t>
      </w:r>
      <w:r>
        <w:rPr>
          <w:rFonts w:hint="eastAsia"/>
        </w:rPr>
        <w:t>投</w:t>
      </w:r>
      <w:r>
        <w:rPr>
          <w:rFonts w:hint="eastAsia"/>
          <w:spacing w:val="-3"/>
        </w:rPr>
        <w:t>标</w:t>
      </w:r>
      <w:r>
        <w:rPr>
          <w:rFonts w:hint="eastAsia"/>
        </w:rPr>
        <w:t>人</w:t>
      </w:r>
      <w:r>
        <w:rPr>
          <w:rFonts w:hint="eastAsia"/>
          <w:spacing w:val="-3"/>
        </w:rPr>
        <w:t>名</w:t>
      </w:r>
      <w:r>
        <w:rPr>
          <w:rFonts w:hint="eastAsia"/>
        </w:rPr>
        <w:t>称</w:t>
      </w:r>
      <w:r>
        <w:rPr>
          <w:rFonts w:hint="eastAsia"/>
          <w:spacing w:val="-3"/>
        </w:rPr>
        <w:t>）</w:t>
      </w:r>
      <w:r>
        <w:rPr>
          <w:rFonts w:hint="eastAsia"/>
        </w:rPr>
        <w:t>的</w:t>
      </w:r>
      <w:r>
        <w:rPr>
          <w:rFonts w:hint="eastAsia"/>
          <w:spacing w:val="-3"/>
        </w:rPr>
        <w:t>法定</w:t>
      </w:r>
      <w:r>
        <w:rPr>
          <w:rFonts w:hint="eastAsia"/>
        </w:rPr>
        <w:t>代表</w:t>
      </w:r>
      <w:r>
        <w:rPr>
          <w:rFonts w:hint="eastAsia"/>
          <w:spacing w:val="-3"/>
        </w:rPr>
        <w:t>人</w:t>
      </w:r>
      <w:r>
        <w:rPr>
          <w:rFonts w:hint="eastAsia"/>
        </w:rPr>
        <w:t>。</w:t>
      </w:r>
    </w:p>
    <w:p w14:paraId="2506A5A1">
      <w:pPr>
        <w:pStyle w:val="9"/>
        <w:spacing w:before="170" w:line="360" w:lineRule="auto"/>
        <w:ind w:left="660"/>
      </w:pPr>
      <w:r>
        <w:rPr>
          <w:rFonts w:hint="eastAsia"/>
        </w:rPr>
        <w:t>特此证明。</w:t>
      </w:r>
    </w:p>
    <w:p w14:paraId="07E419B7">
      <w:pPr>
        <w:pStyle w:val="9"/>
        <w:spacing w:line="360" w:lineRule="auto"/>
        <w:rPr>
          <w:sz w:val="20"/>
        </w:rPr>
      </w:pPr>
    </w:p>
    <w:p w14:paraId="12A219AA">
      <w:pPr>
        <w:pStyle w:val="9"/>
        <w:spacing w:before="10" w:line="360" w:lineRule="auto"/>
        <w:rPr>
          <w:sz w:val="27"/>
        </w:rPr>
      </w:pPr>
    </w:p>
    <w:p w14:paraId="1CF16FD2">
      <w:pPr>
        <w:pStyle w:val="9"/>
        <w:spacing w:line="360" w:lineRule="auto"/>
        <w:ind w:left="240"/>
      </w:pPr>
      <w:r>
        <w:rPr>
          <w:rFonts w:hint="eastAsia"/>
        </w:rPr>
        <w:t>附：法定代表人身份证复印件。</w:t>
      </w:r>
    </w:p>
    <w:p w14:paraId="730B1A45">
      <w:pPr>
        <w:pStyle w:val="9"/>
        <w:spacing w:line="360" w:lineRule="auto"/>
        <w:rPr>
          <w:sz w:val="20"/>
        </w:rPr>
      </w:pPr>
    </w:p>
    <w:p w14:paraId="6707F357">
      <w:pPr>
        <w:pStyle w:val="9"/>
        <w:spacing w:before="7" w:line="360" w:lineRule="auto"/>
        <w:rPr>
          <w:sz w:val="27"/>
        </w:rPr>
      </w:pPr>
    </w:p>
    <w:p w14:paraId="1969E485">
      <w:pPr>
        <w:pStyle w:val="9"/>
        <w:spacing w:line="360" w:lineRule="auto"/>
        <w:ind w:left="240"/>
      </w:pPr>
      <w:r>
        <w:rPr>
          <w:rFonts w:hint="eastAsia"/>
        </w:rPr>
        <w:t>注：本身份证明需由投标人加盖单位公章。</w:t>
      </w:r>
    </w:p>
    <w:p w14:paraId="6CAE09C5">
      <w:pPr>
        <w:pStyle w:val="9"/>
        <w:spacing w:line="360" w:lineRule="auto"/>
        <w:rPr>
          <w:sz w:val="20"/>
        </w:rPr>
      </w:pPr>
    </w:p>
    <w:p w14:paraId="3CF59488">
      <w:pPr>
        <w:pStyle w:val="9"/>
        <w:spacing w:line="360" w:lineRule="auto"/>
        <w:rPr>
          <w:sz w:val="20"/>
        </w:rPr>
      </w:pPr>
    </w:p>
    <w:p w14:paraId="457FF0EE">
      <w:pPr>
        <w:pStyle w:val="9"/>
        <w:spacing w:line="360" w:lineRule="auto"/>
        <w:rPr>
          <w:sz w:val="20"/>
        </w:rPr>
      </w:pPr>
    </w:p>
    <w:p w14:paraId="7FE6AFD8">
      <w:pPr>
        <w:pStyle w:val="9"/>
        <w:spacing w:before="12" w:line="360" w:lineRule="auto"/>
        <w:rPr>
          <w:sz w:val="15"/>
        </w:rPr>
      </w:pPr>
    </w:p>
    <w:p w14:paraId="5CE296C3">
      <w:pPr>
        <w:pStyle w:val="9"/>
        <w:tabs>
          <w:tab w:val="left" w:pos="6661"/>
        </w:tabs>
        <w:spacing w:before="79" w:line="360" w:lineRule="auto"/>
        <w:ind w:left="4352"/>
      </w:pPr>
      <w:r>
        <w:rPr>
          <w:rFonts w:hint="eastAsia"/>
          <w:spacing w:val="-3"/>
        </w:rPr>
        <w:t>投</w:t>
      </w:r>
      <w:r>
        <w:rPr>
          <w:rFonts w:hint="eastAsia"/>
        </w:rPr>
        <w:t>标</w:t>
      </w:r>
      <w:r>
        <w:rPr>
          <w:rFonts w:hint="eastAsia"/>
          <w:spacing w:val="-3"/>
        </w:rPr>
        <w:t>人</w:t>
      </w:r>
      <w:r>
        <w:rPr>
          <w:rFonts w:hint="eastAsia"/>
        </w:rPr>
        <w:t>：</w:t>
      </w:r>
      <w:r>
        <w:rPr>
          <w:rFonts w:hint="eastAsia"/>
          <w:u w:val="single"/>
        </w:rPr>
        <w:t xml:space="preserve"> </w:t>
      </w:r>
      <w:r>
        <w:rPr>
          <w:rFonts w:hint="eastAsia"/>
          <w:u w:val="single"/>
        </w:rPr>
        <w:tab/>
      </w:r>
      <w:r>
        <w:rPr>
          <w:rFonts w:hint="eastAsia"/>
        </w:rPr>
        <w:t>（盖</w:t>
      </w:r>
      <w:r>
        <w:rPr>
          <w:rFonts w:hint="eastAsia"/>
          <w:spacing w:val="-3"/>
        </w:rPr>
        <w:t>单</w:t>
      </w:r>
      <w:r>
        <w:rPr>
          <w:rFonts w:hint="eastAsia"/>
        </w:rPr>
        <w:t>位</w:t>
      </w:r>
      <w:r>
        <w:rPr>
          <w:rFonts w:hint="eastAsia"/>
          <w:spacing w:val="-3"/>
        </w:rPr>
        <w:t>章</w:t>
      </w:r>
      <w:r>
        <w:rPr>
          <w:rFonts w:hint="eastAsia"/>
        </w:rPr>
        <w:t>）</w:t>
      </w:r>
    </w:p>
    <w:p w14:paraId="65596A89">
      <w:pPr>
        <w:pStyle w:val="9"/>
        <w:spacing w:line="360" w:lineRule="auto"/>
        <w:rPr>
          <w:sz w:val="20"/>
        </w:rPr>
      </w:pPr>
    </w:p>
    <w:p w14:paraId="01C2F9D4">
      <w:pPr>
        <w:pStyle w:val="9"/>
        <w:spacing w:before="1" w:line="360" w:lineRule="auto"/>
        <w:rPr>
          <w:sz w:val="22"/>
        </w:rPr>
      </w:pPr>
    </w:p>
    <w:p w14:paraId="3F31D765">
      <w:pPr>
        <w:pStyle w:val="9"/>
        <w:tabs>
          <w:tab w:val="left" w:pos="5492"/>
          <w:tab w:val="left" w:pos="6332"/>
          <w:tab w:val="left" w:pos="7172"/>
        </w:tabs>
        <w:spacing w:before="72" w:line="360" w:lineRule="auto"/>
        <w:ind w:left="4861"/>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14:paraId="188C8C69">
      <w:pPr>
        <w:spacing w:line="360" w:lineRule="auto"/>
        <w:sectPr>
          <w:pgSz w:w="11906" w:h="16838"/>
          <w:pgMar w:top="1417" w:right="1417" w:bottom="1417" w:left="1417" w:header="0" w:footer="839" w:gutter="0"/>
          <w:cols w:space="0" w:num="1"/>
        </w:sectPr>
      </w:pPr>
    </w:p>
    <w:p w14:paraId="0C317255">
      <w:pPr>
        <w:spacing w:line="360" w:lineRule="auto"/>
        <w:ind w:right="459"/>
        <w:jc w:val="center"/>
        <w:rPr>
          <w:b/>
          <w:sz w:val="32"/>
        </w:rPr>
      </w:pPr>
      <w:bookmarkStart w:id="51" w:name="_bookmark180"/>
      <w:bookmarkEnd w:id="51"/>
      <w:r>
        <w:rPr>
          <w:rFonts w:hint="eastAsia"/>
          <w:b/>
          <w:sz w:val="32"/>
        </w:rPr>
        <w:t>三、授权委托书</w:t>
      </w:r>
      <w:r>
        <w:rPr>
          <w:rFonts w:hint="eastAsia"/>
          <w:b/>
          <w:sz w:val="32"/>
          <w:lang w:val="en-US"/>
        </w:rPr>
        <w:t xml:space="preserve"> </w:t>
      </w:r>
    </w:p>
    <w:p w14:paraId="7499C485">
      <w:pPr>
        <w:pStyle w:val="9"/>
        <w:spacing w:line="360" w:lineRule="auto"/>
        <w:rPr>
          <w:b/>
          <w:sz w:val="32"/>
        </w:rPr>
      </w:pPr>
    </w:p>
    <w:p w14:paraId="22E6114C">
      <w:pPr>
        <w:pStyle w:val="9"/>
        <w:spacing w:before="5" w:line="360" w:lineRule="auto"/>
        <w:rPr>
          <w:b/>
          <w:sz w:val="26"/>
        </w:rPr>
      </w:pPr>
    </w:p>
    <w:p w14:paraId="52E99BC5">
      <w:pPr>
        <w:pStyle w:val="9"/>
        <w:tabs>
          <w:tab w:val="left" w:pos="2561"/>
          <w:tab w:val="left" w:pos="5725"/>
        </w:tabs>
        <w:spacing w:line="400" w:lineRule="exact"/>
        <w:ind w:left="660"/>
      </w:pPr>
      <w:r>
        <w:rPr>
          <w:rFonts w:hint="eastAsia"/>
        </w:rPr>
        <w:t>本人</w:t>
      </w:r>
      <w:r>
        <w:rPr>
          <w:rFonts w:hint="eastAsia"/>
          <w:u w:val="single"/>
        </w:rPr>
        <w:t xml:space="preserve"> </w:t>
      </w:r>
      <w:r>
        <w:rPr>
          <w:rFonts w:hint="eastAsia"/>
          <w:u w:val="single"/>
        </w:rPr>
        <w:tab/>
      </w:r>
      <w:r>
        <w:rPr>
          <w:rFonts w:hint="eastAsia"/>
        </w:rPr>
        <w:t>（</w:t>
      </w:r>
      <w:r>
        <w:rPr>
          <w:rFonts w:hint="eastAsia"/>
          <w:spacing w:val="-3"/>
        </w:rPr>
        <w:t>姓</w:t>
      </w:r>
      <w:r>
        <w:rPr>
          <w:rFonts w:hint="eastAsia"/>
        </w:rPr>
        <w:t>名）系</w:t>
      </w:r>
      <w:r>
        <w:rPr>
          <w:rFonts w:hint="eastAsia"/>
          <w:u w:val="single"/>
        </w:rPr>
        <w:t xml:space="preserve"> </w:t>
      </w:r>
      <w:r>
        <w:rPr>
          <w:rFonts w:hint="eastAsia"/>
          <w:u w:val="single"/>
        </w:rPr>
        <w:tab/>
      </w:r>
      <w:r>
        <w:rPr>
          <w:rFonts w:hint="eastAsia"/>
        </w:rPr>
        <w:t>（投标人</w:t>
      </w:r>
      <w:r>
        <w:rPr>
          <w:rFonts w:hint="eastAsia"/>
          <w:spacing w:val="-3"/>
        </w:rPr>
        <w:t>名</w:t>
      </w:r>
      <w:r>
        <w:rPr>
          <w:rFonts w:hint="eastAsia"/>
        </w:rPr>
        <w:t>称）的</w:t>
      </w:r>
      <w:r>
        <w:rPr>
          <w:rFonts w:hint="eastAsia"/>
          <w:spacing w:val="-3"/>
        </w:rPr>
        <w:t>法定</w:t>
      </w:r>
      <w:r>
        <w:rPr>
          <w:rFonts w:hint="eastAsia"/>
        </w:rPr>
        <w:t>代表人</w:t>
      </w:r>
      <w:r>
        <w:rPr>
          <w:rFonts w:hint="eastAsia"/>
          <w:spacing w:val="-3"/>
        </w:rPr>
        <w:t>，</w:t>
      </w:r>
      <w:r>
        <w:rPr>
          <w:rFonts w:hint="eastAsia"/>
        </w:rPr>
        <w:t>现</w:t>
      </w:r>
    </w:p>
    <w:p w14:paraId="3B3BD7B1">
      <w:pPr>
        <w:pStyle w:val="9"/>
        <w:tabs>
          <w:tab w:val="left" w:pos="1929"/>
        </w:tabs>
        <w:spacing w:line="400" w:lineRule="exact"/>
        <w:ind w:left="240"/>
      </w:pPr>
      <w:r>
        <w:rPr>
          <w:rFonts w:hint="eastAsia"/>
        </w:rPr>
        <w:t>委托</w:t>
      </w:r>
      <w:r>
        <w:rPr>
          <w:rFonts w:hint="eastAsia"/>
          <w:u w:val="single"/>
        </w:rPr>
        <w:t xml:space="preserve"> </w:t>
      </w:r>
      <w:r>
        <w:rPr>
          <w:rFonts w:hint="eastAsia"/>
          <w:u w:val="single"/>
        </w:rPr>
        <w:tab/>
      </w:r>
      <w:r>
        <w:rPr>
          <w:rFonts w:hint="eastAsia"/>
        </w:rPr>
        <w:t>（姓</w:t>
      </w:r>
      <w:r>
        <w:rPr>
          <w:rFonts w:hint="eastAsia"/>
          <w:spacing w:val="-3"/>
        </w:rPr>
        <w:t>名</w:t>
      </w:r>
      <w:r>
        <w:rPr>
          <w:rFonts w:hint="eastAsia"/>
        </w:rPr>
        <w:t>）为我方代</w:t>
      </w:r>
      <w:r>
        <w:rPr>
          <w:rFonts w:hint="eastAsia"/>
          <w:spacing w:val="-3"/>
        </w:rPr>
        <w:t>理</w:t>
      </w:r>
      <w:r>
        <w:rPr>
          <w:rFonts w:hint="eastAsia"/>
        </w:rPr>
        <w:t>人。代理</w:t>
      </w:r>
      <w:r>
        <w:rPr>
          <w:rFonts w:hint="eastAsia"/>
          <w:spacing w:val="-3"/>
        </w:rPr>
        <w:t>人</w:t>
      </w:r>
      <w:r>
        <w:rPr>
          <w:rFonts w:hint="eastAsia"/>
        </w:rPr>
        <w:t>根据授权，</w:t>
      </w:r>
      <w:r>
        <w:rPr>
          <w:rFonts w:hint="eastAsia"/>
          <w:spacing w:val="-3"/>
        </w:rPr>
        <w:t>以</w:t>
      </w:r>
      <w:r>
        <w:rPr>
          <w:rFonts w:hint="eastAsia"/>
        </w:rPr>
        <w:t>我方名义</w:t>
      </w:r>
      <w:r>
        <w:rPr>
          <w:rFonts w:hint="eastAsia"/>
          <w:spacing w:val="-3"/>
        </w:rPr>
        <w:t>签</w:t>
      </w:r>
      <w:r>
        <w:rPr>
          <w:rFonts w:hint="eastAsia"/>
        </w:rPr>
        <w:t>署、澄清确</w:t>
      </w:r>
      <w:r>
        <w:rPr>
          <w:rFonts w:hint="eastAsia"/>
          <w:spacing w:val="-3"/>
        </w:rPr>
        <w:t>认</w:t>
      </w:r>
      <w:r>
        <w:rPr>
          <w:rFonts w:hint="eastAsia"/>
        </w:rPr>
        <w:t>、递</w:t>
      </w:r>
    </w:p>
    <w:p w14:paraId="2E0621D7">
      <w:pPr>
        <w:pStyle w:val="9"/>
        <w:tabs>
          <w:tab w:val="left" w:pos="3706"/>
        </w:tabs>
        <w:spacing w:line="400" w:lineRule="exact"/>
        <w:ind w:left="240" w:right="720"/>
      </w:pPr>
      <w:r>
        <w:rPr>
          <w:rFonts w:hint="eastAsia"/>
        </w:rPr>
        <w:t>交、</w:t>
      </w:r>
      <w:r>
        <w:rPr>
          <w:rFonts w:hint="eastAsia"/>
          <w:spacing w:val="-3"/>
        </w:rPr>
        <w:t>撤</w:t>
      </w:r>
      <w:r>
        <w:rPr>
          <w:rFonts w:hint="eastAsia"/>
        </w:rPr>
        <w:t>回</w:t>
      </w:r>
      <w:r>
        <w:rPr>
          <w:rFonts w:hint="eastAsia"/>
          <w:spacing w:val="-3"/>
        </w:rPr>
        <w:t>、</w:t>
      </w:r>
      <w:r>
        <w:rPr>
          <w:rFonts w:hint="eastAsia"/>
        </w:rPr>
        <w:t>修</w:t>
      </w:r>
      <w:r>
        <w:rPr>
          <w:rFonts w:hint="eastAsia"/>
          <w:spacing w:val="-3"/>
        </w:rPr>
        <w:t>改</w:t>
      </w:r>
      <w:r>
        <w:rPr>
          <w:rFonts w:hint="eastAsia"/>
          <w:u w:val="single"/>
        </w:rPr>
        <w:t xml:space="preserve"> </w:t>
      </w:r>
      <w:r>
        <w:rPr>
          <w:rFonts w:hint="eastAsia"/>
          <w:u w:val="single"/>
        </w:rPr>
        <w:tab/>
      </w:r>
      <w:r>
        <w:rPr>
          <w:rFonts w:hint="eastAsia"/>
        </w:rPr>
        <w:t>招</w:t>
      </w:r>
      <w:r>
        <w:rPr>
          <w:rFonts w:hint="eastAsia"/>
          <w:spacing w:val="-3"/>
        </w:rPr>
        <w:t>标</w:t>
      </w:r>
      <w:r>
        <w:rPr>
          <w:rFonts w:hint="eastAsia"/>
        </w:rPr>
        <w:t>项目</w:t>
      </w:r>
      <w:r>
        <w:rPr>
          <w:rFonts w:hint="eastAsia"/>
          <w:spacing w:val="-3"/>
        </w:rPr>
        <w:t>投</w:t>
      </w:r>
      <w:r>
        <w:rPr>
          <w:rFonts w:hint="eastAsia"/>
        </w:rPr>
        <w:t>标</w:t>
      </w:r>
      <w:r>
        <w:rPr>
          <w:rFonts w:hint="eastAsia"/>
          <w:spacing w:val="-3"/>
        </w:rPr>
        <w:t>文</w:t>
      </w:r>
      <w:r>
        <w:rPr>
          <w:rFonts w:hint="eastAsia"/>
        </w:rPr>
        <w:t>件</w:t>
      </w:r>
      <w:r>
        <w:rPr>
          <w:rFonts w:hint="eastAsia"/>
          <w:spacing w:val="-3"/>
        </w:rPr>
        <w:t>、</w:t>
      </w:r>
      <w:r>
        <w:rPr>
          <w:rFonts w:hint="eastAsia"/>
        </w:rPr>
        <w:t>签</w:t>
      </w:r>
      <w:r>
        <w:rPr>
          <w:rFonts w:hint="eastAsia"/>
          <w:spacing w:val="-3"/>
        </w:rPr>
        <w:t>订</w:t>
      </w:r>
      <w:r>
        <w:rPr>
          <w:rFonts w:hint="eastAsia"/>
        </w:rPr>
        <w:t>合</w:t>
      </w:r>
      <w:r>
        <w:rPr>
          <w:rFonts w:hint="eastAsia"/>
          <w:spacing w:val="-3"/>
        </w:rPr>
        <w:t>同</w:t>
      </w:r>
      <w:r>
        <w:rPr>
          <w:rFonts w:hint="eastAsia"/>
        </w:rPr>
        <w:t>和处</w:t>
      </w:r>
      <w:r>
        <w:rPr>
          <w:rFonts w:hint="eastAsia"/>
          <w:spacing w:val="-3"/>
        </w:rPr>
        <w:t>理</w:t>
      </w:r>
      <w:r>
        <w:rPr>
          <w:rFonts w:hint="eastAsia"/>
        </w:rPr>
        <w:t>有</w:t>
      </w:r>
      <w:r>
        <w:rPr>
          <w:rFonts w:hint="eastAsia"/>
          <w:spacing w:val="-3"/>
        </w:rPr>
        <w:t>关</w:t>
      </w:r>
      <w:r>
        <w:rPr>
          <w:rFonts w:hint="eastAsia"/>
        </w:rPr>
        <w:t>事</w:t>
      </w:r>
      <w:r>
        <w:rPr>
          <w:rFonts w:hint="eastAsia"/>
          <w:spacing w:val="-3"/>
        </w:rPr>
        <w:t>宜</w:t>
      </w:r>
      <w:r>
        <w:rPr>
          <w:rFonts w:hint="eastAsia"/>
        </w:rPr>
        <w:t>，</w:t>
      </w:r>
      <w:r>
        <w:rPr>
          <w:rFonts w:hint="eastAsia"/>
          <w:spacing w:val="-3"/>
        </w:rPr>
        <w:t>其</w:t>
      </w:r>
      <w:r>
        <w:rPr>
          <w:rFonts w:hint="eastAsia"/>
        </w:rPr>
        <w:t>法</w:t>
      </w:r>
      <w:r>
        <w:rPr>
          <w:rFonts w:hint="eastAsia"/>
          <w:spacing w:val="-3"/>
        </w:rPr>
        <w:t>律</w:t>
      </w:r>
      <w:r>
        <w:rPr>
          <w:rFonts w:hint="eastAsia"/>
        </w:rPr>
        <w:t>后果</w:t>
      </w:r>
      <w:r>
        <w:rPr>
          <w:rFonts w:hint="eastAsia"/>
          <w:spacing w:val="-3"/>
        </w:rPr>
        <w:t>由</w:t>
      </w:r>
      <w:r>
        <w:rPr>
          <w:rFonts w:hint="eastAsia"/>
        </w:rPr>
        <w:t>我</w:t>
      </w:r>
      <w:r>
        <w:rPr>
          <w:rFonts w:hint="eastAsia"/>
          <w:spacing w:val="-3"/>
        </w:rPr>
        <w:t>方</w:t>
      </w:r>
      <w:r>
        <w:rPr>
          <w:rFonts w:hint="eastAsia"/>
        </w:rPr>
        <w:t>承</w:t>
      </w:r>
      <w:r>
        <w:rPr>
          <w:rFonts w:hint="eastAsia"/>
          <w:spacing w:val="-3"/>
        </w:rPr>
        <w:t>担</w:t>
      </w:r>
      <w:r>
        <w:rPr>
          <w:rFonts w:hint="eastAsia"/>
        </w:rPr>
        <w:t>。委托</w:t>
      </w:r>
      <w:r>
        <w:rPr>
          <w:rFonts w:hint="eastAsia"/>
          <w:spacing w:val="-3"/>
        </w:rPr>
        <w:t>期</w:t>
      </w:r>
      <w:r>
        <w:rPr>
          <w:rFonts w:hint="eastAsia"/>
        </w:rPr>
        <w:t>限</w:t>
      </w:r>
      <w:r>
        <w:rPr>
          <w:rFonts w:hint="eastAsia"/>
          <w:spacing w:val="-3"/>
        </w:rPr>
        <w:t>：</w:t>
      </w:r>
      <w:r>
        <w:rPr>
          <w:rFonts w:hint="eastAsia"/>
          <w:spacing w:val="-3"/>
          <w:u w:val="single"/>
        </w:rPr>
        <w:t xml:space="preserve"> </w:t>
      </w:r>
      <w:r>
        <w:rPr>
          <w:rFonts w:hint="eastAsia"/>
          <w:spacing w:val="-3"/>
          <w:u w:val="single"/>
          <w:lang w:val="en-US"/>
        </w:rPr>
        <w:t xml:space="preserve">          </w:t>
      </w:r>
      <w:r>
        <w:rPr>
          <w:rFonts w:hint="eastAsia"/>
          <w:spacing w:val="-3"/>
          <w:u w:val="single"/>
        </w:rPr>
        <w:tab/>
      </w:r>
      <w:r>
        <w:rPr>
          <w:rFonts w:hint="eastAsia"/>
        </w:rPr>
        <w:t>。</w:t>
      </w:r>
    </w:p>
    <w:p w14:paraId="30334E60">
      <w:pPr>
        <w:pStyle w:val="9"/>
        <w:spacing w:line="400" w:lineRule="exact"/>
        <w:ind w:left="660"/>
      </w:pPr>
      <w:r>
        <w:rPr>
          <w:rFonts w:hint="eastAsia"/>
        </w:rPr>
        <w:t>代理人无转委托权。</w:t>
      </w:r>
    </w:p>
    <w:p w14:paraId="63BFFE21">
      <w:pPr>
        <w:pStyle w:val="9"/>
        <w:spacing w:line="360" w:lineRule="auto"/>
        <w:rPr>
          <w:sz w:val="20"/>
        </w:rPr>
      </w:pPr>
    </w:p>
    <w:p w14:paraId="6949DB5C">
      <w:pPr>
        <w:pStyle w:val="9"/>
        <w:spacing w:before="9" w:line="360" w:lineRule="auto"/>
        <w:rPr>
          <w:sz w:val="27"/>
        </w:rPr>
      </w:pPr>
    </w:p>
    <w:p w14:paraId="798A96D7">
      <w:pPr>
        <w:pStyle w:val="9"/>
        <w:spacing w:line="360" w:lineRule="auto"/>
        <w:ind w:left="240"/>
      </w:pPr>
      <w:r>
        <w:rPr>
          <w:rFonts w:hint="eastAsia"/>
        </w:rPr>
        <w:t>附：法定代表人身份证复印件及委托代理人身份证复印件。</w:t>
      </w:r>
    </w:p>
    <w:p w14:paraId="14C0D92F">
      <w:pPr>
        <w:pStyle w:val="9"/>
        <w:spacing w:line="360" w:lineRule="auto"/>
        <w:rPr>
          <w:sz w:val="20"/>
        </w:rPr>
      </w:pPr>
    </w:p>
    <w:p w14:paraId="66E45E9E">
      <w:pPr>
        <w:pStyle w:val="9"/>
        <w:spacing w:before="7" w:line="360" w:lineRule="auto"/>
        <w:rPr>
          <w:sz w:val="27"/>
        </w:rPr>
      </w:pPr>
    </w:p>
    <w:p w14:paraId="11C0ACB4">
      <w:pPr>
        <w:pStyle w:val="9"/>
        <w:spacing w:line="360" w:lineRule="auto"/>
        <w:ind w:left="240"/>
      </w:pPr>
      <w:r>
        <w:rPr>
          <w:rFonts w:hint="eastAsia"/>
        </w:rPr>
        <w:t>注：本授权委托书需由投标人加盖单位公章并由其法定代表人和委托代理人签字。</w:t>
      </w:r>
    </w:p>
    <w:p w14:paraId="2E626AA2">
      <w:pPr>
        <w:pStyle w:val="9"/>
        <w:spacing w:line="360" w:lineRule="auto"/>
        <w:rPr>
          <w:sz w:val="20"/>
        </w:rPr>
      </w:pPr>
    </w:p>
    <w:p w14:paraId="125AA1FF">
      <w:pPr>
        <w:pStyle w:val="9"/>
        <w:spacing w:before="10" w:line="360" w:lineRule="auto"/>
        <w:rPr>
          <w:sz w:val="27"/>
        </w:rPr>
      </w:pPr>
    </w:p>
    <w:p w14:paraId="5771EC12">
      <w:pPr>
        <w:pStyle w:val="9"/>
        <w:tabs>
          <w:tab w:val="left" w:pos="3356"/>
          <w:tab w:val="left" w:pos="3776"/>
          <w:tab w:val="left" w:pos="7381"/>
        </w:tabs>
        <w:spacing w:line="360" w:lineRule="auto"/>
        <w:ind w:left="2933"/>
      </w:pPr>
      <w:r>
        <w:rPr>
          <w:rFonts w:hint="eastAsia"/>
        </w:rPr>
        <w:t>投</w:t>
      </w:r>
      <w:r>
        <w:rPr>
          <w:rFonts w:hint="eastAsia"/>
        </w:rPr>
        <w:tab/>
      </w:r>
      <w:r>
        <w:rPr>
          <w:rFonts w:hint="eastAsia"/>
        </w:rPr>
        <w:t>标</w:t>
      </w:r>
      <w:r>
        <w:rPr>
          <w:rFonts w:hint="eastAsia"/>
        </w:rPr>
        <w:tab/>
      </w:r>
      <w:r>
        <w:rPr>
          <w:rFonts w:hint="eastAsia"/>
          <w:spacing w:val="-3"/>
        </w:rPr>
        <w:t>人：</w:t>
      </w:r>
      <w:r>
        <w:rPr>
          <w:rFonts w:hint="eastAsia"/>
          <w:spacing w:val="-3"/>
          <w:u w:val="single"/>
        </w:rPr>
        <w:t xml:space="preserve"> </w:t>
      </w:r>
      <w:r>
        <w:rPr>
          <w:rFonts w:hint="eastAsia"/>
          <w:spacing w:val="-3"/>
          <w:u w:val="single"/>
        </w:rPr>
        <w:tab/>
      </w:r>
      <w:r>
        <w:rPr>
          <w:rFonts w:hint="eastAsia"/>
        </w:rPr>
        <w:t>（盖</w:t>
      </w:r>
      <w:r>
        <w:rPr>
          <w:rFonts w:hint="eastAsia"/>
          <w:spacing w:val="-3"/>
        </w:rPr>
        <w:t>单</w:t>
      </w:r>
      <w:r>
        <w:rPr>
          <w:rFonts w:hint="eastAsia"/>
        </w:rPr>
        <w:t>位</w:t>
      </w:r>
      <w:r>
        <w:rPr>
          <w:rFonts w:hint="eastAsia"/>
          <w:spacing w:val="-3"/>
        </w:rPr>
        <w:t>章</w:t>
      </w:r>
      <w:r>
        <w:rPr>
          <w:rFonts w:hint="eastAsia"/>
        </w:rPr>
        <w:t>）</w:t>
      </w:r>
    </w:p>
    <w:p w14:paraId="4583D8C4">
      <w:pPr>
        <w:pStyle w:val="9"/>
        <w:tabs>
          <w:tab w:val="left" w:pos="6541"/>
        </w:tabs>
        <w:spacing w:before="79" w:line="360" w:lineRule="auto"/>
        <w:ind w:left="2931"/>
      </w:pPr>
      <w:r>
        <w:rPr>
          <w:rFonts w:hint="eastAsia"/>
        </w:rPr>
        <w:t>法定</w:t>
      </w:r>
      <w:r>
        <w:rPr>
          <w:rFonts w:hint="eastAsia"/>
          <w:spacing w:val="-3"/>
        </w:rPr>
        <w:t>代</w:t>
      </w:r>
      <w:r>
        <w:rPr>
          <w:rFonts w:hint="eastAsia"/>
        </w:rPr>
        <w:t>表</w:t>
      </w:r>
      <w:r>
        <w:rPr>
          <w:rFonts w:hint="eastAsia"/>
          <w:spacing w:val="-3"/>
        </w:rPr>
        <w:t>人：</w:t>
      </w:r>
      <w:r>
        <w:rPr>
          <w:rFonts w:hint="eastAsia"/>
          <w:spacing w:val="-3"/>
          <w:u w:val="single"/>
        </w:rPr>
        <w:t xml:space="preserve"> </w:t>
      </w:r>
      <w:r>
        <w:rPr>
          <w:rFonts w:hint="eastAsia"/>
          <w:spacing w:val="-3"/>
          <w:u w:val="single"/>
        </w:rPr>
        <w:tab/>
      </w:r>
      <w:r>
        <w:rPr>
          <w:rFonts w:hint="eastAsia"/>
          <w:spacing w:val="-3"/>
          <w:u w:val="single"/>
          <w:lang w:val="en-US"/>
        </w:rPr>
        <w:t xml:space="preserve">        </w:t>
      </w:r>
      <w:r>
        <w:rPr>
          <w:rFonts w:hint="eastAsia"/>
        </w:rPr>
        <w:t>（签</w:t>
      </w:r>
      <w:r>
        <w:rPr>
          <w:rFonts w:hint="eastAsia"/>
          <w:spacing w:val="-3"/>
        </w:rPr>
        <w:t>字</w:t>
      </w:r>
      <w:r>
        <w:rPr>
          <w:rFonts w:hint="eastAsia"/>
          <w:lang w:val="en-US"/>
        </w:rPr>
        <w:t>或盖章</w:t>
      </w:r>
      <w:r>
        <w:rPr>
          <w:rFonts w:hint="eastAsia"/>
        </w:rPr>
        <w:t>）</w:t>
      </w:r>
    </w:p>
    <w:p w14:paraId="4E9275C2">
      <w:pPr>
        <w:pStyle w:val="9"/>
        <w:tabs>
          <w:tab w:val="left" w:pos="8689"/>
        </w:tabs>
        <w:spacing w:before="79" w:line="360" w:lineRule="auto"/>
        <w:ind w:left="2933"/>
      </w:pPr>
      <w:r>
        <w:rPr>
          <w:rFonts w:hint="eastAsia"/>
        </w:rPr>
        <w:t>身份</w:t>
      </w:r>
      <w:r>
        <w:rPr>
          <w:rFonts w:hint="eastAsia"/>
          <w:spacing w:val="-3"/>
        </w:rPr>
        <w:t>证</w:t>
      </w:r>
      <w:r>
        <w:rPr>
          <w:rFonts w:hint="eastAsia"/>
        </w:rPr>
        <w:t>号</w:t>
      </w:r>
      <w:r>
        <w:rPr>
          <w:rFonts w:hint="eastAsia"/>
          <w:spacing w:val="-3"/>
        </w:rPr>
        <w:t>码：</w:t>
      </w:r>
      <w:r>
        <w:rPr>
          <w:rFonts w:hint="eastAsia"/>
          <w:u w:val="single"/>
        </w:rPr>
        <w:t xml:space="preserve"> </w:t>
      </w:r>
      <w:r>
        <w:rPr>
          <w:rFonts w:hint="eastAsia"/>
          <w:u w:val="single"/>
        </w:rPr>
        <w:tab/>
      </w:r>
    </w:p>
    <w:p w14:paraId="3499B729">
      <w:pPr>
        <w:pStyle w:val="9"/>
        <w:tabs>
          <w:tab w:val="left" w:pos="7801"/>
        </w:tabs>
        <w:spacing w:before="79" w:line="360" w:lineRule="auto"/>
        <w:ind w:left="2933"/>
      </w:pPr>
      <w:r>
        <w:rPr>
          <w:rFonts w:hint="eastAsia"/>
        </w:rPr>
        <w:t>委托</w:t>
      </w:r>
      <w:r>
        <w:rPr>
          <w:rFonts w:hint="eastAsia"/>
          <w:spacing w:val="-3"/>
        </w:rPr>
        <w:t>代</w:t>
      </w:r>
      <w:r>
        <w:rPr>
          <w:rFonts w:hint="eastAsia"/>
        </w:rPr>
        <w:t>理</w:t>
      </w:r>
      <w:r>
        <w:rPr>
          <w:rFonts w:hint="eastAsia"/>
          <w:spacing w:val="-3"/>
        </w:rPr>
        <w:t>人：</w:t>
      </w:r>
      <w:r>
        <w:rPr>
          <w:rFonts w:hint="eastAsia"/>
          <w:spacing w:val="-3"/>
          <w:u w:val="single"/>
          <w:lang w:val="en-US"/>
        </w:rPr>
        <w:t xml:space="preserve">                                </w:t>
      </w:r>
      <w:r>
        <w:rPr>
          <w:rFonts w:hint="eastAsia"/>
        </w:rPr>
        <w:t>（签</w:t>
      </w:r>
      <w:r>
        <w:rPr>
          <w:rFonts w:hint="eastAsia"/>
          <w:spacing w:val="-3"/>
        </w:rPr>
        <w:t>字</w:t>
      </w:r>
      <w:r>
        <w:rPr>
          <w:rFonts w:hint="eastAsia"/>
          <w:lang w:val="en-US"/>
        </w:rPr>
        <w:t>或盖章</w:t>
      </w:r>
      <w:r>
        <w:rPr>
          <w:rFonts w:hint="eastAsia"/>
        </w:rPr>
        <w:t>）</w:t>
      </w:r>
    </w:p>
    <w:p w14:paraId="2A2B8172">
      <w:pPr>
        <w:pStyle w:val="9"/>
        <w:tabs>
          <w:tab w:val="left" w:pos="8689"/>
        </w:tabs>
        <w:spacing w:before="79" w:line="360" w:lineRule="auto"/>
        <w:ind w:left="2933"/>
      </w:pPr>
      <w:r>
        <w:rPr>
          <w:rFonts w:hint="eastAsia"/>
        </w:rPr>
        <w:t>身份</w:t>
      </w:r>
      <w:r>
        <w:rPr>
          <w:rFonts w:hint="eastAsia"/>
          <w:spacing w:val="-3"/>
        </w:rPr>
        <w:t>证</w:t>
      </w:r>
      <w:r>
        <w:rPr>
          <w:rFonts w:hint="eastAsia"/>
        </w:rPr>
        <w:t>号</w:t>
      </w:r>
      <w:r>
        <w:rPr>
          <w:rFonts w:hint="eastAsia"/>
          <w:spacing w:val="-3"/>
        </w:rPr>
        <w:t>码：</w:t>
      </w:r>
      <w:r>
        <w:rPr>
          <w:rFonts w:hint="eastAsia"/>
          <w:u w:val="single"/>
        </w:rPr>
        <w:t xml:space="preserve"> </w:t>
      </w:r>
      <w:r>
        <w:rPr>
          <w:rFonts w:hint="eastAsia"/>
          <w:u w:val="single"/>
        </w:rPr>
        <w:tab/>
      </w:r>
    </w:p>
    <w:p w14:paraId="1640E59E">
      <w:pPr>
        <w:pStyle w:val="9"/>
        <w:tabs>
          <w:tab w:val="left" w:pos="6783"/>
          <w:tab w:val="left" w:pos="7729"/>
          <w:tab w:val="left" w:pos="8673"/>
        </w:tabs>
        <w:spacing w:before="72" w:line="360" w:lineRule="auto"/>
        <w:ind w:left="6047"/>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spacing w:val="-3"/>
        </w:rPr>
        <w:t>月</w:t>
      </w:r>
      <w:r>
        <w:rPr>
          <w:rFonts w:hint="eastAsia"/>
          <w:spacing w:val="-3"/>
          <w:u w:val="single"/>
        </w:rPr>
        <w:t xml:space="preserve"> </w:t>
      </w:r>
      <w:r>
        <w:rPr>
          <w:rFonts w:hint="eastAsia"/>
          <w:spacing w:val="-3"/>
          <w:u w:val="single"/>
        </w:rPr>
        <w:tab/>
      </w:r>
      <w:r>
        <w:rPr>
          <w:rFonts w:hint="eastAsia"/>
        </w:rPr>
        <w:t>日</w:t>
      </w:r>
    </w:p>
    <w:p w14:paraId="3B8398D4">
      <w:pPr>
        <w:spacing w:line="360" w:lineRule="auto"/>
      </w:pPr>
    </w:p>
    <w:p w14:paraId="476C7453">
      <w:r>
        <w:br w:type="page"/>
      </w:r>
    </w:p>
    <w:p w14:paraId="0D006FD6">
      <w:pPr>
        <w:pStyle w:val="9"/>
        <w:spacing w:before="5" w:line="360" w:lineRule="auto"/>
        <w:rPr>
          <w:sz w:val="11"/>
        </w:rPr>
      </w:pPr>
    </w:p>
    <w:p w14:paraId="3230FF17">
      <w:pPr>
        <w:spacing w:line="360" w:lineRule="auto"/>
        <w:ind w:right="461"/>
        <w:jc w:val="center"/>
        <w:rPr>
          <w:b/>
          <w:sz w:val="32"/>
        </w:rPr>
      </w:pPr>
      <w:bookmarkStart w:id="52" w:name="_bookmark184"/>
      <w:bookmarkEnd w:id="52"/>
      <w:r>
        <w:rPr>
          <w:rFonts w:hint="eastAsia"/>
          <w:b/>
          <w:sz w:val="32"/>
          <w:lang w:val="en-US"/>
        </w:rPr>
        <w:t>四</w:t>
      </w:r>
      <w:r>
        <w:rPr>
          <w:rFonts w:hint="eastAsia"/>
          <w:b/>
          <w:sz w:val="32"/>
        </w:rPr>
        <w:t>、资格审查资料</w:t>
      </w:r>
      <w:r>
        <w:rPr>
          <w:rFonts w:hint="eastAsia"/>
          <w:b/>
          <w:sz w:val="32"/>
          <w:lang w:val="en-US"/>
        </w:rPr>
        <w:t xml:space="preserve"> </w:t>
      </w:r>
    </w:p>
    <w:p w14:paraId="25A1C8C0">
      <w:pPr>
        <w:pStyle w:val="9"/>
        <w:spacing w:before="5" w:line="360" w:lineRule="auto"/>
        <w:rPr>
          <w:b/>
          <w:sz w:val="10"/>
        </w:rPr>
      </w:pPr>
    </w:p>
    <w:p w14:paraId="5A3B2E17">
      <w:pPr>
        <w:spacing w:before="62" w:line="360" w:lineRule="auto"/>
        <w:ind w:left="377"/>
        <w:jc w:val="center"/>
        <w:rPr>
          <w:b/>
          <w:bCs/>
          <w:sz w:val="28"/>
        </w:rPr>
      </w:pPr>
      <w:bookmarkStart w:id="53" w:name="_bookmark185"/>
      <w:bookmarkEnd w:id="53"/>
      <w:r>
        <w:rPr>
          <w:rFonts w:hint="eastAsia"/>
          <w:b/>
          <w:bCs/>
          <w:sz w:val="28"/>
        </w:rPr>
        <w:t>（一）</w:t>
      </w:r>
      <w:r>
        <w:rPr>
          <w:rFonts w:hint="eastAsia"/>
          <w:b/>
          <w:bCs/>
          <w:sz w:val="28"/>
          <w:lang w:val="en-US"/>
        </w:rPr>
        <w:t>投标人</w:t>
      </w:r>
      <w:r>
        <w:rPr>
          <w:rFonts w:hint="eastAsia"/>
          <w:b/>
          <w:bCs/>
          <w:sz w:val="28"/>
        </w:rPr>
        <w:t>基本情况表</w:t>
      </w:r>
    </w:p>
    <w:tbl>
      <w:tblPr>
        <w:tblStyle w:val="19"/>
        <w:tblW w:w="9096" w:type="dxa"/>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4"/>
        <w:gridCol w:w="709"/>
        <w:gridCol w:w="992"/>
        <w:gridCol w:w="1122"/>
        <w:gridCol w:w="415"/>
        <w:gridCol w:w="871"/>
        <w:gridCol w:w="828"/>
        <w:gridCol w:w="286"/>
        <w:gridCol w:w="1439"/>
      </w:tblGrid>
      <w:tr w14:paraId="49462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14:paraId="69317131">
            <w:pPr>
              <w:pStyle w:val="25"/>
              <w:spacing w:before="142" w:line="360" w:lineRule="auto"/>
              <w:ind w:left="496"/>
              <w:rPr>
                <w:sz w:val="21"/>
              </w:rPr>
            </w:pPr>
            <w:r>
              <w:rPr>
                <w:rFonts w:hint="eastAsia"/>
                <w:sz w:val="21"/>
              </w:rPr>
              <w:t>投标人名称</w:t>
            </w:r>
          </w:p>
        </w:tc>
        <w:tc>
          <w:tcPr>
            <w:tcW w:w="6662" w:type="dxa"/>
            <w:gridSpan w:val="8"/>
          </w:tcPr>
          <w:p w14:paraId="13F48E80">
            <w:pPr>
              <w:pStyle w:val="25"/>
              <w:spacing w:line="360" w:lineRule="auto"/>
              <w:rPr>
                <w:sz w:val="20"/>
              </w:rPr>
            </w:pPr>
          </w:p>
        </w:tc>
      </w:tr>
      <w:tr w14:paraId="4A2C4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434" w:type="dxa"/>
          </w:tcPr>
          <w:p w14:paraId="5BD532C7">
            <w:pPr>
              <w:pStyle w:val="25"/>
              <w:spacing w:before="142" w:line="360" w:lineRule="auto"/>
              <w:ind w:left="602"/>
              <w:rPr>
                <w:sz w:val="21"/>
              </w:rPr>
            </w:pPr>
            <w:r>
              <w:rPr>
                <w:rFonts w:hint="eastAsia"/>
                <w:sz w:val="21"/>
              </w:rPr>
              <w:t>注册地址</w:t>
            </w:r>
          </w:p>
        </w:tc>
        <w:tc>
          <w:tcPr>
            <w:tcW w:w="2823" w:type="dxa"/>
            <w:gridSpan w:val="3"/>
          </w:tcPr>
          <w:p w14:paraId="29BB58EC">
            <w:pPr>
              <w:pStyle w:val="25"/>
              <w:spacing w:line="360" w:lineRule="auto"/>
              <w:rPr>
                <w:sz w:val="20"/>
              </w:rPr>
            </w:pPr>
          </w:p>
        </w:tc>
        <w:tc>
          <w:tcPr>
            <w:tcW w:w="1286" w:type="dxa"/>
            <w:gridSpan w:val="2"/>
          </w:tcPr>
          <w:p w14:paraId="50A46AC9">
            <w:pPr>
              <w:pStyle w:val="25"/>
              <w:spacing w:before="142" w:line="360" w:lineRule="auto"/>
              <w:ind w:left="222"/>
              <w:rPr>
                <w:sz w:val="21"/>
              </w:rPr>
            </w:pPr>
            <w:r>
              <w:rPr>
                <w:rFonts w:hint="eastAsia"/>
                <w:sz w:val="21"/>
              </w:rPr>
              <w:t>邮政编码</w:t>
            </w:r>
          </w:p>
        </w:tc>
        <w:tc>
          <w:tcPr>
            <w:tcW w:w="2553" w:type="dxa"/>
            <w:gridSpan w:val="3"/>
          </w:tcPr>
          <w:p w14:paraId="1DE80E76">
            <w:pPr>
              <w:pStyle w:val="25"/>
              <w:spacing w:line="360" w:lineRule="auto"/>
              <w:rPr>
                <w:sz w:val="20"/>
              </w:rPr>
            </w:pPr>
          </w:p>
        </w:tc>
      </w:tr>
      <w:tr w14:paraId="51C0F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vMerge w:val="restart"/>
          </w:tcPr>
          <w:p w14:paraId="1197DE2F">
            <w:pPr>
              <w:pStyle w:val="25"/>
              <w:spacing w:before="10" w:line="360" w:lineRule="auto"/>
              <w:rPr>
                <w:sz w:val="28"/>
              </w:rPr>
            </w:pPr>
          </w:p>
          <w:p w14:paraId="35961A9F">
            <w:pPr>
              <w:pStyle w:val="25"/>
              <w:spacing w:line="360" w:lineRule="auto"/>
              <w:ind w:left="602"/>
              <w:rPr>
                <w:sz w:val="21"/>
              </w:rPr>
            </w:pPr>
            <w:r>
              <w:rPr>
                <w:rFonts w:hint="eastAsia"/>
                <w:sz w:val="21"/>
              </w:rPr>
              <w:t>联系方式</w:t>
            </w:r>
          </w:p>
        </w:tc>
        <w:tc>
          <w:tcPr>
            <w:tcW w:w="709" w:type="dxa"/>
          </w:tcPr>
          <w:p w14:paraId="4D273CEB">
            <w:pPr>
              <w:pStyle w:val="25"/>
              <w:spacing w:before="142" w:line="360" w:lineRule="auto"/>
              <w:ind w:left="8"/>
              <w:jc w:val="center"/>
              <w:rPr>
                <w:sz w:val="21"/>
              </w:rPr>
            </w:pPr>
            <w:r>
              <w:rPr>
                <w:rFonts w:hint="eastAsia"/>
                <w:sz w:val="21"/>
              </w:rPr>
              <w:t>联系人</w:t>
            </w:r>
          </w:p>
        </w:tc>
        <w:tc>
          <w:tcPr>
            <w:tcW w:w="2114" w:type="dxa"/>
            <w:gridSpan w:val="2"/>
          </w:tcPr>
          <w:p w14:paraId="38AE7906">
            <w:pPr>
              <w:pStyle w:val="25"/>
              <w:spacing w:line="360" w:lineRule="auto"/>
              <w:rPr>
                <w:sz w:val="20"/>
              </w:rPr>
            </w:pPr>
          </w:p>
        </w:tc>
        <w:tc>
          <w:tcPr>
            <w:tcW w:w="1286" w:type="dxa"/>
            <w:gridSpan w:val="2"/>
          </w:tcPr>
          <w:p w14:paraId="4D4E216F">
            <w:pPr>
              <w:pStyle w:val="25"/>
              <w:spacing w:before="142" w:line="360" w:lineRule="auto"/>
              <w:ind w:left="378"/>
              <w:rPr>
                <w:sz w:val="21"/>
              </w:rPr>
            </w:pPr>
            <w:r>
              <w:rPr>
                <w:rFonts w:hint="eastAsia"/>
                <w:sz w:val="21"/>
              </w:rPr>
              <w:t>电 话</w:t>
            </w:r>
          </w:p>
        </w:tc>
        <w:tc>
          <w:tcPr>
            <w:tcW w:w="2553" w:type="dxa"/>
            <w:gridSpan w:val="3"/>
          </w:tcPr>
          <w:p w14:paraId="7F534D4D">
            <w:pPr>
              <w:pStyle w:val="25"/>
              <w:spacing w:line="360" w:lineRule="auto"/>
              <w:rPr>
                <w:sz w:val="20"/>
              </w:rPr>
            </w:pPr>
          </w:p>
        </w:tc>
      </w:tr>
      <w:tr w14:paraId="464CF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434" w:type="dxa"/>
            <w:vMerge w:val="continue"/>
            <w:tcBorders>
              <w:top w:val="nil"/>
            </w:tcBorders>
          </w:tcPr>
          <w:p w14:paraId="18F32E70">
            <w:pPr>
              <w:spacing w:line="360" w:lineRule="auto"/>
              <w:rPr>
                <w:sz w:val="2"/>
                <w:szCs w:val="2"/>
              </w:rPr>
            </w:pPr>
          </w:p>
        </w:tc>
        <w:tc>
          <w:tcPr>
            <w:tcW w:w="709" w:type="dxa"/>
          </w:tcPr>
          <w:p w14:paraId="0441B9A8">
            <w:pPr>
              <w:pStyle w:val="25"/>
              <w:tabs>
                <w:tab w:val="left" w:pos="432"/>
              </w:tabs>
              <w:spacing w:before="143" w:line="360" w:lineRule="auto"/>
              <w:ind w:left="9"/>
              <w:jc w:val="center"/>
              <w:rPr>
                <w:sz w:val="21"/>
              </w:rPr>
            </w:pPr>
            <w:r>
              <w:rPr>
                <w:rFonts w:hint="eastAsia"/>
                <w:sz w:val="21"/>
              </w:rPr>
              <w:t>传</w:t>
            </w:r>
            <w:r>
              <w:rPr>
                <w:rFonts w:hint="eastAsia"/>
                <w:sz w:val="21"/>
              </w:rPr>
              <w:tab/>
            </w:r>
            <w:r>
              <w:rPr>
                <w:rFonts w:hint="eastAsia"/>
                <w:sz w:val="21"/>
              </w:rPr>
              <w:t>真</w:t>
            </w:r>
          </w:p>
        </w:tc>
        <w:tc>
          <w:tcPr>
            <w:tcW w:w="2114" w:type="dxa"/>
            <w:gridSpan w:val="2"/>
          </w:tcPr>
          <w:p w14:paraId="35864278">
            <w:pPr>
              <w:pStyle w:val="25"/>
              <w:spacing w:line="360" w:lineRule="auto"/>
              <w:rPr>
                <w:sz w:val="20"/>
              </w:rPr>
            </w:pPr>
          </w:p>
        </w:tc>
        <w:tc>
          <w:tcPr>
            <w:tcW w:w="1286" w:type="dxa"/>
            <w:gridSpan w:val="2"/>
          </w:tcPr>
          <w:p w14:paraId="0F1BD2C3">
            <w:pPr>
              <w:pStyle w:val="25"/>
              <w:spacing w:before="143" w:line="360" w:lineRule="auto"/>
              <w:ind w:left="378"/>
              <w:rPr>
                <w:sz w:val="21"/>
              </w:rPr>
            </w:pPr>
            <w:r>
              <w:rPr>
                <w:rFonts w:hint="eastAsia"/>
                <w:sz w:val="21"/>
              </w:rPr>
              <w:t>网 址</w:t>
            </w:r>
          </w:p>
        </w:tc>
        <w:tc>
          <w:tcPr>
            <w:tcW w:w="2553" w:type="dxa"/>
            <w:gridSpan w:val="3"/>
          </w:tcPr>
          <w:p w14:paraId="0054291B">
            <w:pPr>
              <w:pStyle w:val="25"/>
              <w:spacing w:line="360" w:lineRule="auto"/>
              <w:rPr>
                <w:sz w:val="20"/>
              </w:rPr>
            </w:pPr>
          </w:p>
        </w:tc>
      </w:tr>
      <w:tr w14:paraId="24AE1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14:paraId="6556BF1E">
            <w:pPr>
              <w:pStyle w:val="25"/>
              <w:spacing w:before="142" w:line="360" w:lineRule="auto"/>
              <w:ind w:left="496"/>
              <w:rPr>
                <w:sz w:val="21"/>
              </w:rPr>
            </w:pPr>
            <w:r>
              <w:rPr>
                <w:rFonts w:hint="eastAsia"/>
                <w:sz w:val="21"/>
              </w:rPr>
              <w:t>法定代表人</w:t>
            </w:r>
          </w:p>
        </w:tc>
        <w:tc>
          <w:tcPr>
            <w:tcW w:w="709" w:type="dxa"/>
          </w:tcPr>
          <w:p w14:paraId="0C0DD0DD">
            <w:pPr>
              <w:pStyle w:val="25"/>
              <w:spacing w:before="142" w:line="360" w:lineRule="auto"/>
              <w:ind w:left="8"/>
              <w:jc w:val="center"/>
              <w:rPr>
                <w:sz w:val="21"/>
              </w:rPr>
            </w:pPr>
            <w:r>
              <w:rPr>
                <w:rFonts w:hint="eastAsia"/>
                <w:sz w:val="21"/>
              </w:rPr>
              <w:t>姓名</w:t>
            </w:r>
          </w:p>
        </w:tc>
        <w:tc>
          <w:tcPr>
            <w:tcW w:w="992" w:type="dxa"/>
          </w:tcPr>
          <w:p w14:paraId="08320E08">
            <w:pPr>
              <w:pStyle w:val="25"/>
              <w:spacing w:line="360" w:lineRule="auto"/>
              <w:rPr>
                <w:sz w:val="20"/>
              </w:rPr>
            </w:pPr>
          </w:p>
        </w:tc>
        <w:tc>
          <w:tcPr>
            <w:tcW w:w="1122" w:type="dxa"/>
          </w:tcPr>
          <w:p w14:paraId="13A5F8C7">
            <w:pPr>
              <w:pStyle w:val="25"/>
              <w:spacing w:before="142" w:line="360" w:lineRule="auto"/>
              <w:jc w:val="center"/>
              <w:rPr>
                <w:sz w:val="21"/>
              </w:rPr>
            </w:pPr>
            <w:r>
              <w:rPr>
                <w:rFonts w:hint="eastAsia"/>
                <w:sz w:val="21"/>
              </w:rPr>
              <w:t>技术职称</w:t>
            </w:r>
          </w:p>
        </w:tc>
        <w:tc>
          <w:tcPr>
            <w:tcW w:w="1286" w:type="dxa"/>
            <w:gridSpan w:val="2"/>
          </w:tcPr>
          <w:p w14:paraId="3C6E57EF">
            <w:pPr>
              <w:pStyle w:val="25"/>
              <w:spacing w:line="360" w:lineRule="auto"/>
              <w:rPr>
                <w:sz w:val="20"/>
              </w:rPr>
            </w:pPr>
          </w:p>
        </w:tc>
        <w:tc>
          <w:tcPr>
            <w:tcW w:w="1114" w:type="dxa"/>
            <w:gridSpan w:val="2"/>
          </w:tcPr>
          <w:p w14:paraId="71D9046A">
            <w:pPr>
              <w:pStyle w:val="25"/>
              <w:spacing w:before="142" w:line="360" w:lineRule="auto"/>
              <w:ind w:left="345"/>
              <w:rPr>
                <w:sz w:val="21"/>
              </w:rPr>
            </w:pPr>
            <w:r>
              <w:rPr>
                <w:rFonts w:hint="eastAsia"/>
                <w:sz w:val="21"/>
              </w:rPr>
              <w:t>电话</w:t>
            </w:r>
          </w:p>
        </w:tc>
        <w:tc>
          <w:tcPr>
            <w:tcW w:w="1439" w:type="dxa"/>
          </w:tcPr>
          <w:p w14:paraId="3836E6C7">
            <w:pPr>
              <w:pStyle w:val="25"/>
              <w:spacing w:line="360" w:lineRule="auto"/>
              <w:rPr>
                <w:sz w:val="20"/>
              </w:rPr>
            </w:pPr>
          </w:p>
        </w:tc>
      </w:tr>
      <w:tr w14:paraId="0DF07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434" w:type="dxa"/>
          </w:tcPr>
          <w:p w14:paraId="73483EC5">
            <w:pPr>
              <w:pStyle w:val="25"/>
              <w:spacing w:before="142" w:line="360" w:lineRule="auto"/>
              <w:ind w:left="496"/>
              <w:rPr>
                <w:sz w:val="21"/>
              </w:rPr>
            </w:pPr>
            <w:r>
              <w:rPr>
                <w:rFonts w:hint="eastAsia"/>
                <w:sz w:val="21"/>
              </w:rPr>
              <w:t>技术负责人</w:t>
            </w:r>
          </w:p>
        </w:tc>
        <w:tc>
          <w:tcPr>
            <w:tcW w:w="709" w:type="dxa"/>
          </w:tcPr>
          <w:p w14:paraId="34D4A953">
            <w:pPr>
              <w:pStyle w:val="25"/>
              <w:spacing w:before="142" w:line="360" w:lineRule="auto"/>
              <w:ind w:left="8"/>
              <w:jc w:val="center"/>
              <w:rPr>
                <w:sz w:val="21"/>
              </w:rPr>
            </w:pPr>
            <w:r>
              <w:rPr>
                <w:rFonts w:hint="eastAsia"/>
                <w:sz w:val="21"/>
              </w:rPr>
              <w:t>姓名</w:t>
            </w:r>
          </w:p>
        </w:tc>
        <w:tc>
          <w:tcPr>
            <w:tcW w:w="992" w:type="dxa"/>
          </w:tcPr>
          <w:p w14:paraId="2E62C0EB">
            <w:pPr>
              <w:pStyle w:val="25"/>
              <w:spacing w:line="360" w:lineRule="auto"/>
              <w:rPr>
                <w:sz w:val="20"/>
              </w:rPr>
            </w:pPr>
          </w:p>
        </w:tc>
        <w:tc>
          <w:tcPr>
            <w:tcW w:w="1122" w:type="dxa"/>
          </w:tcPr>
          <w:p w14:paraId="65D50989">
            <w:pPr>
              <w:pStyle w:val="25"/>
              <w:spacing w:before="142" w:line="360" w:lineRule="auto"/>
              <w:jc w:val="center"/>
              <w:rPr>
                <w:sz w:val="21"/>
              </w:rPr>
            </w:pPr>
            <w:r>
              <w:rPr>
                <w:rFonts w:hint="eastAsia"/>
                <w:sz w:val="21"/>
              </w:rPr>
              <w:t>技术职称</w:t>
            </w:r>
          </w:p>
        </w:tc>
        <w:tc>
          <w:tcPr>
            <w:tcW w:w="1286" w:type="dxa"/>
            <w:gridSpan w:val="2"/>
          </w:tcPr>
          <w:p w14:paraId="7434FCA3">
            <w:pPr>
              <w:pStyle w:val="25"/>
              <w:spacing w:line="360" w:lineRule="auto"/>
              <w:rPr>
                <w:sz w:val="20"/>
              </w:rPr>
            </w:pPr>
          </w:p>
        </w:tc>
        <w:tc>
          <w:tcPr>
            <w:tcW w:w="1114" w:type="dxa"/>
            <w:gridSpan w:val="2"/>
          </w:tcPr>
          <w:p w14:paraId="40117B9B">
            <w:pPr>
              <w:pStyle w:val="25"/>
              <w:spacing w:before="142" w:line="360" w:lineRule="auto"/>
              <w:ind w:left="345"/>
              <w:rPr>
                <w:sz w:val="21"/>
              </w:rPr>
            </w:pPr>
            <w:r>
              <w:rPr>
                <w:rFonts w:hint="eastAsia"/>
                <w:sz w:val="21"/>
              </w:rPr>
              <w:t>电话</w:t>
            </w:r>
          </w:p>
        </w:tc>
        <w:tc>
          <w:tcPr>
            <w:tcW w:w="1439" w:type="dxa"/>
          </w:tcPr>
          <w:p w14:paraId="0094122C">
            <w:pPr>
              <w:pStyle w:val="25"/>
              <w:spacing w:line="360" w:lineRule="auto"/>
              <w:rPr>
                <w:sz w:val="20"/>
              </w:rPr>
            </w:pPr>
          </w:p>
        </w:tc>
      </w:tr>
      <w:tr w14:paraId="47028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14:paraId="3BDF4DC2">
            <w:pPr>
              <w:pStyle w:val="25"/>
              <w:spacing w:before="142" w:line="360" w:lineRule="auto"/>
              <w:ind w:left="182"/>
              <w:rPr>
                <w:sz w:val="21"/>
              </w:rPr>
            </w:pPr>
            <w:r>
              <w:rPr>
                <w:rFonts w:hint="eastAsia"/>
                <w:sz w:val="21"/>
              </w:rPr>
              <w:t>企业资质证书</w:t>
            </w:r>
          </w:p>
        </w:tc>
        <w:tc>
          <w:tcPr>
            <w:tcW w:w="6662" w:type="dxa"/>
            <w:gridSpan w:val="8"/>
          </w:tcPr>
          <w:p w14:paraId="0CB38226">
            <w:pPr>
              <w:pStyle w:val="25"/>
              <w:tabs>
                <w:tab w:val="left" w:pos="2848"/>
                <w:tab w:val="left" w:pos="4108"/>
              </w:tabs>
              <w:spacing w:before="142" w:line="360" w:lineRule="auto"/>
              <w:ind w:left="116"/>
              <w:jc w:val="center"/>
              <w:rPr>
                <w:sz w:val="21"/>
              </w:rPr>
            </w:pPr>
            <w:r>
              <w:rPr>
                <w:rFonts w:hint="eastAsia"/>
                <w:sz w:val="21"/>
              </w:rPr>
              <w:t>类型：</w:t>
            </w:r>
            <w:r>
              <w:rPr>
                <w:rFonts w:hint="eastAsia"/>
                <w:sz w:val="21"/>
              </w:rPr>
              <w:tab/>
            </w:r>
            <w:r>
              <w:rPr>
                <w:rFonts w:hint="eastAsia"/>
                <w:spacing w:val="-3"/>
                <w:sz w:val="21"/>
              </w:rPr>
              <w:t>等</w:t>
            </w:r>
            <w:r>
              <w:rPr>
                <w:rFonts w:hint="eastAsia"/>
                <w:sz w:val="21"/>
              </w:rPr>
              <w:t>级：</w:t>
            </w:r>
            <w:r>
              <w:rPr>
                <w:rFonts w:hint="eastAsia"/>
                <w:sz w:val="21"/>
              </w:rPr>
              <w:tab/>
            </w:r>
            <w:r>
              <w:rPr>
                <w:rFonts w:hint="eastAsia"/>
                <w:spacing w:val="-3"/>
                <w:sz w:val="21"/>
              </w:rPr>
              <w:t>证</w:t>
            </w:r>
            <w:r>
              <w:rPr>
                <w:rFonts w:hint="eastAsia"/>
                <w:sz w:val="21"/>
              </w:rPr>
              <w:t>书</w:t>
            </w:r>
            <w:r>
              <w:rPr>
                <w:rFonts w:hint="eastAsia"/>
                <w:spacing w:val="-3"/>
                <w:sz w:val="21"/>
              </w:rPr>
              <w:t>号</w:t>
            </w:r>
            <w:r>
              <w:rPr>
                <w:rFonts w:hint="eastAsia"/>
                <w:sz w:val="21"/>
              </w:rPr>
              <w:t>：</w:t>
            </w:r>
          </w:p>
        </w:tc>
      </w:tr>
      <w:tr w14:paraId="08962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434" w:type="dxa"/>
          </w:tcPr>
          <w:p w14:paraId="225E67D3">
            <w:pPr>
              <w:pStyle w:val="25"/>
              <w:spacing w:before="142"/>
              <w:ind w:left="182"/>
              <w:rPr>
                <w:sz w:val="21"/>
              </w:rPr>
            </w:pPr>
            <w:r>
              <w:rPr>
                <w:rFonts w:hint="eastAsia"/>
                <w:sz w:val="21"/>
              </w:rPr>
              <w:t>质量管理体系证书</w:t>
            </w:r>
          </w:p>
          <w:p w14:paraId="71779D25">
            <w:pPr>
              <w:pStyle w:val="25"/>
              <w:spacing w:before="170"/>
              <w:ind w:left="549"/>
              <w:rPr>
                <w:sz w:val="21"/>
              </w:rPr>
            </w:pPr>
            <w:r>
              <w:rPr>
                <w:rFonts w:hint="eastAsia"/>
                <w:sz w:val="21"/>
              </w:rPr>
              <w:t>（如有）</w:t>
            </w:r>
          </w:p>
        </w:tc>
        <w:tc>
          <w:tcPr>
            <w:tcW w:w="6662" w:type="dxa"/>
            <w:gridSpan w:val="8"/>
          </w:tcPr>
          <w:p w14:paraId="536D8B58">
            <w:pPr>
              <w:pStyle w:val="25"/>
              <w:spacing w:before="4" w:line="360" w:lineRule="auto"/>
              <w:rPr>
                <w:sz w:val="28"/>
              </w:rPr>
            </w:pPr>
          </w:p>
          <w:p w14:paraId="2B37D28D">
            <w:pPr>
              <w:pStyle w:val="25"/>
              <w:tabs>
                <w:tab w:val="left" w:pos="2848"/>
                <w:tab w:val="left" w:pos="4108"/>
              </w:tabs>
              <w:spacing w:line="360" w:lineRule="auto"/>
              <w:ind w:left="116"/>
              <w:jc w:val="center"/>
              <w:rPr>
                <w:sz w:val="21"/>
              </w:rPr>
            </w:pPr>
            <w:r>
              <w:rPr>
                <w:rFonts w:hint="eastAsia"/>
                <w:sz w:val="21"/>
              </w:rPr>
              <w:t>类型：</w:t>
            </w:r>
            <w:r>
              <w:rPr>
                <w:rFonts w:hint="eastAsia"/>
                <w:sz w:val="21"/>
              </w:rPr>
              <w:tab/>
            </w:r>
            <w:r>
              <w:rPr>
                <w:rFonts w:hint="eastAsia"/>
                <w:spacing w:val="-3"/>
                <w:sz w:val="21"/>
              </w:rPr>
              <w:t>等</w:t>
            </w:r>
            <w:r>
              <w:rPr>
                <w:rFonts w:hint="eastAsia"/>
                <w:sz w:val="21"/>
              </w:rPr>
              <w:t>级：</w:t>
            </w:r>
            <w:r>
              <w:rPr>
                <w:rFonts w:hint="eastAsia"/>
                <w:sz w:val="21"/>
              </w:rPr>
              <w:tab/>
            </w:r>
            <w:r>
              <w:rPr>
                <w:rFonts w:hint="eastAsia"/>
                <w:spacing w:val="-3"/>
                <w:sz w:val="21"/>
              </w:rPr>
              <w:t>证</w:t>
            </w:r>
            <w:r>
              <w:rPr>
                <w:rFonts w:hint="eastAsia"/>
                <w:sz w:val="21"/>
              </w:rPr>
              <w:t>书</w:t>
            </w:r>
            <w:r>
              <w:rPr>
                <w:rFonts w:hint="eastAsia"/>
                <w:spacing w:val="-3"/>
                <w:sz w:val="21"/>
              </w:rPr>
              <w:t>号</w:t>
            </w:r>
            <w:r>
              <w:rPr>
                <w:rFonts w:hint="eastAsia"/>
                <w:sz w:val="21"/>
              </w:rPr>
              <w:t>：</w:t>
            </w:r>
          </w:p>
        </w:tc>
      </w:tr>
      <w:tr w14:paraId="295A6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434" w:type="dxa"/>
          </w:tcPr>
          <w:p w14:paraId="130086D5">
            <w:pPr>
              <w:pStyle w:val="25"/>
              <w:spacing w:before="142" w:line="360" w:lineRule="auto"/>
              <w:jc w:val="center"/>
              <w:rPr>
                <w:sz w:val="21"/>
              </w:rPr>
            </w:pPr>
            <w:r>
              <w:rPr>
                <w:rFonts w:hint="eastAsia"/>
                <w:sz w:val="21"/>
              </w:rPr>
              <w:t>统一社会信用代码</w:t>
            </w:r>
          </w:p>
        </w:tc>
        <w:tc>
          <w:tcPr>
            <w:tcW w:w="2823" w:type="dxa"/>
            <w:gridSpan w:val="3"/>
          </w:tcPr>
          <w:p w14:paraId="04D3813B">
            <w:pPr>
              <w:pStyle w:val="25"/>
              <w:spacing w:line="360" w:lineRule="auto"/>
              <w:rPr>
                <w:sz w:val="20"/>
              </w:rPr>
            </w:pPr>
          </w:p>
        </w:tc>
        <w:tc>
          <w:tcPr>
            <w:tcW w:w="3839" w:type="dxa"/>
            <w:gridSpan w:val="5"/>
          </w:tcPr>
          <w:p w14:paraId="36C3BCC0">
            <w:pPr>
              <w:pStyle w:val="25"/>
              <w:spacing w:before="142" w:line="360" w:lineRule="auto"/>
              <w:ind w:left="1182"/>
              <w:rPr>
                <w:sz w:val="21"/>
              </w:rPr>
            </w:pPr>
            <w:r>
              <w:rPr>
                <w:rFonts w:hint="eastAsia"/>
                <w:sz w:val="21"/>
              </w:rPr>
              <w:t>员工总人数：</w:t>
            </w:r>
          </w:p>
        </w:tc>
      </w:tr>
      <w:tr w14:paraId="30738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14:paraId="29E6E6E5">
            <w:pPr>
              <w:pStyle w:val="25"/>
              <w:spacing w:before="142" w:line="360" w:lineRule="auto"/>
              <w:ind w:left="602"/>
              <w:rPr>
                <w:sz w:val="21"/>
              </w:rPr>
            </w:pPr>
            <w:r>
              <w:rPr>
                <w:rFonts w:hint="eastAsia"/>
                <w:sz w:val="21"/>
              </w:rPr>
              <w:t>注册资本</w:t>
            </w:r>
          </w:p>
        </w:tc>
        <w:tc>
          <w:tcPr>
            <w:tcW w:w="2823" w:type="dxa"/>
            <w:gridSpan w:val="3"/>
          </w:tcPr>
          <w:p w14:paraId="0F8143BC">
            <w:pPr>
              <w:pStyle w:val="25"/>
              <w:spacing w:line="360" w:lineRule="auto"/>
              <w:rPr>
                <w:sz w:val="20"/>
              </w:rPr>
            </w:pPr>
          </w:p>
        </w:tc>
        <w:tc>
          <w:tcPr>
            <w:tcW w:w="415" w:type="dxa"/>
            <w:vMerge w:val="restart"/>
          </w:tcPr>
          <w:p w14:paraId="081C3A5D">
            <w:pPr>
              <w:pStyle w:val="25"/>
              <w:spacing w:line="360" w:lineRule="auto"/>
              <w:rPr>
                <w:sz w:val="20"/>
              </w:rPr>
            </w:pPr>
          </w:p>
          <w:p w14:paraId="19D4973E">
            <w:pPr>
              <w:pStyle w:val="25"/>
              <w:spacing w:before="9" w:line="360" w:lineRule="auto"/>
              <w:rPr>
                <w:sz w:val="26"/>
              </w:rPr>
            </w:pPr>
          </w:p>
          <w:p w14:paraId="2C2039AA">
            <w:pPr>
              <w:pStyle w:val="25"/>
              <w:spacing w:line="360" w:lineRule="auto"/>
              <w:ind w:left="107" w:right="84"/>
              <w:rPr>
                <w:sz w:val="21"/>
              </w:rPr>
            </w:pPr>
            <w:r>
              <w:rPr>
                <w:rFonts w:hint="eastAsia"/>
                <w:sz w:val="21"/>
              </w:rPr>
              <w:t>其中</w:t>
            </w:r>
          </w:p>
        </w:tc>
        <w:tc>
          <w:tcPr>
            <w:tcW w:w="1699" w:type="dxa"/>
            <w:gridSpan w:val="2"/>
          </w:tcPr>
          <w:p w14:paraId="08FCECA1">
            <w:pPr>
              <w:pStyle w:val="25"/>
              <w:spacing w:before="142" w:line="360" w:lineRule="auto"/>
              <w:ind w:left="220"/>
              <w:rPr>
                <w:sz w:val="21"/>
              </w:rPr>
            </w:pPr>
            <w:r>
              <w:rPr>
                <w:rFonts w:hint="eastAsia"/>
                <w:sz w:val="21"/>
              </w:rPr>
              <w:t>高级职称人员</w:t>
            </w:r>
          </w:p>
        </w:tc>
        <w:tc>
          <w:tcPr>
            <w:tcW w:w="1725" w:type="dxa"/>
            <w:gridSpan w:val="2"/>
          </w:tcPr>
          <w:p w14:paraId="4B0EECEF">
            <w:pPr>
              <w:pStyle w:val="25"/>
              <w:spacing w:line="360" w:lineRule="auto"/>
              <w:rPr>
                <w:sz w:val="20"/>
              </w:rPr>
            </w:pPr>
          </w:p>
        </w:tc>
      </w:tr>
      <w:tr w14:paraId="12665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434" w:type="dxa"/>
          </w:tcPr>
          <w:p w14:paraId="559A20E2">
            <w:pPr>
              <w:pStyle w:val="25"/>
              <w:spacing w:before="142" w:line="360" w:lineRule="auto"/>
              <w:ind w:left="602"/>
              <w:rPr>
                <w:sz w:val="21"/>
              </w:rPr>
            </w:pPr>
            <w:r>
              <w:rPr>
                <w:rFonts w:hint="eastAsia"/>
                <w:sz w:val="21"/>
              </w:rPr>
              <w:t>成立日期</w:t>
            </w:r>
          </w:p>
        </w:tc>
        <w:tc>
          <w:tcPr>
            <w:tcW w:w="2823" w:type="dxa"/>
            <w:gridSpan w:val="3"/>
          </w:tcPr>
          <w:p w14:paraId="22C4582C">
            <w:pPr>
              <w:pStyle w:val="25"/>
              <w:spacing w:line="360" w:lineRule="auto"/>
              <w:rPr>
                <w:sz w:val="20"/>
              </w:rPr>
            </w:pPr>
          </w:p>
        </w:tc>
        <w:tc>
          <w:tcPr>
            <w:tcW w:w="415" w:type="dxa"/>
            <w:vMerge w:val="continue"/>
            <w:tcBorders>
              <w:top w:val="nil"/>
            </w:tcBorders>
          </w:tcPr>
          <w:p w14:paraId="5A069D47">
            <w:pPr>
              <w:spacing w:line="360" w:lineRule="auto"/>
              <w:rPr>
                <w:sz w:val="2"/>
                <w:szCs w:val="2"/>
              </w:rPr>
            </w:pPr>
          </w:p>
        </w:tc>
        <w:tc>
          <w:tcPr>
            <w:tcW w:w="1699" w:type="dxa"/>
            <w:gridSpan w:val="2"/>
          </w:tcPr>
          <w:p w14:paraId="1A447B01">
            <w:pPr>
              <w:pStyle w:val="25"/>
              <w:spacing w:before="142" w:line="360" w:lineRule="auto"/>
              <w:ind w:left="220"/>
              <w:rPr>
                <w:sz w:val="21"/>
              </w:rPr>
            </w:pPr>
            <w:r>
              <w:rPr>
                <w:rFonts w:hint="eastAsia"/>
                <w:sz w:val="21"/>
              </w:rPr>
              <w:t>中级职称人员</w:t>
            </w:r>
          </w:p>
        </w:tc>
        <w:tc>
          <w:tcPr>
            <w:tcW w:w="1725" w:type="dxa"/>
            <w:gridSpan w:val="2"/>
          </w:tcPr>
          <w:p w14:paraId="450FDAE1">
            <w:pPr>
              <w:pStyle w:val="25"/>
              <w:spacing w:line="360" w:lineRule="auto"/>
              <w:rPr>
                <w:sz w:val="20"/>
              </w:rPr>
            </w:pPr>
          </w:p>
        </w:tc>
      </w:tr>
      <w:tr w14:paraId="5C831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14:paraId="29512B93">
            <w:pPr>
              <w:pStyle w:val="25"/>
              <w:spacing w:before="142" w:line="360" w:lineRule="auto"/>
              <w:ind w:left="182"/>
              <w:rPr>
                <w:sz w:val="21"/>
              </w:rPr>
            </w:pPr>
            <w:r>
              <w:rPr>
                <w:rFonts w:hint="eastAsia"/>
                <w:sz w:val="21"/>
              </w:rPr>
              <w:t>基本账户开户银行</w:t>
            </w:r>
          </w:p>
        </w:tc>
        <w:tc>
          <w:tcPr>
            <w:tcW w:w="2823" w:type="dxa"/>
            <w:gridSpan w:val="3"/>
          </w:tcPr>
          <w:p w14:paraId="0711D9DB">
            <w:pPr>
              <w:pStyle w:val="25"/>
              <w:spacing w:line="360" w:lineRule="auto"/>
              <w:rPr>
                <w:sz w:val="20"/>
              </w:rPr>
            </w:pPr>
          </w:p>
        </w:tc>
        <w:tc>
          <w:tcPr>
            <w:tcW w:w="415" w:type="dxa"/>
            <w:vMerge w:val="continue"/>
            <w:tcBorders>
              <w:top w:val="nil"/>
            </w:tcBorders>
          </w:tcPr>
          <w:p w14:paraId="17B32141">
            <w:pPr>
              <w:spacing w:line="360" w:lineRule="auto"/>
              <w:rPr>
                <w:sz w:val="2"/>
                <w:szCs w:val="2"/>
              </w:rPr>
            </w:pPr>
          </w:p>
        </w:tc>
        <w:tc>
          <w:tcPr>
            <w:tcW w:w="1699" w:type="dxa"/>
            <w:gridSpan w:val="2"/>
          </w:tcPr>
          <w:p w14:paraId="7613445C">
            <w:pPr>
              <w:pStyle w:val="25"/>
              <w:spacing w:before="142" w:line="360" w:lineRule="auto"/>
              <w:ind w:left="220"/>
              <w:rPr>
                <w:sz w:val="21"/>
              </w:rPr>
            </w:pPr>
            <w:r>
              <w:rPr>
                <w:rFonts w:hint="eastAsia"/>
                <w:sz w:val="21"/>
              </w:rPr>
              <w:t>技术人员数量</w:t>
            </w:r>
          </w:p>
        </w:tc>
        <w:tc>
          <w:tcPr>
            <w:tcW w:w="1725" w:type="dxa"/>
            <w:gridSpan w:val="2"/>
          </w:tcPr>
          <w:p w14:paraId="51F8D027">
            <w:pPr>
              <w:pStyle w:val="25"/>
              <w:spacing w:line="360" w:lineRule="auto"/>
              <w:rPr>
                <w:sz w:val="20"/>
              </w:rPr>
            </w:pPr>
          </w:p>
        </w:tc>
      </w:tr>
      <w:tr w14:paraId="1258F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434" w:type="dxa"/>
          </w:tcPr>
          <w:p w14:paraId="5E8E8CEF">
            <w:pPr>
              <w:pStyle w:val="25"/>
              <w:spacing w:before="142" w:line="360" w:lineRule="auto"/>
              <w:ind w:left="182"/>
              <w:rPr>
                <w:sz w:val="21"/>
              </w:rPr>
            </w:pPr>
            <w:r>
              <w:rPr>
                <w:rFonts w:hint="eastAsia"/>
                <w:sz w:val="21"/>
              </w:rPr>
              <w:t>基本账户银行账号</w:t>
            </w:r>
          </w:p>
        </w:tc>
        <w:tc>
          <w:tcPr>
            <w:tcW w:w="2823" w:type="dxa"/>
            <w:gridSpan w:val="3"/>
          </w:tcPr>
          <w:p w14:paraId="29D24F48">
            <w:pPr>
              <w:pStyle w:val="25"/>
              <w:spacing w:line="360" w:lineRule="auto"/>
              <w:rPr>
                <w:sz w:val="20"/>
              </w:rPr>
            </w:pPr>
          </w:p>
        </w:tc>
        <w:tc>
          <w:tcPr>
            <w:tcW w:w="415" w:type="dxa"/>
            <w:vMerge w:val="continue"/>
            <w:tcBorders>
              <w:top w:val="nil"/>
            </w:tcBorders>
          </w:tcPr>
          <w:p w14:paraId="5C942912">
            <w:pPr>
              <w:spacing w:line="360" w:lineRule="auto"/>
              <w:rPr>
                <w:sz w:val="2"/>
                <w:szCs w:val="2"/>
              </w:rPr>
            </w:pPr>
          </w:p>
        </w:tc>
        <w:tc>
          <w:tcPr>
            <w:tcW w:w="1699" w:type="dxa"/>
            <w:gridSpan w:val="2"/>
          </w:tcPr>
          <w:p w14:paraId="74A1FC77">
            <w:pPr>
              <w:pStyle w:val="25"/>
              <w:spacing w:before="142" w:line="360" w:lineRule="auto"/>
              <w:ind w:left="220"/>
              <w:rPr>
                <w:sz w:val="21"/>
              </w:rPr>
            </w:pPr>
            <w:r>
              <w:rPr>
                <w:rFonts w:hint="eastAsia"/>
                <w:sz w:val="21"/>
              </w:rPr>
              <w:t>各类注册人员</w:t>
            </w:r>
          </w:p>
        </w:tc>
        <w:tc>
          <w:tcPr>
            <w:tcW w:w="1725" w:type="dxa"/>
            <w:gridSpan w:val="2"/>
          </w:tcPr>
          <w:p w14:paraId="6F772CCC">
            <w:pPr>
              <w:pStyle w:val="25"/>
              <w:spacing w:line="360" w:lineRule="auto"/>
              <w:rPr>
                <w:sz w:val="20"/>
              </w:rPr>
            </w:pPr>
          </w:p>
        </w:tc>
      </w:tr>
      <w:tr w14:paraId="3A4D4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14:paraId="360D2560">
            <w:pPr>
              <w:pStyle w:val="25"/>
              <w:spacing w:before="142" w:line="360" w:lineRule="auto"/>
              <w:ind w:left="707"/>
              <w:rPr>
                <w:sz w:val="21"/>
              </w:rPr>
            </w:pPr>
            <w:r>
              <w:rPr>
                <w:rFonts w:hint="eastAsia"/>
                <w:sz w:val="21"/>
              </w:rPr>
              <w:t>经营范围</w:t>
            </w:r>
          </w:p>
        </w:tc>
        <w:tc>
          <w:tcPr>
            <w:tcW w:w="6662" w:type="dxa"/>
            <w:gridSpan w:val="8"/>
          </w:tcPr>
          <w:p w14:paraId="4AFBA4C0">
            <w:pPr>
              <w:pStyle w:val="25"/>
              <w:spacing w:line="360" w:lineRule="auto"/>
              <w:rPr>
                <w:sz w:val="20"/>
              </w:rPr>
            </w:pPr>
          </w:p>
        </w:tc>
      </w:tr>
      <w:tr w14:paraId="46CA1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2434" w:type="dxa"/>
          </w:tcPr>
          <w:p w14:paraId="5E4820CC">
            <w:pPr>
              <w:pStyle w:val="25"/>
              <w:spacing w:before="142"/>
              <w:ind w:left="108" w:right="91" w:hanging="6"/>
              <w:rPr>
                <w:sz w:val="21"/>
              </w:rPr>
            </w:pPr>
            <w:r>
              <w:rPr>
                <w:rFonts w:hint="eastAsia"/>
                <w:spacing w:val="-3"/>
                <w:sz w:val="21"/>
              </w:rPr>
              <w:t>投标人关联企业情</w:t>
            </w:r>
            <w:r>
              <w:rPr>
                <w:rFonts w:hint="eastAsia"/>
                <w:spacing w:val="-60"/>
                <w:sz w:val="21"/>
              </w:rPr>
              <w:t>况</w:t>
            </w:r>
            <w:r>
              <w:rPr>
                <w:rFonts w:hint="eastAsia"/>
                <w:sz w:val="21"/>
              </w:rPr>
              <w:t>（</w:t>
            </w:r>
            <w:r>
              <w:rPr>
                <w:rFonts w:hint="eastAsia"/>
                <w:spacing w:val="-5"/>
                <w:sz w:val="21"/>
              </w:rPr>
              <w:t>包括但不限于与</w:t>
            </w:r>
            <w:r>
              <w:rPr>
                <w:rFonts w:hint="eastAsia"/>
                <w:spacing w:val="-3"/>
                <w:sz w:val="21"/>
              </w:rPr>
              <w:t>投标人法定代表人为同一人或者存在</w:t>
            </w:r>
            <w:r>
              <w:rPr>
                <w:rFonts w:hint="eastAsia"/>
                <w:spacing w:val="-12"/>
                <w:sz w:val="21"/>
              </w:rPr>
              <w:t>控股、管理关系的不</w:t>
            </w:r>
            <w:r>
              <w:rPr>
                <w:rFonts w:hint="eastAsia"/>
                <w:sz w:val="21"/>
              </w:rPr>
              <w:t>同单位）</w:t>
            </w:r>
          </w:p>
        </w:tc>
        <w:tc>
          <w:tcPr>
            <w:tcW w:w="6662" w:type="dxa"/>
            <w:gridSpan w:val="8"/>
          </w:tcPr>
          <w:p w14:paraId="2AA1069B">
            <w:pPr>
              <w:pStyle w:val="25"/>
              <w:spacing w:line="360" w:lineRule="auto"/>
              <w:rPr>
                <w:sz w:val="20"/>
              </w:rPr>
            </w:pPr>
          </w:p>
        </w:tc>
      </w:tr>
      <w:tr w14:paraId="717B2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434" w:type="dxa"/>
          </w:tcPr>
          <w:p w14:paraId="342E02DD">
            <w:pPr>
              <w:pStyle w:val="25"/>
              <w:spacing w:before="142" w:line="360" w:lineRule="auto"/>
              <w:ind w:left="583" w:right="569"/>
              <w:jc w:val="center"/>
              <w:rPr>
                <w:sz w:val="21"/>
              </w:rPr>
            </w:pPr>
            <w:r>
              <w:rPr>
                <w:rFonts w:hint="eastAsia"/>
                <w:sz w:val="21"/>
              </w:rPr>
              <w:t>备注</w:t>
            </w:r>
          </w:p>
        </w:tc>
        <w:tc>
          <w:tcPr>
            <w:tcW w:w="6662" w:type="dxa"/>
            <w:gridSpan w:val="8"/>
          </w:tcPr>
          <w:p w14:paraId="4499CD22">
            <w:pPr>
              <w:pStyle w:val="25"/>
              <w:spacing w:line="360" w:lineRule="auto"/>
              <w:rPr>
                <w:sz w:val="20"/>
              </w:rPr>
            </w:pPr>
          </w:p>
        </w:tc>
      </w:tr>
    </w:tbl>
    <w:p w14:paraId="2E33231C">
      <w:pPr>
        <w:pStyle w:val="9"/>
        <w:spacing w:before="109" w:line="360" w:lineRule="auto"/>
        <w:ind w:left="240" w:right="366"/>
      </w:pPr>
      <w:r>
        <w:rPr>
          <w:rFonts w:hint="eastAsia"/>
          <w:spacing w:val="-10"/>
        </w:rPr>
        <w:t xml:space="preserve">注：投标人应根据投标人须知第 </w:t>
      </w:r>
      <w:r>
        <w:rPr>
          <w:rFonts w:hint="eastAsia"/>
        </w:rPr>
        <w:t xml:space="preserve">3.5.1 </w:t>
      </w:r>
      <w:r>
        <w:rPr>
          <w:rFonts w:hint="eastAsia"/>
          <w:spacing w:val="-6"/>
        </w:rPr>
        <w:t>项的要求在本表后附相关证明材料。</w:t>
      </w:r>
    </w:p>
    <w:p w14:paraId="03F5A292">
      <w:r>
        <w:br w:type="page"/>
      </w:r>
    </w:p>
    <w:p w14:paraId="4F080684">
      <w:pPr>
        <w:spacing w:before="43" w:line="360" w:lineRule="auto"/>
        <w:jc w:val="center"/>
        <w:rPr>
          <w:b/>
          <w:bCs/>
          <w:sz w:val="28"/>
        </w:rPr>
      </w:pPr>
      <w:bookmarkStart w:id="54" w:name="_bookmark187"/>
      <w:bookmarkEnd w:id="54"/>
      <w:r>
        <w:rPr>
          <w:rFonts w:hint="eastAsia"/>
          <w:b/>
          <w:bCs/>
          <w:sz w:val="28"/>
        </w:rPr>
        <w:t>（</w:t>
      </w:r>
      <w:r>
        <w:rPr>
          <w:rFonts w:hint="eastAsia"/>
          <w:b/>
          <w:bCs/>
          <w:sz w:val="28"/>
          <w:lang w:val="en-US"/>
        </w:rPr>
        <w:t>二</w:t>
      </w:r>
      <w:r>
        <w:rPr>
          <w:rFonts w:hint="eastAsia"/>
          <w:b/>
          <w:bCs/>
          <w:sz w:val="28"/>
        </w:rPr>
        <w:t>）近年完成的类似项目情况表</w:t>
      </w:r>
    </w:p>
    <w:tbl>
      <w:tblPr>
        <w:tblStyle w:val="19"/>
        <w:tblW w:w="9027" w:type="dxa"/>
        <w:jc w:val="center"/>
        <w:tblLayout w:type="fixed"/>
        <w:tblCellMar>
          <w:top w:w="0" w:type="dxa"/>
          <w:left w:w="108" w:type="dxa"/>
          <w:bottom w:w="0" w:type="dxa"/>
          <w:right w:w="108" w:type="dxa"/>
        </w:tblCellMar>
      </w:tblPr>
      <w:tblGrid>
        <w:gridCol w:w="2774"/>
        <w:gridCol w:w="6253"/>
      </w:tblGrid>
      <w:tr w14:paraId="138239DF">
        <w:tblPrEx>
          <w:tblCellMar>
            <w:top w:w="0" w:type="dxa"/>
            <w:left w:w="108" w:type="dxa"/>
            <w:bottom w:w="0" w:type="dxa"/>
            <w:right w:w="108" w:type="dxa"/>
          </w:tblCellMar>
        </w:tblPrEx>
        <w:trPr>
          <w:trHeight w:val="670" w:hRule="atLeast"/>
          <w:jc w:val="center"/>
        </w:trPr>
        <w:tc>
          <w:tcPr>
            <w:tcW w:w="2774" w:type="dxa"/>
            <w:tcBorders>
              <w:top w:val="single" w:color="auto" w:sz="4" w:space="0"/>
              <w:left w:val="single" w:color="auto" w:sz="4" w:space="0"/>
              <w:bottom w:val="single" w:color="auto" w:sz="4" w:space="0"/>
              <w:right w:val="single" w:color="auto" w:sz="4" w:space="0"/>
            </w:tcBorders>
            <w:vAlign w:val="center"/>
          </w:tcPr>
          <w:p w14:paraId="56AB9BA0">
            <w:pPr>
              <w:topLinePunct/>
              <w:spacing w:line="440" w:lineRule="exact"/>
              <w:jc w:val="center"/>
              <w:rPr>
                <w:rFonts w:ascii="Times New Roman" w:hAnsi="Times New Roman"/>
                <w:sz w:val="24"/>
              </w:rPr>
            </w:pPr>
            <w:r>
              <w:rPr>
                <w:rFonts w:ascii="Times New Roman" w:hAnsi="Times New Roman"/>
                <w:sz w:val="24"/>
              </w:rPr>
              <w:t>项目名称</w:t>
            </w:r>
          </w:p>
        </w:tc>
        <w:tc>
          <w:tcPr>
            <w:tcW w:w="6253" w:type="dxa"/>
            <w:tcBorders>
              <w:top w:val="single" w:color="auto" w:sz="4" w:space="0"/>
              <w:left w:val="nil"/>
              <w:bottom w:val="single" w:color="auto" w:sz="4" w:space="0"/>
              <w:right w:val="single" w:color="auto" w:sz="4" w:space="0"/>
            </w:tcBorders>
          </w:tcPr>
          <w:p w14:paraId="0E34FD18">
            <w:pPr>
              <w:topLinePunct/>
              <w:spacing w:line="440" w:lineRule="exact"/>
              <w:rPr>
                <w:rFonts w:ascii="Times New Roman" w:hAnsi="Times New Roman"/>
                <w:sz w:val="24"/>
              </w:rPr>
            </w:pPr>
          </w:p>
        </w:tc>
      </w:tr>
      <w:tr w14:paraId="7076ADF1">
        <w:tblPrEx>
          <w:tblCellMar>
            <w:top w:w="0" w:type="dxa"/>
            <w:left w:w="108" w:type="dxa"/>
            <w:bottom w:w="0" w:type="dxa"/>
            <w:right w:w="108" w:type="dxa"/>
          </w:tblCellMar>
        </w:tblPrEx>
        <w:trPr>
          <w:trHeight w:val="670" w:hRule="atLeast"/>
          <w:jc w:val="center"/>
        </w:trPr>
        <w:tc>
          <w:tcPr>
            <w:tcW w:w="2774" w:type="dxa"/>
            <w:tcBorders>
              <w:top w:val="single" w:color="auto" w:sz="4" w:space="0"/>
              <w:left w:val="single" w:color="auto" w:sz="4" w:space="0"/>
              <w:bottom w:val="single" w:color="auto" w:sz="4" w:space="0"/>
              <w:right w:val="single" w:color="auto" w:sz="4" w:space="0"/>
            </w:tcBorders>
            <w:vAlign w:val="center"/>
          </w:tcPr>
          <w:p w14:paraId="6B5F3026">
            <w:pPr>
              <w:topLinePunct/>
              <w:spacing w:line="440" w:lineRule="exact"/>
              <w:jc w:val="center"/>
              <w:rPr>
                <w:rFonts w:ascii="Times New Roman" w:hAnsi="Times New Roman"/>
                <w:sz w:val="24"/>
              </w:rPr>
            </w:pPr>
            <w:r>
              <w:rPr>
                <w:rFonts w:ascii="Times New Roman" w:hAnsi="Times New Roman"/>
                <w:sz w:val="24"/>
              </w:rPr>
              <w:t>项目所在地</w:t>
            </w:r>
          </w:p>
        </w:tc>
        <w:tc>
          <w:tcPr>
            <w:tcW w:w="6253" w:type="dxa"/>
            <w:tcBorders>
              <w:top w:val="single" w:color="auto" w:sz="4" w:space="0"/>
              <w:left w:val="nil"/>
              <w:bottom w:val="single" w:color="auto" w:sz="4" w:space="0"/>
              <w:right w:val="single" w:color="auto" w:sz="4" w:space="0"/>
            </w:tcBorders>
          </w:tcPr>
          <w:p w14:paraId="0BCCA355">
            <w:pPr>
              <w:topLinePunct/>
              <w:spacing w:line="440" w:lineRule="exact"/>
              <w:rPr>
                <w:rFonts w:ascii="Times New Roman" w:hAnsi="Times New Roman"/>
                <w:sz w:val="24"/>
              </w:rPr>
            </w:pPr>
          </w:p>
        </w:tc>
      </w:tr>
      <w:tr w14:paraId="296CB293">
        <w:tblPrEx>
          <w:tblCellMar>
            <w:top w:w="0" w:type="dxa"/>
            <w:left w:w="108" w:type="dxa"/>
            <w:bottom w:w="0" w:type="dxa"/>
            <w:right w:w="108" w:type="dxa"/>
          </w:tblCellMar>
        </w:tblPrEx>
        <w:trPr>
          <w:trHeight w:val="670" w:hRule="atLeast"/>
          <w:jc w:val="center"/>
        </w:trPr>
        <w:tc>
          <w:tcPr>
            <w:tcW w:w="2774" w:type="dxa"/>
            <w:tcBorders>
              <w:top w:val="single" w:color="auto" w:sz="4" w:space="0"/>
              <w:left w:val="single" w:color="auto" w:sz="4" w:space="0"/>
              <w:bottom w:val="single" w:color="auto" w:sz="4" w:space="0"/>
              <w:right w:val="single" w:color="auto" w:sz="4" w:space="0"/>
            </w:tcBorders>
            <w:vAlign w:val="center"/>
          </w:tcPr>
          <w:p w14:paraId="4031CDA1">
            <w:pPr>
              <w:topLinePunct/>
              <w:spacing w:line="440" w:lineRule="exact"/>
              <w:jc w:val="center"/>
              <w:rPr>
                <w:rFonts w:ascii="Times New Roman" w:hAnsi="Times New Roman"/>
                <w:sz w:val="24"/>
              </w:rPr>
            </w:pPr>
            <w:r>
              <w:rPr>
                <w:rFonts w:ascii="Times New Roman" w:hAnsi="Times New Roman"/>
                <w:sz w:val="24"/>
              </w:rPr>
              <w:t>委托人名称</w:t>
            </w:r>
          </w:p>
        </w:tc>
        <w:tc>
          <w:tcPr>
            <w:tcW w:w="6253" w:type="dxa"/>
            <w:tcBorders>
              <w:top w:val="single" w:color="auto" w:sz="4" w:space="0"/>
              <w:left w:val="nil"/>
              <w:bottom w:val="single" w:color="auto" w:sz="4" w:space="0"/>
              <w:right w:val="single" w:color="auto" w:sz="4" w:space="0"/>
            </w:tcBorders>
          </w:tcPr>
          <w:p w14:paraId="5A3E2F59">
            <w:pPr>
              <w:topLinePunct/>
              <w:spacing w:line="440" w:lineRule="exact"/>
              <w:rPr>
                <w:rFonts w:ascii="Times New Roman" w:hAnsi="Times New Roman"/>
                <w:sz w:val="24"/>
              </w:rPr>
            </w:pPr>
          </w:p>
        </w:tc>
      </w:tr>
      <w:tr w14:paraId="1C16F4E1">
        <w:tblPrEx>
          <w:tblCellMar>
            <w:top w:w="0" w:type="dxa"/>
            <w:left w:w="108" w:type="dxa"/>
            <w:bottom w:w="0" w:type="dxa"/>
            <w:right w:w="108" w:type="dxa"/>
          </w:tblCellMar>
        </w:tblPrEx>
        <w:trPr>
          <w:trHeight w:val="670" w:hRule="atLeast"/>
          <w:jc w:val="center"/>
        </w:trPr>
        <w:tc>
          <w:tcPr>
            <w:tcW w:w="2774" w:type="dxa"/>
            <w:tcBorders>
              <w:top w:val="single" w:color="auto" w:sz="4" w:space="0"/>
              <w:left w:val="single" w:color="auto" w:sz="4" w:space="0"/>
              <w:bottom w:val="single" w:color="auto" w:sz="4" w:space="0"/>
              <w:right w:val="single" w:color="auto" w:sz="4" w:space="0"/>
            </w:tcBorders>
            <w:vAlign w:val="center"/>
          </w:tcPr>
          <w:p w14:paraId="395B2E71">
            <w:pPr>
              <w:topLinePunct/>
              <w:spacing w:line="440" w:lineRule="exact"/>
              <w:jc w:val="center"/>
              <w:rPr>
                <w:rFonts w:ascii="Times New Roman" w:hAnsi="Times New Roman"/>
                <w:sz w:val="24"/>
              </w:rPr>
            </w:pPr>
            <w:r>
              <w:rPr>
                <w:rFonts w:ascii="Times New Roman" w:hAnsi="Times New Roman"/>
                <w:sz w:val="24"/>
              </w:rPr>
              <w:t>委托人地址</w:t>
            </w:r>
          </w:p>
        </w:tc>
        <w:tc>
          <w:tcPr>
            <w:tcW w:w="6253" w:type="dxa"/>
            <w:tcBorders>
              <w:top w:val="single" w:color="auto" w:sz="4" w:space="0"/>
              <w:left w:val="nil"/>
              <w:bottom w:val="single" w:color="auto" w:sz="4" w:space="0"/>
              <w:right w:val="single" w:color="auto" w:sz="4" w:space="0"/>
            </w:tcBorders>
          </w:tcPr>
          <w:p w14:paraId="2E7B1ED9">
            <w:pPr>
              <w:topLinePunct/>
              <w:spacing w:line="440" w:lineRule="exact"/>
              <w:rPr>
                <w:rFonts w:ascii="Times New Roman" w:hAnsi="Times New Roman"/>
                <w:sz w:val="24"/>
              </w:rPr>
            </w:pPr>
          </w:p>
        </w:tc>
      </w:tr>
      <w:tr w14:paraId="60C6A0B6">
        <w:tblPrEx>
          <w:tblCellMar>
            <w:top w:w="0" w:type="dxa"/>
            <w:left w:w="108" w:type="dxa"/>
            <w:bottom w:w="0" w:type="dxa"/>
            <w:right w:w="108" w:type="dxa"/>
          </w:tblCellMar>
        </w:tblPrEx>
        <w:trPr>
          <w:trHeight w:val="670" w:hRule="atLeast"/>
          <w:jc w:val="center"/>
        </w:trPr>
        <w:tc>
          <w:tcPr>
            <w:tcW w:w="2774" w:type="dxa"/>
            <w:tcBorders>
              <w:top w:val="single" w:color="auto" w:sz="4" w:space="0"/>
              <w:left w:val="single" w:color="auto" w:sz="4" w:space="0"/>
              <w:bottom w:val="single" w:color="auto" w:sz="4" w:space="0"/>
              <w:right w:val="single" w:color="auto" w:sz="4" w:space="0"/>
            </w:tcBorders>
            <w:vAlign w:val="center"/>
          </w:tcPr>
          <w:p w14:paraId="2D7C28CB">
            <w:pPr>
              <w:topLinePunct/>
              <w:spacing w:line="440" w:lineRule="exact"/>
              <w:jc w:val="center"/>
              <w:rPr>
                <w:rFonts w:ascii="Times New Roman" w:hAnsi="Times New Roman"/>
                <w:sz w:val="24"/>
              </w:rPr>
            </w:pPr>
            <w:r>
              <w:rPr>
                <w:rFonts w:ascii="Times New Roman" w:hAnsi="Times New Roman"/>
                <w:sz w:val="24"/>
              </w:rPr>
              <w:t>委托人电话</w:t>
            </w:r>
          </w:p>
        </w:tc>
        <w:tc>
          <w:tcPr>
            <w:tcW w:w="6253" w:type="dxa"/>
            <w:tcBorders>
              <w:top w:val="single" w:color="auto" w:sz="4" w:space="0"/>
              <w:left w:val="nil"/>
              <w:bottom w:val="single" w:color="auto" w:sz="4" w:space="0"/>
              <w:right w:val="single" w:color="auto" w:sz="4" w:space="0"/>
            </w:tcBorders>
          </w:tcPr>
          <w:p w14:paraId="33A865E8">
            <w:pPr>
              <w:topLinePunct/>
              <w:spacing w:line="440" w:lineRule="exact"/>
              <w:rPr>
                <w:rFonts w:ascii="Times New Roman" w:hAnsi="Times New Roman"/>
                <w:sz w:val="24"/>
              </w:rPr>
            </w:pPr>
          </w:p>
        </w:tc>
      </w:tr>
      <w:tr w14:paraId="1334DAFD">
        <w:tblPrEx>
          <w:tblCellMar>
            <w:top w:w="0" w:type="dxa"/>
            <w:left w:w="108" w:type="dxa"/>
            <w:bottom w:w="0" w:type="dxa"/>
            <w:right w:w="108" w:type="dxa"/>
          </w:tblCellMar>
        </w:tblPrEx>
        <w:trPr>
          <w:trHeight w:val="670" w:hRule="atLeast"/>
          <w:jc w:val="center"/>
        </w:trPr>
        <w:tc>
          <w:tcPr>
            <w:tcW w:w="2774" w:type="dxa"/>
            <w:tcBorders>
              <w:top w:val="single" w:color="auto" w:sz="4" w:space="0"/>
              <w:left w:val="single" w:color="auto" w:sz="4" w:space="0"/>
              <w:bottom w:val="single" w:color="auto" w:sz="4" w:space="0"/>
              <w:right w:val="single" w:color="auto" w:sz="4" w:space="0"/>
            </w:tcBorders>
            <w:vAlign w:val="center"/>
          </w:tcPr>
          <w:p w14:paraId="001A0994">
            <w:pPr>
              <w:topLinePunct/>
              <w:spacing w:line="440" w:lineRule="exact"/>
              <w:jc w:val="center"/>
              <w:rPr>
                <w:rFonts w:ascii="Times New Roman" w:hAnsi="Times New Roman"/>
                <w:sz w:val="24"/>
              </w:rPr>
            </w:pPr>
            <w:r>
              <w:rPr>
                <w:rFonts w:ascii="Times New Roman" w:hAnsi="Times New Roman"/>
                <w:sz w:val="24"/>
              </w:rPr>
              <w:t>合同价格</w:t>
            </w:r>
          </w:p>
        </w:tc>
        <w:tc>
          <w:tcPr>
            <w:tcW w:w="6253" w:type="dxa"/>
            <w:tcBorders>
              <w:top w:val="single" w:color="auto" w:sz="4" w:space="0"/>
              <w:left w:val="nil"/>
              <w:bottom w:val="single" w:color="auto" w:sz="4" w:space="0"/>
              <w:right w:val="single" w:color="auto" w:sz="4" w:space="0"/>
            </w:tcBorders>
          </w:tcPr>
          <w:p w14:paraId="43619F5E">
            <w:pPr>
              <w:topLinePunct/>
              <w:spacing w:line="440" w:lineRule="exact"/>
              <w:rPr>
                <w:rFonts w:ascii="Times New Roman" w:hAnsi="Times New Roman"/>
                <w:sz w:val="24"/>
              </w:rPr>
            </w:pPr>
          </w:p>
        </w:tc>
      </w:tr>
      <w:tr w14:paraId="0F300F95">
        <w:tblPrEx>
          <w:tblCellMar>
            <w:top w:w="0" w:type="dxa"/>
            <w:left w:w="108" w:type="dxa"/>
            <w:bottom w:w="0" w:type="dxa"/>
            <w:right w:w="108" w:type="dxa"/>
          </w:tblCellMar>
        </w:tblPrEx>
        <w:trPr>
          <w:trHeight w:val="670" w:hRule="atLeast"/>
          <w:jc w:val="center"/>
        </w:trPr>
        <w:tc>
          <w:tcPr>
            <w:tcW w:w="2774" w:type="dxa"/>
            <w:tcBorders>
              <w:top w:val="single" w:color="auto" w:sz="4" w:space="0"/>
              <w:left w:val="single" w:color="auto" w:sz="4" w:space="0"/>
              <w:bottom w:val="single" w:color="auto" w:sz="4" w:space="0"/>
              <w:right w:val="single" w:color="auto" w:sz="4" w:space="0"/>
            </w:tcBorders>
            <w:vAlign w:val="center"/>
          </w:tcPr>
          <w:p w14:paraId="2B107185">
            <w:pPr>
              <w:topLinePunct/>
              <w:spacing w:line="440" w:lineRule="exact"/>
              <w:jc w:val="center"/>
              <w:rPr>
                <w:rFonts w:ascii="Times New Roman" w:hAnsi="Times New Roman"/>
                <w:sz w:val="24"/>
              </w:rPr>
            </w:pPr>
            <w:r>
              <w:rPr>
                <w:rFonts w:ascii="Times New Roman" w:hAnsi="Times New Roman"/>
                <w:sz w:val="24"/>
              </w:rPr>
              <w:t>服务期限</w:t>
            </w:r>
          </w:p>
        </w:tc>
        <w:tc>
          <w:tcPr>
            <w:tcW w:w="6253" w:type="dxa"/>
            <w:tcBorders>
              <w:top w:val="single" w:color="auto" w:sz="4" w:space="0"/>
              <w:left w:val="nil"/>
              <w:bottom w:val="single" w:color="auto" w:sz="4" w:space="0"/>
              <w:right w:val="single" w:color="auto" w:sz="4" w:space="0"/>
            </w:tcBorders>
          </w:tcPr>
          <w:p w14:paraId="316DDF7A">
            <w:pPr>
              <w:topLinePunct/>
              <w:spacing w:line="440" w:lineRule="exact"/>
              <w:rPr>
                <w:rFonts w:ascii="Times New Roman" w:hAnsi="Times New Roman"/>
                <w:sz w:val="24"/>
              </w:rPr>
            </w:pPr>
          </w:p>
        </w:tc>
      </w:tr>
      <w:tr w14:paraId="55D6EBE7">
        <w:tblPrEx>
          <w:tblCellMar>
            <w:top w:w="0" w:type="dxa"/>
            <w:left w:w="108" w:type="dxa"/>
            <w:bottom w:w="0" w:type="dxa"/>
            <w:right w:w="108" w:type="dxa"/>
          </w:tblCellMar>
        </w:tblPrEx>
        <w:trPr>
          <w:trHeight w:val="670" w:hRule="atLeast"/>
          <w:jc w:val="center"/>
        </w:trPr>
        <w:tc>
          <w:tcPr>
            <w:tcW w:w="2774" w:type="dxa"/>
            <w:tcBorders>
              <w:top w:val="single" w:color="auto" w:sz="4" w:space="0"/>
              <w:left w:val="single" w:color="auto" w:sz="4" w:space="0"/>
              <w:bottom w:val="single" w:color="auto" w:sz="4" w:space="0"/>
              <w:right w:val="single" w:color="auto" w:sz="4" w:space="0"/>
            </w:tcBorders>
            <w:vAlign w:val="center"/>
          </w:tcPr>
          <w:p w14:paraId="12A0B7B6">
            <w:pPr>
              <w:topLinePunct/>
              <w:spacing w:line="440" w:lineRule="exact"/>
              <w:jc w:val="center"/>
              <w:rPr>
                <w:rFonts w:ascii="Times New Roman" w:hAnsi="Times New Roman"/>
                <w:sz w:val="24"/>
              </w:rPr>
            </w:pPr>
            <w:r>
              <w:rPr>
                <w:rFonts w:hint="eastAsia" w:ascii="Times New Roman" w:hAnsi="Times New Roman"/>
                <w:sz w:val="24"/>
                <w:lang w:val="en-US"/>
              </w:rPr>
              <w:t>服务</w:t>
            </w:r>
            <w:r>
              <w:rPr>
                <w:rFonts w:ascii="Times New Roman" w:hAnsi="Times New Roman"/>
                <w:sz w:val="24"/>
              </w:rPr>
              <w:t>内容</w:t>
            </w:r>
          </w:p>
        </w:tc>
        <w:tc>
          <w:tcPr>
            <w:tcW w:w="6253" w:type="dxa"/>
            <w:tcBorders>
              <w:top w:val="single" w:color="auto" w:sz="4" w:space="0"/>
              <w:left w:val="nil"/>
              <w:bottom w:val="single" w:color="auto" w:sz="4" w:space="0"/>
              <w:right w:val="single" w:color="auto" w:sz="4" w:space="0"/>
            </w:tcBorders>
          </w:tcPr>
          <w:p w14:paraId="65342673">
            <w:pPr>
              <w:topLinePunct/>
              <w:spacing w:line="440" w:lineRule="exact"/>
              <w:rPr>
                <w:rFonts w:ascii="Times New Roman" w:hAnsi="Times New Roman"/>
                <w:sz w:val="24"/>
              </w:rPr>
            </w:pPr>
          </w:p>
        </w:tc>
      </w:tr>
      <w:tr w14:paraId="43A72087">
        <w:tblPrEx>
          <w:tblCellMar>
            <w:top w:w="0" w:type="dxa"/>
            <w:left w:w="108" w:type="dxa"/>
            <w:bottom w:w="0" w:type="dxa"/>
            <w:right w:w="108" w:type="dxa"/>
          </w:tblCellMar>
        </w:tblPrEx>
        <w:trPr>
          <w:trHeight w:val="670" w:hRule="atLeast"/>
          <w:jc w:val="center"/>
        </w:trPr>
        <w:tc>
          <w:tcPr>
            <w:tcW w:w="2774" w:type="dxa"/>
            <w:tcBorders>
              <w:top w:val="single" w:color="auto" w:sz="4" w:space="0"/>
              <w:left w:val="single" w:color="auto" w:sz="4" w:space="0"/>
              <w:bottom w:val="single" w:color="auto" w:sz="4" w:space="0"/>
              <w:right w:val="single" w:color="auto" w:sz="4" w:space="0"/>
            </w:tcBorders>
            <w:vAlign w:val="center"/>
          </w:tcPr>
          <w:p w14:paraId="052930D8">
            <w:pPr>
              <w:topLinePunct/>
              <w:spacing w:line="440" w:lineRule="exact"/>
              <w:jc w:val="center"/>
              <w:rPr>
                <w:rFonts w:ascii="Times New Roman" w:hAnsi="Times New Roman"/>
                <w:sz w:val="24"/>
                <w:lang w:val="en-US"/>
              </w:rPr>
            </w:pPr>
            <w:r>
              <w:rPr>
                <w:rFonts w:hint="eastAsia" w:ascii="Times New Roman" w:hAnsi="Times New Roman"/>
                <w:sz w:val="24"/>
                <w:lang w:val="en-US"/>
              </w:rPr>
              <w:t>项目负责人</w:t>
            </w:r>
          </w:p>
        </w:tc>
        <w:tc>
          <w:tcPr>
            <w:tcW w:w="6253" w:type="dxa"/>
            <w:tcBorders>
              <w:top w:val="single" w:color="auto" w:sz="4" w:space="0"/>
              <w:left w:val="nil"/>
              <w:bottom w:val="single" w:color="auto" w:sz="4" w:space="0"/>
              <w:right w:val="single" w:color="auto" w:sz="4" w:space="0"/>
            </w:tcBorders>
          </w:tcPr>
          <w:p w14:paraId="4F572354">
            <w:pPr>
              <w:topLinePunct/>
              <w:spacing w:line="440" w:lineRule="exact"/>
              <w:rPr>
                <w:rFonts w:ascii="Times New Roman" w:hAnsi="Times New Roman"/>
                <w:sz w:val="24"/>
              </w:rPr>
            </w:pPr>
          </w:p>
        </w:tc>
      </w:tr>
      <w:tr w14:paraId="25915040">
        <w:tblPrEx>
          <w:tblCellMar>
            <w:top w:w="0" w:type="dxa"/>
            <w:left w:w="108" w:type="dxa"/>
            <w:bottom w:w="0" w:type="dxa"/>
            <w:right w:w="108" w:type="dxa"/>
          </w:tblCellMar>
        </w:tblPrEx>
        <w:trPr>
          <w:trHeight w:val="670" w:hRule="atLeast"/>
          <w:jc w:val="center"/>
        </w:trPr>
        <w:tc>
          <w:tcPr>
            <w:tcW w:w="2774" w:type="dxa"/>
            <w:tcBorders>
              <w:top w:val="single" w:color="auto" w:sz="4" w:space="0"/>
              <w:left w:val="single" w:color="auto" w:sz="4" w:space="0"/>
              <w:bottom w:val="single" w:color="auto" w:sz="4" w:space="0"/>
              <w:right w:val="single" w:color="auto" w:sz="4" w:space="0"/>
            </w:tcBorders>
            <w:vAlign w:val="center"/>
          </w:tcPr>
          <w:p w14:paraId="1BA10FD7">
            <w:pPr>
              <w:topLinePunct/>
              <w:spacing w:line="440" w:lineRule="exact"/>
              <w:jc w:val="center"/>
              <w:rPr>
                <w:rFonts w:ascii="Times New Roman" w:hAnsi="Times New Roman"/>
                <w:sz w:val="24"/>
              </w:rPr>
            </w:pPr>
            <w:r>
              <w:rPr>
                <w:rFonts w:ascii="Times New Roman" w:hAnsi="Times New Roman"/>
                <w:sz w:val="24"/>
              </w:rPr>
              <w:t>项目描述</w:t>
            </w:r>
          </w:p>
        </w:tc>
        <w:tc>
          <w:tcPr>
            <w:tcW w:w="6253" w:type="dxa"/>
            <w:tcBorders>
              <w:top w:val="single" w:color="auto" w:sz="4" w:space="0"/>
              <w:left w:val="nil"/>
              <w:bottom w:val="single" w:color="auto" w:sz="4" w:space="0"/>
              <w:right w:val="single" w:color="auto" w:sz="4" w:space="0"/>
            </w:tcBorders>
          </w:tcPr>
          <w:p w14:paraId="4C3E3510">
            <w:pPr>
              <w:topLinePunct/>
              <w:spacing w:line="440" w:lineRule="exact"/>
              <w:rPr>
                <w:rFonts w:ascii="Times New Roman" w:hAnsi="Times New Roman"/>
                <w:sz w:val="24"/>
              </w:rPr>
            </w:pPr>
          </w:p>
          <w:p w14:paraId="2F10EBCF">
            <w:pPr>
              <w:topLinePunct/>
              <w:spacing w:line="440" w:lineRule="exact"/>
              <w:rPr>
                <w:rFonts w:ascii="Times New Roman" w:hAnsi="Times New Roman"/>
                <w:sz w:val="24"/>
              </w:rPr>
            </w:pPr>
          </w:p>
          <w:p w14:paraId="359645CB">
            <w:pPr>
              <w:topLinePunct/>
              <w:spacing w:line="440" w:lineRule="exact"/>
              <w:rPr>
                <w:rFonts w:ascii="Times New Roman" w:hAnsi="Times New Roman"/>
                <w:sz w:val="24"/>
              </w:rPr>
            </w:pPr>
          </w:p>
          <w:p w14:paraId="0BA0CD0D">
            <w:pPr>
              <w:topLinePunct/>
              <w:spacing w:line="440" w:lineRule="exact"/>
              <w:rPr>
                <w:rFonts w:ascii="Times New Roman" w:hAnsi="Times New Roman"/>
                <w:sz w:val="24"/>
              </w:rPr>
            </w:pPr>
          </w:p>
          <w:p w14:paraId="26816555">
            <w:pPr>
              <w:topLinePunct/>
              <w:spacing w:line="440" w:lineRule="exact"/>
              <w:rPr>
                <w:rFonts w:ascii="Times New Roman" w:hAnsi="Times New Roman"/>
                <w:sz w:val="24"/>
              </w:rPr>
            </w:pPr>
          </w:p>
          <w:p w14:paraId="392C69A2">
            <w:pPr>
              <w:topLinePunct/>
              <w:spacing w:line="440" w:lineRule="exact"/>
              <w:rPr>
                <w:rFonts w:ascii="Times New Roman" w:hAnsi="Times New Roman"/>
                <w:sz w:val="24"/>
              </w:rPr>
            </w:pPr>
          </w:p>
          <w:p w14:paraId="29528651">
            <w:pPr>
              <w:topLinePunct/>
              <w:spacing w:line="440" w:lineRule="exact"/>
              <w:rPr>
                <w:rFonts w:ascii="Times New Roman" w:hAnsi="Times New Roman"/>
                <w:sz w:val="24"/>
              </w:rPr>
            </w:pPr>
          </w:p>
        </w:tc>
      </w:tr>
      <w:tr w14:paraId="1F4D49BF">
        <w:tblPrEx>
          <w:tblCellMar>
            <w:top w:w="0" w:type="dxa"/>
            <w:left w:w="108" w:type="dxa"/>
            <w:bottom w:w="0" w:type="dxa"/>
            <w:right w:w="108" w:type="dxa"/>
          </w:tblCellMar>
        </w:tblPrEx>
        <w:trPr>
          <w:trHeight w:val="670" w:hRule="atLeast"/>
          <w:jc w:val="center"/>
        </w:trPr>
        <w:tc>
          <w:tcPr>
            <w:tcW w:w="2774" w:type="dxa"/>
            <w:tcBorders>
              <w:top w:val="single" w:color="auto" w:sz="4" w:space="0"/>
              <w:left w:val="single" w:color="auto" w:sz="4" w:space="0"/>
              <w:bottom w:val="single" w:color="auto" w:sz="4" w:space="0"/>
              <w:right w:val="single" w:color="auto" w:sz="4" w:space="0"/>
            </w:tcBorders>
            <w:vAlign w:val="center"/>
          </w:tcPr>
          <w:p w14:paraId="7302BB63">
            <w:pPr>
              <w:topLinePunct/>
              <w:spacing w:line="440" w:lineRule="exact"/>
              <w:jc w:val="center"/>
              <w:rPr>
                <w:rFonts w:ascii="Times New Roman" w:hAnsi="Times New Roman"/>
                <w:sz w:val="24"/>
              </w:rPr>
            </w:pPr>
            <w:r>
              <w:rPr>
                <w:rFonts w:ascii="Times New Roman" w:hAnsi="Times New Roman"/>
                <w:sz w:val="24"/>
              </w:rPr>
              <w:t>备注</w:t>
            </w:r>
          </w:p>
        </w:tc>
        <w:tc>
          <w:tcPr>
            <w:tcW w:w="6253" w:type="dxa"/>
            <w:tcBorders>
              <w:top w:val="single" w:color="auto" w:sz="4" w:space="0"/>
              <w:left w:val="nil"/>
              <w:bottom w:val="single" w:color="auto" w:sz="4" w:space="0"/>
              <w:right w:val="single" w:color="auto" w:sz="4" w:space="0"/>
            </w:tcBorders>
          </w:tcPr>
          <w:p w14:paraId="25C626BA">
            <w:pPr>
              <w:topLinePunct/>
              <w:spacing w:line="440" w:lineRule="exact"/>
              <w:rPr>
                <w:rFonts w:ascii="Times New Roman" w:hAnsi="Times New Roman"/>
                <w:sz w:val="24"/>
              </w:rPr>
            </w:pPr>
          </w:p>
        </w:tc>
      </w:tr>
    </w:tbl>
    <w:p w14:paraId="06BDC1BE">
      <w:pPr>
        <w:rPr>
          <w:sz w:val="28"/>
        </w:rPr>
      </w:pPr>
      <w:bookmarkStart w:id="55" w:name="_bookmark189"/>
      <w:bookmarkEnd w:id="55"/>
      <w:bookmarkStart w:id="56" w:name="_bookmark188"/>
      <w:bookmarkEnd w:id="56"/>
      <w:r>
        <w:rPr>
          <w:rFonts w:hint="eastAsia"/>
          <w:sz w:val="28"/>
        </w:rPr>
        <w:br w:type="page"/>
      </w:r>
    </w:p>
    <w:p w14:paraId="0D356852">
      <w:pPr>
        <w:spacing w:before="35" w:line="360" w:lineRule="auto"/>
        <w:jc w:val="center"/>
        <w:rPr>
          <w:b/>
          <w:bCs/>
          <w:sz w:val="28"/>
        </w:rPr>
      </w:pPr>
      <w:r>
        <w:rPr>
          <w:rFonts w:hint="eastAsia"/>
          <w:b/>
          <w:bCs/>
          <w:sz w:val="28"/>
        </w:rPr>
        <w:t>（</w:t>
      </w:r>
      <w:r>
        <w:rPr>
          <w:rFonts w:hint="eastAsia"/>
          <w:b/>
          <w:bCs/>
          <w:sz w:val="28"/>
          <w:lang w:val="en-US"/>
        </w:rPr>
        <w:t>三</w:t>
      </w:r>
      <w:r>
        <w:rPr>
          <w:rFonts w:hint="eastAsia"/>
          <w:b/>
          <w:bCs/>
          <w:sz w:val="28"/>
        </w:rPr>
        <w:t>）拟委任的主要人员汇总表</w:t>
      </w:r>
    </w:p>
    <w:tbl>
      <w:tblPr>
        <w:tblStyle w:val="1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750"/>
        <w:gridCol w:w="1751"/>
        <w:gridCol w:w="1751"/>
        <w:gridCol w:w="3221"/>
      </w:tblGrid>
      <w:tr w14:paraId="7375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15" w:type="dxa"/>
            <w:vAlign w:val="center"/>
          </w:tcPr>
          <w:p w14:paraId="2F72EDC9">
            <w:pPr>
              <w:widowControl/>
              <w:jc w:val="center"/>
              <w:rPr>
                <w:b/>
                <w:bCs/>
                <w:szCs w:val="21"/>
              </w:rPr>
            </w:pPr>
            <w:r>
              <w:rPr>
                <w:rFonts w:hint="eastAsia"/>
                <w:b/>
                <w:bCs/>
                <w:szCs w:val="21"/>
              </w:rPr>
              <w:t>序号</w:t>
            </w:r>
          </w:p>
        </w:tc>
        <w:tc>
          <w:tcPr>
            <w:tcW w:w="1750" w:type="dxa"/>
            <w:vAlign w:val="center"/>
          </w:tcPr>
          <w:p w14:paraId="3A0ABEE7">
            <w:pPr>
              <w:widowControl/>
              <w:jc w:val="center"/>
              <w:rPr>
                <w:b/>
                <w:bCs/>
                <w:szCs w:val="21"/>
              </w:rPr>
            </w:pPr>
            <w:r>
              <w:rPr>
                <w:rFonts w:hint="eastAsia"/>
                <w:b/>
                <w:bCs/>
                <w:szCs w:val="21"/>
              </w:rPr>
              <w:t>姓名</w:t>
            </w:r>
          </w:p>
        </w:tc>
        <w:tc>
          <w:tcPr>
            <w:tcW w:w="1751" w:type="dxa"/>
            <w:vAlign w:val="center"/>
          </w:tcPr>
          <w:p w14:paraId="2E3967D9">
            <w:pPr>
              <w:widowControl/>
              <w:jc w:val="center"/>
              <w:rPr>
                <w:b/>
                <w:bCs/>
                <w:szCs w:val="21"/>
              </w:rPr>
            </w:pPr>
            <w:r>
              <w:rPr>
                <w:rFonts w:hint="eastAsia"/>
                <w:b/>
                <w:bCs/>
                <w:szCs w:val="21"/>
              </w:rPr>
              <w:t>岗位</w:t>
            </w:r>
          </w:p>
        </w:tc>
        <w:tc>
          <w:tcPr>
            <w:tcW w:w="1751" w:type="dxa"/>
            <w:vAlign w:val="center"/>
          </w:tcPr>
          <w:p w14:paraId="7FC8D23B">
            <w:pPr>
              <w:widowControl/>
              <w:jc w:val="center"/>
              <w:rPr>
                <w:b/>
                <w:bCs/>
                <w:szCs w:val="21"/>
              </w:rPr>
            </w:pPr>
            <w:r>
              <w:rPr>
                <w:rFonts w:hint="eastAsia"/>
                <w:b/>
                <w:bCs/>
                <w:szCs w:val="21"/>
              </w:rPr>
              <w:t>职称</w:t>
            </w:r>
          </w:p>
        </w:tc>
        <w:tc>
          <w:tcPr>
            <w:tcW w:w="3221" w:type="dxa"/>
            <w:vAlign w:val="center"/>
          </w:tcPr>
          <w:p w14:paraId="12848D93">
            <w:pPr>
              <w:widowControl/>
              <w:jc w:val="center"/>
              <w:rPr>
                <w:b/>
                <w:bCs/>
                <w:szCs w:val="21"/>
              </w:rPr>
            </w:pPr>
            <w:r>
              <w:rPr>
                <w:rFonts w:hint="eastAsia"/>
                <w:b/>
                <w:bCs/>
                <w:szCs w:val="21"/>
              </w:rPr>
              <w:t>职称证书或资格证书编号</w:t>
            </w:r>
          </w:p>
        </w:tc>
      </w:tr>
      <w:tr w14:paraId="3D3C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vAlign w:val="center"/>
          </w:tcPr>
          <w:p w14:paraId="6F45CDA3">
            <w:pPr>
              <w:widowControl/>
              <w:jc w:val="center"/>
              <w:rPr>
                <w:szCs w:val="21"/>
              </w:rPr>
            </w:pPr>
            <w:r>
              <w:rPr>
                <w:rFonts w:hint="eastAsia"/>
                <w:szCs w:val="21"/>
              </w:rPr>
              <w:t>1</w:t>
            </w:r>
          </w:p>
        </w:tc>
        <w:tc>
          <w:tcPr>
            <w:tcW w:w="1750" w:type="dxa"/>
            <w:vAlign w:val="center"/>
          </w:tcPr>
          <w:p w14:paraId="559787EE">
            <w:pPr>
              <w:widowControl/>
              <w:jc w:val="center"/>
              <w:rPr>
                <w:szCs w:val="21"/>
              </w:rPr>
            </w:pPr>
            <w:r>
              <w:rPr>
                <w:rFonts w:hint="eastAsia"/>
                <w:szCs w:val="21"/>
              </w:rPr>
              <w:t>　</w:t>
            </w:r>
          </w:p>
        </w:tc>
        <w:tc>
          <w:tcPr>
            <w:tcW w:w="1751" w:type="dxa"/>
            <w:vAlign w:val="center"/>
          </w:tcPr>
          <w:p w14:paraId="784C87A9">
            <w:pPr>
              <w:widowControl/>
              <w:jc w:val="center"/>
              <w:rPr>
                <w:szCs w:val="21"/>
              </w:rPr>
            </w:pPr>
            <w:r>
              <w:rPr>
                <w:rFonts w:hint="eastAsia"/>
                <w:szCs w:val="21"/>
              </w:rPr>
              <w:t>　</w:t>
            </w:r>
          </w:p>
        </w:tc>
        <w:tc>
          <w:tcPr>
            <w:tcW w:w="1751" w:type="dxa"/>
            <w:vAlign w:val="center"/>
          </w:tcPr>
          <w:p w14:paraId="2B7CC4D3">
            <w:pPr>
              <w:widowControl/>
              <w:jc w:val="center"/>
              <w:rPr>
                <w:szCs w:val="21"/>
              </w:rPr>
            </w:pPr>
            <w:r>
              <w:rPr>
                <w:rFonts w:hint="eastAsia"/>
                <w:szCs w:val="21"/>
              </w:rPr>
              <w:t>　</w:t>
            </w:r>
          </w:p>
        </w:tc>
        <w:tc>
          <w:tcPr>
            <w:tcW w:w="3221" w:type="dxa"/>
            <w:vAlign w:val="center"/>
          </w:tcPr>
          <w:p w14:paraId="392B5CDB">
            <w:pPr>
              <w:widowControl/>
              <w:jc w:val="center"/>
              <w:rPr>
                <w:szCs w:val="21"/>
              </w:rPr>
            </w:pPr>
            <w:r>
              <w:rPr>
                <w:rFonts w:hint="eastAsia"/>
                <w:szCs w:val="21"/>
              </w:rPr>
              <w:t>　</w:t>
            </w:r>
          </w:p>
        </w:tc>
      </w:tr>
      <w:tr w14:paraId="5F9B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vAlign w:val="center"/>
          </w:tcPr>
          <w:p w14:paraId="5DC92A29">
            <w:pPr>
              <w:widowControl/>
              <w:jc w:val="center"/>
              <w:rPr>
                <w:szCs w:val="21"/>
              </w:rPr>
            </w:pPr>
            <w:r>
              <w:rPr>
                <w:rFonts w:hint="eastAsia"/>
                <w:szCs w:val="21"/>
              </w:rPr>
              <w:t>2</w:t>
            </w:r>
          </w:p>
        </w:tc>
        <w:tc>
          <w:tcPr>
            <w:tcW w:w="1750" w:type="dxa"/>
            <w:vAlign w:val="center"/>
          </w:tcPr>
          <w:p w14:paraId="52C56B8B">
            <w:pPr>
              <w:widowControl/>
              <w:jc w:val="center"/>
              <w:rPr>
                <w:szCs w:val="21"/>
              </w:rPr>
            </w:pPr>
            <w:r>
              <w:rPr>
                <w:rFonts w:hint="eastAsia"/>
                <w:szCs w:val="21"/>
              </w:rPr>
              <w:t>　</w:t>
            </w:r>
          </w:p>
        </w:tc>
        <w:tc>
          <w:tcPr>
            <w:tcW w:w="1751" w:type="dxa"/>
            <w:vAlign w:val="center"/>
          </w:tcPr>
          <w:p w14:paraId="06C84C4A">
            <w:pPr>
              <w:widowControl/>
              <w:jc w:val="center"/>
              <w:rPr>
                <w:szCs w:val="21"/>
              </w:rPr>
            </w:pPr>
            <w:r>
              <w:rPr>
                <w:rFonts w:hint="eastAsia"/>
                <w:szCs w:val="21"/>
              </w:rPr>
              <w:t>　</w:t>
            </w:r>
          </w:p>
        </w:tc>
        <w:tc>
          <w:tcPr>
            <w:tcW w:w="1751" w:type="dxa"/>
            <w:vAlign w:val="center"/>
          </w:tcPr>
          <w:p w14:paraId="3A18615F">
            <w:pPr>
              <w:widowControl/>
              <w:jc w:val="center"/>
              <w:rPr>
                <w:szCs w:val="21"/>
              </w:rPr>
            </w:pPr>
            <w:r>
              <w:rPr>
                <w:rFonts w:hint="eastAsia"/>
                <w:szCs w:val="21"/>
              </w:rPr>
              <w:t>　</w:t>
            </w:r>
          </w:p>
        </w:tc>
        <w:tc>
          <w:tcPr>
            <w:tcW w:w="3221" w:type="dxa"/>
            <w:vAlign w:val="center"/>
          </w:tcPr>
          <w:p w14:paraId="544C0552">
            <w:pPr>
              <w:widowControl/>
              <w:jc w:val="center"/>
              <w:rPr>
                <w:szCs w:val="21"/>
              </w:rPr>
            </w:pPr>
            <w:r>
              <w:rPr>
                <w:rFonts w:hint="eastAsia"/>
                <w:szCs w:val="21"/>
              </w:rPr>
              <w:t>　</w:t>
            </w:r>
          </w:p>
        </w:tc>
      </w:tr>
      <w:tr w14:paraId="6E25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vAlign w:val="center"/>
          </w:tcPr>
          <w:p w14:paraId="197102ED">
            <w:pPr>
              <w:widowControl/>
              <w:jc w:val="center"/>
              <w:rPr>
                <w:szCs w:val="21"/>
              </w:rPr>
            </w:pPr>
            <w:r>
              <w:rPr>
                <w:rFonts w:hint="eastAsia"/>
                <w:szCs w:val="21"/>
              </w:rPr>
              <w:t>3</w:t>
            </w:r>
          </w:p>
        </w:tc>
        <w:tc>
          <w:tcPr>
            <w:tcW w:w="1750" w:type="dxa"/>
            <w:vAlign w:val="center"/>
          </w:tcPr>
          <w:p w14:paraId="3A4A2C4A">
            <w:pPr>
              <w:widowControl/>
              <w:jc w:val="center"/>
              <w:rPr>
                <w:szCs w:val="21"/>
              </w:rPr>
            </w:pPr>
            <w:r>
              <w:rPr>
                <w:rFonts w:hint="eastAsia"/>
                <w:szCs w:val="21"/>
              </w:rPr>
              <w:t>　</w:t>
            </w:r>
          </w:p>
        </w:tc>
        <w:tc>
          <w:tcPr>
            <w:tcW w:w="1751" w:type="dxa"/>
            <w:vAlign w:val="center"/>
          </w:tcPr>
          <w:p w14:paraId="23736958">
            <w:pPr>
              <w:widowControl/>
              <w:jc w:val="center"/>
              <w:rPr>
                <w:szCs w:val="21"/>
              </w:rPr>
            </w:pPr>
            <w:r>
              <w:rPr>
                <w:rFonts w:hint="eastAsia"/>
                <w:szCs w:val="21"/>
              </w:rPr>
              <w:t>　</w:t>
            </w:r>
          </w:p>
        </w:tc>
        <w:tc>
          <w:tcPr>
            <w:tcW w:w="1751" w:type="dxa"/>
            <w:vAlign w:val="center"/>
          </w:tcPr>
          <w:p w14:paraId="4BA82E01">
            <w:pPr>
              <w:widowControl/>
              <w:jc w:val="center"/>
              <w:rPr>
                <w:szCs w:val="21"/>
              </w:rPr>
            </w:pPr>
            <w:r>
              <w:rPr>
                <w:rFonts w:hint="eastAsia"/>
                <w:szCs w:val="21"/>
              </w:rPr>
              <w:t>　</w:t>
            </w:r>
          </w:p>
        </w:tc>
        <w:tc>
          <w:tcPr>
            <w:tcW w:w="3221" w:type="dxa"/>
            <w:vAlign w:val="center"/>
          </w:tcPr>
          <w:p w14:paraId="172BDBC3">
            <w:pPr>
              <w:widowControl/>
              <w:jc w:val="center"/>
              <w:rPr>
                <w:szCs w:val="21"/>
              </w:rPr>
            </w:pPr>
            <w:r>
              <w:rPr>
                <w:rFonts w:hint="eastAsia"/>
                <w:szCs w:val="21"/>
              </w:rPr>
              <w:t>　</w:t>
            </w:r>
          </w:p>
        </w:tc>
      </w:tr>
      <w:tr w14:paraId="2DC10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vAlign w:val="center"/>
          </w:tcPr>
          <w:p w14:paraId="2296D775">
            <w:pPr>
              <w:widowControl/>
              <w:jc w:val="center"/>
              <w:rPr>
                <w:szCs w:val="21"/>
              </w:rPr>
            </w:pPr>
            <w:r>
              <w:rPr>
                <w:rFonts w:hint="eastAsia"/>
                <w:szCs w:val="21"/>
              </w:rPr>
              <w:t>4</w:t>
            </w:r>
          </w:p>
        </w:tc>
        <w:tc>
          <w:tcPr>
            <w:tcW w:w="1750" w:type="dxa"/>
            <w:vAlign w:val="center"/>
          </w:tcPr>
          <w:p w14:paraId="401C7B38">
            <w:pPr>
              <w:widowControl/>
              <w:jc w:val="center"/>
              <w:rPr>
                <w:szCs w:val="21"/>
              </w:rPr>
            </w:pPr>
            <w:r>
              <w:rPr>
                <w:rFonts w:hint="eastAsia"/>
                <w:szCs w:val="21"/>
              </w:rPr>
              <w:t>　</w:t>
            </w:r>
          </w:p>
        </w:tc>
        <w:tc>
          <w:tcPr>
            <w:tcW w:w="1751" w:type="dxa"/>
            <w:vAlign w:val="center"/>
          </w:tcPr>
          <w:p w14:paraId="03B41891">
            <w:pPr>
              <w:widowControl/>
              <w:jc w:val="center"/>
              <w:rPr>
                <w:szCs w:val="21"/>
              </w:rPr>
            </w:pPr>
            <w:r>
              <w:rPr>
                <w:rFonts w:hint="eastAsia"/>
                <w:szCs w:val="21"/>
              </w:rPr>
              <w:t>　</w:t>
            </w:r>
          </w:p>
        </w:tc>
        <w:tc>
          <w:tcPr>
            <w:tcW w:w="1751" w:type="dxa"/>
            <w:vAlign w:val="center"/>
          </w:tcPr>
          <w:p w14:paraId="0B5CA4AB">
            <w:pPr>
              <w:widowControl/>
              <w:jc w:val="center"/>
              <w:rPr>
                <w:szCs w:val="21"/>
              </w:rPr>
            </w:pPr>
            <w:r>
              <w:rPr>
                <w:rFonts w:hint="eastAsia"/>
                <w:szCs w:val="21"/>
              </w:rPr>
              <w:t>　</w:t>
            </w:r>
          </w:p>
        </w:tc>
        <w:tc>
          <w:tcPr>
            <w:tcW w:w="3221" w:type="dxa"/>
            <w:vAlign w:val="center"/>
          </w:tcPr>
          <w:p w14:paraId="5B317F4F">
            <w:pPr>
              <w:widowControl/>
              <w:jc w:val="center"/>
              <w:rPr>
                <w:szCs w:val="21"/>
              </w:rPr>
            </w:pPr>
            <w:r>
              <w:rPr>
                <w:rFonts w:hint="eastAsia"/>
                <w:szCs w:val="21"/>
              </w:rPr>
              <w:t>　</w:t>
            </w:r>
          </w:p>
        </w:tc>
      </w:tr>
      <w:tr w14:paraId="1ECB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vAlign w:val="center"/>
          </w:tcPr>
          <w:p w14:paraId="7E431141">
            <w:pPr>
              <w:widowControl/>
              <w:jc w:val="center"/>
              <w:rPr>
                <w:szCs w:val="21"/>
              </w:rPr>
            </w:pPr>
            <w:r>
              <w:rPr>
                <w:rFonts w:hint="eastAsia"/>
                <w:szCs w:val="21"/>
              </w:rPr>
              <w:t>……</w:t>
            </w:r>
          </w:p>
        </w:tc>
        <w:tc>
          <w:tcPr>
            <w:tcW w:w="1750" w:type="dxa"/>
            <w:vAlign w:val="center"/>
          </w:tcPr>
          <w:p w14:paraId="0E76D186">
            <w:pPr>
              <w:widowControl/>
              <w:jc w:val="center"/>
              <w:rPr>
                <w:szCs w:val="21"/>
              </w:rPr>
            </w:pPr>
            <w:r>
              <w:rPr>
                <w:rFonts w:hint="eastAsia"/>
                <w:szCs w:val="21"/>
              </w:rPr>
              <w:t>　</w:t>
            </w:r>
          </w:p>
        </w:tc>
        <w:tc>
          <w:tcPr>
            <w:tcW w:w="1751" w:type="dxa"/>
            <w:vAlign w:val="center"/>
          </w:tcPr>
          <w:p w14:paraId="4E538794">
            <w:pPr>
              <w:widowControl/>
              <w:jc w:val="center"/>
              <w:rPr>
                <w:szCs w:val="21"/>
              </w:rPr>
            </w:pPr>
            <w:r>
              <w:rPr>
                <w:rFonts w:hint="eastAsia"/>
                <w:szCs w:val="21"/>
              </w:rPr>
              <w:t>　</w:t>
            </w:r>
          </w:p>
        </w:tc>
        <w:tc>
          <w:tcPr>
            <w:tcW w:w="1751" w:type="dxa"/>
            <w:vAlign w:val="center"/>
          </w:tcPr>
          <w:p w14:paraId="45CDF797">
            <w:pPr>
              <w:widowControl/>
              <w:jc w:val="center"/>
              <w:rPr>
                <w:szCs w:val="21"/>
              </w:rPr>
            </w:pPr>
            <w:r>
              <w:rPr>
                <w:rFonts w:hint="eastAsia"/>
                <w:szCs w:val="21"/>
              </w:rPr>
              <w:t>　</w:t>
            </w:r>
          </w:p>
        </w:tc>
        <w:tc>
          <w:tcPr>
            <w:tcW w:w="3221" w:type="dxa"/>
            <w:vAlign w:val="center"/>
          </w:tcPr>
          <w:p w14:paraId="0B71B6D9">
            <w:pPr>
              <w:widowControl/>
              <w:jc w:val="center"/>
              <w:rPr>
                <w:szCs w:val="21"/>
              </w:rPr>
            </w:pPr>
            <w:r>
              <w:rPr>
                <w:rFonts w:hint="eastAsia"/>
                <w:szCs w:val="21"/>
              </w:rPr>
              <w:t>　</w:t>
            </w:r>
          </w:p>
        </w:tc>
      </w:tr>
      <w:tr w14:paraId="1040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vAlign w:val="center"/>
          </w:tcPr>
          <w:p w14:paraId="0E08E80B">
            <w:pPr>
              <w:widowControl/>
              <w:jc w:val="center"/>
              <w:rPr>
                <w:szCs w:val="21"/>
              </w:rPr>
            </w:pPr>
            <w:r>
              <w:rPr>
                <w:rFonts w:hint="eastAsia"/>
                <w:szCs w:val="21"/>
              </w:rPr>
              <w:t>　</w:t>
            </w:r>
          </w:p>
        </w:tc>
        <w:tc>
          <w:tcPr>
            <w:tcW w:w="1750" w:type="dxa"/>
            <w:vAlign w:val="center"/>
          </w:tcPr>
          <w:p w14:paraId="53C6F1B6">
            <w:pPr>
              <w:widowControl/>
              <w:jc w:val="center"/>
              <w:rPr>
                <w:szCs w:val="21"/>
              </w:rPr>
            </w:pPr>
            <w:r>
              <w:rPr>
                <w:rFonts w:hint="eastAsia"/>
                <w:szCs w:val="21"/>
              </w:rPr>
              <w:t>　</w:t>
            </w:r>
          </w:p>
        </w:tc>
        <w:tc>
          <w:tcPr>
            <w:tcW w:w="1751" w:type="dxa"/>
            <w:vAlign w:val="center"/>
          </w:tcPr>
          <w:p w14:paraId="755FE443">
            <w:pPr>
              <w:widowControl/>
              <w:jc w:val="center"/>
              <w:rPr>
                <w:szCs w:val="21"/>
              </w:rPr>
            </w:pPr>
            <w:r>
              <w:rPr>
                <w:rFonts w:hint="eastAsia"/>
                <w:szCs w:val="21"/>
              </w:rPr>
              <w:t>　</w:t>
            </w:r>
          </w:p>
        </w:tc>
        <w:tc>
          <w:tcPr>
            <w:tcW w:w="1751" w:type="dxa"/>
            <w:vAlign w:val="center"/>
          </w:tcPr>
          <w:p w14:paraId="5F9FDD8C">
            <w:pPr>
              <w:widowControl/>
              <w:jc w:val="center"/>
              <w:rPr>
                <w:szCs w:val="21"/>
              </w:rPr>
            </w:pPr>
            <w:r>
              <w:rPr>
                <w:rFonts w:hint="eastAsia"/>
                <w:szCs w:val="21"/>
              </w:rPr>
              <w:t>　</w:t>
            </w:r>
          </w:p>
        </w:tc>
        <w:tc>
          <w:tcPr>
            <w:tcW w:w="3221" w:type="dxa"/>
            <w:vAlign w:val="center"/>
          </w:tcPr>
          <w:p w14:paraId="74F7A134">
            <w:pPr>
              <w:widowControl/>
              <w:jc w:val="center"/>
              <w:rPr>
                <w:szCs w:val="21"/>
              </w:rPr>
            </w:pPr>
            <w:r>
              <w:rPr>
                <w:rFonts w:hint="eastAsia"/>
                <w:szCs w:val="21"/>
              </w:rPr>
              <w:t>　</w:t>
            </w:r>
          </w:p>
        </w:tc>
      </w:tr>
      <w:tr w14:paraId="2BAA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vAlign w:val="center"/>
          </w:tcPr>
          <w:p w14:paraId="627D5341">
            <w:pPr>
              <w:widowControl/>
              <w:jc w:val="center"/>
              <w:rPr>
                <w:szCs w:val="21"/>
              </w:rPr>
            </w:pPr>
            <w:r>
              <w:rPr>
                <w:rFonts w:hint="eastAsia"/>
                <w:szCs w:val="21"/>
              </w:rPr>
              <w:t>　</w:t>
            </w:r>
          </w:p>
        </w:tc>
        <w:tc>
          <w:tcPr>
            <w:tcW w:w="1750" w:type="dxa"/>
            <w:vAlign w:val="center"/>
          </w:tcPr>
          <w:p w14:paraId="5B8A06D9">
            <w:pPr>
              <w:widowControl/>
              <w:jc w:val="center"/>
              <w:rPr>
                <w:szCs w:val="21"/>
              </w:rPr>
            </w:pPr>
            <w:r>
              <w:rPr>
                <w:rFonts w:hint="eastAsia"/>
                <w:szCs w:val="21"/>
              </w:rPr>
              <w:t>　</w:t>
            </w:r>
          </w:p>
        </w:tc>
        <w:tc>
          <w:tcPr>
            <w:tcW w:w="1751" w:type="dxa"/>
            <w:vAlign w:val="center"/>
          </w:tcPr>
          <w:p w14:paraId="6571CE6C">
            <w:pPr>
              <w:widowControl/>
              <w:jc w:val="center"/>
              <w:rPr>
                <w:szCs w:val="21"/>
              </w:rPr>
            </w:pPr>
            <w:r>
              <w:rPr>
                <w:rFonts w:hint="eastAsia"/>
                <w:szCs w:val="21"/>
              </w:rPr>
              <w:t>　</w:t>
            </w:r>
          </w:p>
        </w:tc>
        <w:tc>
          <w:tcPr>
            <w:tcW w:w="1751" w:type="dxa"/>
            <w:vAlign w:val="center"/>
          </w:tcPr>
          <w:p w14:paraId="79F537F6">
            <w:pPr>
              <w:widowControl/>
              <w:jc w:val="center"/>
              <w:rPr>
                <w:szCs w:val="21"/>
              </w:rPr>
            </w:pPr>
            <w:r>
              <w:rPr>
                <w:rFonts w:hint="eastAsia"/>
                <w:szCs w:val="21"/>
              </w:rPr>
              <w:t>　</w:t>
            </w:r>
          </w:p>
        </w:tc>
        <w:tc>
          <w:tcPr>
            <w:tcW w:w="3221" w:type="dxa"/>
            <w:vAlign w:val="center"/>
          </w:tcPr>
          <w:p w14:paraId="4579FB4C">
            <w:pPr>
              <w:widowControl/>
              <w:jc w:val="center"/>
              <w:rPr>
                <w:szCs w:val="21"/>
              </w:rPr>
            </w:pPr>
            <w:r>
              <w:rPr>
                <w:rFonts w:hint="eastAsia"/>
                <w:szCs w:val="21"/>
              </w:rPr>
              <w:t>　</w:t>
            </w:r>
          </w:p>
        </w:tc>
      </w:tr>
      <w:tr w14:paraId="4814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vAlign w:val="center"/>
          </w:tcPr>
          <w:p w14:paraId="0B3A2A7C">
            <w:pPr>
              <w:widowControl/>
              <w:jc w:val="center"/>
              <w:rPr>
                <w:szCs w:val="21"/>
              </w:rPr>
            </w:pPr>
            <w:r>
              <w:rPr>
                <w:rFonts w:hint="eastAsia"/>
                <w:szCs w:val="21"/>
              </w:rPr>
              <w:t>　</w:t>
            </w:r>
          </w:p>
        </w:tc>
        <w:tc>
          <w:tcPr>
            <w:tcW w:w="1750" w:type="dxa"/>
            <w:vAlign w:val="center"/>
          </w:tcPr>
          <w:p w14:paraId="6D83767F">
            <w:pPr>
              <w:widowControl/>
              <w:jc w:val="center"/>
              <w:rPr>
                <w:szCs w:val="21"/>
              </w:rPr>
            </w:pPr>
            <w:r>
              <w:rPr>
                <w:rFonts w:hint="eastAsia"/>
                <w:szCs w:val="21"/>
              </w:rPr>
              <w:t>　</w:t>
            </w:r>
          </w:p>
        </w:tc>
        <w:tc>
          <w:tcPr>
            <w:tcW w:w="1751" w:type="dxa"/>
            <w:vAlign w:val="center"/>
          </w:tcPr>
          <w:p w14:paraId="2ACA04AA">
            <w:pPr>
              <w:widowControl/>
              <w:jc w:val="center"/>
              <w:rPr>
                <w:szCs w:val="21"/>
              </w:rPr>
            </w:pPr>
            <w:r>
              <w:rPr>
                <w:rFonts w:hint="eastAsia"/>
                <w:szCs w:val="21"/>
              </w:rPr>
              <w:t>　</w:t>
            </w:r>
          </w:p>
        </w:tc>
        <w:tc>
          <w:tcPr>
            <w:tcW w:w="1751" w:type="dxa"/>
            <w:vAlign w:val="center"/>
          </w:tcPr>
          <w:p w14:paraId="7ABAD949">
            <w:pPr>
              <w:widowControl/>
              <w:jc w:val="center"/>
              <w:rPr>
                <w:szCs w:val="21"/>
              </w:rPr>
            </w:pPr>
            <w:r>
              <w:rPr>
                <w:rFonts w:hint="eastAsia"/>
                <w:szCs w:val="21"/>
              </w:rPr>
              <w:t>　</w:t>
            </w:r>
          </w:p>
        </w:tc>
        <w:tc>
          <w:tcPr>
            <w:tcW w:w="3221" w:type="dxa"/>
            <w:vAlign w:val="center"/>
          </w:tcPr>
          <w:p w14:paraId="59232304">
            <w:pPr>
              <w:widowControl/>
              <w:jc w:val="center"/>
              <w:rPr>
                <w:szCs w:val="21"/>
              </w:rPr>
            </w:pPr>
            <w:r>
              <w:rPr>
                <w:rFonts w:hint="eastAsia"/>
                <w:szCs w:val="21"/>
              </w:rPr>
              <w:t>　</w:t>
            </w:r>
          </w:p>
        </w:tc>
      </w:tr>
      <w:tr w14:paraId="265A0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vAlign w:val="center"/>
          </w:tcPr>
          <w:p w14:paraId="3B2989C2">
            <w:pPr>
              <w:widowControl/>
              <w:jc w:val="center"/>
              <w:rPr>
                <w:szCs w:val="21"/>
              </w:rPr>
            </w:pPr>
            <w:r>
              <w:rPr>
                <w:rFonts w:hint="eastAsia"/>
                <w:szCs w:val="21"/>
              </w:rPr>
              <w:t>　</w:t>
            </w:r>
          </w:p>
        </w:tc>
        <w:tc>
          <w:tcPr>
            <w:tcW w:w="1750" w:type="dxa"/>
            <w:vAlign w:val="center"/>
          </w:tcPr>
          <w:p w14:paraId="1D76DC72">
            <w:pPr>
              <w:widowControl/>
              <w:jc w:val="center"/>
              <w:rPr>
                <w:szCs w:val="21"/>
              </w:rPr>
            </w:pPr>
            <w:r>
              <w:rPr>
                <w:rFonts w:hint="eastAsia"/>
                <w:szCs w:val="21"/>
              </w:rPr>
              <w:t>　</w:t>
            </w:r>
          </w:p>
        </w:tc>
        <w:tc>
          <w:tcPr>
            <w:tcW w:w="1751" w:type="dxa"/>
            <w:vAlign w:val="center"/>
          </w:tcPr>
          <w:p w14:paraId="3AEB6CF9">
            <w:pPr>
              <w:widowControl/>
              <w:jc w:val="center"/>
              <w:rPr>
                <w:szCs w:val="21"/>
              </w:rPr>
            </w:pPr>
            <w:r>
              <w:rPr>
                <w:rFonts w:hint="eastAsia"/>
                <w:szCs w:val="21"/>
              </w:rPr>
              <w:t>　</w:t>
            </w:r>
          </w:p>
        </w:tc>
        <w:tc>
          <w:tcPr>
            <w:tcW w:w="1751" w:type="dxa"/>
            <w:vAlign w:val="center"/>
          </w:tcPr>
          <w:p w14:paraId="41DEA708">
            <w:pPr>
              <w:widowControl/>
              <w:jc w:val="center"/>
              <w:rPr>
                <w:szCs w:val="21"/>
              </w:rPr>
            </w:pPr>
            <w:r>
              <w:rPr>
                <w:rFonts w:hint="eastAsia"/>
                <w:szCs w:val="21"/>
              </w:rPr>
              <w:t>　</w:t>
            </w:r>
          </w:p>
        </w:tc>
        <w:tc>
          <w:tcPr>
            <w:tcW w:w="3221" w:type="dxa"/>
            <w:vAlign w:val="center"/>
          </w:tcPr>
          <w:p w14:paraId="30F0A9BD">
            <w:pPr>
              <w:widowControl/>
              <w:jc w:val="center"/>
              <w:rPr>
                <w:szCs w:val="21"/>
              </w:rPr>
            </w:pPr>
            <w:r>
              <w:rPr>
                <w:rFonts w:hint="eastAsia"/>
                <w:szCs w:val="21"/>
              </w:rPr>
              <w:t>　</w:t>
            </w:r>
          </w:p>
        </w:tc>
      </w:tr>
      <w:tr w14:paraId="2499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vAlign w:val="center"/>
          </w:tcPr>
          <w:p w14:paraId="2B925C47">
            <w:pPr>
              <w:widowControl/>
              <w:jc w:val="center"/>
              <w:rPr>
                <w:szCs w:val="21"/>
              </w:rPr>
            </w:pPr>
            <w:r>
              <w:rPr>
                <w:rFonts w:hint="eastAsia"/>
                <w:szCs w:val="21"/>
              </w:rPr>
              <w:t>　</w:t>
            </w:r>
          </w:p>
        </w:tc>
        <w:tc>
          <w:tcPr>
            <w:tcW w:w="1750" w:type="dxa"/>
            <w:vAlign w:val="center"/>
          </w:tcPr>
          <w:p w14:paraId="56B10251">
            <w:pPr>
              <w:widowControl/>
              <w:jc w:val="center"/>
              <w:rPr>
                <w:szCs w:val="21"/>
              </w:rPr>
            </w:pPr>
            <w:r>
              <w:rPr>
                <w:rFonts w:hint="eastAsia"/>
                <w:szCs w:val="21"/>
              </w:rPr>
              <w:t>　</w:t>
            </w:r>
          </w:p>
        </w:tc>
        <w:tc>
          <w:tcPr>
            <w:tcW w:w="1751" w:type="dxa"/>
            <w:vAlign w:val="center"/>
          </w:tcPr>
          <w:p w14:paraId="756F89CB">
            <w:pPr>
              <w:widowControl/>
              <w:jc w:val="center"/>
              <w:rPr>
                <w:szCs w:val="21"/>
              </w:rPr>
            </w:pPr>
            <w:r>
              <w:rPr>
                <w:rFonts w:hint="eastAsia"/>
                <w:szCs w:val="21"/>
              </w:rPr>
              <w:t>　</w:t>
            </w:r>
          </w:p>
        </w:tc>
        <w:tc>
          <w:tcPr>
            <w:tcW w:w="1751" w:type="dxa"/>
            <w:vAlign w:val="center"/>
          </w:tcPr>
          <w:p w14:paraId="2E91C017">
            <w:pPr>
              <w:widowControl/>
              <w:jc w:val="center"/>
              <w:rPr>
                <w:szCs w:val="21"/>
              </w:rPr>
            </w:pPr>
            <w:r>
              <w:rPr>
                <w:rFonts w:hint="eastAsia"/>
                <w:szCs w:val="21"/>
              </w:rPr>
              <w:t>　</w:t>
            </w:r>
          </w:p>
        </w:tc>
        <w:tc>
          <w:tcPr>
            <w:tcW w:w="3221" w:type="dxa"/>
            <w:vAlign w:val="center"/>
          </w:tcPr>
          <w:p w14:paraId="1EAD4824">
            <w:pPr>
              <w:widowControl/>
              <w:jc w:val="center"/>
              <w:rPr>
                <w:szCs w:val="21"/>
              </w:rPr>
            </w:pPr>
            <w:r>
              <w:rPr>
                <w:rFonts w:hint="eastAsia"/>
                <w:szCs w:val="21"/>
              </w:rPr>
              <w:t>　</w:t>
            </w:r>
          </w:p>
        </w:tc>
      </w:tr>
      <w:tr w14:paraId="3FCA6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vAlign w:val="center"/>
          </w:tcPr>
          <w:p w14:paraId="39771E95">
            <w:pPr>
              <w:widowControl/>
              <w:jc w:val="center"/>
              <w:rPr>
                <w:szCs w:val="21"/>
              </w:rPr>
            </w:pPr>
            <w:r>
              <w:rPr>
                <w:rFonts w:hint="eastAsia"/>
                <w:szCs w:val="21"/>
              </w:rPr>
              <w:t>　</w:t>
            </w:r>
          </w:p>
        </w:tc>
        <w:tc>
          <w:tcPr>
            <w:tcW w:w="1750" w:type="dxa"/>
            <w:vAlign w:val="center"/>
          </w:tcPr>
          <w:p w14:paraId="2CC6DF96">
            <w:pPr>
              <w:widowControl/>
              <w:jc w:val="center"/>
              <w:rPr>
                <w:szCs w:val="21"/>
              </w:rPr>
            </w:pPr>
            <w:r>
              <w:rPr>
                <w:rFonts w:hint="eastAsia"/>
                <w:szCs w:val="21"/>
              </w:rPr>
              <w:t>　</w:t>
            </w:r>
          </w:p>
        </w:tc>
        <w:tc>
          <w:tcPr>
            <w:tcW w:w="1751" w:type="dxa"/>
            <w:vAlign w:val="center"/>
          </w:tcPr>
          <w:p w14:paraId="68D90B4E">
            <w:pPr>
              <w:widowControl/>
              <w:jc w:val="center"/>
              <w:rPr>
                <w:szCs w:val="21"/>
              </w:rPr>
            </w:pPr>
            <w:r>
              <w:rPr>
                <w:rFonts w:hint="eastAsia"/>
                <w:szCs w:val="21"/>
              </w:rPr>
              <w:t>　</w:t>
            </w:r>
          </w:p>
        </w:tc>
        <w:tc>
          <w:tcPr>
            <w:tcW w:w="1751" w:type="dxa"/>
            <w:vAlign w:val="center"/>
          </w:tcPr>
          <w:p w14:paraId="1EBE0BE4">
            <w:pPr>
              <w:widowControl/>
              <w:jc w:val="center"/>
              <w:rPr>
                <w:szCs w:val="21"/>
              </w:rPr>
            </w:pPr>
            <w:r>
              <w:rPr>
                <w:rFonts w:hint="eastAsia"/>
                <w:szCs w:val="21"/>
              </w:rPr>
              <w:t>　</w:t>
            </w:r>
          </w:p>
        </w:tc>
        <w:tc>
          <w:tcPr>
            <w:tcW w:w="3221" w:type="dxa"/>
            <w:vAlign w:val="center"/>
          </w:tcPr>
          <w:p w14:paraId="25CFDB58">
            <w:pPr>
              <w:widowControl/>
              <w:jc w:val="center"/>
              <w:rPr>
                <w:szCs w:val="21"/>
              </w:rPr>
            </w:pPr>
            <w:r>
              <w:rPr>
                <w:rFonts w:hint="eastAsia"/>
                <w:szCs w:val="21"/>
              </w:rPr>
              <w:t>　</w:t>
            </w:r>
          </w:p>
        </w:tc>
      </w:tr>
      <w:tr w14:paraId="3C5B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5" w:type="dxa"/>
            <w:vAlign w:val="center"/>
          </w:tcPr>
          <w:p w14:paraId="2442CD81">
            <w:pPr>
              <w:widowControl/>
              <w:jc w:val="center"/>
              <w:rPr>
                <w:szCs w:val="21"/>
              </w:rPr>
            </w:pPr>
            <w:r>
              <w:rPr>
                <w:rFonts w:hint="eastAsia"/>
                <w:szCs w:val="21"/>
              </w:rPr>
              <w:t>　</w:t>
            </w:r>
          </w:p>
        </w:tc>
        <w:tc>
          <w:tcPr>
            <w:tcW w:w="1750" w:type="dxa"/>
            <w:vAlign w:val="center"/>
          </w:tcPr>
          <w:p w14:paraId="2D9888EF">
            <w:pPr>
              <w:widowControl/>
              <w:jc w:val="center"/>
              <w:rPr>
                <w:szCs w:val="21"/>
              </w:rPr>
            </w:pPr>
            <w:r>
              <w:rPr>
                <w:rFonts w:hint="eastAsia"/>
                <w:szCs w:val="21"/>
              </w:rPr>
              <w:t>　</w:t>
            </w:r>
          </w:p>
        </w:tc>
        <w:tc>
          <w:tcPr>
            <w:tcW w:w="1751" w:type="dxa"/>
            <w:vAlign w:val="center"/>
          </w:tcPr>
          <w:p w14:paraId="79F60F82">
            <w:pPr>
              <w:widowControl/>
              <w:jc w:val="center"/>
              <w:rPr>
                <w:szCs w:val="21"/>
              </w:rPr>
            </w:pPr>
            <w:r>
              <w:rPr>
                <w:rFonts w:hint="eastAsia"/>
                <w:szCs w:val="21"/>
              </w:rPr>
              <w:t>　</w:t>
            </w:r>
          </w:p>
        </w:tc>
        <w:tc>
          <w:tcPr>
            <w:tcW w:w="1751" w:type="dxa"/>
            <w:vAlign w:val="center"/>
          </w:tcPr>
          <w:p w14:paraId="7DDB2B36">
            <w:pPr>
              <w:widowControl/>
              <w:jc w:val="center"/>
              <w:rPr>
                <w:szCs w:val="21"/>
              </w:rPr>
            </w:pPr>
            <w:r>
              <w:rPr>
                <w:rFonts w:hint="eastAsia"/>
                <w:szCs w:val="21"/>
              </w:rPr>
              <w:t>　</w:t>
            </w:r>
          </w:p>
        </w:tc>
        <w:tc>
          <w:tcPr>
            <w:tcW w:w="3221" w:type="dxa"/>
            <w:vAlign w:val="center"/>
          </w:tcPr>
          <w:p w14:paraId="64F4A2BC">
            <w:pPr>
              <w:widowControl/>
              <w:jc w:val="center"/>
              <w:rPr>
                <w:szCs w:val="21"/>
              </w:rPr>
            </w:pPr>
            <w:r>
              <w:rPr>
                <w:rFonts w:hint="eastAsia"/>
                <w:szCs w:val="21"/>
              </w:rPr>
              <w:t>　</w:t>
            </w:r>
          </w:p>
        </w:tc>
      </w:tr>
    </w:tbl>
    <w:p w14:paraId="04C6EC0D">
      <w:pPr>
        <w:rPr>
          <w:sz w:val="28"/>
        </w:rPr>
      </w:pPr>
      <w:bookmarkStart w:id="57" w:name="_bookmark191"/>
      <w:bookmarkEnd w:id="57"/>
      <w:r>
        <w:rPr>
          <w:rFonts w:hint="eastAsia"/>
          <w:sz w:val="28"/>
        </w:rPr>
        <w:br w:type="page"/>
      </w:r>
    </w:p>
    <w:p w14:paraId="5DC9E897">
      <w:pPr>
        <w:spacing w:before="35" w:line="360" w:lineRule="auto"/>
        <w:jc w:val="center"/>
        <w:rPr>
          <w:b/>
          <w:bCs/>
          <w:sz w:val="28"/>
        </w:rPr>
      </w:pPr>
      <w:r>
        <w:rPr>
          <w:rFonts w:hint="eastAsia"/>
          <w:b/>
          <w:bCs/>
          <w:sz w:val="28"/>
        </w:rPr>
        <w:t>（</w:t>
      </w:r>
      <w:r>
        <w:rPr>
          <w:rFonts w:hint="eastAsia"/>
          <w:b/>
          <w:bCs/>
          <w:sz w:val="28"/>
          <w:lang w:val="en-US"/>
        </w:rPr>
        <w:t>四</w:t>
      </w:r>
      <w:r>
        <w:rPr>
          <w:rFonts w:hint="eastAsia"/>
          <w:b/>
          <w:bCs/>
          <w:sz w:val="28"/>
        </w:rPr>
        <w:t>）主要人员简历表</w:t>
      </w:r>
    </w:p>
    <w:p w14:paraId="25419971">
      <w:pPr>
        <w:pStyle w:val="9"/>
        <w:spacing w:line="360" w:lineRule="auto"/>
        <w:rPr>
          <w:sz w:val="15"/>
        </w:rPr>
      </w:pPr>
    </w:p>
    <w:tbl>
      <w:tblPr>
        <w:tblStyle w:val="19"/>
        <w:tblW w:w="8999"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2"/>
        <w:gridCol w:w="377"/>
        <w:gridCol w:w="731"/>
        <w:gridCol w:w="1011"/>
        <w:gridCol w:w="1126"/>
        <w:gridCol w:w="744"/>
        <w:gridCol w:w="1331"/>
        <w:gridCol w:w="424"/>
        <w:gridCol w:w="2003"/>
      </w:tblGrid>
      <w:tr w14:paraId="7613C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1252" w:type="dxa"/>
            <w:vAlign w:val="center"/>
          </w:tcPr>
          <w:p w14:paraId="7A0E5AD3">
            <w:pPr>
              <w:pStyle w:val="25"/>
              <w:tabs>
                <w:tab w:val="left" w:pos="436"/>
              </w:tabs>
              <w:spacing w:line="360" w:lineRule="auto"/>
              <w:ind w:left="13"/>
              <w:jc w:val="center"/>
              <w:rPr>
                <w:sz w:val="21"/>
              </w:rPr>
            </w:pPr>
            <w:r>
              <w:rPr>
                <w:rFonts w:hint="eastAsia"/>
                <w:sz w:val="21"/>
              </w:rPr>
              <w:t>姓</w:t>
            </w:r>
            <w:r>
              <w:rPr>
                <w:rFonts w:hint="eastAsia"/>
                <w:sz w:val="21"/>
              </w:rPr>
              <w:tab/>
            </w:r>
            <w:r>
              <w:rPr>
                <w:rFonts w:hint="eastAsia"/>
                <w:sz w:val="21"/>
              </w:rPr>
              <w:t>名</w:t>
            </w:r>
          </w:p>
        </w:tc>
        <w:tc>
          <w:tcPr>
            <w:tcW w:w="1108" w:type="dxa"/>
            <w:gridSpan w:val="2"/>
            <w:vAlign w:val="center"/>
          </w:tcPr>
          <w:p w14:paraId="592A5AB6">
            <w:pPr>
              <w:pStyle w:val="25"/>
              <w:spacing w:line="360" w:lineRule="auto"/>
              <w:jc w:val="center"/>
              <w:rPr>
                <w:sz w:val="20"/>
              </w:rPr>
            </w:pPr>
          </w:p>
        </w:tc>
        <w:tc>
          <w:tcPr>
            <w:tcW w:w="1011" w:type="dxa"/>
            <w:vAlign w:val="center"/>
          </w:tcPr>
          <w:p w14:paraId="154D41EC">
            <w:pPr>
              <w:pStyle w:val="25"/>
              <w:spacing w:line="360" w:lineRule="auto"/>
              <w:ind w:right="256"/>
              <w:jc w:val="center"/>
              <w:rPr>
                <w:sz w:val="21"/>
              </w:rPr>
            </w:pPr>
            <w:r>
              <w:rPr>
                <w:rFonts w:hint="eastAsia"/>
                <w:sz w:val="21"/>
              </w:rPr>
              <w:t>年龄</w:t>
            </w:r>
          </w:p>
        </w:tc>
        <w:tc>
          <w:tcPr>
            <w:tcW w:w="1126" w:type="dxa"/>
            <w:vAlign w:val="center"/>
          </w:tcPr>
          <w:p w14:paraId="79EA89D5">
            <w:pPr>
              <w:pStyle w:val="25"/>
              <w:spacing w:line="360" w:lineRule="auto"/>
              <w:jc w:val="center"/>
              <w:rPr>
                <w:sz w:val="20"/>
              </w:rPr>
            </w:pPr>
          </w:p>
        </w:tc>
        <w:tc>
          <w:tcPr>
            <w:tcW w:w="2499" w:type="dxa"/>
            <w:gridSpan w:val="3"/>
            <w:vAlign w:val="center"/>
          </w:tcPr>
          <w:p w14:paraId="4EE80244">
            <w:pPr>
              <w:pStyle w:val="25"/>
              <w:adjustRightInd w:val="0"/>
              <w:snapToGrid w:val="0"/>
              <w:spacing w:line="360" w:lineRule="auto"/>
              <w:ind w:left="44" w:leftChars="20" w:right="44" w:rightChars="20"/>
              <w:jc w:val="center"/>
              <w:rPr>
                <w:sz w:val="21"/>
              </w:rPr>
            </w:pPr>
            <w:r>
              <w:rPr>
                <w:rFonts w:hint="eastAsia"/>
                <w:sz w:val="21"/>
              </w:rPr>
              <w:t>执业资格证书（或上岗证书）名称</w:t>
            </w:r>
          </w:p>
        </w:tc>
        <w:tc>
          <w:tcPr>
            <w:tcW w:w="2003" w:type="dxa"/>
            <w:vAlign w:val="center"/>
          </w:tcPr>
          <w:p w14:paraId="0BDDBC43">
            <w:pPr>
              <w:pStyle w:val="25"/>
              <w:spacing w:line="360" w:lineRule="auto"/>
              <w:jc w:val="center"/>
              <w:rPr>
                <w:sz w:val="20"/>
              </w:rPr>
            </w:pPr>
          </w:p>
        </w:tc>
      </w:tr>
      <w:tr w14:paraId="022CE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252" w:type="dxa"/>
            <w:vAlign w:val="center"/>
          </w:tcPr>
          <w:p w14:paraId="674E4F2F">
            <w:pPr>
              <w:pStyle w:val="25"/>
              <w:tabs>
                <w:tab w:val="left" w:pos="436"/>
              </w:tabs>
              <w:spacing w:line="360" w:lineRule="auto"/>
              <w:ind w:left="13"/>
              <w:jc w:val="center"/>
              <w:rPr>
                <w:sz w:val="21"/>
              </w:rPr>
            </w:pPr>
            <w:r>
              <w:rPr>
                <w:rFonts w:hint="eastAsia"/>
                <w:sz w:val="21"/>
              </w:rPr>
              <w:t>职</w:t>
            </w:r>
            <w:r>
              <w:rPr>
                <w:rFonts w:hint="eastAsia"/>
                <w:sz w:val="21"/>
              </w:rPr>
              <w:tab/>
            </w:r>
            <w:r>
              <w:rPr>
                <w:rFonts w:hint="eastAsia"/>
                <w:sz w:val="21"/>
              </w:rPr>
              <w:t>称</w:t>
            </w:r>
          </w:p>
        </w:tc>
        <w:tc>
          <w:tcPr>
            <w:tcW w:w="1108" w:type="dxa"/>
            <w:gridSpan w:val="2"/>
            <w:vAlign w:val="center"/>
          </w:tcPr>
          <w:p w14:paraId="4862F7AA">
            <w:pPr>
              <w:pStyle w:val="25"/>
              <w:spacing w:line="360" w:lineRule="auto"/>
              <w:jc w:val="center"/>
              <w:rPr>
                <w:sz w:val="20"/>
              </w:rPr>
            </w:pPr>
          </w:p>
        </w:tc>
        <w:tc>
          <w:tcPr>
            <w:tcW w:w="1011" w:type="dxa"/>
            <w:vAlign w:val="center"/>
          </w:tcPr>
          <w:p w14:paraId="5EF783B0">
            <w:pPr>
              <w:pStyle w:val="25"/>
              <w:spacing w:line="360" w:lineRule="auto"/>
              <w:ind w:right="256"/>
              <w:jc w:val="center"/>
              <w:rPr>
                <w:sz w:val="21"/>
              </w:rPr>
            </w:pPr>
            <w:r>
              <w:rPr>
                <w:rFonts w:hint="eastAsia"/>
                <w:sz w:val="21"/>
              </w:rPr>
              <w:t>学历</w:t>
            </w:r>
          </w:p>
        </w:tc>
        <w:tc>
          <w:tcPr>
            <w:tcW w:w="1126" w:type="dxa"/>
            <w:vAlign w:val="center"/>
          </w:tcPr>
          <w:p w14:paraId="42250053">
            <w:pPr>
              <w:pStyle w:val="25"/>
              <w:spacing w:line="360" w:lineRule="auto"/>
              <w:jc w:val="center"/>
              <w:rPr>
                <w:sz w:val="20"/>
              </w:rPr>
            </w:pPr>
          </w:p>
        </w:tc>
        <w:tc>
          <w:tcPr>
            <w:tcW w:w="2499" w:type="dxa"/>
            <w:gridSpan w:val="3"/>
            <w:vAlign w:val="center"/>
          </w:tcPr>
          <w:p w14:paraId="1824DEA5">
            <w:pPr>
              <w:pStyle w:val="25"/>
              <w:adjustRightInd w:val="0"/>
              <w:snapToGrid w:val="0"/>
              <w:spacing w:line="360" w:lineRule="auto"/>
              <w:ind w:left="44" w:leftChars="20" w:right="44" w:rightChars="20"/>
              <w:jc w:val="center"/>
              <w:rPr>
                <w:sz w:val="21"/>
              </w:rPr>
            </w:pPr>
            <w:r>
              <w:rPr>
                <w:rFonts w:hint="eastAsia"/>
                <w:sz w:val="21"/>
              </w:rPr>
              <w:t>拟在本项目任职</w:t>
            </w:r>
          </w:p>
        </w:tc>
        <w:tc>
          <w:tcPr>
            <w:tcW w:w="2003" w:type="dxa"/>
            <w:vAlign w:val="center"/>
          </w:tcPr>
          <w:p w14:paraId="1F8B30BE">
            <w:pPr>
              <w:pStyle w:val="25"/>
              <w:spacing w:line="360" w:lineRule="auto"/>
              <w:jc w:val="center"/>
              <w:rPr>
                <w:sz w:val="20"/>
              </w:rPr>
            </w:pPr>
          </w:p>
        </w:tc>
      </w:tr>
      <w:tr w14:paraId="6A290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252" w:type="dxa"/>
            <w:vAlign w:val="center"/>
          </w:tcPr>
          <w:p w14:paraId="660B1253">
            <w:pPr>
              <w:pStyle w:val="25"/>
              <w:spacing w:line="360" w:lineRule="auto"/>
              <w:ind w:left="11"/>
              <w:jc w:val="center"/>
              <w:rPr>
                <w:sz w:val="21"/>
              </w:rPr>
            </w:pPr>
            <w:r>
              <w:rPr>
                <w:rFonts w:hint="eastAsia"/>
                <w:sz w:val="21"/>
              </w:rPr>
              <w:t>工作年限</w:t>
            </w:r>
          </w:p>
        </w:tc>
        <w:tc>
          <w:tcPr>
            <w:tcW w:w="7747" w:type="dxa"/>
            <w:gridSpan w:val="8"/>
            <w:vAlign w:val="center"/>
          </w:tcPr>
          <w:p w14:paraId="0035BAB9">
            <w:pPr>
              <w:pStyle w:val="25"/>
              <w:spacing w:line="360" w:lineRule="auto"/>
              <w:jc w:val="center"/>
              <w:rPr>
                <w:sz w:val="20"/>
              </w:rPr>
            </w:pPr>
          </w:p>
        </w:tc>
      </w:tr>
      <w:tr w14:paraId="1F7CD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1252" w:type="dxa"/>
            <w:vAlign w:val="center"/>
          </w:tcPr>
          <w:p w14:paraId="383581FB">
            <w:pPr>
              <w:pStyle w:val="25"/>
              <w:spacing w:line="360" w:lineRule="auto"/>
              <w:ind w:left="11"/>
              <w:jc w:val="center"/>
              <w:rPr>
                <w:sz w:val="21"/>
              </w:rPr>
            </w:pPr>
            <w:r>
              <w:rPr>
                <w:rFonts w:hint="eastAsia"/>
                <w:sz w:val="21"/>
              </w:rPr>
              <w:t>毕业学校</w:t>
            </w:r>
          </w:p>
        </w:tc>
        <w:tc>
          <w:tcPr>
            <w:tcW w:w="7747" w:type="dxa"/>
            <w:gridSpan w:val="8"/>
            <w:vAlign w:val="center"/>
          </w:tcPr>
          <w:p w14:paraId="6E1FA553">
            <w:pPr>
              <w:pStyle w:val="25"/>
              <w:tabs>
                <w:tab w:val="left" w:pos="3364"/>
                <w:tab w:val="left" w:pos="4625"/>
              </w:tabs>
              <w:spacing w:line="360" w:lineRule="auto"/>
              <w:ind w:left="1262"/>
              <w:jc w:val="center"/>
              <w:rPr>
                <w:sz w:val="21"/>
              </w:rPr>
            </w:pPr>
            <w:r>
              <w:rPr>
                <w:rFonts w:hint="eastAsia"/>
                <w:sz w:val="21"/>
              </w:rPr>
              <w:t>年毕</w:t>
            </w:r>
            <w:r>
              <w:rPr>
                <w:rFonts w:hint="eastAsia"/>
                <w:spacing w:val="-3"/>
                <w:sz w:val="21"/>
              </w:rPr>
              <w:t>业</w:t>
            </w:r>
            <w:r>
              <w:rPr>
                <w:rFonts w:hint="eastAsia"/>
                <w:sz w:val="21"/>
              </w:rPr>
              <w:t>于</w:t>
            </w:r>
            <w:r>
              <w:rPr>
                <w:rFonts w:hint="eastAsia"/>
                <w:sz w:val="21"/>
              </w:rPr>
              <w:tab/>
            </w:r>
            <w:r>
              <w:rPr>
                <w:rFonts w:hint="eastAsia"/>
                <w:spacing w:val="-3"/>
                <w:sz w:val="21"/>
              </w:rPr>
              <w:t>学</w:t>
            </w:r>
            <w:r>
              <w:rPr>
                <w:rFonts w:hint="eastAsia"/>
                <w:sz w:val="21"/>
              </w:rPr>
              <w:t>校</w:t>
            </w:r>
            <w:r>
              <w:rPr>
                <w:rFonts w:hint="eastAsia"/>
                <w:sz w:val="21"/>
              </w:rPr>
              <w:tab/>
            </w:r>
            <w:r>
              <w:rPr>
                <w:rFonts w:hint="eastAsia"/>
                <w:sz w:val="21"/>
              </w:rPr>
              <w:t>专业</w:t>
            </w:r>
          </w:p>
        </w:tc>
      </w:tr>
      <w:tr w14:paraId="0CE27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8999" w:type="dxa"/>
            <w:gridSpan w:val="9"/>
            <w:vAlign w:val="center"/>
          </w:tcPr>
          <w:p w14:paraId="24CE33D8">
            <w:pPr>
              <w:pStyle w:val="25"/>
              <w:spacing w:line="360" w:lineRule="auto"/>
              <w:ind w:left="107"/>
              <w:jc w:val="center"/>
              <w:rPr>
                <w:sz w:val="21"/>
              </w:rPr>
            </w:pPr>
            <w:r>
              <w:rPr>
                <w:rFonts w:hint="eastAsia"/>
                <w:sz w:val="21"/>
              </w:rPr>
              <w:t>主要工作经历</w:t>
            </w:r>
          </w:p>
        </w:tc>
      </w:tr>
      <w:tr w14:paraId="4BEB6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629" w:type="dxa"/>
            <w:gridSpan w:val="2"/>
            <w:vAlign w:val="center"/>
          </w:tcPr>
          <w:p w14:paraId="3B9782B7">
            <w:pPr>
              <w:pStyle w:val="25"/>
              <w:tabs>
                <w:tab w:val="left" w:pos="878"/>
              </w:tabs>
              <w:adjustRightInd w:val="0"/>
              <w:snapToGrid w:val="0"/>
              <w:spacing w:line="360" w:lineRule="auto"/>
              <w:jc w:val="center"/>
              <w:rPr>
                <w:sz w:val="21"/>
              </w:rPr>
            </w:pPr>
            <w:r>
              <w:rPr>
                <w:rFonts w:hint="eastAsia"/>
                <w:sz w:val="21"/>
              </w:rPr>
              <w:t>时</w:t>
            </w:r>
            <w:r>
              <w:rPr>
                <w:rFonts w:hint="eastAsia"/>
                <w:sz w:val="21"/>
              </w:rPr>
              <w:tab/>
            </w:r>
            <w:r>
              <w:rPr>
                <w:rFonts w:hint="eastAsia"/>
                <w:sz w:val="21"/>
              </w:rPr>
              <w:t>间</w:t>
            </w:r>
          </w:p>
        </w:tc>
        <w:tc>
          <w:tcPr>
            <w:tcW w:w="3612" w:type="dxa"/>
            <w:gridSpan w:val="4"/>
            <w:vAlign w:val="center"/>
          </w:tcPr>
          <w:p w14:paraId="3B09E559">
            <w:pPr>
              <w:pStyle w:val="25"/>
              <w:adjustRightInd w:val="0"/>
              <w:snapToGrid w:val="0"/>
              <w:spacing w:line="360" w:lineRule="auto"/>
              <w:jc w:val="center"/>
              <w:rPr>
                <w:sz w:val="21"/>
              </w:rPr>
            </w:pPr>
            <w:r>
              <w:rPr>
                <w:rFonts w:hint="eastAsia"/>
                <w:sz w:val="21"/>
              </w:rPr>
              <w:t>参加过的类似项目</w:t>
            </w:r>
          </w:p>
        </w:tc>
        <w:tc>
          <w:tcPr>
            <w:tcW w:w="1331" w:type="dxa"/>
            <w:vAlign w:val="center"/>
          </w:tcPr>
          <w:p w14:paraId="2FBCA106">
            <w:pPr>
              <w:pStyle w:val="25"/>
              <w:adjustRightInd w:val="0"/>
              <w:snapToGrid w:val="0"/>
              <w:spacing w:line="360" w:lineRule="auto"/>
              <w:jc w:val="center"/>
              <w:rPr>
                <w:sz w:val="21"/>
              </w:rPr>
            </w:pPr>
            <w:r>
              <w:rPr>
                <w:rFonts w:hint="eastAsia"/>
                <w:sz w:val="21"/>
              </w:rPr>
              <w:t>担任职务</w:t>
            </w:r>
          </w:p>
        </w:tc>
        <w:tc>
          <w:tcPr>
            <w:tcW w:w="2427" w:type="dxa"/>
            <w:gridSpan w:val="2"/>
            <w:vAlign w:val="center"/>
          </w:tcPr>
          <w:p w14:paraId="433D4167">
            <w:pPr>
              <w:pStyle w:val="25"/>
              <w:adjustRightInd w:val="0"/>
              <w:snapToGrid w:val="0"/>
              <w:spacing w:line="360" w:lineRule="auto"/>
              <w:jc w:val="center"/>
              <w:rPr>
                <w:sz w:val="21"/>
              </w:rPr>
            </w:pPr>
            <w:r>
              <w:rPr>
                <w:rFonts w:hint="eastAsia"/>
                <w:sz w:val="21"/>
              </w:rPr>
              <w:t>委托人及联系电话</w:t>
            </w:r>
          </w:p>
        </w:tc>
      </w:tr>
      <w:tr w14:paraId="20522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629" w:type="dxa"/>
            <w:gridSpan w:val="2"/>
          </w:tcPr>
          <w:p w14:paraId="1EF03A6C">
            <w:pPr>
              <w:pStyle w:val="25"/>
              <w:spacing w:line="360" w:lineRule="auto"/>
              <w:rPr>
                <w:sz w:val="20"/>
              </w:rPr>
            </w:pPr>
          </w:p>
        </w:tc>
        <w:tc>
          <w:tcPr>
            <w:tcW w:w="3612" w:type="dxa"/>
            <w:gridSpan w:val="4"/>
          </w:tcPr>
          <w:p w14:paraId="6CBE2507">
            <w:pPr>
              <w:pStyle w:val="25"/>
              <w:spacing w:line="360" w:lineRule="auto"/>
              <w:rPr>
                <w:sz w:val="20"/>
              </w:rPr>
            </w:pPr>
          </w:p>
        </w:tc>
        <w:tc>
          <w:tcPr>
            <w:tcW w:w="1331" w:type="dxa"/>
          </w:tcPr>
          <w:p w14:paraId="1C3747EB">
            <w:pPr>
              <w:pStyle w:val="25"/>
              <w:spacing w:line="360" w:lineRule="auto"/>
              <w:rPr>
                <w:sz w:val="20"/>
              </w:rPr>
            </w:pPr>
          </w:p>
        </w:tc>
        <w:tc>
          <w:tcPr>
            <w:tcW w:w="2427" w:type="dxa"/>
            <w:gridSpan w:val="2"/>
          </w:tcPr>
          <w:p w14:paraId="4E145002">
            <w:pPr>
              <w:pStyle w:val="25"/>
              <w:spacing w:line="360" w:lineRule="auto"/>
              <w:rPr>
                <w:sz w:val="20"/>
              </w:rPr>
            </w:pPr>
          </w:p>
        </w:tc>
      </w:tr>
      <w:tr w14:paraId="068DA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629" w:type="dxa"/>
            <w:gridSpan w:val="2"/>
          </w:tcPr>
          <w:p w14:paraId="729838E7">
            <w:pPr>
              <w:pStyle w:val="25"/>
              <w:spacing w:line="360" w:lineRule="auto"/>
              <w:rPr>
                <w:sz w:val="20"/>
              </w:rPr>
            </w:pPr>
          </w:p>
        </w:tc>
        <w:tc>
          <w:tcPr>
            <w:tcW w:w="3612" w:type="dxa"/>
            <w:gridSpan w:val="4"/>
          </w:tcPr>
          <w:p w14:paraId="5430E740">
            <w:pPr>
              <w:pStyle w:val="25"/>
              <w:spacing w:line="360" w:lineRule="auto"/>
              <w:rPr>
                <w:sz w:val="20"/>
              </w:rPr>
            </w:pPr>
          </w:p>
        </w:tc>
        <w:tc>
          <w:tcPr>
            <w:tcW w:w="1331" w:type="dxa"/>
          </w:tcPr>
          <w:p w14:paraId="55F4FF49">
            <w:pPr>
              <w:pStyle w:val="25"/>
              <w:spacing w:line="360" w:lineRule="auto"/>
              <w:rPr>
                <w:sz w:val="20"/>
              </w:rPr>
            </w:pPr>
          </w:p>
        </w:tc>
        <w:tc>
          <w:tcPr>
            <w:tcW w:w="2427" w:type="dxa"/>
            <w:gridSpan w:val="2"/>
          </w:tcPr>
          <w:p w14:paraId="3D057444">
            <w:pPr>
              <w:pStyle w:val="25"/>
              <w:spacing w:line="360" w:lineRule="auto"/>
              <w:rPr>
                <w:sz w:val="20"/>
              </w:rPr>
            </w:pPr>
          </w:p>
        </w:tc>
      </w:tr>
      <w:tr w14:paraId="2DAC4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14:paraId="01D676E4">
            <w:pPr>
              <w:pStyle w:val="25"/>
              <w:spacing w:line="360" w:lineRule="auto"/>
              <w:rPr>
                <w:sz w:val="20"/>
              </w:rPr>
            </w:pPr>
          </w:p>
        </w:tc>
        <w:tc>
          <w:tcPr>
            <w:tcW w:w="3612" w:type="dxa"/>
            <w:gridSpan w:val="4"/>
          </w:tcPr>
          <w:p w14:paraId="7E6EDFCD">
            <w:pPr>
              <w:pStyle w:val="25"/>
              <w:spacing w:line="360" w:lineRule="auto"/>
              <w:rPr>
                <w:sz w:val="20"/>
              </w:rPr>
            </w:pPr>
          </w:p>
        </w:tc>
        <w:tc>
          <w:tcPr>
            <w:tcW w:w="1331" w:type="dxa"/>
          </w:tcPr>
          <w:p w14:paraId="3CBB31BC">
            <w:pPr>
              <w:pStyle w:val="25"/>
              <w:spacing w:line="360" w:lineRule="auto"/>
              <w:rPr>
                <w:sz w:val="20"/>
              </w:rPr>
            </w:pPr>
          </w:p>
        </w:tc>
        <w:tc>
          <w:tcPr>
            <w:tcW w:w="2427" w:type="dxa"/>
            <w:gridSpan w:val="2"/>
          </w:tcPr>
          <w:p w14:paraId="505CF0CB">
            <w:pPr>
              <w:pStyle w:val="25"/>
              <w:spacing w:line="360" w:lineRule="auto"/>
              <w:rPr>
                <w:sz w:val="20"/>
              </w:rPr>
            </w:pPr>
          </w:p>
        </w:tc>
      </w:tr>
      <w:tr w14:paraId="5427F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14:paraId="326A660D">
            <w:pPr>
              <w:pStyle w:val="25"/>
              <w:spacing w:line="360" w:lineRule="auto"/>
              <w:rPr>
                <w:sz w:val="20"/>
              </w:rPr>
            </w:pPr>
          </w:p>
        </w:tc>
        <w:tc>
          <w:tcPr>
            <w:tcW w:w="3612" w:type="dxa"/>
            <w:gridSpan w:val="4"/>
          </w:tcPr>
          <w:p w14:paraId="6DB513E2">
            <w:pPr>
              <w:pStyle w:val="25"/>
              <w:spacing w:line="360" w:lineRule="auto"/>
              <w:rPr>
                <w:sz w:val="20"/>
              </w:rPr>
            </w:pPr>
          </w:p>
        </w:tc>
        <w:tc>
          <w:tcPr>
            <w:tcW w:w="1331" w:type="dxa"/>
          </w:tcPr>
          <w:p w14:paraId="023CCEC7">
            <w:pPr>
              <w:pStyle w:val="25"/>
              <w:spacing w:line="360" w:lineRule="auto"/>
              <w:rPr>
                <w:sz w:val="20"/>
              </w:rPr>
            </w:pPr>
          </w:p>
        </w:tc>
        <w:tc>
          <w:tcPr>
            <w:tcW w:w="2427" w:type="dxa"/>
            <w:gridSpan w:val="2"/>
          </w:tcPr>
          <w:p w14:paraId="5E477E4C">
            <w:pPr>
              <w:pStyle w:val="25"/>
              <w:spacing w:line="360" w:lineRule="auto"/>
              <w:rPr>
                <w:sz w:val="20"/>
              </w:rPr>
            </w:pPr>
          </w:p>
        </w:tc>
      </w:tr>
      <w:tr w14:paraId="06E33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1629" w:type="dxa"/>
            <w:gridSpan w:val="2"/>
          </w:tcPr>
          <w:p w14:paraId="5E508310">
            <w:pPr>
              <w:pStyle w:val="25"/>
              <w:spacing w:line="360" w:lineRule="auto"/>
              <w:rPr>
                <w:sz w:val="20"/>
              </w:rPr>
            </w:pPr>
          </w:p>
        </w:tc>
        <w:tc>
          <w:tcPr>
            <w:tcW w:w="3612" w:type="dxa"/>
            <w:gridSpan w:val="4"/>
          </w:tcPr>
          <w:p w14:paraId="02EF91EE">
            <w:pPr>
              <w:pStyle w:val="25"/>
              <w:spacing w:line="360" w:lineRule="auto"/>
              <w:rPr>
                <w:sz w:val="20"/>
              </w:rPr>
            </w:pPr>
          </w:p>
        </w:tc>
        <w:tc>
          <w:tcPr>
            <w:tcW w:w="1331" w:type="dxa"/>
          </w:tcPr>
          <w:p w14:paraId="27D56FF1">
            <w:pPr>
              <w:pStyle w:val="25"/>
              <w:spacing w:line="360" w:lineRule="auto"/>
              <w:rPr>
                <w:sz w:val="20"/>
              </w:rPr>
            </w:pPr>
          </w:p>
        </w:tc>
        <w:tc>
          <w:tcPr>
            <w:tcW w:w="2427" w:type="dxa"/>
            <w:gridSpan w:val="2"/>
          </w:tcPr>
          <w:p w14:paraId="2CE1862F">
            <w:pPr>
              <w:pStyle w:val="25"/>
              <w:spacing w:line="360" w:lineRule="auto"/>
              <w:rPr>
                <w:sz w:val="20"/>
              </w:rPr>
            </w:pPr>
          </w:p>
        </w:tc>
      </w:tr>
      <w:tr w14:paraId="76D27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14:paraId="33AB52F4">
            <w:pPr>
              <w:pStyle w:val="25"/>
              <w:spacing w:line="360" w:lineRule="auto"/>
              <w:rPr>
                <w:sz w:val="20"/>
              </w:rPr>
            </w:pPr>
          </w:p>
        </w:tc>
        <w:tc>
          <w:tcPr>
            <w:tcW w:w="3612" w:type="dxa"/>
            <w:gridSpan w:val="4"/>
          </w:tcPr>
          <w:p w14:paraId="0D27A0C5">
            <w:pPr>
              <w:pStyle w:val="25"/>
              <w:spacing w:line="360" w:lineRule="auto"/>
              <w:rPr>
                <w:sz w:val="20"/>
              </w:rPr>
            </w:pPr>
          </w:p>
        </w:tc>
        <w:tc>
          <w:tcPr>
            <w:tcW w:w="1331" w:type="dxa"/>
          </w:tcPr>
          <w:p w14:paraId="57155CD2">
            <w:pPr>
              <w:pStyle w:val="25"/>
              <w:spacing w:line="360" w:lineRule="auto"/>
              <w:rPr>
                <w:sz w:val="20"/>
              </w:rPr>
            </w:pPr>
          </w:p>
        </w:tc>
        <w:tc>
          <w:tcPr>
            <w:tcW w:w="2427" w:type="dxa"/>
            <w:gridSpan w:val="2"/>
          </w:tcPr>
          <w:p w14:paraId="7584F4CB">
            <w:pPr>
              <w:pStyle w:val="25"/>
              <w:spacing w:line="360" w:lineRule="auto"/>
              <w:rPr>
                <w:sz w:val="20"/>
              </w:rPr>
            </w:pPr>
          </w:p>
        </w:tc>
      </w:tr>
      <w:tr w14:paraId="64FBB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14:paraId="2AB895E9">
            <w:pPr>
              <w:pStyle w:val="25"/>
              <w:spacing w:line="360" w:lineRule="auto"/>
              <w:rPr>
                <w:sz w:val="20"/>
              </w:rPr>
            </w:pPr>
          </w:p>
        </w:tc>
        <w:tc>
          <w:tcPr>
            <w:tcW w:w="3612" w:type="dxa"/>
            <w:gridSpan w:val="4"/>
          </w:tcPr>
          <w:p w14:paraId="1998B831">
            <w:pPr>
              <w:pStyle w:val="25"/>
              <w:spacing w:line="360" w:lineRule="auto"/>
              <w:rPr>
                <w:sz w:val="20"/>
              </w:rPr>
            </w:pPr>
          </w:p>
        </w:tc>
        <w:tc>
          <w:tcPr>
            <w:tcW w:w="1331" w:type="dxa"/>
          </w:tcPr>
          <w:p w14:paraId="614AB19D">
            <w:pPr>
              <w:pStyle w:val="25"/>
              <w:spacing w:line="360" w:lineRule="auto"/>
              <w:rPr>
                <w:sz w:val="20"/>
              </w:rPr>
            </w:pPr>
          </w:p>
        </w:tc>
        <w:tc>
          <w:tcPr>
            <w:tcW w:w="2427" w:type="dxa"/>
            <w:gridSpan w:val="2"/>
          </w:tcPr>
          <w:p w14:paraId="240BE3DC">
            <w:pPr>
              <w:pStyle w:val="25"/>
              <w:spacing w:line="360" w:lineRule="auto"/>
              <w:rPr>
                <w:sz w:val="20"/>
              </w:rPr>
            </w:pPr>
          </w:p>
        </w:tc>
      </w:tr>
    </w:tbl>
    <w:p w14:paraId="4A0A9B71">
      <w:pPr>
        <w:rPr>
          <w:sz w:val="28"/>
        </w:rPr>
      </w:pPr>
      <w:bookmarkStart w:id="58" w:name="_bookmark192"/>
      <w:bookmarkEnd w:id="58"/>
      <w:r>
        <w:rPr>
          <w:rFonts w:hint="eastAsia"/>
          <w:sz w:val="28"/>
        </w:rPr>
        <w:br w:type="page"/>
      </w:r>
    </w:p>
    <w:p w14:paraId="14E20FA1">
      <w:pPr>
        <w:spacing w:line="360" w:lineRule="auto"/>
        <w:rPr>
          <w:sz w:val="24"/>
        </w:rPr>
        <w:sectPr>
          <w:pgSz w:w="11906" w:h="16838"/>
          <w:pgMar w:top="1417" w:right="1417" w:bottom="1417" w:left="1417" w:header="0" w:footer="839" w:gutter="0"/>
          <w:cols w:space="0" w:num="1"/>
        </w:sectPr>
      </w:pPr>
    </w:p>
    <w:p w14:paraId="3A4D9BD9">
      <w:pPr>
        <w:spacing w:before="43"/>
        <w:jc w:val="center"/>
        <w:rPr>
          <w:b/>
          <w:bCs/>
          <w:sz w:val="32"/>
          <w:szCs w:val="32"/>
          <w:lang w:bidi="ar-SA"/>
        </w:rPr>
      </w:pPr>
      <w:r>
        <w:rPr>
          <w:rFonts w:hint="eastAsia"/>
          <w:b/>
          <w:sz w:val="32"/>
          <w:lang w:val="en-US"/>
        </w:rPr>
        <w:t>五</w:t>
      </w:r>
      <w:r>
        <w:rPr>
          <w:rFonts w:hint="eastAsia"/>
          <w:b/>
          <w:sz w:val="32"/>
        </w:rPr>
        <w:t>、</w:t>
      </w:r>
      <w:bookmarkStart w:id="59" w:name="_bookmark193"/>
      <w:bookmarkEnd w:id="59"/>
      <w:r>
        <w:rPr>
          <w:rFonts w:hint="eastAsia"/>
          <w:b/>
          <w:bCs/>
          <w:sz w:val="32"/>
          <w:szCs w:val="32"/>
          <w:lang w:bidi="ar-SA"/>
        </w:rPr>
        <w:t>投标人声明</w:t>
      </w:r>
    </w:p>
    <w:p w14:paraId="44A23292">
      <w:pPr>
        <w:widowControl/>
        <w:spacing w:before="43"/>
        <w:jc w:val="center"/>
        <w:rPr>
          <w:sz w:val="24"/>
          <w:lang w:bidi="ar-SA"/>
        </w:rPr>
      </w:pPr>
      <w:r>
        <w:rPr>
          <w:rFonts w:hint="eastAsia"/>
          <w:szCs w:val="24"/>
        </w:rPr>
        <w:t>注：详见招标公告附件一，投标人需提供清晰扫描件加盖单位电子印章。</w:t>
      </w:r>
      <w:r>
        <w:rPr>
          <w:rFonts w:hint="eastAsia"/>
          <w:sz w:val="24"/>
          <w:szCs w:val="24"/>
        </w:rPr>
        <w:t xml:space="preserve"> </w:t>
      </w:r>
    </w:p>
    <w:p w14:paraId="1DE6F124">
      <w:pPr>
        <w:rPr>
          <w:b/>
          <w:sz w:val="32"/>
          <w:lang w:val="en-US"/>
        </w:rPr>
      </w:pPr>
      <w:r>
        <w:rPr>
          <w:rFonts w:hint="eastAsia"/>
          <w:b/>
          <w:sz w:val="32"/>
          <w:lang w:val="en-US"/>
        </w:rPr>
        <w:br w:type="page"/>
      </w:r>
    </w:p>
    <w:p w14:paraId="42438EFF">
      <w:pPr>
        <w:spacing w:before="43" w:line="360" w:lineRule="auto"/>
        <w:jc w:val="center"/>
        <w:rPr>
          <w:b/>
          <w:sz w:val="32"/>
          <w:lang w:val="en-US"/>
        </w:rPr>
      </w:pPr>
      <w:r>
        <w:rPr>
          <w:rFonts w:hint="eastAsia"/>
          <w:b/>
          <w:sz w:val="32"/>
          <w:lang w:val="en-US"/>
        </w:rPr>
        <w:t>六、资信业绩证明</w:t>
      </w:r>
    </w:p>
    <w:p w14:paraId="009B3FC8">
      <w:pPr>
        <w:pStyle w:val="3"/>
        <w:spacing w:line="360" w:lineRule="auto"/>
        <w:ind w:left="0" w:firstLine="0"/>
        <w:jc w:val="center"/>
      </w:pPr>
      <w:r>
        <w:rPr>
          <w:rFonts w:hint="eastAsia" w:ascii="宋体" w:hAnsi="宋体" w:eastAsia="宋体" w:cs="宋体"/>
          <w:b w:val="0"/>
          <w:sz w:val="28"/>
        </w:rPr>
        <w:t>（格式自拟）</w:t>
      </w:r>
    </w:p>
    <w:p w14:paraId="4478E237">
      <w:pPr>
        <w:spacing w:line="360" w:lineRule="auto"/>
        <w:ind w:right="458"/>
        <w:jc w:val="center"/>
        <w:rPr>
          <w:b/>
          <w:sz w:val="32"/>
          <w:lang w:val="en-US"/>
        </w:rPr>
      </w:pPr>
    </w:p>
    <w:p w14:paraId="252C90BD">
      <w:pPr>
        <w:spacing w:line="360" w:lineRule="auto"/>
        <w:ind w:right="458"/>
        <w:jc w:val="center"/>
        <w:rPr>
          <w:b/>
          <w:sz w:val="32"/>
          <w:lang w:val="en-US"/>
        </w:rPr>
      </w:pPr>
    </w:p>
    <w:p w14:paraId="5B51FE18">
      <w:pPr>
        <w:spacing w:line="360" w:lineRule="auto"/>
        <w:ind w:right="458"/>
        <w:jc w:val="center"/>
        <w:rPr>
          <w:b/>
          <w:sz w:val="32"/>
        </w:rPr>
      </w:pPr>
      <w:r>
        <w:rPr>
          <w:rFonts w:hint="eastAsia"/>
          <w:b/>
          <w:sz w:val="32"/>
          <w:lang w:val="en-US"/>
        </w:rPr>
        <w:t>七</w:t>
      </w:r>
      <w:r>
        <w:rPr>
          <w:rFonts w:hint="eastAsia"/>
          <w:b/>
          <w:sz w:val="32"/>
        </w:rPr>
        <w:t>、</w:t>
      </w:r>
      <w:r>
        <w:rPr>
          <w:rFonts w:hint="eastAsia"/>
          <w:b/>
          <w:sz w:val="32"/>
          <w:lang w:val="en-US"/>
        </w:rPr>
        <w:t>项目代建管理方案</w:t>
      </w:r>
    </w:p>
    <w:p w14:paraId="5F909249">
      <w:pPr>
        <w:pStyle w:val="3"/>
        <w:ind w:left="0" w:firstLine="0"/>
        <w:jc w:val="center"/>
        <w:rPr>
          <w:rFonts w:ascii="宋体" w:hAnsi="宋体" w:eastAsia="宋体" w:cs="宋体"/>
          <w:b w:val="0"/>
          <w:sz w:val="28"/>
        </w:rPr>
      </w:pPr>
      <w:r>
        <w:rPr>
          <w:rFonts w:hint="eastAsia" w:ascii="宋体" w:hAnsi="宋体" w:eastAsia="宋体" w:cs="宋体"/>
          <w:b w:val="0"/>
          <w:sz w:val="28"/>
        </w:rPr>
        <w:t>（格式自拟）</w:t>
      </w:r>
      <w:bookmarkStart w:id="60" w:name="_bookmark194"/>
      <w:bookmarkEnd w:id="60"/>
    </w:p>
    <w:p w14:paraId="3F48D63B"/>
    <w:p w14:paraId="3EA1D0E5"/>
    <w:p w14:paraId="3A9DCF3E">
      <w:pPr>
        <w:spacing w:line="360" w:lineRule="auto"/>
        <w:ind w:right="458"/>
        <w:jc w:val="center"/>
        <w:rPr>
          <w:b/>
          <w:sz w:val="32"/>
          <w:lang w:val="en-US"/>
        </w:rPr>
      </w:pPr>
    </w:p>
    <w:p w14:paraId="3D72855B">
      <w:pPr>
        <w:spacing w:line="360" w:lineRule="auto"/>
        <w:ind w:right="458"/>
        <w:jc w:val="center"/>
        <w:rPr>
          <w:b/>
          <w:sz w:val="32"/>
          <w:lang w:val="en-US"/>
        </w:rPr>
      </w:pPr>
      <w:r>
        <w:rPr>
          <w:rFonts w:hint="eastAsia"/>
          <w:b/>
          <w:sz w:val="32"/>
          <w:lang w:val="en-US"/>
        </w:rPr>
        <w:t>八、其他资料</w:t>
      </w:r>
    </w:p>
    <w:p w14:paraId="22F58DBB">
      <w:pPr>
        <w:pStyle w:val="3"/>
        <w:ind w:left="0" w:firstLine="0"/>
        <w:jc w:val="center"/>
        <w:rPr>
          <w:rFonts w:ascii="宋体" w:hAnsi="宋体" w:eastAsia="宋体" w:cs="宋体"/>
          <w:b w:val="0"/>
          <w:sz w:val="28"/>
        </w:rPr>
      </w:pPr>
      <w:r>
        <w:rPr>
          <w:rFonts w:hint="eastAsia" w:ascii="宋体" w:hAnsi="宋体" w:eastAsia="宋体" w:cs="宋体"/>
          <w:b w:val="0"/>
          <w:sz w:val="28"/>
        </w:rPr>
        <w:t>投标人认为有必要提交的其他资料，格式</w:t>
      </w:r>
      <w:r>
        <w:rPr>
          <w:rFonts w:hint="eastAsia" w:ascii="宋体" w:hAnsi="宋体" w:eastAsia="宋体" w:cs="宋体"/>
          <w:b w:val="0"/>
          <w:sz w:val="28"/>
          <w:lang w:val="en-US"/>
        </w:rPr>
        <w:t>自拟</w:t>
      </w:r>
      <w:r>
        <w:rPr>
          <w:rFonts w:hint="eastAsia" w:ascii="宋体" w:hAnsi="宋体" w:eastAsia="宋体" w:cs="宋体"/>
          <w:b w:val="0"/>
          <w:sz w:val="28"/>
        </w:rPr>
        <w:t>。</w:t>
      </w:r>
    </w:p>
    <w:p w14:paraId="74EF5201"/>
    <w:sectPr>
      <w:pgSz w:w="11906" w:h="16838"/>
      <w:pgMar w:top="1417" w:right="1417" w:bottom="1417" w:left="1417" w:header="0" w:footer="839"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5549C">
    <w:pPr>
      <w:pStyle w:val="9"/>
      <w:spacing w:line="14" w:lineRule="auto"/>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E923D">
    <w:pPr>
      <w:pStyle w:val="9"/>
      <w:spacing w:line="14" w:lineRule="auto"/>
      <w:rPr>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37644">
    <w:pPr>
      <w:pStyle w:val="9"/>
      <w:spacing w:line="14" w:lineRule="auto"/>
      <w:rPr>
        <w:sz w:val="12"/>
      </w:rPr>
    </w:pPr>
    <w:r>
      <w:rPr>
        <w:sz w:val="12"/>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1353C">
                          <w:pPr>
                            <w:pStyle w:val="1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A51353C">
                    <w:pPr>
                      <w:pStyle w:val="1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F8B4F">
    <w:pPr>
      <w:pStyle w:val="9"/>
      <w:spacing w:line="14" w:lineRule="auto"/>
      <w:rPr>
        <w:sz w:val="12"/>
      </w:rPr>
    </w:pPr>
    <w:r>
      <w:rPr>
        <w:sz w:val="12"/>
        <w:lang w:val="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19599">
                          <w:pPr>
                            <w:pStyle w:val="1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CD19599">
                    <w:pPr>
                      <w:pStyle w:val="14"/>
                    </w:pPr>
                    <w:r>
                      <w:fldChar w:fldCharType="begin"/>
                    </w:r>
                    <w:r>
                      <w:instrText xml:space="preserve"> PAGE  \* MERGEFORMAT </w:instrText>
                    </w:r>
                    <w:r>
                      <w:fldChar w:fldCharType="separate"/>
                    </w:r>
                    <w:r>
                      <w:t>24</w:t>
                    </w:r>
                    <w:r>
                      <w:fldChar w:fldCharType="end"/>
                    </w:r>
                  </w:p>
                </w:txbxContent>
              </v:textbox>
            </v:shape>
          </w:pict>
        </mc:Fallback>
      </mc:AlternateContent>
    </w:r>
  </w:p>
  <w:p w14:paraId="76EAFE7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18FDA">
    <w:pPr>
      <w:pStyle w:val="9"/>
      <w:spacing w:line="14" w:lineRule="auto"/>
      <w:rPr>
        <w:sz w:val="12"/>
      </w:rPr>
    </w:pPr>
    <w:r>
      <w:rPr>
        <w:sz w:val="12"/>
        <w:lang w:val="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19B496">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C19B496">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A1973">
    <w:pPr>
      <w:pStyle w:val="9"/>
      <w:spacing w:line="14" w:lineRule="auto"/>
      <w:rPr>
        <w:sz w:val="12"/>
      </w:rPr>
    </w:pPr>
    <w:r>
      <w:rPr>
        <w:sz w:val="12"/>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1C5A6">
                          <w:pPr>
                            <w:pStyle w:val="1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F71C5A6">
                    <w:pPr>
                      <w:pStyle w:val="1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C71C63"/>
    <w:multiLevelType w:val="singleLevel"/>
    <w:tmpl w:val="16C71C6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trackRevisions w:val="1"/>
  <w:documentProtection w:enforcement="0"/>
  <w:defaultTabStop w:val="420"/>
  <w:drawingGridHorizontalSpacing w:val="220"/>
  <w:drawingGridVerticalSpacing w:val="-794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iOWI1MTRlMWNhNDY2YzY2MjhmMjhkNTE3YWVmOTQifQ=="/>
    <w:docVar w:name="KSO_WPS_MARK_KEY" w:val="19af7017-87aa-4a26-95ab-073f23d517ff"/>
  </w:docVars>
  <w:rsids>
    <w:rsidRoot w:val="000500B7"/>
    <w:rsid w:val="00007BE5"/>
    <w:rsid w:val="000500B7"/>
    <w:rsid w:val="004652F9"/>
    <w:rsid w:val="006470DB"/>
    <w:rsid w:val="00774A5D"/>
    <w:rsid w:val="009F3526"/>
    <w:rsid w:val="00A30FB8"/>
    <w:rsid w:val="00B8218B"/>
    <w:rsid w:val="00CA622F"/>
    <w:rsid w:val="00CD3058"/>
    <w:rsid w:val="01A575C3"/>
    <w:rsid w:val="01B66439"/>
    <w:rsid w:val="01DE4270"/>
    <w:rsid w:val="036D11F0"/>
    <w:rsid w:val="04353FD8"/>
    <w:rsid w:val="04415D9F"/>
    <w:rsid w:val="04867A6D"/>
    <w:rsid w:val="05465A96"/>
    <w:rsid w:val="054A059D"/>
    <w:rsid w:val="0584694C"/>
    <w:rsid w:val="0635097E"/>
    <w:rsid w:val="06F2601B"/>
    <w:rsid w:val="070F1C12"/>
    <w:rsid w:val="075B6674"/>
    <w:rsid w:val="075E55BD"/>
    <w:rsid w:val="0861169A"/>
    <w:rsid w:val="08986104"/>
    <w:rsid w:val="08E86271"/>
    <w:rsid w:val="09CA2454"/>
    <w:rsid w:val="0A1B4C34"/>
    <w:rsid w:val="0AB460FD"/>
    <w:rsid w:val="0B084763"/>
    <w:rsid w:val="0B772F9A"/>
    <w:rsid w:val="0BAC7BF1"/>
    <w:rsid w:val="0D887163"/>
    <w:rsid w:val="0E0818A1"/>
    <w:rsid w:val="0E516ADE"/>
    <w:rsid w:val="10052CF7"/>
    <w:rsid w:val="106F34FC"/>
    <w:rsid w:val="10CF32FA"/>
    <w:rsid w:val="10F82D31"/>
    <w:rsid w:val="11622A7B"/>
    <w:rsid w:val="116B447C"/>
    <w:rsid w:val="13B85FD6"/>
    <w:rsid w:val="13F23379"/>
    <w:rsid w:val="143376FC"/>
    <w:rsid w:val="147E4D5C"/>
    <w:rsid w:val="14F52AEE"/>
    <w:rsid w:val="155B0AA5"/>
    <w:rsid w:val="15E92769"/>
    <w:rsid w:val="169D1EC5"/>
    <w:rsid w:val="17894101"/>
    <w:rsid w:val="17B3622A"/>
    <w:rsid w:val="1936112E"/>
    <w:rsid w:val="1A10632B"/>
    <w:rsid w:val="1AA66A43"/>
    <w:rsid w:val="1AF25A8C"/>
    <w:rsid w:val="1AFF70E8"/>
    <w:rsid w:val="1B706571"/>
    <w:rsid w:val="1B82162B"/>
    <w:rsid w:val="1CC07414"/>
    <w:rsid w:val="1D1E1BD5"/>
    <w:rsid w:val="1D223B61"/>
    <w:rsid w:val="1DCE6F60"/>
    <w:rsid w:val="1DEE7CBE"/>
    <w:rsid w:val="1E2C6898"/>
    <w:rsid w:val="1E3574E7"/>
    <w:rsid w:val="1EFF2A16"/>
    <w:rsid w:val="1F4C4091"/>
    <w:rsid w:val="1F841314"/>
    <w:rsid w:val="1FF06B2C"/>
    <w:rsid w:val="20FB3044"/>
    <w:rsid w:val="211F7986"/>
    <w:rsid w:val="212B62CB"/>
    <w:rsid w:val="21662A7E"/>
    <w:rsid w:val="22BF4B0B"/>
    <w:rsid w:val="22F558E7"/>
    <w:rsid w:val="23182CF5"/>
    <w:rsid w:val="23E871A4"/>
    <w:rsid w:val="23FA4C33"/>
    <w:rsid w:val="24211D63"/>
    <w:rsid w:val="24494F34"/>
    <w:rsid w:val="244C53EE"/>
    <w:rsid w:val="24901BF3"/>
    <w:rsid w:val="24BB41D1"/>
    <w:rsid w:val="2528055C"/>
    <w:rsid w:val="25FA2770"/>
    <w:rsid w:val="25FE1F57"/>
    <w:rsid w:val="2604539D"/>
    <w:rsid w:val="265E21C2"/>
    <w:rsid w:val="26D1004A"/>
    <w:rsid w:val="26EE1321"/>
    <w:rsid w:val="274E2589"/>
    <w:rsid w:val="27D5595F"/>
    <w:rsid w:val="28714088"/>
    <w:rsid w:val="29333523"/>
    <w:rsid w:val="2A410004"/>
    <w:rsid w:val="2BEF3429"/>
    <w:rsid w:val="2CD04F7C"/>
    <w:rsid w:val="2D420F26"/>
    <w:rsid w:val="2DA2466C"/>
    <w:rsid w:val="2DC4786F"/>
    <w:rsid w:val="2E2C7674"/>
    <w:rsid w:val="2E4B40CC"/>
    <w:rsid w:val="2EA43279"/>
    <w:rsid w:val="2F2A4240"/>
    <w:rsid w:val="2F6E4232"/>
    <w:rsid w:val="2FC63BA6"/>
    <w:rsid w:val="2FCE3ACD"/>
    <w:rsid w:val="2FDB3950"/>
    <w:rsid w:val="30390F89"/>
    <w:rsid w:val="304A5411"/>
    <w:rsid w:val="30647799"/>
    <w:rsid w:val="3178368F"/>
    <w:rsid w:val="33562498"/>
    <w:rsid w:val="33660B13"/>
    <w:rsid w:val="343A2AC2"/>
    <w:rsid w:val="34FC1D61"/>
    <w:rsid w:val="352F62FD"/>
    <w:rsid w:val="36455037"/>
    <w:rsid w:val="365D16C9"/>
    <w:rsid w:val="36F16541"/>
    <w:rsid w:val="38360331"/>
    <w:rsid w:val="384214BE"/>
    <w:rsid w:val="38926838"/>
    <w:rsid w:val="3895085D"/>
    <w:rsid w:val="39C525CA"/>
    <w:rsid w:val="39E3010A"/>
    <w:rsid w:val="39E70A25"/>
    <w:rsid w:val="3A1616E0"/>
    <w:rsid w:val="3A8400EE"/>
    <w:rsid w:val="3AD10301"/>
    <w:rsid w:val="3B335B15"/>
    <w:rsid w:val="3B52470E"/>
    <w:rsid w:val="3BC7659F"/>
    <w:rsid w:val="3BD05EF1"/>
    <w:rsid w:val="3BD90C6D"/>
    <w:rsid w:val="3C3251EC"/>
    <w:rsid w:val="3C8471AE"/>
    <w:rsid w:val="3CA418DB"/>
    <w:rsid w:val="3D257C7B"/>
    <w:rsid w:val="3DF955B0"/>
    <w:rsid w:val="3E0F7118"/>
    <w:rsid w:val="40722D28"/>
    <w:rsid w:val="40E37D42"/>
    <w:rsid w:val="410E0504"/>
    <w:rsid w:val="41C62F2C"/>
    <w:rsid w:val="41D63C39"/>
    <w:rsid w:val="41F70571"/>
    <w:rsid w:val="428A0017"/>
    <w:rsid w:val="43735ADF"/>
    <w:rsid w:val="43A02171"/>
    <w:rsid w:val="43DA31B2"/>
    <w:rsid w:val="44140F3F"/>
    <w:rsid w:val="441E71D2"/>
    <w:rsid w:val="459B45A5"/>
    <w:rsid w:val="468F27A5"/>
    <w:rsid w:val="46A6047F"/>
    <w:rsid w:val="471A6421"/>
    <w:rsid w:val="478A662B"/>
    <w:rsid w:val="47A54F3C"/>
    <w:rsid w:val="47E732D5"/>
    <w:rsid w:val="47EE7652"/>
    <w:rsid w:val="480B2329"/>
    <w:rsid w:val="4849075E"/>
    <w:rsid w:val="488108B3"/>
    <w:rsid w:val="48F16C4D"/>
    <w:rsid w:val="49431BB4"/>
    <w:rsid w:val="4B0877E1"/>
    <w:rsid w:val="4BC80845"/>
    <w:rsid w:val="4C7A7815"/>
    <w:rsid w:val="4C885F9D"/>
    <w:rsid w:val="4C9B0E87"/>
    <w:rsid w:val="4DAD1CF2"/>
    <w:rsid w:val="4E234053"/>
    <w:rsid w:val="4EA23FBF"/>
    <w:rsid w:val="4EBB21ED"/>
    <w:rsid w:val="4F1E47FF"/>
    <w:rsid w:val="4F831514"/>
    <w:rsid w:val="4F872943"/>
    <w:rsid w:val="4FCC48AC"/>
    <w:rsid w:val="500A5A3E"/>
    <w:rsid w:val="50546F35"/>
    <w:rsid w:val="510C4CB4"/>
    <w:rsid w:val="514E28CF"/>
    <w:rsid w:val="518906F0"/>
    <w:rsid w:val="52187956"/>
    <w:rsid w:val="52B53B62"/>
    <w:rsid w:val="52F21FDA"/>
    <w:rsid w:val="52F54709"/>
    <w:rsid w:val="544143C8"/>
    <w:rsid w:val="55CF5750"/>
    <w:rsid w:val="56282369"/>
    <w:rsid w:val="56EF59F1"/>
    <w:rsid w:val="582E60EE"/>
    <w:rsid w:val="58485A95"/>
    <w:rsid w:val="584E7C2E"/>
    <w:rsid w:val="585D6757"/>
    <w:rsid w:val="589052FF"/>
    <w:rsid w:val="59833ABD"/>
    <w:rsid w:val="59916588"/>
    <w:rsid w:val="5A3B3649"/>
    <w:rsid w:val="5A3E4514"/>
    <w:rsid w:val="5B0E3A7B"/>
    <w:rsid w:val="5B1B1848"/>
    <w:rsid w:val="5CF42B21"/>
    <w:rsid w:val="5F723BD9"/>
    <w:rsid w:val="6002522F"/>
    <w:rsid w:val="60742E16"/>
    <w:rsid w:val="60A30D93"/>
    <w:rsid w:val="60AB34EB"/>
    <w:rsid w:val="60D145C9"/>
    <w:rsid w:val="616F3EFB"/>
    <w:rsid w:val="618A5831"/>
    <w:rsid w:val="62B21A1E"/>
    <w:rsid w:val="631422A0"/>
    <w:rsid w:val="63401BE7"/>
    <w:rsid w:val="63885935"/>
    <w:rsid w:val="645C5331"/>
    <w:rsid w:val="648051F1"/>
    <w:rsid w:val="64A13D8C"/>
    <w:rsid w:val="654B5701"/>
    <w:rsid w:val="66ED4CE6"/>
    <w:rsid w:val="674A5EBE"/>
    <w:rsid w:val="6769310D"/>
    <w:rsid w:val="67BE0FC1"/>
    <w:rsid w:val="69112CDD"/>
    <w:rsid w:val="69EC54F9"/>
    <w:rsid w:val="6A1238FC"/>
    <w:rsid w:val="6A68784B"/>
    <w:rsid w:val="6B011DD2"/>
    <w:rsid w:val="6B756A5E"/>
    <w:rsid w:val="6BB24A13"/>
    <w:rsid w:val="6BDA12FF"/>
    <w:rsid w:val="6C7271E4"/>
    <w:rsid w:val="6CA11A28"/>
    <w:rsid w:val="6CBC315F"/>
    <w:rsid w:val="6CED6644"/>
    <w:rsid w:val="6E056B89"/>
    <w:rsid w:val="6E885AA7"/>
    <w:rsid w:val="6F0F0546"/>
    <w:rsid w:val="6F5B7B52"/>
    <w:rsid w:val="6FBA2E95"/>
    <w:rsid w:val="6FBF7841"/>
    <w:rsid w:val="700C60D0"/>
    <w:rsid w:val="706047B8"/>
    <w:rsid w:val="70772C18"/>
    <w:rsid w:val="70FC414C"/>
    <w:rsid w:val="72011A80"/>
    <w:rsid w:val="72206EE1"/>
    <w:rsid w:val="73B00E80"/>
    <w:rsid w:val="73D615D4"/>
    <w:rsid w:val="73E00FFE"/>
    <w:rsid w:val="74725AA0"/>
    <w:rsid w:val="74977656"/>
    <w:rsid w:val="74B12141"/>
    <w:rsid w:val="74C7208F"/>
    <w:rsid w:val="75590FF6"/>
    <w:rsid w:val="76466005"/>
    <w:rsid w:val="76DD4B47"/>
    <w:rsid w:val="773E082E"/>
    <w:rsid w:val="790B2C03"/>
    <w:rsid w:val="790C55F2"/>
    <w:rsid w:val="79474E50"/>
    <w:rsid w:val="799B625F"/>
    <w:rsid w:val="7A4A4557"/>
    <w:rsid w:val="7B3A4316"/>
    <w:rsid w:val="7B4C21E3"/>
    <w:rsid w:val="7B785241"/>
    <w:rsid w:val="7B9C262C"/>
    <w:rsid w:val="7BE14791"/>
    <w:rsid w:val="7BE61C29"/>
    <w:rsid w:val="7CC20DC6"/>
    <w:rsid w:val="7D191F02"/>
    <w:rsid w:val="7D2B02D8"/>
    <w:rsid w:val="7D9D5E9F"/>
    <w:rsid w:val="7E0368E4"/>
    <w:rsid w:val="7E7B150C"/>
    <w:rsid w:val="7E7C69F3"/>
    <w:rsid w:val="7EF7345D"/>
    <w:rsid w:val="7FB75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702" w:lineRule="exact"/>
      <w:ind w:right="457"/>
      <w:jc w:val="center"/>
      <w:outlineLvl w:val="0"/>
    </w:pPr>
    <w:rPr>
      <w:rFonts w:ascii="Microsoft JhengHei" w:hAnsi="Microsoft JhengHei" w:eastAsia="Microsoft JhengHei" w:cs="Microsoft JhengHei"/>
      <w:b/>
      <w:bCs/>
      <w:sz w:val="44"/>
      <w:szCs w:val="44"/>
    </w:rPr>
  </w:style>
  <w:style w:type="paragraph" w:styleId="3">
    <w:name w:val="heading 2"/>
    <w:basedOn w:val="1"/>
    <w:next w:val="1"/>
    <w:qFormat/>
    <w:uiPriority w:val="1"/>
    <w:pPr>
      <w:ind w:left="641" w:hanging="402"/>
      <w:outlineLvl w:val="1"/>
    </w:pPr>
    <w:rPr>
      <w:rFonts w:ascii="Microsoft JhengHei" w:hAnsi="Microsoft JhengHei" w:eastAsia="Microsoft JhengHei" w:cs="Microsoft JhengHei"/>
      <w:b/>
      <w:bCs/>
      <w:sz w:val="32"/>
      <w:szCs w:val="32"/>
    </w:rPr>
  </w:style>
  <w:style w:type="paragraph" w:styleId="4">
    <w:name w:val="heading 3"/>
    <w:basedOn w:val="1"/>
    <w:next w:val="1"/>
    <w:qFormat/>
    <w:uiPriority w:val="0"/>
    <w:pPr>
      <w:keepNext/>
      <w:keepLines/>
      <w:outlineLvl w:val="2"/>
    </w:pPr>
    <w:rPr>
      <w:rFonts w:hAnsi="Calibri"/>
      <w:b/>
      <w:bCs/>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toa heading"/>
    <w:basedOn w:val="1"/>
    <w:next w:val="1"/>
    <w:qFormat/>
    <w:uiPriority w:val="0"/>
    <w:pPr>
      <w:spacing w:before="120"/>
    </w:pPr>
    <w:rPr>
      <w:rFonts w:ascii="Arial" w:hAnsi="Arial"/>
      <w:sz w:val="24"/>
    </w:rPr>
  </w:style>
  <w:style w:type="paragraph" w:styleId="7">
    <w:name w:val="annotation text"/>
    <w:basedOn w:val="1"/>
    <w:qFormat/>
    <w:uiPriority w:val="0"/>
  </w:style>
  <w:style w:type="paragraph" w:styleId="8">
    <w:name w:val="Body Text 3"/>
    <w:basedOn w:val="1"/>
    <w:qFormat/>
    <w:uiPriority w:val="0"/>
    <w:pPr>
      <w:spacing w:after="120"/>
    </w:pPr>
    <w:rPr>
      <w:sz w:val="16"/>
      <w:szCs w:val="16"/>
    </w:rPr>
  </w:style>
  <w:style w:type="paragraph" w:styleId="9">
    <w:name w:val="Body Text"/>
    <w:basedOn w:val="1"/>
    <w:qFormat/>
    <w:uiPriority w:val="1"/>
    <w:rPr>
      <w:sz w:val="21"/>
      <w:szCs w:val="21"/>
    </w:rPr>
  </w:style>
  <w:style w:type="paragraph" w:styleId="10">
    <w:name w:val="Body Text Indent"/>
    <w:basedOn w:val="1"/>
    <w:qFormat/>
    <w:uiPriority w:val="0"/>
    <w:pPr>
      <w:spacing w:after="120"/>
      <w:ind w:left="420" w:leftChars="200"/>
    </w:pPr>
    <w:rPr>
      <w:szCs w:val="20"/>
    </w:rPr>
  </w:style>
  <w:style w:type="paragraph" w:styleId="11">
    <w:name w:val="Plain Text"/>
    <w:basedOn w:val="1"/>
    <w:qFormat/>
    <w:uiPriority w:val="0"/>
    <w:rPr>
      <w:rFonts w:hAnsi="Courier New"/>
      <w:sz w:val="20"/>
      <w:szCs w:val="20"/>
    </w:rPr>
  </w:style>
  <w:style w:type="paragraph" w:styleId="12">
    <w:name w:val="Date"/>
    <w:basedOn w:val="1"/>
    <w:next w:val="1"/>
    <w:qFormat/>
    <w:uiPriority w:val="0"/>
    <w:rPr>
      <w:szCs w:val="20"/>
    </w:rPr>
  </w:style>
  <w:style w:type="paragraph" w:styleId="13">
    <w:name w:val="Balloon Text"/>
    <w:basedOn w:val="1"/>
    <w:link w:val="35"/>
    <w:qFormat/>
    <w:uiPriority w:val="0"/>
    <w:rPr>
      <w:sz w:val="18"/>
      <w:szCs w:val="18"/>
    </w:rPr>
  </w:style>
  <w:style w:type="paragraph" w:styleId="14">
    <w:name w:val="footer"/>
    <w:basedOn w:val="1"/>
    <w:qFormat/>
    <w:uiPriority w:val="0"/>
    <w:pPr>
      <w:tabs>
        <w:tab w:val="center" w:pos="4153"/>
        <w:tab w:val="right" w:pos="8306"/>
      </w:tabs>
      <w:snapToGrid w:val="0"/>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qFormat/>
    <w:uiPriority w:val="1"/>
    <w:pPr>
      <w:spacing w:before="2"/>
      <w:ind w:right="703"/>
      <w:jc w:val="right"/>
    </w:pPr>
    <w:rPr>
      <w:sz w:val="21"/>
      <w:szCs w:val="21"/>
    </w:rPr>
  </w:style>
  <w:style w:type="paragraph" w:styleId="17">
    <w:name w:val="toc 2"/>
    <w:basedOn w:val="1"/>
    <w:next w:val="1"/>
    <w:qFormat/>
    <w:uiPriority w:val="39"/>
    <w:pPr>
      <w:ind w:left="200" w:leftChars="200"/>
    </w:pPr>
    <w:rPr>
      <w:rFonts w:ascii="Times New Roman" w:hAnsi="Times New Roman"/>
    </w:rPr>
  </w:style>
  <w:style w:type="paragraph" w:styleId="18">
    <w:name w:val="Body Text First Indent"/>
    <w:basedOn w:val="9"/>
    <w:qFormat/>
    <w:uiPriority w:val="0"/>
    <w:pPr>
      <w:spacing w:line="312" w:lineRule="auto"/>
      <w:ind w:firstLine="420"/>
    </w:pPr>
    <w:rPr>
      <w:szCs w:val="24"/>
      <w:lang w:val="en-US"/>
    </w:rPr>
  </w:style>
  <w:style w:type="character" w:styleId="21">
    <w:name w:val="Emphasis"/>
    <w:qFormat/>
    <w:uiPriority w:val="0"/>
    <w:rPr>
      <w:i/>
    </w:rPr>
  </w:style>
  <w:style w:type="character" w:styleId="22">
    <w:name w:val="Hyperlink"/>
    <w:qFormat/>
    <w:uiPriority w:val="99"/>
    <w:rPr>
      <w:color w:val="5886E0"/>
      <w:u w:val="none"/>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文一"/>
    <w:basedOn w:val="1"/>
    <w:qFormat/>
    <w:uiPriority w:val="99"/>
    <w:pPr>
      <w:topLinePunct/>
      <w:adjustRightInd w:val="0"/>
      <w:snapToGrid w:val="0"/>
      <w:spacing w:line="360" w:lineRule="auto"/>
      <w:ind w:firstLine="200" w:firstLineChars="200"/>
    </w:pPr>
    <w:rPr>
      <w:rFonts w:ascii="Times New Roman" w:hAnsi="Times New Roman" w:cs="Times New Roman"/>
      <w:spacing w:val="4"/>
      <w:sz w:val="24"/>
      <w:szCs w:val="24"/>
    </w:rPr>
  </w:style>
  <w:style w:type="paragraph" w:customStyle="1" w:styleId="25">
    <w:name w:val="Table Paragraph"/>
    <w:basedOn w:val="1"/>
    <w:qFormat/>
    <w:uiPriority w:val="1"/>
  </w:style>
  <w:style w:type="paragraph" w:customStyle="1" w:styleId="26">
    <w:name w:val="正文文本 31"/>
    <w:basedOn w:val="1"/>
    <w:qFormat/>
    <w:uiPriority w:val="99"/>
    <w:rPr>
      <w:sz w:val="16"/>
      <w:szCs w:val="16"/>
    </w:rPr>
  </w:style>
  <w:style w:type="paragraph" w:customStyle="1" w:styleId="27">
    <w:name w:val="文二"/>
    <w:basedOn w:val="1"/>
    <w:qFormat/>
    <w:uiPriority w:val="0"/>
    <w:rPr>
      <w:rFonts w:cs="Calibri"/>
      <w:szCs w:val="21"/>
    </w:rPr>
  </w:style>
  <w:style w:type="character" w:customStyle="1" w:styleId="28">
    <w:name w:val="NormalCharacter"/>
    <w:semiHidden/>
    <w:qFormat/>
    <w:uiPriority w:val="0"/>
  </w:style>
  <w:style w:type="paragraph" w:customStyle="1" w:styleId="29">
    <w:name w:val="正文首行缩进 21"/>
    <w:basedOn w:val="10"/>
    <w:qFormat/>
    <w:uiPriority w:val="99"/>
    <w:pPr>
      <w:ind w:firstLine="420" w:firstLineChars="200"/>
    </w:pPr>
    <w:rPr>
      <w:sz w:val="20"/>
      <w:szCs w:val="24"/>
    </w:rPr>
  </w:style>
  <w:style w:type="paragraph" w:styleId="30">
    <w:name w:val="List Paragraph"/>
    <w:basedOn w:val="1"/>
    <w:qFormat/>
    <w:uiPriority w:val="1"/>
    <w:pPr>
      <w:ind w:left="240" w:firstLine="419"/>
    </w:pPr>
  </w:style>
  <w:style w:type="paragraph" w:customStyle="1" w:styleId="31">
    <w:name w:val="_Style 3"/>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2">
    <w:name w:val="表格文字"/>
    <w:basedOn w:val="1"/>
    <w:qFormat/>
    <w:uiPriority w:val="0"/>
    <w:pPr>
      <w:adjustRightInd w:val="0"/>
      <w:spacing w:line="420" w:lineRule="atLeast"/>
      <w:textAlignment w:val="baseline"/>
    </w:pPr>
    <w:rPr>
      <w:szCs w:val="20"/>
    </w:rPr>
  </w:style>
  <w:style w:type="character" w:customStyle="1" w:styleId="33">
    <w:name w:val="font01"/>
    <w:qFormat/>
    <w:uiPriority w:val="0"/>
    <w:rPr>
      <w:rFonts w:hint="eastAsia" w:ascii="宋体" w:hAnsi="宋体" w:eastAsia="宋体" w:cs="宋体"/>
      <w:color w:val="000000"/>
      <w:sz w:val="21"/>
      <w:szCs w:val="21"/>
      <w:u w:val="none"/>
    </w:rPr>
  </w:style>
  <w:style w:type="paragraph" w:customStyle="1" w:styleId="34">
    <w:name w:val="BodyText"/>
    <w:basedOn w:val="1"/>
    <w:qFormat/>
    <w:uiPriority w:val="0"/>
    <w:pPr>
      <w:spacing w:after="120"/>
    </w:pPr>
    <w:rPr>
      <w:rFonts w:ascii="Times New Roman" w:hAnsi="Times New Roman"/>
      <w:sz w:val="20"/>
      <w:szCs w:val="20"/>
    </w:rPr>
  </w:style>
  <w:style w:type="character" w:customStyle="1" w:styleId="35">
    <w:name w:val="批注框文本 Char"/>
    <w:basedOn w:val="20"/>
    <w:link w:val="13"/>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15486</Words>
  <Characters>16644</Characters>
  <Lines>214</Lines>
  <Paragraphs>60</Paragraphs>
  <TotalTime>18</TotalTime>
  <ScaleCrop>false</ScaleCrop>
  <LinksUpToDate>false</LinksUpToDate>
  <CharactersWithSpaces>17095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2025-05-07T11:36:00Z</dcterms:created>
  <dc:creator>Administrator</dc:creator>
  <cp:lastModifiedBy>阿May</cp:lastModifiedBy>
  <dcterms:modified xsi:type="dcterms:W3CDTF">2025-05-19T05:07:58Z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DD1B9D9EE4DB43168E7BFE1B2F0B4B08_13</vt:lpwstr>
  </property>
  <property fmtid="{D5CDD505-2E9C-101B-9397-08002B2CF9AE}" pid="4" name="KSOTemplateDocerSaveRecord">
    <vt:lpwstr>eyJoZGlkIjoiYjFlN2ZkZThhYTUyYTFjNTVhN2NhNTA1ZjEwY2M2YjAiLCJ1c2VySWQiOiIyMjM5MDg2MTgifQ==</vt:lpwstr>
  </property>
</Properties>
</file>