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17DCF">
      <w:pPr>
        <w:widowControl/>
        <w:spacing w:line="360" w:lineRule="auto"/>
        <w:jc w:val="right"/>
        <w:rPr>
          <w:rFonts w:ascii="宋体" w:hAnsi="宋体"/>
          <w:b/>
          <w:bCs/>
          <w:color w:val="auto"/>
          <w:sz w:val="32"/>
          <w:szCs w:val="32"/>
          <w:highlight w:val="none"/>
        </w:rPr>
      </w:pPr>
      <w:r>
        <w:rPr>
          <w:rFonts w:hint="eastAsia" w:ascii="宋体" w:hAnsi="宋体"/>
          <w:b/>
          <w:bCs/>
          <w:color w:val="auto"/>
          <w:sz w:val="32"/>
          <w:szCs w:val="32"/>
          <w:highlight w:val="none"/>
        </w:rPr>
        <w:t>合同编号：</w:t>
      </w:r>
    </w:p>
    <w:p w14:paraId="5272EDE0">
      <w:pPr>
        <w:widowControl/>
        <w:spacing w:line="720" w:lineRule="auto"/>
        <w:jc w:val="right"/>
        <w:rPr>
          <w:rFonts w:ascii="宋体" w:hAnsi="宋体" w:cs="宋体"/>
          <w:b/>
          <w:bCs/>
          <w:color w:val="auto"/>
          <w:sz w:val="56"/>
          <w:szCs w:val="72"/>
          <w:highlight w:val="none"/>
          <w:shd w:val="clear" w:color="auto" w:fill="FFFFFF"/>
        </w:rPr>
      </w:pPr>
    </w:p>
    <w:p w14:paraId="67AC49D1">
      <w:pPr>
        <w:widowControl/>
        <w:spacing w:line="720" w:lineRule="auto"/>
        <w:jc w:val="center"/>
        <w:rPr>
          <w:rFonts w:ascii="宋体" w:hAnsi="宋体" w:cs="宋体"/>
          <w:b/>
          <w:bCs/>
          <w:color w:val="auto"/>
          <w:sz w:val="56"/>
          <w:szCs w:val="72"/>
          <w:highlight w:val="none"/>
          <w:shd w:val="clear" w:color="auto" w:fill="FFFFFF"/>
        </w:rPr>
      </w:pPr>
      <w:r>
        <w:rPr>
          <w:rFonts w:hint="eastAsia" w:ascii="宋体" w:hAnsi="宋体" w:cs="宋体"/>
          <w:b/>
          <w:bCs/>
          <w:color w:val="auto"/>
          <w:sz w:val="56"/>
          <w:szCs w:val="72"/>
          <w:highlight w:val="none"/>
          <w:shd w:val="clear" w:color="auto" w:fill="FFFFFF"/>
        </w:rPr>
        <w:t>建设工程造价咨询服务合同</w:t>
      </w:r>
    </w:p>
    <w:p w14:paraId="787811DC">
      <w:pPr>
        <w:widowControl/>
        <w:spacing w:line="360" w:lineRule="auto"/>
        <w:jc w:val="center"/>
        <w:rPr>
          <w:rFonts w:ascii="宋体" w:hAnsi="宋体"/>
          <w:b/>
          <w:bCs/>
          <w:color w:val="auto"/>
          <w:sz w:val="32"/>
          <w:szCs w:val="32"/>
          <w:highlight w:val="none"/>
        </w:rPr>
      </w:pPr>
    </w:p>
    <w:p w14:paraId="317EA8D3">
      <w:pPr>
        <w:widowControl/>
        <w:spacing w:line="360" w:lineRule="auto"/>
        <w:jc w:val="center"/>
        <w:rPr>
          <w:rFonts w:ascii="宋体" w:hAnsi="宋体"/>
          <w:b/>
          <w:bCs/>
          <w:color w:val="auto"/>
          <w:sz w:val="32"/>
          <w:szCs w:val="32"/>
          <w:highlight w:val="none"/>
        </w:rPr>
      </w:pPr>
    </w:p>
    <w:p w14:paraId="53A819C0">
      <w:pPr>
        <w:widowControl/>
        <w:spacing w:line="360" w:lineRule="auto"/>
        <w:jc w:val="left"/>
        <w:rPr>
          <w:rFonts w:ascii="宋体" w:hAnsi="宋体"/>
          <w:color w:val="auto"/>
          <w:szCs w:val="20"/>
          <w:highlight w:val="none"/>
        </w:rPr>
      </w:pPr>
    </w:p>
    <w:p w14:paraId="135FCEFC">
      <w:pPr>
        <w:widowControl/>
        <w:spacing w:line="360" w:lineRule="auto"/>
        <w:jc w:val="left"/>
        <w:rPr>
          <w:rFonts w:ascii="宋体" w:hAnsi="宋体"/>
          <w:b/>
          <w:color w:val="auto"/>
          <w:sz w:val="24"/>
          <w:szCs w:val="20"/>
          <w:highlight w:val="none"/>
        </w:rPr>
      </w:pPr>
      <w:bookmarkStart w:id="27" w:name="_GoBack"/>
      <w:bookmarkEnd w:id="27"/>
    </w:p>
    <w:p w14:paraId="6C68180A">
      <w:pPr>
        <w:widowControl/>
        <w:spacing w:line="360" w:lineRule="auto"/>
        <w:jc w:val="left"/>
        <w:rPr>
          <w:rFonts w:ascii="宋体" w:hAnsi="宋体"/>
          <w:b/>
          <w:color w:val="auto"/>
          <w:sz w:val="24"/>
          <w:szCs w:val="20"/>
          <w:highlight w:val="none"/>
        </w:rPr>
      </w:pPr>
    </w:p>
    <w:p w14:paraId="57457B7B">
      <w:pPr>
        <w:widowControl/>
        <w:spacing w:line="360" w:lineRule="auto"/>
        <w:jc w:val="left"/>
        <w:rPr>
          <w:rFonts w:ascii="宋体" w:hAnsi="宋体"/>
          <w:b/>
          <w:color w:val="auto"/>
          <w:sz w:val="24"/>
          <w:szCs w:val="20"/>
          <w:highlight w:val="none"/>
        </w:rPr>
      </w:pPr>
    </w:p>
    <w:p w14:paraId="64B4C8F5">
      <w:pPr>
        <w:widowControl/>
        <w:spacing w:line="360" w:lineRule="auto"/>
        <w:jc w:val="left"/>
        <w:rPr>
          <w:rFonts w:ascii="宋体" w:hAnsi="宋体"/>
          <w:b/>
          <w:color w:val="auto"/>
          <w:sz w:val="24"/>
          <w:szCs w:val="20"/>
          <w:highlight w:val="none"/>
        </w:rPr>
      </w:pPr>
    </w:p>
    <w:p w14:paraId="57B0AADF">
      <w:pPr>
        <w:widowControl/>
        <w:spacing w:line="360" w:lineRule="auto"/>
        <w:jc w:val="left"/>
        <w:rPr>
          <w:rFonts w:ascii="宋体" w:hAnsi="宋体"/>
          <w:b/>
          <w:color w:val="auto"/>
          <w:sz w:val="24"/>
          <w:szCs w:val="20"/>
          <w:highlight w:val="none"/>
        </w:rPr>
      </w:pPr>
    </w:p>
    <w:p w14:paraId="7E50E344">
      <w:pPr>
        <w:widowControl/>
        <w:spacing w:line="360" w:lineRule="auto"/>
        <w:jc w:val="left"/>
        <w:rPr>
          <w:rFonts w:ascii="宋体" w:hAnsi="宋体"/>
          <w:b/>
          <w:color w:val="auto"/>
          <w:sz w:val="24"/>
          <w:szCs w:val="20"/>
          <w:highlight w:val="none"/>
        </w:rPr>
      </w:pPr>
    </w:p>
    <w:p w14:paraId="5CF6AA82">
      <w:pPr>
        <w:widowControl/>
        <w:spacing w:line="360" w:lineRule="auto"/>
        <w:jc w:val="left"/>
        <w:rPr>
          <w:rFonts w:ascii="宋体" w:hAnsi="宋体"/>
          <w:b/>
          <w:color w:val="auto"/>
          <w:sz w:val="24"/>
          <w:szCs w:val="20"/>
          <w:highlight w:val="none"/>
        </w:rPr>
      </w:pPr>
    </w:p>
    <w:p w14:paraId="192BE582">
      <w:pPr>
        <w:widowControl/>
        <w:spacing w:line="360" w:lineRule="auto"/>
        <w:jc w:val="left"/>
        <w:rPr>
          <w:rFonts w:ascii="宋体" w:hAnsi="宋体"/>
          <w:b/>
          <w:color w:val="auto"/>
          <w:sz w:val="24"/>
          <w:szCs w:val="20"/>
          <w:highlight w:val="none"/>
        </w:rPr>
      </w:pPr>
    </w:p>
    <w:p w14:paraId="0C32F62D">
      <w:pPr>
        <w:widowControl/>
        <w:spacing w:line="360" w:lineRule="auto"/>
        <w:jc w:val="left"/>
        <w:rPr>
          <w:rFonts w:ascii="宋体" w:hAnsi="宋体" w:cs="FangSong_GB2312"/>
          <w:b/>
          <w:color w:val="auto"/>
          <w:w w:val="90"/>
          <w:sz w:val="32"/>
          <w:szCs w:val="32"/>
          <w:highlight w:val="none"/>
        </w:rPr>
      </w:pPr>
      <w:r>
        <w:rPr>
          <w:rFonts w:hint="eastAsia" w:ascii="宋体" w:hAnsi="宋体"/>
          <w:b/>
          <w:color w:val="auto"/>
          <w:sz w:val="32"/>
          <w:szCs w:val="32"/>
          <w:highlight w:val="none"/>
        </w:rPr>
        <w:t>甲方（委托人）：</w:t>
      </w:r>
      <w:r>
        <w:rPr>
          <w:rFonts w:hint="eastAsia" w:ascii="宋体" w:hAnsi="宋体"/>
          <w:b/>
          <w:color w:val="auto"/>
          <w:sz w:val="32"/>
          <w:szCs w:val="32"/>
          <w:highlight w:val="none"/>
          <w:u w:val="single"/>
        </w:rPr>
        <w:t xml:space="preserve">                       </w:t>
      </w:r>
    </w:p>
    <w:p w14:paraId="575AF9FC">
      <w:pPr>
        <w:widowControl/>
        <w:spacing w:line="360" w:lineRule="auto"/>
        <w:jc w:val="left"/>
        <w:rPr>
          <w:rFonts w:ascii="宋体" w:hAnsi="宋体"/>
          <w:b/>
          <w:color w:val="auto"/>
          <w:spacing w:val="-20"/>
          <w:w w:val="90"/>
          <w:sz w:val="32"/>
          <w:szCs w:val="32"/>
          <w:highlight w:val="none"/>
        </w:rPr>
      </w:pPr>
      <w:r>
        <w:rPr>
          <w:rFonts w:hint="eastAsia" w:ascii="宋体" w:hAnsi="宋体"/>
          <w:b/>
          <w:color w:val="auto"/>
          <w:sz w:val="32"/>
          <w:szCs w:val="32"/>
          <w:highlight w:val="none"/>
        </w:rPr>
        <w:t>乙方（</w:t>
      </w:r>
      <w:r>
        <w:rPr>
          <w:rFonts w:hint="eastAsia" w:ascii="宋体" w:hAnsi="宋体" w:cs="FangSong_GB2312"/>
          <w:b/>
          <w:color w:val="auto"/>
          <w:sz w:val="32"/>
          <w:szCs w:val="32"/>
          <w:highlight w:val="none"/>
          <w:lang w:val="zh-CN"/>
        </w:rPr>
        <w:t>受托人</w:t>
      </w:r>
      <w:r>
        <w:rPr>
          <w:rFonts w:hint="eastAsia" w:ascii="宋体" w:hAnsi="宋体" w:cs="FangSong_GB2312"/>
          <w:b/>
          <w:color w:val="auto"/>
          <w:sz w:val="32"/>
          <w:szCs w:val="32"/>
          <w:highlight w:val="none"/>
          <w:lang w:val="en-US"/>
        </w:rPr>
        <w:t>）：</w:t>
      </w:r>
      <w:r>
        <w:rPr>
          <w:rFonts w:hint="eastAsia" w:ascii="宋体" w:hAnsi="宋体"/>
          <w:b/>
          <w:color w:val="auto"/>
          <w:sz w:val="32"/>
          <w:szCs w:val="32"/>
          <w:highlight w:val="none"/>
          <w:u w:val="single"/>
        </w:rPr>
        <w:t xml:space="preserve">                       </w:t>
      </w:r>
      <w:r>
        <w:rPr>
          <w:rFonts w:ascii="宋体" w:hAnsi="宋体" w:cs="FangSong_GB2312"/>
          <w:b/>
          <w:color w:val="auto"/>
          <w:w w:val="90"/>
          <w:sz w:val="32"/>
          <w:szCs w:val="32"/>
          <w:highlight w:val="none"/>
          <w:lang w:val="en-US"/>
        </w:rPr>
        <w:t xml:space="preserve">   </w:t>
      </w:r>
    </w:p>
    <w:p w14:paraId="4084D768">
      <w:pPr>
        <w:widowControl/>
        <w:spacing w:before="100" w:beforeAutospacing="1" w:after="100" w:afterAutospacing="1" w:line="360" w:lineRule="auto"/>
        <w:jc w:val="center"/>
        <w:outlineLvl w:val="0"/>
        <w:rPr>
          <w:rFonts w:ascii="宋体" w:hAnsi="宋体" w:cs="宋体"/>
          <w:b/>
          <w:bCs/>
          <w:color w:val="auto"/>
          <w:sz w:val="36"/>
          <w:szCs w:val="36"/>
          <w:highlight w:val="none"/>
        </w:rPr>
      </w:pPr>
      <w:r>
        <w:rPr>
          <w:rFonts w:ascii="宋体" w:hAnsi="宋体" w:cs="宋体"/>
          <w:b/>
          <w:bCs/>
          <w:color w:val="auto"/>
          <w:sz w:val="30"/>
          <w:szCs w:val="24"/>
          <w:highlight w:val="none"/>
        </w:rPr>
        <w:br w:type="page"/>
      </w:r>
      <w:bookmarkStart w:id="0" w:name="_Toc2314"/>
      <w:r>
        <w:rPr>
          <w:rFonts w:hint="eastAsia" w:ascii="宋体" w:hAnsi="宋体" w:cs="宋体"/>
          <w:b/>
          <w:bCs/>
          <w:color w:val="auto"/>
          <w:sz w:val="36"/>
          <w:szCs w:val="36"/>
          <w:highlight w:val="none"/>
        </w:rPr>
        <w:t>第一部分　合同协议书</w:t>
      </w:r>
      <w:bookmarkEnd w:id="0"/>
    </w:p>
    <w:p w14:paraId="09F2B18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委托人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（以下称甲方）与</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（以下称乙方）依照《中华人民共和国民法典》、《中华人民共和国建筑法》及其它有关法律、法规的规定，遵循平等、自愿、公平和诚实信用的原则，就广州市增城区荔湖街新城大道东</w:t>
      </w:r>
      <w:r>
        <w:rPr>
          <w:rFonts w:hint="eastAsia" w:ascii="仿宋" w:hAnsi="仿宋" w:eastAsia="仿宋"/>
          <w:color w:val="auto"/>
          <w:sz w:val="24"/>
          <w:szCs w:val="24"/>
          <w:highlight w:val="none"/>
          <w:lang w:val="en-US" w:eastAsia="zh-CN"/>
        </w:rPr>
        <w:t>侧</w:t>
      </w:r>
      <w:r>
        <w:rPr>
          <w:rFonts w:hint="eastAsia" w:ascii="仿宋" w:hAnsi="仿宋" w:eastAsia="仿宋"/>
          <w:color w:val="auto"/>
          <w:sz w:val="24"/>
          <w:szCs w:val="24"/>
          <w:highlight w:val="none"/>
        </w:rPr>
        <w:t>18005200A24018号地块建设项目造价咨询服务事项协商一致，订立本合同。</w:t>
      </w:r>
    </w:p>
    <w:p w14:paraId="31F20548">
      <w:pPr>
        <w:widowControl/>
        <w:spacing w:line="520" w:lineRule="exact"/>
        <w:ind w:firstLine="470" w:firstLineChars="195"/>
        <w:jc w:val="left"/>
        <w:outlineLvl w:val="1"/>
        <w:rPr>
          <w:rFonts w:ascii="仿宋" w:hAnsi="仿宋" w:eastAsia="仿宋" w:cs="仿宋"/>
          <w:b/>
          <w:color w:val="auto"/>
          <w:sz w:val="24"/>
          <w:szCs w:val="24"/>
          <w:highlight w:val="none"/>
        </w:rPr>
      </w:pPr>
      <w:bookmarkStart w:id="1" w:name="_Toc9642"/>
      <w:r>
        <w:rPr>
          <w:rFonts w:hint="eastAsia" w:ascii="仿宋" w:hAnsi="仿宋" w:eastAsia="仿宋" w:cs="仿宋"/>
          <w:b/>
          <w:color w:val="auto"/>
          <w:sz w:val="24"/>
          <w:szCs w:val="24"/>
          <w:highlight w:val="none"/>
        </w:rPr>
        <w:t>一、甲方委托乙方为以下项目提供建设工程造价咨询服务：</w:t>
      </w:r>
      <w:bookmarkEnd w:id="1"/>
    </w:p>
    <w:p w14:paraId="004DE32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1.项目名称：广州市增城区荔湖街新城大道东</w:t>
      </w:r>
      <w:r>
        <w:rPr>
          <w:rFonts w:hint="eastAsia" w:ascii="仿宋" w:hAnsi="仿宋" w:eastAsia="仿宋"/>
          <w:color w:val="auto"/>
          <w:sz w:val="24"/>
          <w:szCs w:val="24"/>
          <w:highlight w:val="none"/>
          <w:lang w:val="en-US" w:eastAsia="zh-CN"/>
        </w:rPr>
        <w:t>侧</w:t>
      </w:r>
      <w:r>
        <w:rPr>
          <w:rFonts w:hint="eastAsia" w:ascii="仿宋" w:hAnsi="仿宋" w:eastAsia="仿宋"/>
          <w:color w:val="auto"/>
          <w:sz w:val="24"/>
          <w:szCs w:val="24"/>
          <w:highlight w:val="none"/>
        </w:rPr>
        <w:t xml:space="preserve">18005200A24018号地块建设项目                </w:t>
      </w:r>
    </w:p>
    <w:p w14:paraId="30D2683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2.项目地点：广州市增城区荔湖街新城大道东侧                           </w:t>
      </w:r>
    </w:p>
    <w:p w14:paraId="6817918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3.项目规模：</w:t>
      </w:r>
      <w:r>
        <w:rPr>
          <w:rFonts w:hint="eastAsia" w:ascii="仿宋" w:hAnsi="仿宋" w:eastAsia="仿宋" w:cs="Times New Roman"/>
          <w:color w:val="auto"/>
          <w:kern w:val="2"/>
          <w:sz w:val="24"/>
          <w:szCs w:val="24"/>
          <w:highlight w:val="none"/>
          <w:lang w:val="en-US" w:eastAsia="zh-CN" w:bidi="ar-SA"/>
        </w:rPr>
        <w:t>项目可研总投资约</w:t>
      </w:r>
      <w:r>
        <w:rPr>
          <w:rFonts w:hint="eastAsia" w:ascii="仿宋" w:hAnsi="仿宋" w:eastAsia="仿宋" w:cs="Times New Roman"/>
          <w:bCs w:val="0"/>
          <w:color w:val="auto"/>
          <w:sz w:val="24"/>
          <w:szCs w:val="24"/>
          <w:highlight w:val="none"/>
          <w:lang w:eastAsia="zh"/>
        </w:rPr>
        <w:t>365</w:t>
      </w:r>
      <w:r>
        <w:rPr>
          <w:rFonts w:hint="eastAsia" w:ascii="仿宋" w:hAnsi="仿宋" w:eastAsia="仿宋" w:cs="Times New Roman"/>
          <w:bCs w:val="0"/>
          <w:color w:val="auto"/>
          <w:sz w:val="24"/>
          <w:szCs w:val="24"/>
          <w:highlight w:val="none"/>
        </w:rPr>
        <w:t>,</w:t>
      </w:r>
      <w:r>
        <w:rPr>
          <w:rFonts w:hint="eastAsia" w:ascii="仿宋" w:hAnsi="仿宋" w:eastAsia="仿宋" w:cs="Times New Roman"/>
          <w:bCs w:val="0"/>
          <w:color w:val="auto"/>
          <w:sz w:val="24"/>
          <w:szCs w:val="24"/>
          <w:highlight w:val="none"/>
          <w:lang w:eastAsia="zh"/>
        </w:rPr>
        <w:t>437.2</w:t>
      </w:r>
      <w:r>
        <w:rPr>
          <w:rFonts w:hint="eastAsia" w:ascii="仿宋" w:hAnsi="仿宋" w:eastAsia="仿宋" w:cs="Times New Roman"/>
          <w:bCs w:val="0"/>
          <w:color w:val="auto"/>
          <w:sz w:val="24"/>
          <w:szCs w:val="24"/>
          <w:highlight w:val="none"/>
        </w:rPr>
        <w:t>7</w:t>
      </w:r>
      <w:r>
        <w:rPr>
          <w:rFonts w:hint="eastAsia" w:ascii="仿宋" w:hAnsi="仿宋" w:eastAsia="仿宋" w:cs="Times New Roman"/>
          <w:bCs w:val="0"/>
          <w:color w:val="auto"/>
          <w:sz w:val="24"/>
          <w:szCs w:val="24"/>
          <w:highlight w:val="none"/>
          <w:lang w:eastAsia="zh"/>
        </w:rPr>
        <w:t>万元</w:t>
      </w:r>
      <w:r>
        <w:rPr>
          <w:rFonts w:hint="eastAsia" w:ascii="仿宋" w:hAnsi="仿宋" w:eastAsia="仿宋" w:cs="Times New Roman"/>
          <w:color w:val="auto"/>
          <w:kern w:val="2"/>
          <w:sz w:val="24"/>
          <w:szCs w:val="24"/>
          <w:highlight w:val="none"/>
          <w:lang w:val="en-US" w:eastAsia="zh-CN" w:bidi="ar-SA"/>
        </w:rPr>
        <w:t>，其中建安工程费用约165,082.4万元、工程建设其他费用约</w:t>
      </w:r>
      <w:r>
        <w:rPr>
          <w:rFonts w:hint="eastAsia" w:ascii="仿宋" w:hAnsi="仿宋" w:eastAsia="仿宋" w:cs="Times New Roman"/>
          <w:bCs w:val="0"/>
          <w:color w:val="auto"/>
          <w:sz w:val="24"/>
          <w:szCs w:val="24"/>
          <w:highlight w:val="none"/>
        </w:rPr>
        <w:t>158,848.40</w:t>
      </w:r>
      <w:r>
        <w:rPr>
          <w:rFonts w:hint="eastAsia" w:ascii="仿宋" w:hAnsi="仿宋" w:eastAsia="仿宋" w:cs="Times New Roman"/>
          <w:color w:val="auto"/>
          <w:kern w:val="2"/>
          <w:sz w:val="24"/>
          <w:szCs w:val="24"/>
          <w:highlight w:val="none"/>
          <w:lang w:val="en-US" w:eastAsia="zh-CN" w:bidi="ar-SA"/>
        </w:rPr>
        <w:t>万元（含土地费用）、预备费约</w:t>
      </w:r>
      <w:r>
        <w:rPr>
          <w:rFonts w:hint="eastAsia" w:ascii="仿宋" w:hAnsi="仿宋" w:eastAsia="仿宋" w:cs="Times New Roman"/>
          <w:bCs w:val="0"/>
          <w:color w:val="auto"/>
          <w:sz w:val="24"/>
          <w:szCs w:val="24"/>
          <w:highlight w:val="none"/>
        </w:rPr>
        <w:t>9,221.11</w:t>
      </w:r>
      <w:r>
        <w:rPr>
          <w:rFonts w:hint="eastAsia" w:ascii="仿宋" w:hAnsi="仿宋" w:eastAsia="仿宋" w:cs="Times New Roman"/>
          <w:color w:val="auto"/>
          <w:kern w:val="2"/>
          <w:sz w:val="24"/>
          <w:szCs w:val="24"/>
          <w:highlight w:val="none"/>
          <w:lang w:val="en-US" w:eastAsia="zh-CN" w:bidi="ar-SA"/>
        </w:rPr>
        <w:t>万元、建设期利息约</w:t>
      </w:r>
      <w:r>
        <w:rPr>
          <w:rFonts w:hint="eastAsia" w:ascii="仿宋" w:hAnsi="仿宋" w:eastAsia="仿宋" w:cs="Times New Roman"/>
          <w:bCs w:val="0"/>
          <w:color w:val="auto"/>
          <w:sz w:val="24"/>
          <w:szCs w:val="24"/>
          <w:highlight w:val="none"/>
        </w:rPr>
        <w:t>32,285.36</w:t>
      </w:r>
      <w:r>
        <w:rPr>
          <w:rFonts w:hint="eastAsia" w:ascii="仿宋" w:hAnsi="仿宋" w:eastAsia="仿宋" w:cs="Times New Roman"/>
          <w:color w:val="auto"/>
          <w:kern w:val="2"/>
          <w:sz w:val="24"/>
          <w:szCs w:val="24"/>
          <w:highlight w:val="none"/>
          <w:lang w:val="en-US" w:eastAsia="zh-CN" w:bidi="ar-SA"/>
        </w:rPr>
        <w:t>万元。</w:t>
      </w:r>
      <w:r>
        <w:rPr>
          <w:rFonts w:hint="eastAsia" w:ascii="仿宋" w:hAnsi="仿宋" w:eastAsia="仿宋" w:cs="Times New Roman"/>
          <w:color w:val="auto"/>
          <w:sz w:val="24"/>
          <w:szCs w:val="24"/>
          <w:highlight w:val="none"/>
          <w:lang w:val="en-US" w:eastAsia="zh-CN"/>
        </w:rPr>
        <w:t>项</w:t>
      </w:r>
      <w:r>
        <w:rPr>
          <w:rFonts w:hint="eastAsia" w:ascii="仿宋" w:hAnsi="仿宋" w:eastAsia="仿宋" w:cs="Times New Roman"/>
          <w:b w:val="0"/>
          <w:bCs w:val="0"/>
          <w:color w:val="auto"/>
          <w:sz w:val="24"/>
          <w:szCs w:val="24"/>
          <w:highlight w:val="none"/>
        </w:rPr>
        <w:t>目位于广州市增城区荔湖街新城大道东侧，</w:t>
      </w:r>
      <w:r>
        <w:rPr>
          <w:rFonts w:hint="eastAsia" w:ascii="仿宋" w:hAnsi="仿宋" w:eastAsia="仿宋" w:cs="Times New Roman"/>
          <w:bCs w:val="0"/>
          <w:color w:val="auto"/>
          <w:sz w:val="24"/>
          <w:szCs w:val="24"/>
          <w:highlight w:val="none"/>
        </w:rPr>
        <w:t>总用地面积为167,497.57平方米（</w:t>
      </w:r>
      <w:r>
        <w:rPr>
          <w:rFonts w:hint="eastAsia" w:ascii="仿宋" w:hAnsi="仿宋" w:eastAsia="仿宋" w:cs="Times New Roman"/>
          <w:bCs w:val="0"/>
          <w:color w:val="auto"/>
          <w:sz w:val="24"/>
          <w:szCs w:val="24"/>
          <w:highlight w:val="none"/>
          <w:lang w:val="en-US" w:eastAsia="zh-CN"/>
        </w:rPr>
        <w:t>约</w:t>
      </w:r>
      <w:r>
        <w:rPr>
          <w:rFonts w:hint="eastAsia" w:ascii="仿宋" w:hAnsi="仿宋" w:eastAsia="仿宋" w:cs="Times New Roman"/>
          <w:bCs w:val="0"/>
          <w:color w:val="auto"/>
          <w:sz w:val="24"/>
          <w:szCs w:val="24"/>
          <w:highlight w:val="none"/>
        </w:rPr>
        <w:t>251.25亩）,其中可建设用地面积141,116.50平方米（</w:t>
      </w:r>
      <w:r>
        <w:rPr>
          <w:rFonts w:hint="eastAsia" w:ascii="仿宋" w:hAnsi="仿宋" w:eastAsia="仿宋" w:cs="Times New Roman"/>
          <w:bCs w:val="0"/>
          <w:color w:val="auto"/>
          <w:sz w:val="24"/>
          <w:szCs w:val="24"/>
          <w:highlight w:val="none"/>
          <w:lang w:val="en-US" w:eastAsia="zh-CN"/>
        </w:rPr>
        <w:t>约</w:t>
      </w:r>
      <w:r>
        <w:rPr>
          <w:rFonts w:hint="eastAsia" w:ascii="仿宋" w:hAnsi="仿宋" w:eastAsia="仿宋" w:cs="Times New Roman"/>
          <w:bCs w:val="0"/>
          <w:color w:val="auto"/>
          <w:sz w:val="24"/>
          <w:szCs w:val="24"/>
          <w:highlight w:val="none"/>
        </w:rPr>
        <w:t>211.67亩）</w:t>
      </w:r>
      <w:r>
        <w:rPr>
          <w:rFonts w:hint="eastAsia" w:ascii="仿宋" w:hAnsi="仿宋" w:eastAsia="仿宋" w:cs="Times New Roman"/>
          <w:color w:val="auto"/>
          <w:kern w:val="2"/>
          <w:sz w:val="24"/>
          <w:szCs w:val="24"/>
          <w:highlight w:val="none"/>
          <w:lang w:val="en-US" w:eastAsia="zh-CN" w:bidi="ar-SA"/>
        </w:rPr>
        <w:t>，总建筑面积约</w:t>
      </w:r>
      <w:r>
        <w:rPr>
          <w:rFonts w:hint="eastAsia" w:ascii="仿宋" w:hAnsi="仿宋" w:eastAsia="仿宋" w:cs="Times New Roman"/>
          <w:bCs w:val="0"/>
          <w:color w:val="auto"/>
          <w:sz w:val="24"/>
          <w:szCs w:val="24"/>
          <w:highlight w:val="none"/>
          <w:lang w:eastAsia="zh"/>
        </w:rPr>
        <w:t>271</w:t>
      </w:r>
      <w:r>
        <w:rPr>
          <w:rFonts w:hint="eastAsia" w:ascii="仿宋" w:hAnsi="仿宋" w:eastAsia="仿宋" w:cs="Times New Roman"/>
          <w:bCs w:val="0"/>
          <w:color w:val="auto"/>
          <w:sz w:val="24"/>
          <w:szCs w:val="24"/>
          <w:highlight w:val="none"/>
        </w:rPr>
        <w:t>,</w:t>
      </w:r>
      <w:r>
        <w:rPr>
          <w:rFonts w:hint="eastAsia" w:ascii="仿宋" w:hAnsi="仿宋" w:eastAsia="仿宋" w:cs="Times New Roman"/>
          <w:bCs w:val="0"/>
          <w:color w:val="auto"/>
          <w:sz w:val="24"/>
          <w:szCs w:val="24"/>
          <w:highlight w:val="none"/>
          <w:lang w:eastAsia="zh"/>
        </w:rPr>
        <w:t>164.13</w:t>
      </w:r>
      <w:r>
        <w:rPr>
          <w:rFonts w:hint="eastAsia" w:ascii="仿宋" w:hAnsi="仿宋" w:eastAsia="仿宋" w:cs="Times New Roman"/>
          <w:bCs w:val="0"/>
          <w:color w:val="auto"/>
          <w:sz w:val="24"/>
          <w:szCs w:val="24"/>
          <w:highlight w:val="none"/>
        </w:rPr>
        <w:t>平方米</w:t>
      </w:r>
      <w:r>
        <w:rPr>
          <w:rFonts w:hint="eastAsia" w:ascii="仿宋" w:hAnsi="仿宋" w:eastAsia="仿宋" w:cs="Times New Roman"/>
          <w:color w:val="auto"/>
          <w:kern w:val="2"/>
          <w:sz w:val="24"/>
          <w:szCs w:val="24"/>
          <w:highlight w:val="none"/>
          <w:lang w:val="en-US" w:eastAsia="zh-CN" w:bidi="ar-SA"/>
        </w:rPr>
        <w:t>，计容建筑面积约</w:t>
      </w:r>
      <w:r>
        <w:rPr>
          <w:rFonts w:hint="eastAsia" w:ascii="仿宋" w:hAnsi="仿宋" w:eastAsia="仿宋" w:cs="Times New Roman"/>
          <w:bCs w:val="0"/>
          <w:color w:val="auto"/>
          <w:sz w:val="24"/>
          <w:szCs w:val="24"/>
          <w:highlight w:val="none"/>
        </w:rPr>
        <w:t>143,938</w:t>
      </w:r>
      <w:r>
        <w:rPr>
          <w:rFonts w:hint="eastAsia" w:ascii="仿宋" w:hAnsi="仿宋" w:eastAsia="仿宋" w:cs="Times New Roman"/>
          <w:color w:val="auto"/>
          <w:kern w:val="2"/>
          <w:sz w:val="24"/>
          <w:szCs w:val="24"/>
          <w:highlight w:val="none"/>
          <w:lang w:val="en-US" w:eastAsia="zh-CN" w:bidi="ar-SA"/>
        </w:rPr>
        <w:t>平方米，容积率</w:t>
      </w:r>
      <w:r>
        <w:rPr>
          <w:rFonts w:hint="eastAsia" w:ascii="仿宋" w:hAnsi="仿宋" w:eastAsia="仿宋" w:cs="Times New Roman"/>
          <w:color w:val="auto"/>
          <w:sz w:val="24"/>
          <w:szCs w:val="24"/>
          <w:highlight w:val="none"/>
          <w:lang w:val="en-US" w:eastAsia="zh-CN"/>
        </w:rPr>
        <w:t>1.02</w:t>
      </w:r>
      <w:r>
        <w:rPr>
          <w:rFonts w:hint="eastAsia" w:ascii="仿宋" w:hAnsi="仿宋" w:eastAsia="仿宋" w:cs="Times New Roman"/>
          <w:color w:val="auto"/>
          <w:kern w:val="2"/>
          <w:sz w:val="24"/>
          <w:szCs w:val="24"/>
          <w:highlight w:val="none"/>
          <w:lang w:val="en-US" w:eastAsia="zh-CN" w:bidi="ar-SA"/>
        </w:rPr>
        <w:t>。项目规划建设</w:t>
      </w:r>
      <w:r>
        <w:rPr>
          <w:rFonts w:hint="eastAsia" w:ascii="仿宋" w:hAnsi="仿宋" w:eastAsia="仿宋" w:cs="Times New Roman"/>
          <w:bCs w:val="0"/>
          <w:color w:val="auto"/>
          <w:sz w:val="24"/>
          <w:szCs w:val="24"/>
          <w:highlight w:val="none"/>
        </w:rPr>
        <w:t>总户数77</w:t>
      </w:r>
      <w:r>
        <w:rPr>
          <w:rFonts w:hint="eastAsia" w:ascii="仿宋" w:hAnsi="仿宋" w:eastAsia="仿宋" w:cs="Times New Roman"/>
          <w:bCs w:val="0"/>
          <w:color w:val="auto"/>
          <w:sz w:val="24"/>
          <w:szCs w:val="24"/>
          <w:highlight w:val="none"/>
          <w:lang w:eastAsia="zh"/>
        </w:rPr>
        <w:t>0</w:t>
      </w:r>
      <w:r>
        <w:rPr>
          <w:rFonts w:hint="eastAsia" w:ascii="仿宋" w:hAnsi="仿宋" w:eastAsia="仿宋" w:cs="Times New Roman"/>
          <w:bCs w:val="0"/>
          <w:color w:val="auto"/>
          <w:sz w:val="24"/>
          <w:szCs w:val="24"/>
          <w:highlight w:val="none"/>
        </w:rPr>
        <w:t>套，包括小高层住宅为81,644平方米（合计505户）、低密度住宅为56,884平方米（合计265户）、配套商业2,000平方米、社区服务中心3,000平方米、物业管理用房290平方米、消防控制室120平方米</w:t>
      </w:r>
      <w:r>
        <w:rPr>
          <w:rFonts w:hint="eastAsia" w:ascii="仿宋" w:hAnsi="仿宋" w:eastAsia="仿宋" w:cs="Times New Roman"/>
          <w:color w:val="auto"/>
          <w:kern w:val="2"/>
          <w:sz w:val="24"/>
          <w:szCs w:val="24"/>
          <w:highlight w:val="none"/>
          <w:lang w:val="en-US" w:eastAsia="zh-CN" w:bidi="ar-SA"/>
        </w:rPr>
        <w:t>，包括给排水、安装、消防、装修等配套工程</w:t>
      </w:r>
      <w:r>
        <w:rPr>
          <w:rFonts w:hint="eastAsia" w:ascii="仿宋" w:hAnsi="仿宋" w:eastAsia="仿宋" w:cs="Times New Roman"/>
          <w:color w:val="auto"/>
          <w:sz w:val="24"/>
          <w:szCs w:val="24"/>
          <w:highlight w:val="none"/>
          <w:lang w:val="en-US" w:eastAsia="zh-CN"/>
        </w:rPr>
        <w:t>。（注：以上数据以最终规划审批结果为准。）</w:t>
      </w:r>
    </w:p>
    <w:p w14:paraId="7C8867F7">
      <w:pPr>
        <w:spacing w:line="520" w:lineRule="exact"/>
        <w:ind w:firstLine="42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二、服务范围</w:t>
      </w:r>
    </w:p>
    <w:p w14:paraId="75C6D322">
      <w:pPr>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服务范围包括但不限于：(1)投资控制；（2）设计概算审核；(</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)施工图预算编制及审核；(</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)招标工程量清单和招标控制价编制</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按甲方需求负责项目采办事项采购控制价编制（包括不限于施工、货物、服务及营销类等采购）；</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)计量支付（含工程量、进度款和结算款）审核；(</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)主材单价、综合单价、合同变更费用审核；(</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)勘察费、设计费、监理费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检测监测费</w:t>
      </w:r>
      <w:r>
        <w:rPr>
          <w:rFonts w:hint="eastAsia" w:ascii="仿宋" w:hAnsi="仿宋" w:eastAsia="仿宋"/>
          <w:color w:val="auto"/>
          <w:sz w:val="24"/>
          <w:szCs w:val="24"/>
          <w:highlight w:val="none"/>
          <w:lang w:val="en-US" w:eastAsia="zh-CN"/>
        </w:rPr>
        <w:t>及建设工程其他费用</w:t>
      </w:r>
      <w:r>
        <w:rPr>
          <w:rFonts w:hint="eastAsia" w:ascii="仿宋" w:hAnsi="仿宋" w:eastAsia="仿宋"/>
          <w:color w:val="auto"/>
          <w:sz w:val="24"/>
          <w:szCs w:val="24"/>
          <w:highlight w:val="none"/>
        </w:rPr>
        <w:t>等费用审核；(</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)图纸设计变更会签、材料设备看样定板会签；(</w:t>
      </w: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)委托合同价格审核；（1</w:t>
      </w: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）项目现场巡检；（1</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）项目动态成本监控；(1</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)勘察设计施工总承包、展示区工程结算审核；(1</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)项目业主单独发包的合同结算审核；（1</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）人员驻场和其他由甲方根据项目需求交办的合理事项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15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设计变更、工程签证的费用估算及费用审核。（甲方有权根据实际情况对本项目的服务范围和工作内容进行调整）。</w:t>
      </w:r>
    </w:p>
    <w:p w14:paraId="68476740">
      <w:pPr>
        <w:widowControl/>
        <w:spacing w:line="520" w:lineRule="exact"/>
        <w:ind w:firstLine="470" w:firstLineChars="195"/>
        <w:jc w:val="left"/>
        <w:outlineLvl w:val="1"/>
        <w:rPr>
          <w:rFonts w:ascii="仿宋" w:hAnsi="仿宋" w:eastAsia="仿宋" w:cs="仿宋"/>
          <w:b/>
          <w:color w:val="auto"/>
          <w:sz w:val="24"/>
          <w:szCs w:val="24"/>
          <w:highlight w:val="none"/>
        </w:rPr>
      </w:pPr>
      <w:bookmarkStart w:id="2" w:name="_Toc20947"/>
      <w:r>
        <w:rPr>
          <w:rFonts w:hint="eastAsia" w:ascii="仿宋" w:hAnsi="仿宋" w:eastAsia="仿宋" w:cs="仿宋"/>
          <w:b/>
          <w:color w:val="auto"/>
          <w:sz w:val="24"/>
          <w:szCs w:val="24"/>
          <w:highlight w:val="none"/>
        </w:rPr>
        <w:t>三、服务期限</w:t>
      </w:r>
      <w:bookmarkEnd w:id="2"/>
    </w:p>
    <w:p w14:paraId="5FA11166">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服务期限自收到甲方通知开始之日起至本合同约定造价咨询服务工作全部完成时止。甲方根据实际情况，有权对本合同服务期限进行适当调整，乙方对此无异议且相关费用（如有）均已包含服务报酬中，不再另行计付费用。</w:t>
      </w:r>
    </w:p>
    <w:p w14:paraId="12257423">
      <w:pPr>
        <w:widowControl/>
        <w:spacing w:line="520" w:lineRule="exact"/>
        <w:ind w:firstLine="470" w:firstLineChars="195"/>
        <w:jc w:val="left"/>
        <w:outlineLvl w:val="1"/>
        <w:rPr>
          <w:rFonts w:ascii="仿宋" w:hAnsi="仿宋" w:eastAsia="仿宋" w:cs="仿宋"/>
          <w:b/>
          <w:color w:val="auto"/>
          <w:sz w:val="24"/>
          <w:szCs w:val="24"/>
          <w:highlight w:val="none"/>
        </w:rPr>
      </w:pPr>
      <w:bookmarkStart w:id="3" w:name="_Toc6381"/>
      <w:r>
        <w:rPr>
          <w:rFonts w:hint="eastAsia" w:ascii="仿宋" w:hAnsi="仿宋" w:eastAsia="仿宋" w:cs="仿宋"/>
          <w:b/>
          <w:color w:val="auto"/>
          <w:sz w:val="24"/>
          <w:szCs w:val="24"/>
          <w:highlight w:val="none"/>
        </w:rPr>
        <w:t>四、服务报酬</w:t>
      </w:r>
      <w:bookmarkEnd w:id="3"/>
    </w:p>
    <w:p w14:paraId="38D375B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经甲乙双方协商一致，本合同服务报酬以人民币为计算及支付货币，具体计算方法按第二部分合同条款第七条的约定执行。</w:t>
      </w:r>
    </w:p>
    <w:p w14:paraId="4F0A0F3E">
      <w:pPr>
        <w:widowControl/>
        <w:spacing w:line="520" w:lineRule="exact"/>
        <w:ind w:firstLine="470" w:firstLineChars="195"/>
        <w:jc w:val="left"/>
        <w:outlineLvl w:val="1"/>
        <w:rPr>
          <w:rFonts w:ascii="仿宋" w:hAnsi="仿宋" w:eastAsia="仿宋" w:cs="仿宋"/>
          <w:b/>
          <w:color w:val="auto"/>
          <w:sz w:val="24"/>
          <w:szCs w:val="24"/>
          <w:highlight w:val="none"/>
        </w:rPr>
      </w:pPr>
      <w:bookmarkStart w:id="4" w:name="_Toc11215"/>
      <w:r>
        <w:rPr>
          <w:rFonts w:hint="eastAsia" w:ascii="仿宋" w:hAnsi="仿宋" w:eastAsia="仿宋" w:cs="仿宋"/>
          <w:b/>
          <w:color w:val="auto"/>
          <w:sz w:val="24"/>
          <w:szCs w:val="24"/>
          <w:highlight w:val="none"/>
        </w:rPr>
        <w:t>五、合同文件构成及优先顺序</w:t>
      </w:r>
      <w:bookmarkEnd w:id="4"/>
    </w:p>
    <w:p w14:paraId="43C1D45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下列文件应被认为是组成本合同的一部分，并互为补充和解释，如各文件存在冲突之处，以如下排列次序在前者优先适用：</w:t>
      </w:r>
    </w:p>
    <w:p w14:paraId="79A36A8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1.本合同履行期间甲乙双方签订的补充合同（协议）或修正文件；</w:t>
      </w:r>
    </w:p>
    <w:p w14:paraId="1718CE0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2.合同协议书；</w:t>
      </w:r>
    </w:p>
    <w:p w14:paraId="519C279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3.合同条款；</w:t>
      </w:r>
    </w:p>
    <w:p w14:paraId="76BBE06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4.中标通知书；</w:t>
      </w:r>
    </w:p>
    <w:p w14:paraId="013DB5E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5.合同附件[属本条第1项和第6项内容的除外]；</w:t>
      </w:r>
    </w:p>
    <w:p w14:paraId="2FCB808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6.甲方制定的各项造价（咨询）管理制度及规定（包括继续沿用甲方更名前的各项管理制度及规定，如有更新则按更新后的执行，下同）；</w:t>
      </w:r>
    </w:p>
    <w:p w14:paraId="14AD553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7.造价咨询服务招标文件[含招标文件补充文件、澄清文件、答疑文件等]；</w:t>
      </w:r>
    </w:p>
    <w:p w14:paraId="14BD28E0">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8.乙方投标文件[含投标文件澄清等]；</w:t>
      </w:r>
    </w:p>
    <w:p w14:paraId="45100B4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9.国家及广东省、广州市、增城区的标准、规范及有关技术文件；</w:t>
      </w:r>
    </w:p>
    <w:p w14:paraId="60765D9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10.组成合同的其它文件。</w:t>
      </w:r>
    </w:p>
    <w:p w14:paraId="05FB49A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3天内提出书面异议；如期满不提出书面异议的，视为同意甲方的决定。甲方收到乙方的书面异议后应作出进一步的决定，如乙方仍有异议的，可按第二部分合同条款第十一条的约定处理，但在有关部门没有作出正式裁决之前，乙方必须无条件先行执行甲方的决定。</w:t>
      </w:r>
    </w:p>
    <w:p w14:paraId="3FD3A267">
      <w:pPr>
        <w:widowControl/>
        <w:spacing w:line="520" w:lineRule="exact"/>
        <w:ind w:firstLine="470" w:firstLineChars="195"/>
        <w:jc w:val="left"/>
        <w:outlineLvl w:val="1"/>
        <w:rPr>
          <w:rFonts w:ascii="仿宋" w:hAnsi="仿宋" w:eastAsia="仿宋" w:cs="仿宋"/>
          <w:b/>
          <w:color w:val="auto"/>
          <w:sz w:val="24"/>
          <w:szCs w:val="24"/>
          <w:highlight w:val="none"/>
        </w:rPr>
      </w:pPr>
      <w:bookmarkStart w:id="5" w:name="_Toc6606"/>
      <w:r>
        <w:rPr>
          <w:rFonts w:hint="eastAsia" w:ascii="仿宋" w:hAnsi="仿宋" w:eastAsia="仿宋" w:cs="仿宋"/>
          <w:b/>
          <w:color w:val="auto"/>
          <w:sz w:val="24"/>
          <w:szCs w:val="24"/>
          <w:highlight w:val="none"/>
        </w:rPr>
        <w:t>六、乙方承诺按照本合同的约定履行合同义务。</w:t>
      </w:r>
      <w:bookmarkEnd w:id="5"/>
    </w:p>
    <w:p w14:paraId="5C7AB5C9">
      <w:pPr>
        <w:widowControl/>
        <w:spacing w:line="520" w:lineRule="exact"/>
        <w:ind w:firstLine="470" w:firstLineChars="195"/>
        <w:jc w:val="left"/>
        <w:outlineLvl w:val="1"/>
        <w:rPr>
          <w:rFonts w:ascii="仿宋" w:hAnsi="仿宋" w:eastAsia="仿宋" w:cs="仿宋"/>
          <w:b/>
          <w:color w:val="auto"/>
          <w:sz w:val="24"/>
          <w:szCs w:val="24"/>
          <w:highlight w:val="none"/>
        </w:rPr>
      </w:pPr>
      <w:bookmarkStart w:id="6" w:name="_Toc32336"/>
      <w:r>
        <w:rPr>
          <w:rFonts w:hint="eastAsia" w:ascii="仿宋" w:hAnsi="仿宋" w:eastAsia="仿宋" w:cs="仿宋"/>
          <w:b/>
          <w:color w:val="auto"/>
          <w:sz w:val="24"/>
          <w:szCs w:val="24"/>
          <w:highlight w:val="none"/>
        </w:rPr>
        <w:t>七、甲方承诺按照本合同约定的履行合同义务。</w:t>
      </w:r>
      <w:bookmarkEnd w:id="6"/>
    </w:p>
    <w:p w14:paraId="4FF3D6DC">
      <w:pPr>
        <w:widowControl/>
        <w:spacing w:line="520" w:lineRule="exact"/>
        <w:ind w:firstLine="470" w:firstLineChars="195"/>
        <w:jc w:val="left"/>
        <w:outlineLvl w:val="1"/>
        <w:rPr>
          <w:rFonts w:ascii="仿宋" w:hAnsi="仿宋" w:eastAsia="仿宋" w:cs="仿宋"/>
          <w:b/>
          <w:color w:val="auto"/>
          <w:sz w:val="24"/>
          <w:szCs w:val="24"/>
          <w:highlight w:val="none"/>
        </w:rPr>
      </w:pPr>
      <w:bookmarkStart w:id="7" w:name="_Toc7679"/>
      <w:r>
        <w:rPr>
          <w:rFonts w:hint="eastAsia" w:ascii="仿宋" w:hAnsi="仿宋" w:eastAsia="仿宋" w:cs="仿宋"/>
          <w:b/>
          <w:color w:val="auto"/>
          <w:sz w:val="24"/>
          <w:szCs w:val="24"/>
          <w:highlight w:val="none"/>
        </w:rPr>
        <w:t>八、词语定义</w:t>
      </w:r>
      <w:bookmarkEnd w:id="7"/>
    </w:p>
    <w:p w14:paraId="3DA72D6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本合同协议书中有关词语含义与合同条款中分别赋予它们的定义相同。</w:t>
      </w:r>
    </w:p>
    <w:p w14:paraId="78E0C909">
      <w:pPr>
        <w:widowControl/>
        <w:spacing w:line="520" w:lineRule="exact"/>
        <w:ind w:firstLine="470" w:firstLineChars="195"/>
        <w:jc w:val="left"/>
        <w:outlineLvl w:val="1"/>
        <w:rPr>
          <w:rFonts w:ascii="仿宋" w:hAnsi="仿宋" w:eastAsia="仿宋" w:cs="仿宋"/>
          <w:b/>
          <w:color w:val="auto"/>
          <w:sz w:val="24"/>
          <w:szCs w:val="24"/>
          <w:highlight w:val="none"/>
        </w:rPr>
      </w:pPr>
      <w:bookmarkStart w:id="8" w:name="_Toc3396"/>
      <w:r>
        <w:rPr>
          <w:rFonts w:hint="eastAsia" w:ascii="仿宋" w:hAnsi="仿宋" w:eastAsia="仿宋" w:cs="仿宋"/>
          <w:b/>
          <w:color w:val="auto"/>
          <w:sz w:val="24"/>
          <w:szCs w:val="24"/>
          <w:highlight w:val="none"/>
        </w:rPr>
        <w:t>九、合同生效及终止</w:t>
      </w:r>
      <w:bookmarkEnd w:id="8"/>
    </w:p>
    <w:p w14:paraId="4DF80110">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1.本合同自双方签字盖章（公章或合同专用章）之日起生效。</w:t>
      </w:r>
    </w:p>
    <w:p w14:paraId="1855E9F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2.乙方完成甲方委托的全部工作内容且业主单位按合同约定支付了服务报酬后本合同即终止。</w:t>
      </w:r>
    </w:p>
    <w:p w14:paraId="28EB767F">
      <w:pPr>
        <w:widowControl/>
        <w:spacing w:line="520" w:lineRule="exact"/>
        <w:ind w:firstLine="470" w:firstLineChars="195"/>
        <w:jc w:val="left"/>
        <w:outlineLvl w:val="1"/>
        <w:rPr>
          <w:rFonts w:ascii="仿宋" w:hAnsi="仿宋" w:eastAsia="仿宋" w:cs="仿宋"/>
          <w:b/>
          <w:color w:val="auto"/>
          <w:sz w:val="24"/>
          <w:szCs w:val="24"/>
          <w:highlight w:val="none"/>
        </w:rPr>
      </w:pPr>
      <w:bookmarkStart w:id="9" w:name="_Toc29359"/>
      <w:r>
        <w:rPr>
          <w:rFonts w:hint="eastAsia" w:ascii="仿宋" w:hAnsi="仿宋" w:eastAsia="仿宋" w:cs="仿宋"/>
          <w:b/>
          <w:color w:val="auto"/>
          <w:sz w:val="24"/>
          <w:szCs w:val="24"/>
          <w:highlight w:val="none"/>
        </w:rPr>
        <w:t>十、合同份数</w:t>
      </w:r>
      <w:bookmarkEnd w:id="9"/>
    </w:p>
    <w:p w14:paraId="6D33824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本合同正本一式陆份，其中甲方执叁份，乙方执叁份。每份均具有同等法律效力。</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6"/>
        <w:gridCol w:w="4246"/>
      </w:tblGrid>
      <w:tr w14:paraId="10C8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4644" w:type="dxa"/>
            <w:tcBorders>
              <w:tl2br w:val="nil"/>
              <w:tr2bl w:val="nil"/>
            </w:tcBorders>
          </w:tcPr>
          <w:p w14:paraId="1322413F">
            <w:pPr>
              <w:widowControl/>
              <w:adjustRightInd w:val="0"/>
              <w:snapToGrid w:val="0"/>
              <w:spacing w:before="249" w:beforeLines="80" w:after="249" w:afterLines="80"/>
              <w:textAlignment w:val="baseline"/>
              <w:rPr>
                <w:rFonts w:ascii="仿宋" w:hAnsi="仿宋" w:eastAsia="仿宋" w:cs="仿宋"/>
                <w:color w:val="auto"/>
                <w:szCs w:val="24"/>
                <w:highlight w:val="none"/>
              </w:rPr>
            </w:pPr>
            <w:r>
              <w:rPr>
                <w:rFonts w:hint="eastAsia" w:ascii="仿宋" w:hAnsi="仿宋" w:eastAsia="仿宋" w:cs="仿宋"/>
                <w:color w:val="auto"/>
                <w:spacing w:val="-11"/>
                <w:sz w:val="24"/>
                <w:szCs w:val="24"/>
                <w:highlight w:val="none"/>
              </w:rPr>
              <w:t>委托人（盖章）：</w:t>
            </w:r>
          </w:p>
        </w:tc>
        <w:tc>
          <w:tcPr>
            <w:tcW w:w="4644" w:type="dxa"/>
            <w:tcBorders>
              <w:tl2br w:val="nil"/>
              <w:tr2bl w:val="nil"/>
            </w:tcBorders>
          </w:tcPr>
          <w:p w14:paraId="2AF0AB57">
            <w:pPr>
              <w:widowControl/>
              <w:adjustRightInd w:val="0"/>
              <w:snapToGrid w:val="0"/>
              <w:spacing w:before="249" w:beforeLines="80" w:after="249" w:afterLines="80"/>
              <w:textAlignment w:val="baseline"/>
              <w:rPr>
                <w:rFonts w:ascii="仿宋" w:hAnsi="仿宋" w:eastAsia="仿宋" w:cs="仿宋"/>
                <w:color w:val="auto"/>
                <w:szCs w:val="24"/>
                <w:highlight w:val="none"/>
              </w:rPr>
            </w:pPr>
            <w:r>
              <w:rPr>
                <w:rFonts w:hint="eastAsia" w:ascii="仿宋" w:hAnsi="仿宋" w:eastAsia="仿宋" w:cs="仿宋"/>
                <w:color w:val="auto"/>
                <w:spacing w:val="-11"/>
                <w:sz w:val="24"/>
                <w:szCs w:val="24"/>
                <w:highlight w:val="none"/>
              </w:rPr>
              <w:t>受托人（盖章）：</w:t>
            </w:r>
          </w:p>
        </w:tc>
      </w:tr>
      <w:tr w14:paraId="35BC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tcPr>
          <w:p w14:paraId="5C9E169F">
            <w:pPr>
              <w:widowControl/>
              <w:adjustRightInd w:val="0"/>
              <w:snapToGrid w:val="0"/>
              <w:spacing w:before="249" w:beforeLines="80" w:after="249" w:afterLines="8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w:t>
            </w:r>
          </w:p>
          <w:p w14:paraId="60E47D3E">
            <w:pPr>
              <w:pStyle w:val="24"/>
              <w:widowControl/>
              <w:adjustRightInd w:val="0"/>
              <w:snapToGrid w:val="0"/>
              <w:spacing w:before="249" w:beforeLines="80" w:after="249" w:afterLines="80"/>
              <w:ind w:left="0" w:leftChars="0" w:firstLine="0" w:firstLineChars="0"/>
              <w:textAlignment w:val="baseline"/>
              <w:rPr>
                <w:rFonts w:ascii="仿宋" w:hAnsi="仿宋" w:eastAsia="仿宋" w:cs="仿宋"/>
                <w:color w:val="auto"/>
                <w:szCs w:val="24"/>
                <w:highlight w:val="none"/>
              </w:rPr>
            </w:pPr>
            <w:r>
              <w:rPr>
                <w:rFonts w:hint="eastAsia" w:ascii="仿宋" w:hAnsi="仿宋" w:eastAsia="仿宋" w:cs="仿宋"/>
                <w:color w:val="auto"/>
                <w:szCs w:val="24"/>
                <w:highlight w:val="none"/>
              </w:rPr>
              <w:t>（签字或盖章）：</w:t>
            </w:r>
          </w:p>
        </w:tc>
        <w:tc>
          <w:tcPr>
            <w:tcW w:w="4644" w:type="dxa"/>
            <w:tcBorders>
              <w:tl2br w:val="nil"/>
              <w:tr2bl w:val="nil"/>
            </w:tcBorders>
          </w:tcPr>
          <w:p w14:paraId="34E705CD">
            <w:pPr>
              <w:widowControl/>
              <w:adjustRightInd w:val="0"/>
              <w:snapToGrid w:val="0"/>
              <w:spacing w:before="249" w:beforeLines="80" w:after="249" w:afterLines="8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w:t>
            </w:r>
          </w:p>
          <w:p w14:paraId="0CF01C28">
            <w:pPr>
              <w:pStyle w:val="24"/>
              <w:widowControl/>
              <w:adjustRightInd w:val="0"/>
              <w:snapToGrid w:val="0"/>
              <w:spacing w:before="249" w:beforeLines="80" w:after="249" w:afterLines="80"/>
              <w:ind w:left="0" w:leftChars="0" w:firstLine="0" w:firstLineChars="0"/>
              <w:textAlignment w:val="baseline"/>
              <w:rPr>
                <w:rFonts w:ascii="仿宋" w:hAnsi="仿宋" w:eastAsia="仿宋" w:cs="仿宋"/>
                <w:color w:val="auto"/>
                <w:szCs w:val="24"/>
                <w:highlight w:val="none"/>
              </w:rPr>
            </w:pPr>
            <w:r>
              <w:rPr>
                <w:rFonts w:hint="eastAsia" w:ascii="仿宋" w:hAnsi="仿宋" w:eastAsia="仿宋" w:cs="仿宋"/>
                <w:color w:val="auto"/>
                <w:szCs w:val="24"/>
                <w:highlight w:val="none"/>
              </w:rPr>
              <w:t>（签字或盖章）：</w:t>
            </w:r>
          </w:p>
        </w:tc>
      </w:tr>
      <w:tr w14:paraId="02DF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tcPr>
          <w:p w14:paraId="7C68B6B2">
            <w:pPr>
              <w:widowControl/>
              <w:adjustRightInd w:val="0"/>
              <w:snapToGrid w:val="0"/>
              <w:spacing w:before="249" w:beforeLines="80" w:after="249" w:afterLines="80"/>
              <w:textAlignment w:val="baseline"/>
              <w:rPr>
                <w:rFonts w:ascii="仿宋" w:hAnsi="仿宋" w:eastAsia="仿宋" w:cs="仿宋"/>
                <w:color w:val="auto"/>
                <w:spacing w:val="-11"/>
                <w:sz w:val="24"/>
                <w:szCs w:val="24"/>
                <w:highlight w:val="none"/>
              </w:rPr>
            </w:pPr>
            <w:r>
              <w:rPr>
                <w:rFonts w:hint="eastAsia" w:ascii="仿宋" w:hAnsi="仿宋" w:eastAsia="仿宋" w:cs="仿宋"/>
                <w:color w:val="auto"/>
                <w:sz w:val="24"/>
                <w:szCs w:val="24"/>
                <w:highlight w:val="none"/>
              </w:rPr>
              <w:t>单位地址：</w:t>
            </w:r>
          </w:p>
        </w:tc>
        <w:tc>
          <w:tcPr>
            <w:tcW w:w="4644" w:type="dxa"/>
            <w:tcBorders>
              <w:tl2br w:val="nil"/>
              <w:tr2bl w:val="nil"/>
            </w:tcBorders>
          </w:tcPr>
          <w:p w14:paraId="01AF1676">
            <w:pPr>
              <w:widowControl/>
              <w:adjustRightInd w:val="0"/>
              <w:snapToGrid w:val="0"/>
              <w:spacing w:before="249" w:beforeLines="80" w:after="249" w:afterLines="80"/>
              <w:textAlignment w:val="baseline"/>
              <w:rPr>
                <w:rFonts w:ascii="仿宋" w:hAnsi="仿宋" w:eastAsia="仿宋" w:cs="仿宋"/>
                <w:color w:val="auto"/>
                <w:spacing w:val="-11"/>
                <w:sz w:val="24"/>
                <w:szCs w:val="24"/>
                <w:highlight w:val="none"/>
              </w:rPr>
            </w:pPr>
            <w:r>
              <w:rPr>
                <w:rFonts w:hint="eastAsia" w:ascii="仿宋" w:hAnsi="仿宋" w:eastAsia="仿宋" w:cs="仿宋"/>
                <w:color w:val="auto"/>
                <w:sz w:val="24"/>
                <w:szCs w:val="24"/>
                <w:highlight w:val="none"/>
              </w:rPr>
              <w:t>单位地址：</w:t>
            </w:r>
          </w:p>
        </w:tc>
      </w:tr>
      <w:tr w14:paraId="18F4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tcPr>
          <w:p w14:paraId="7F677E1F">
            <w:pPr>
              <w:widowControl/>
              <w:adjustRightInd w:val="0"/>
              <w:snapToGrid w:val="0"/>
              <w:spacing w:before="249" w:beforeLines="80" w:after="249" w:afterLines="80"/>
              <w:textAlignment w:val="baseline"/>
              <w:rPr>
                <w:rFonts w:ascii="仿宋" w:hAnsi="仿宋" w:eastAsia="仿宋" w:cs="仿宋"/>
                <w:color w:val="auto"/>
                <w:spacing w:val="-11"/>
                <w:sz w:val="24"/>
                <w:szCs w:val="24"/>
                <w:highlight w:val="none"/>
              </w:rPr>
            </w:pPr>
            <w:r>
              <w:rPr>
                <w:rFonts w:hint="eastAsia" w:ascii="仿宋" w:hAnsi="仿宋" w:eastAsia="仿宋" w:cs="仿宋"/>
                <w:color w:val="auto"/>
                <w:sz w:val="24"/>
                <w:szCs w:val="24"/>
                <w:highlight w:val="none"/>
              </w:rPr>
              <w:t>邮政编码：</w:t>
            </w:r>
          </w:p>
        </w:tc>
        <w:tc>
          <w:tcPr>
            <w:tcW w:w="4644" w:type="dxa"/>
            <w:tcBorders>
              <w:tl2br w:val="nil"/>
              <w:tr2bl w:val="nil"/>
            </w:tcBorders>
          </w:tcPr>
          <w:p w14:paraId="6DE9B882">
            <w:pPr>
              <w:widowControl/>
              <w:adjustRightInd w:val="0"/>
              <w:snapToGrid w:val="0"/>
              <w:spacing w:before="249" w:beforeLines="80" w:after="249" w:afterLines="80"/>
              <w:textAlignment w:val="baseline"/>
              <w:rPr>
                <w:rFonts w:ascii="仿宋" w:hAnsi="仿宋" w:eastAsia="仿宋" w:cs="仿宋"/>
                <w:color w:val="auto"/>
                <w:spacing w:val="-11"/>
                <w:sz w:val="24"/>
                <w:szCs w:val="24"/>
                <w:highlight w:val="none"/>
              </w:rPr>
            </w:pPr>
            <w:r>
              <w:rPr>
                <w:rFonts w:hint="eastAsia" w:ascii="仿宋" w:hAnsi="仿宋" w:eastAsia="仿宋" w:cs="仿宋"/>
                <w:color w:val="auto"/>
                <w:sz w:val="24"/>
                <w:szCs w:val="24"/>
                <w:highlight w:val="none"/>
              </w:rPr>
              <w:t>邮政编码：</w:t>
            </w:r>
          </w:p>
        </w:tc>
      </w:tr>
      <w:tr w14:paraId="6FC1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tcPr>
          <w:p w14:paraId="69417C48">
            <w:pPr>
              <w:widowControl/>
              <w:adjustRightInd w:val="0"/>
              <w:snapToGrid w:val="0"/>
              <w:spacing w:before="249" w:beforeLines="80" w:after="249" w:afterLines="80"/>
              <w:textAlignment w:val="baseline"/>
              <w:rPr>
                <w:rFonts w:ascii="仿宋" w:hAnsi="仿宋" w:eastAsia="仿宋" w:cs="仿宋"/>
                <w:color w:val="auto"/>
                <w:spacing w:val="-11"/>
                <w:sz w:val="24"/>
                <w:szCs w:val="24"/>
                <w:highlight w:val="none"/>
              </w:rPr>
            </w:pPr>
            <w:r>
              <w:rPr>
                <w:rFonts w:hint="eastAsia" w:ascii="仿宋" w:hAnsi="仿宋" w:eastAsia="仿宋" w:cs="仿宋"/>
                <w:color w:val="auto"/>
                <w:sz w:val="24"/>
                <w:szCs w:val="24"/>
                <w:highlight w:val="none"/>
              </w:rPr>
              <w:t>开户银行：</w:t>
            </w:r>
          </w:p>
        </w:tc>
        <w:tc>
          <w:tcPr>
            <w:tcW w:w="4644" w:type="dxa"/>
            <w:tcBorders>
              <w:tl2br w:val="nil"/>
              <w:tr2bl w:val="nil"/>
            </w:tcBorders>
          </w:tcPr>
          <w:p w14:paraId="377CD3A8">
            <w:pPr>
              <w:widowControl/>
              <w:adjustRightInd w:val="0"/>
              <w:snapToGrid w:val="0"/>
              <w:spacing w:before="249" w:beforeLines="80" w:after="249" w:afterLines="80"/>
              <w:textAlignment w:val="baseline"/>
              <w:rPr>
                <w:rFonts w:ascii="仿宋" w:hAnsi="仿宋" w:eastAsia="仿宋" w:cs="仿宋"/>
                <w:color w:val="auto"/>
                <w:spacing w:val="-11"/>
                <w:sz w:val="24"/>
                <w:szCs w:val="24"/>
                <w:highlight w:val="none"/>
              </w:rPr>
            </w:pPr>
            <w:r>
              <w:rPr>
                <w:rFonts w:hint="eastAsia" w:ascii="仿宋" w:hAnsi="仿宋" w:eastAsia="仿宋" w:cs="仿宋"/>
                <w:color w:val="auto"/>
                <w:sz w:val="24"/>
                <w:szCs w:val="24"/>
                <w:highlight w:val="none"/>
              </w:rPr>
              <w:t>开户银行：</w:t>
            </w:r>
          </w:p>
        </w:tc>
      </w:tr>
      <w:tr w14:paraId="348E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tcPr>
          <w:p w14:paraId="2A0E87BF">
            <w:pPr>
              <w:widowControl/>
              <w:adjustRightInd w:val="0"/>
              <w:snapToGrid w:val="0"/>
              <w:spacing w:before="249" w:beforeLines="80" w:after="249" w:afterLines="8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c>
          <w:tcPr>
            <w:tcW w:w="4644" w:type="dxa"/>
            <w:tcBorders>
              <w:tl2br w:val="nil"/>
              <w:tr2bl w:val="nil"/>
            </w:tcBorders>
          </w:tcPr>
          <w:p w14:paraId="74EA7C68">
            <w:pPr>
              <w:widowControl/>
              <w:adjustRightInd w:val="0"/>
              <w:snapToGrid w:val="0"/>
              <w:spacing w:before="249" w:beforeLines="80" w:after="249" w:afterLines="80"/>
              <w:textAlignment w:val="baseline"/>
              <w:rPr>
                <w:rFonts w:ascii="仿宋" w:hAnsi="仿宋" w:eastAsia="仿宋" w:cs="仿宋"/>
                <w:color w:val="auto"/>
                <w:spacing w:val="-11"/>
                <w:sz w:val="24"/>
                <w:szCs w:val="24"/>
                <w:highlight w:val="none"/>
              </w:rPr>
            </w:pPr>
            <w:r>
              <w:rPr>
                <w:rFonts w:hint="eastAsia" w:ascii="仿宋" w:hAnsi="仿宋" w:eastAsia="仿宋" w:cs="仿宋"/>
                <w:color w:val="auto"/>
                <w:sz w:val="24"/>
                <w:szCs w:val="24"/>
                <w:highlight w:val="none"/>
              </w:rPr>
              <w:t>账    号：</w:t>
            </w:r>
          </w:p>
        </w:tc>
      </w:tr>
      <w:tr w14:paraId="693F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gridSpan w:val="2"/>
            <w:tcBorders>
              <w:tl2br w:val="nil"/>
              <w:tr2bl w:val="nil"/>
            </w:tcBorders>
          </w:tcPr>
          <w:p w14:paraId="6897503B">
            <w:pPr>
              <w:widowControl/>
              <w:adjustRightInd w:val="0"/>
              <w:snapToGrid w:val="0"/>
              <w:spacing w:before="249" w:beforeLines="80" w:after="249" w:afterLines="80"/>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w:t>
            </w:r>
          </w:p>
          <w:p w14:paraId="0C2FEEC7">
            <w:pPr>
              <w:widowControl/>
              <w:adjustRightInd w:val="0"/>
              <w:snapToGrid w:val="0"/>
              <w:spacing w:before="249" w:beforeLines="80" w:after="249" w:afterLines="80"/>
              <w:ind w:firstLine="2640" w:firstLineChars="110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w:t>
            </w:r>
          </w:p>
        </w:tc>
      </w:tr>
    </w:tbl>
    <w:p w14:paraId="64AA8366">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AFF56C0">
      <w:pPr>
        <w:widowControl/>
        <w:spacing w:before="100" w:beforeAutospacing="1" w:after="100" w:afterAutospacing="1" w:line="360" w:lineRule="auto"/>
        <w:jc w:val="center"/>
        <w:outlineLvl w:val="0"/>
        <w:rPr>
          <w:rFonts w:ascii="宋体" w:hAnsi="宋体" w:cs="宋体"/>
          <w:b/>
          <w:bCs/>
          <w:color w:val="auto"/>
          <w:sz w:val="36"/>
          <w:szCs w:val="36"/>
          <w:highlight w:val="none"/>
        </w:rPr>
      </w:pPr>
      <w:r>
        <w:rPr>
          <w:rFonts w:ascii="宋体" w:hAnsi="宋体" w:cs="宋体"/>
          <w:b/>
          <w:bCs/>
          <w:color w:val="auto"/>
          <w:sz w:val="36"/>
          <w:szCs w:val="36"/>
          <w:highlight w:val="none"/>
        </w:rPr>
        <w:br w:type="page"/>
      </w:r>
      <w:bookmarkStart w:id="10" w:name="_Toc3628"/>
      <w:r>
        <w:rPr>
          <w:rFonts w:hint="eastAsia" w:ascii="宋体" w:hAnsi="宋体" w:cs="宋体"/>
          <w:b/>
          <w:bCs/>
          <w:color w:val="auto"/>
          <w:sz w:val="36"/>
          <w:szCs w:val="36"/>
          <w:highlight w:val="none"/>
        </w:rPr>
        <w:t>第二部分　合同条款</w:t>
      </w:r>
      <w:bookmarkEnd w:id="10"/>
    </w:p>
    <w:p w14:paraId="2D66DDBF">
      <w:pPr>
        <w:widowControl/>
        <w:spacing w:line="520" w:lineRule="exact"/>
        <w:ind w:firstLine="470" w:firstLineChars="195"/>
        <w:jc w:val="left"/>
        <w:outlineLvl w:val="1"/>
        <w:rPr>
          <w:rFonts w:ascii="仿宋" w:hAnsi="仿宋" w:eastAsia="仿宋" w:cs="仿宋"/>
          <w:b/>
          <w:color w:val="auto"/>
          <w:sz w:val="24"/>
          <w:szCs w:val="24"/>
          <w:highlight w:val="none"/>
        </w:rPr>
      </w:pPr>
      <w:bookmarkStart w:id="11" w:name="_Toc26661"/>
      <w:r>
        <w:rPr>
          <w:rFonts w:hint="eastAsia" w:ascii="仿宋" w:hAnsi="仿宋" w:eastAsia="仿宋" w:cs="仿宋"/>
          <w:b/>
          <w:color w:val="auto"/>
          <w:sz w:val="24"/>
          <w:szCs w:val="24"/>
          <w:highlight w:val="none"/>
        </w:rPr>
        <w:t>一、词语定义</w:t>
      </w:r>
      <w:bookmarkEnd w:id="11"/>
    </w:p>
    <w:p w14:paraId="14DD915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1.1甲方：是指委托建设工程造价咨询业务和聘用工程造价咨询单位的一方，在本合同中特指</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w:t>
      </w:r>
    </w:p>
    <w:p w14:paraId="3612BA5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1.2乙方：是指承担建设工程造价咨询业务和工程造价咨询责任的一方，在本合同中特指</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14:paraId="0B8C99C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1.3第三人：是指除甲方、乙方以外与本合同约定咨询业务有关的当事人。</w:t>
      </w:r>
    </w:p>
    <w:p w14:paraId="6DFA8C3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1.4天：本合同中规定按天计算时间的，开始当天不计入，从次日开始计算。时限的最后一天是休息日或者其他法定节假日的，以节假日次日为时限的最后一天。时限的最后一天的截止时间为当日24时。</w:t>
      </w:r>
    </w:p>
    <w:p w14:paraId="434D9F21">
      <w:pPr>
        <w:spacing w:line="360" w:lineRule="auto"/>
        <w:ind w:firstLine="480" w:firstLineChars="200"/>
        <w:rPr>
          <w:rFonts w:ascii="宋体" w:hAnsi="宋体" w:cs="宋体"/>
          <w:color w:val="auto"/>
          <w:sz w:val="24"/>
          <w:szCs w:val="24"/>
          <w:highlight w:val="none"/>
        </w:rPr>
      </w:pPr>
      <w:r>
        <w:rPr>
          <w:rFonts w:hint="eastAsia" w:ascii="仿宋" w:hAnsi="仿宋" w:eastAsia="仿宋"/>
          <w:color w:val="auto"/>
          <w:sz w:val="24"/>
          <w:szCs w:val="24"/>
          <w:highlight w:val="none"/>
        </w:rPr>
        <w:t>1.5月：是指根据公历从一个月份中任何一日开始到下一个月相应日期的前一日的时间段。</w:t>
      </w:r>
    </w:p>
    <w:p w14:paraId="2C8CD2FC">
      <w:pPr>
        <w:widowControl/>
        <w:spacing w:line="520" w:lineRule="exact"/>
        <w:ind w:firstLine="470" w:firstLineChars="195"/>
        <w:jc w:val="left"/>
        <w:outlineLvl w:val="1"/>
        <w:rPr>
          <w:rFonts w:ascii="仿宋" w:hAnsi="仿宋" w:eastAsia="仿宋" w:cs="仿宋"/>
          <w:b/>
          <w:color w:val="auto"/>
          <w:sz w:val="24"/>
          <w:szCs w:val="24"/>
          <w:highlight w:val="none"/>
        </w:rPr>
      </w:pPr>
      <w:bookmarkStart w:id="12" w:name="_Toc26077"/>
      <w:r>
        <w:rPr>
          <w:rFonts w:hint="eastAsia" w:ascii="仿宋" w:hAnsi="仿宋" w:eastAsia="仿宋" w:cs="仿宋"/>
          <w:b/>
          <w:color w:val="auto"/>
          <w:sz w:val="24"/>
          <w:szCs w:val="24"/>
          <w:highlight w:val="none"/>
        </w:rPr>
        <w:t>二、本合同适用的法律、法规及工程造价计价办法和规定</w:t>
      </w:r>
      <w:bookmarkEnd w:id="12"/>
    </w:p>
    <w:p w14:paraId="38C6E07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2.1本合同适用中华人民共和国法律、法规。</w:t>
      </w:r>
    </w:p>
    <w:p w14:paraId="46FE0A4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2.2本合同适用的工程造价计价办法和规定是：《广东省住房和城乡建设厅关于印发&lt;广东省建设工程计价依据（2018）&gt;的通知》（粤建市〔2019〕6号）、《建设工程工程量清单计价规范》（GB50500-20</w:t>
      </w:r>
      <w:r>
        <w:rPr>
          <w:rFonts w:hint="eastAsia" w:ascii="仿宋" w:hAnsi="仿宋" w:eastAsia="仿宋"/>
          <w:color w:val="auto"/>
          <w:sz w:val="24"/>
          <w:szCs w:val="24"/>
          <w:highlight w:val="none"/>
          <w:lang w:eastAsia="zh-CN"/>
        </w:rPr>
        <w:t>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）等相关规定。国家及广东省、广州市、增城区有最新规定的，从其规定。</w:t>
      </w:r>
    </w:p>
    <w:p w14:paraId="4A312895">
      <w:pPr>
        <w:spacing w:line="360" w:lineRule="auto"/>
        <w:ind w:firstLine="480" w:firstLineChars="200"/>
        <w:rPr>
          <w:rFonts w:ascii="宋体" w:hAnsi="宋体" w:cs="宋体"/>
          <w:color w:val="auto"/>
          <w:sz w:val="24"/>
          <w:szCs w:val="24"/>
          <w:highlight w:val="none"/>
        </w:rPr>
      </w:pPr>
      <w:r>
        <w:rPr>
          <w:rFonts w:hint="eastAsia" w:ascii="仿宋" w:hAnsi="仿宋" w:eastAsia="仿宋"/>
          <w:color w:val="auto"/>
          <w:sz w:val="24"/>
          <w:szCs w:val="24"/>
          <w:highlight w:val="none"/>
        </w:rPr>
        <w:t>2.3其它计价依据：甲方的要求、图纸、招标文件。</w:t>
      </w:r>
    </w:p>
    <w:p w14:paraId="790DBCB3">
      <w:pPr>
        <w:widowControl/>
        <w:spacing w:line="520" w:lineRule="exact"/>
        <w:ind w:firstLine="470" w:firstLineChars="195"/>
        <w:jc w:val="left"/>
        <w:outlineLvl w:val="1"/>
        <w:rPr>
          <w:rFonts w:ascii="仿宋" w:hAnsi="仿宋" w:eastAsia="仿宋" w:cs="仿宋"/>
          <w:b/>
          <w:color w:val="auto"/>
          <w:sz w:val="24"/>
          <w:szCs w:val="24"/>
          <w:highlight w:val="none"/>
        </w:rPr>
      </w:pPr>
      <w:bookmarkStart w:id="13" w:name="_Toc22272"/>
      <w:r>
        <w:rPr>
          <w:rFonts w:hint="eastAsia" w:ascii="仿宋" w:hAnsi="仿宋" w:eastAsia="仿宋" w:cs="仿宋"/>
          <w:b/>
          <w:color w:val="auto"/>
          <w:sz w:val="24"/>
          <w:szCs w:val="24"/>
          <w:highlight w:val="none"/>
        </w:rPr>
        <w:t>三、本合同适用的语言文字</w:t>
      </w:r>
      <w:bookmarkEnd w:id="13"/>
    </w:p>
    <w:p w14:paraId="74F4AE9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及其补充协议、甲乙双方来往文件等均使用中文书写。使用其他文字书写的对双方均不具有法律约束力，但如翻译成中文并经双方法定代表人（或其委托代理人）签字或双方盖章确认的，则对双方均具有法律约束力。</w:t>
      </w:r>
    </w:p>
    <w:p w14:paraId="4906FE79">
      <w:pPr>
        <w:widowControl/>
        <w:spacing w:line="520" w:lineRule="exact"/>
        <w:ind w:firstLine="470" w:firstLineChars="195"/>
        <w:jc w:val="left"/>
        <w:outlineLvl w:val="1"/>
        <w:rPr>
          <w:rFonts w:ascii="仿宋" w:hAnsi="仿宋" w:eastAsia="仿宋" w:cs="仿宋"/>
          <w:b/>
          <w:color w:val="auto"/>
          <w:sz w:val="24"/>
          <w:szCs w:val="24"/>
          <w:highlight w:val="none"/>
        </w:rPr>
      </w:pPr>
      <w:bookmarkStart w:id="14" w:name="_Toc23844"/>
      <w:r>
        <w:rPr>
          <w:rFonts w:hint="eastAsia" w:ascii="仿宋" w:hAnsi="仿宋" w:eastAsia="仿宋" w:cs="仿宋"/>
          <w:b/>
          <w:color w:val="auto"/>
          <w:sz w:val="24"/>
          <w:szCs w:val="24"/>
          <w:highlight w:val="none"/>
        </w:rPr>
        <w:t>四、服务内容及相关服务要求</w:t>
      </w:r>
      <w:bookmarkEnd w:id="14"/>
    </w:p>
    <w:p w14:paraId="0BDF98C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4.1本项目工程造价咨询服务的主要内容具体如下：</w:t>
      </w:r>
    </w:p>
    <w:p w14:paraId="2982F7F8">
      <w:pPr>
        <w:rPr>
          <w:color w:val="auto"/>
          <w:highlight w:val="none"/>
        </w:rPr>
      </w:pPr>
    </w:p>
    <w:tbl>
      <w:tblPr>
        <w:tblStyle w:val="25"/>
        <w:tblW w:w="885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1070"/>
        <w:gridCol w:w="7122"/>
      </w:tblGrid>
      <w:tr w14:paraId="1CBF92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9" w:hRule="atLeast"/>
          <w:tblHeader/>
          <w:jc w:val="center"/>
        </w:trPr>
        <w:tc>
          <w:tcPr>
            <w:tcW w:w="6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FE549E">
            <w:pPr>
              <w:shd w:val="solid" w:color="FFFFFF" w:fill="auto"/>
              <w:autoSpaceDN w:val="0"/>
              <w:spacing w:line="276" w:lineRule="auto"/>
              <w:contextualSpacing/>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序号</w:t>
            </w:r>
          </w:p>
        </w:tc>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5DEB8F">
            <w:pPr>
              <w:shd w:val="solid" w:color="FFFFFF" w:fill="auto"/>
              <w:autoSpaceDN w:val="0"/>
              <w:spacing w:line="276" w:lineRule="auto"/>
              <w:contextualSpacing/>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阶段</w:t>
            </w:r>
          </w:p>
        </w:tc>
        <w:tc>
          <w:tcPr>
            <w:tcW w:w="7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0E2E9">
            <w:pPr>
              <w:shd w:val="solid" w:color="FFFFFF" w:fill="auto"/>
              <w:autoSpaceDN w:val="0"/>
              <w:spacing w:line="276" w:lineRule="auto"/>
              <w:contextualSpacing/>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服务内容</w:t>
            </w:r>
          </w:p>
        </w:tc>
      </w:tr>
      <w:tr w14:paraId="026C09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CA053C">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1</w:t>
            </w:r>
          </w:p>
        </w:tc>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E07384">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概算阶段</w:t>
            </w:r>
          </w:p>
        </w:tc>
        <w:tc>
          <w:tcPr>
            <w:tcW w:w="7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34BBA8">
            <w:pPr>
              <w:widowControl/>
              <w:numPr>
                <w:ilvl w:val="0"/>
                <w:numId w:val="2"/>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根据甲方提供的项目相关信息和要求，</w:t>
            </w:r>
            <w:r>
              <w:rPr>
                <w:rFonts w:hint="eastAsia" w:ascii="宋体" w:hAnsi="宋体" w:cs="宋体"/>
                <w:color w:val="auto"/>
                <w:kern w:val="0"/>
                <w:szCs w:val="21"/>
                <w:highlight w:val="none"/>
                <w:lang w:val="en-US" w:eastAsia="zh-CN"/>
              </w:rPr>
              <w:t>进行背靠背概算编制工作（设计单位启动设计概算编制时，乙方同步进行独立的概算编制工作），</w:t>
            </w:r>
            <w:r>
              <w:rPr>
                <w:rFonts w:hint="eastAsia" w:ascii="宋体" w:hAnsi="宋体" w:cs="宋体"/>
                <w:color w:val="auto"/>
                <w:kern w:val="0"/>
                <w:szCs w:val="21"/>
                <w:highlight w:val="none"/>
              </w:rPr>
              <w:t>内容包括但不限于：项目工程量计算；材料、设备、人工成本估算；建筑工程成本分析等；</w:t>
            </w:r>
          </w:p>
          <w:p w14:paraId="086239F9">
            <w:pPr>
              <w:widowControl/>
              <w:numPr>
                <w:ilvl w:val="0"/>
                <w:numId w:val="2"/>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负责审核、评审（如需）概算文件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负责对数工作</w:t>
            </w:r>
            <w:r>
              <w:rPr>
                <w:rFonts w:hint="eastAsia" w:ascii="宋体" w:hAnsi="宋体" w:cs="宋体"/>
                <w:color w:val="auto"/>
                <w:kern w:val="0"/>
                <w:szCs w:val="21"/>
                <w:highlight w:val="none"/>
              </w:rPr>
              <w:t>，按甲方要求提交概算审核、评审（如需）意见，概算如需进行财政评审，协助并参加与财政评审部门的送审和对数工作；</w:t>
            </w:r>
          </w:p>
          <w:p w14:paraId="488102E9">
            <w:pPr>
              <w:widowControl/>
              <w:numPr>
                <w:ilvl w:val="0"/>
                <w:numId w:val="2"/>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负责提交材料设备汇总表，对设计中采用的主材、设备等提供市场信息，进行方案比较，提出优化建议；</w:t>
            </w:r>
          </w:p>
          <w:p w14:paraId="551103CB">
            <w:pPr>
              <w:widowControl/>
              <w:numPr>
                <w:ilvl w:val="0"/>
                <w:numId w:val="2"/>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根据批准的概算，负责审核并提出工程项目的各专业工程和各阶段造价限额设计量化指标；</w:t>
            </w:r>
          </w:p>
          <w:p w14:paraId="06F618A6">
            <w:pPr>
              <w:widowControl/>
              <w:numPr>
                <w:ilvl w:val="0"/>
                <w:numId w:val="2"/>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跟进概算评审的各阶段工作，及时反馈意见，对评审工作进行分解分析，给出专业意见及合理化建议</w:t>
            </w:r>
            <w:r>
              <w:rPr>
                <w:rFonts w:hint="eastAsia" w:ascii="宋体" w:hAnsi="宋体" w:cs="宋体"/>
                <w:color w:val="auto"/>
                <w:kern w:val="0"/>
                <w:szCs w:val="21"/>
                <w:highlight w:val="none"/>
                <w:lang w:eastAsia="zh-CN"/>
              </w:rPr>
              <w:t>；</w:t>
            </w:r>
          </w:p>
          <w:p w14:paraId="3743BC9D">
            <w:pPr>
              <w:widowControl/>
              <w:numPr>
                <w:ilvl w:val="0"/>
                <w:numId w:val="2"/>
              </w:numPr>
              <w:spacing w:line="276" w:lineRule="auto"/>
              <w:contextualSpacing/>
              <w:rPr>
                <w:color w:val="auto"/>
                <w:highlight w:val="none"/>
              </w:rPr>
            </w:pPr>
            <w:r>
              <w:rPr>
                <w:rFonts w:hint="eastAsia" w:ascii="宋体" w:hAnsi="宋体" w:cs="宋体"/>
                <w:color w:val="auto"/>
                <w:kern w:val="0"/>
                <w:szCs w:val="21"/>
                <w:highlight w:val="none"/>
              </w:rPr>
              <w:t>进行含量指标、单方指标分析，整理造价指标分析表，并提供3个同类项目技术经济指标，分析技术经济指标偏离内容及原因进行及时修正，提出合理化建议</w:t>
            </w:r>
            <w:r>
              <w:rPr>
                <w:rFonts w:hint="eastAsia" w:ascii="宋体" w:hAnsi="宋体" w:cs="宋体"/>
                <w:color w:val="auto"/>
                <w:kern w:val="0"/>
                <w:szCs w:val="21"/>
                <w:highlight w:val="none"/>
                <w:lang w:eastAsia="zh-CN"/>
              </w:rPr>
              <w:t>。</w:t>
            </w:r>
          </w:p>
        </w:tc>
      </w:tr>
      <w:tr w14:paraId="73EB99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DC7A8F">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2</w:t>
            </w:r>
          </w:p>
        </w:tc>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E8B861">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施工图预算阶段</w:t>
            </w:r>
          </w:p>
        </w:tc>
        <w:tc>
          <w:tcPr>
            <w:tcW w:w="7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8CC029">
            <w:pPr>
              <w:widowControl/>
              <w:numPr>
                <w:ilvl w:val="0"/>
                <w:numId w:val="3"/>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负责编制及审核施工图预算（含设计图纸修改后调整相应预算），</w:t>
            </w:r>
            <w:r>
              <w:rPr>
                <w:rFonts w:hint="eastAsia" w:ascii="宋体" w:hAnsi="宋体" w:cs="宋体"/>
                <w:color w:val="auto"/>
                <w:kern w:val="0"/>
                <w:szCs w:val="21"/>
                <w:highlight w:val="none"/>
                <w:lang w:val="en-US" w:eastAsia="zh-CN"/>
              </w:rPr>
              <w:t>负责与总包单位、展示区承包单位对数工作，</w:t>
            </w:r>
            <w:r>
              <w:rPr>
                <w:rFonts w:hint="eastAsia" w:ascii="宋体" w:hAnsi="宋体" w:cs="宋体"/>
                <w:color w:val="auto"/>
                <w:kern w:val="0"/>
                <w:szCs w:val="21"/>
                <w:highlight w:val="none"/>
              </w:rPr>
              <w:t>按甲方要求提交审核报告；</w:t>
            </w:r>
          </w:p>
          <w:p w14:paraId="445CD660">
            <w:pPr>
              <w:widowControl/>
              <w:numPr>
                <w:ilvl w:val="0"/>
                <w:numId w:val="3"/>
              </w:numPr>
              <w:spacing w:line="276" w:lineRule="auto"/>
              <w:contextualSpacing/>
              <w:rPr>
                <w:color w:val="auto"/>
                <w:highlight w:val="none"/>
              </w:rPr>
            </w:pPr>
            <w:r>
              <w:rPr>
                <w:rFonts w:hint="eastAsia" w:ascii="宋体" w:hAnsi="宋体" w:cs="宋体"/>
                <w:color w:val="auto"/>
                <w:kern w:val="0"/>
                <w:szCs w:val="21"/>
                <w:highlight w:val="none"/>
              </w:rPr>
              <w:t>负责提交材料设备汇总表，对设计中采用的主材、设备等提供市场信息，提出优化建议。</w:t>
            </w:r>
          </w:p>
          <w:p w14:paraId="76BD01F7">
            <w:pPr>
              <w:widowControl/>
              <w:numPr>
                <w:ilvl w:val="0"/>
                <w:numId w:val="3"/>
              </w:numPr>
              <w:spacing w:line="276" w:lineRule="auto"/>
              <w:contextualSpacing/>
              <w:rPr>
                <w:color w:val="auto"/>
                <w:highlight w:val="none"/>
              </w:rPr>
            </w:pPr>
            <w:r>
              <w:rPr>
                <w:rFonts w:hint="eastAsia" w:ascii="宋体" w:hAnsi="宋体" w:cs="宋体"/>
                <w:color w:val="auto"/>
                <w:kern w:val="0"/>
                <w:szCs w:val="21"/>
                <w:highlight w:val="none"/>
              </w:rPr>
              <w:t>进行含量指标、单方指标分析，整理造价指标分析表，并提供3个同类项目技术经济指标，分析技术经济指标偏离内容及原因进行及时修正，提出合理化建议</w:t>
            </w:r>
            <w:r>
              <w:rPr>
                <w:rFonts w:hint="eastAsia" w:ascii="宋体" w:hAnsi="宋体" w:cs="宋体"/>
                <w:color w:val="auto"/>
                <w:kern w:val="0"/>
                <w:szCs w:val="21"/>
                <w:highlight w:val="none"/>
                <w:lang w:eastAsia="zh-CN"/>
              </w:rPr>
              <w:t>。</w:t>
            </w:r>
          </w:p>
        </w:tc>
      </w:tr>
      <w:tr w14:paraId="2E0354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C97786">
            <w:pPr>
              <w:shd w:val="solid" w:color="FFFFFF" w:fill="auto"/>
              <w:autoSpaceDN w:val="0"/>
              <w:spacing w:line="276" w:lineRule="auto"/>
              <w:contextualSpacing/>
              <w:rPr>
                <w:rFonts w:ascii="宋体" w:hAnsi="宋体" w:cs="宋体"/>
                <w:strike/>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3</w:t>
            </w:r>
          </w:p>
        </w:tc>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D04BDC">
            <w:pPr>
              <w:shd w:val="solid" w:color="FFFFFF" w:fill="auto"/>
              <w:autoSpaceDN w:val="0"/>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招标阶段</w:t>
            </w:r>
          </w:p>
        </w:tc>
        <w:tc>
          <w:tcPr>
            <w:tcW w:w="7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B55382">
            <w:pPr>
              <w:widowControl/>
              <w:numPr>
                <w:ilvl w:val="0"/>
                <w:numId w:val="4"/>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负责按甲方要求编制招标工程量清单及招标控制价，负责进行市场调查、询价，在甲方指定地点进行对数、编制或调整等；</w:t>
            </w:r>
            <w:r>
              <w:rPr>
                <w:rFonts w:hint="eastAsia" w:ascii="宋体" w:hAnsi="宋体" w:cs="宋体"/>
                <w:color w:val="auto"/>
                <w:kern w:val="0"/>
                <w:szCs w:val="21"/>
                <w:highlight w:val="none"/>
                <w:lang w:val="en-US" w:eastAsia="zh-CN"/>
              </w:rPr>
              <w:t>负责</w:t>
            </w:r>
            <w:r>
              <w:rPr>
                <w:rFonts w:hint="eastAsia" w:ascii="宋体" w:hAnsi="宋体" w:eastAsia="宋体" w:cs="宋体"/>
                <w:color w:val="auto"/>
                <w:kern w:val="0"/>
                <w:sz w:val="21"/>
                <w:szCs w:val="21"/>
                <w:highlight w:val="none"/>
                <w:lang w:val="en-US" w:eastAsia="zh-CN"/>
              </w:rPr>
              <w:t>项目采办事项采购控制价编制（包括不限于施工、货物、服务及营销类等采购）；</w:t>
            </w:r>
          </w:p>
          <w:p w14:paraId="2A25F698">
            <w:pPr>
              <w:widowControl/>
              <w:numPr>
                <w:ilvl w:val="0"/>
                <w:numId w:val="4"/>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负责根据设计单位的图纸及技术规范、用户需求书，编制设备、材料询价或采购清单；</w:t>
            </w:r>
          </w:p>
          <w:p w14:paraId="74A353C0">
            <w:pPr>
              <w:widowControl/>
              <w:numPr>
                <w:ilvl w:val="0"/>
                <w:numId w:val="4"/>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w:t>
            </w:r>
            <w:r>
              <w:rPr>
                <w:rFonts w:ascii="宋体" w:hAnsi="宋体" w:cs="宋体"/>
                <w:color w:val="auto"/>
                <w:kern w:val="0"/>
                <w:szCs w:val="21"/>
                <w:highlight w:val="none"/>
              </w:rPr>
              <w:t>对</w:t>
            </w:r>
            <w:r>
              <w:rPr>
                <w:rFonts w:hint="eastAsia" w:ascii="宋体" w:hAnsi="宋体" w:cs="宋体"/>
                <w:color w:val="auto"/>
                <w:kern w:val="0"/>
                <w:szCs w:val="21"/>
                <w:highlight w:val="none"/>
              </w:rPr>
              <w:t>中标人</w:t>
            </w:r>
            <w:r>
              <w:rPr>
                <w:rFonts w:ascii="宋体" w:hAnsi="宋体" w:cs="宋体"/>
                <w:color w:val="auto"/>
                <w:kern w:val="0"/>
                <w:szCs w:val="21"/>
                <w:highlight w:val="none"/>
              </w:rPr>
              <w:t>提出的</w:t>
            </w:r>
            <w:r>
              <w:rPr>
                <w:rFonts w:hint="eastAsia" w:ascii="宋体" w:hAnsi="宋体" w:cs="宋体"/>
                <w:color w:val="auto"/>
                <w:kern w:val="0"/>
                <w:szCs w:val="21"/>
                <w:highlight w:val="none"/>
              </w:rPr>
              <w:t>造价问题的解答。按广州市建设工程造价管理站招标控制价备案要求提供造价文件（含编制说明、最高投标限价公布函、招标控制价软件版、</w:t>
            </w:r>
            <w:r>
              <w:rPr>
                <w:rFonts w:ascii="宋体" w:hAnsi="宋体" w:cs="宋体"/>
                <w:color w:val="auto"/>
                <w:kern w:val="0"/>
                <w:szCs w:val="21"/>
                <w:highlight w:val="none"/>
              </w:rPr>
              <w:t>EXCEL版、XML</w:t>
            </w:r>
            <w:r>
              <w:rPr>
                <w:rFonts w:hint="eastAsia" w:ascii="宋体" w:hAnsi="宋体" w:cs="宋体"/>
                <w:color w:val="auto"/>
                <w:kern w:val="0"/>
                <w:szCs w:val="21"/>
                <w:highlight w:val="none"/>
              </w:rPr>
              <w:t>（cos）</w:t>
            </w:r>
            <w:r>
              <w:rPr>
                <w:rFonts w:ascii="宋体" w:hAnsi="宋体" w:cs="宋体"/>
                <w:color w:val="auto"/>
                <w:kern w:val="0"/>
                <w:szCs w:val="21"/>
                <w:highlight w:val="none"/>
              </w:rPr>
              <w:t>版、指标分析表等），并会同招标代理单位完成</w:t>
            </w:r>
            <w:r>
              <w:rPr>
                <w:rFonts w:hint="eastAsia" w:ascii="宋体" w:hAnsi="宋体" w:cs="宋体"/>
                <w:color w:val="auto"/>
                <w:kern w:val="0"/>
                <w:szCs w:val="21"/>
                <w:highlight w:val="none"/>
              </w:rPr>
              <w:t>招标控制价</w:t>
            </w:r>
            <w:r>
              <w:rPr>
                <w:rFonts w:ascii="宋体" w:hAnsi="宋体" w:cs="宋体"/>
                <w:color w:val="auto"/>
                <w:kern w:val="0"/>
                <w:szCs w:val="21"/>
                <w:highlight w:val="none"/>
              </w:rPr>
              <w:t>备案工作；</w:t>
            </w:r>
          </w:p>
          <w:p w14:paraId="650D7878">
            <w:pPr>
              <w:widowControl/>
              <w:numPr>
                <w:ilvl w:val="0"/>
                <w:numId w:val="4"/>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负责对中标人的经济标文件或报价书等进行分析和汇总，提出造价控制建议，并形成清标报告；</w:t>
            </w:r>
          </w:p>
          <w:p w14:paraId="4DFD4D51">
            <w:pPr>
              <w:widowControl/>
              <w:numPr>
                <w:ilvl w:val="0"/>
                <w:numId w:val="4"/>
              </w:numPr>
              <w:spacing w:line="276" w:lineRule="auto"/>
              <w:contextualSpacing/>
              <w:rPr>
                <w:color w:val="auto"/>
                <w:highlight w:val="none"/>
              </w:rPr>
            </w:pPr>
            <w:r>
              <w:rPr>
                <w:rFonts w:hint="eastAsia" w:ascii="宋体" w:hAnsi="宋体" w:cs="宋体"/>
                <w:color w:val="auto"/>
                <w:kern w:val="0"/>
                <w:szCs w:val="21"/>
                <w:highlight w:val="none"/>
              </w:rPr>
              <w:t>负责对合同方式和可能存在的风险因素及解决办法等提出合理化建议供甲方参考。</w:t>
            </w:r>
          </w:p>
        </w:tc>
      </w:tr>
      <w:tr w14:paraId="01CFC9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C40D2">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4</w:t>
            </w:r>
          </w:p>
        </w:tc>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960686">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施工阶段</w:t>
            </w:r>
          </w:p>
        </w:tc>
        <w:tc>
          <w:tcPr>
            <w:tcW w:w="7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7B7ADA">
            <w:pPr>
              <w:widowControl/>
              <w:numPr>
                <w:ilvl w:val="0"/>
                <w:numId w:val="5"/>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w:t>
            </w:r>
            <w:r>
              <w:rPr>
                <w:rFonts w:hint="eastAsia" w:ascii="宋体" w:hAnsi="宋体" w:cs="宋体"/>
                <w:color w:val="auto"/>
                <w:kern w:val="0"/>
                <w:szCs w:val="21"/>
                <w:highlight w:val="none"/>
                <w:lang w:val="en-US" w:eastAsia="zh-CN"/>
              </w:rPr>
              <w:t>设计</w:t>
            </w:r>
            <w:r>
              <w:rPr>
                <w:rFonts w:hint="eastAsia" w:ascii="宋体" w:hAnsi="宋体" w:cs="宋体"/>
                <w:color w:val="auto"/>
                <w:kern w:val="0"/>
                <w:szCs w:val="21"/>
                <w:highlight w:val="none"/>
              </w:rPr>
              <w:t>变更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工程签证</w:t>
            </w:r>
            <w:r>
              <w:rPr>
                <w:rFonts w:hint="eastAsia" w:ascii="宋体" w:hAnsi="宋体" w:cs="宋体"/>
                <w:color w:val="auto"/>
                <w:kern w:val="0"/>
                <w:szCs w:val="21"/>
                <w:highlight w:val="none"/>
              </w:rPr>
              <w:t>费用</w:t>
            </w:r>
            <w:r>
              <w:rPr>
                <w:rFonts w:hint="eastAsia" w:ascii="宋体" w:hAnsi="宋体" w:cs="宋体"/>
                <w:color w:val="auto"/>
                <w:kern w:val="0"/>
                <w:szCs w:val="21"/>
                <w:highlight w:val="none"/>
                <w:lang w:val="en-US" w:eastAsia="zh-CN"/>
              </w:rPr>
              <w:t>测算估算、编制及</w:t>
            </w:r>
            <w:r>
              <w:rPr>
                <w:rFonts w:hint="eastAsia" w:ascii="宋体" w:hAnsi="宋体" w:cs="宋体"/>
                <w:color w:val="auto"/>
                <w:kern w:val="0"/>
                <w:szCs w:val="21"/>
                <w:highlight w:val="none"/>
              </w:rPr>
              <w:t>审核；</w:t>
            </w:r>
            <w:r>
              <w:rPr>
                <w:rFonts w:hint="eastAsia" w:ascii="宋体" w:hAnsi="宋体" w:cs="宋体"/>
                <w:color w:val="auto"/>
                <w:kern w:val="0"/>
                <w:szCs w:val="21"/>
                <w:highlight w:val="none"/>
                <w:lang w:val="en-US" w:eastAsia="zh-CN"/>
              </w:rPr>
              <w:t>按合同费用</w:t>
            </w:r>
            <w:r>
              <w:rPr>
                <w:rFonts w:hint="eastAsia" w:ascii="宋体" w:hAnsi="宋体" w:cs="宋体"/>
                <w:color w:val="auto"/>
                <w:kern w:val="0"/>
                <w:szCs w:val="21"/>
                <w:highlight w:val="none"/>
              </w:rPr>
              <w:t>审核；图纸设计变更会签、材料设备看样定板会签；必要时按甲方要求集中会审；</w:t>
            </w:r>
          </w:p>
          <w:p w14:paraId="04DE27D8">
            <w:pPr>
              <w:widowControl/>
              <w:numPr>
                <w:ilvl w:val="0"/>
                <w:numId w:val="5"/>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负责施工过程造价控制，定期召开造价控制会议，每月底提交投资控制报告，含项目整体资金使用情况、结算价预估分析、动态成本（须与目标成本对比分析偏差原因及解决方案建议）等；</w:t>
            </w:r>
          </w:p>
          <w:p w14:paraId="6ADE5513">
            <w:pPr>
              <w:widowControl/>
              <w:numPr>
                <w:ilvl w:val="0"/>
                <w:numId w:val="5"/>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制定项目总体投资进度计划，根据实际进度与每月实际投资和计划投资作分析比较，分析成本超支的原因和修正项目投资进度计划；</w:t>
            </w:r>
            <w:r>
              <w:rPr>
                <w:rFonts w:ascii="宋体" w:hAnsi="宋体" w:cs="宋体"/>
                <w:color w:val="auto"/>
                <w:kern w:val="0"/>
                <w:szCs w:val="21"/>
                <w:highlight w:val="none"/>
              </w:rPr>
              <w:t xml:space="preserve"> </w:t>
            </w:r>
          </w:p>
          <w:p w14:paraId="623629C8">
            <w:pPr>
              <w:widowControl/>
              <w:numPr>
                <w:ilvl w:val="0"/>
                <w:numId w:val="5"/>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审核工程量与进度款（即计量支付，下同）；</w:t>
            </w:r>
          </w:p>
          <w:p w14:paraId="4162AAC8">
            <w:pPr>
              <w:widowControl/>
              <w:numPr>
                <w:ilvl w:val="0"/>
                <w:numId w:val="5"/>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 xml:space="preserve">负责建立合同台账、支付台账、变更台账（按变更原因分类）、签证台账、动态投资台账等； </w:t>
            </w:r>
          </w:p>
          <w:p w14:paraId="6E2B43D0">
            <w:pPr>
              <w:widowControl/>
              <w:numPr>
                <w:ilvl w:val="0"/>
                <w:numId w:val="5"/>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负责定期收集和整理有关设备材料的市场价格动态信息，对施工方案、材料选用提供成本控制建议；</w:t>
            </w:r>
          </w:p>
          <w:p w14:paraId="65CDBDF5">
            <w:pPr>
              <w:widowControl/>
              <w:numPr>
                <w:ilvl w:val="0"/>
                <w:numId w:val="5"/>
              </w:numPr>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负责协助第三方的合同索赔处理，参加合同变更谈判，负责处理合同变更，维护</w:t>
            </w:r>
            <w:r>
              <w:rPr>
                <w:rFonts w:ascii="宋体" w:hAnsi="宋体" w:cs="宋体"/>
                <w:color w:val="auto"/>
                <w:kern w:val="0"/>
                <w:szCs w:val="21"/>
                <w:highlight w:val="none"/>
              </w:rPr>
              <w:t>业主</w:t>
            </w:r>
            <w:r>
              <w:rPr>
                <w:rFonts w:hint="eastAsia" w:ascii="宋体" w:hAnsi="宋体" w:cs="宋体"/>
                <w:color w:val="auto"/>
                <w:kern w:val="0"/>
                <w:szCs w:val="21"/>
                <w:highlight w:val="none"/>
              </w:rPr>
              <w:t>的合法权益；</w:t>
            </w:r>
          </w:p>
          <w:p w14:paraId="16C4BCD2">
            <w:pPr>
              <w:widowControl/>
              <w:numPr>
                <w:ilvl w:val="0"/>
                <w:numId w:val="5"/>
              </w:numPr>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发生现场签证时，须与建设单位、监理单位、施工单位一起进行工程量现场核查，各方签认后作为签证依据。</w:t>
            </w:r>
          </w:p>
        </w:tc>
      </w:tr>
      <w:tr w14:paraId="7B9E3C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2BE2B6">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5</w:t>
            </w:r>
          </w:p>
        </w:tc>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9A31D6">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结（决）算阶段</w:t>
            </w:r>
          </w:p>
        </w:tc>
        <w:tc>
          <w:tcPr>
            <w:tcW w:w="7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2CDB26">
            <w:pPr>
              <w:widowControl/>
              <w:numPr>
                <w:ilvl w:val="0"/>
                <w:numId w:val="6"/>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负责编制结算计划，建立结算台账；</w:t>
            </w:r>
          </w:p>
          <w:p w14:paraId="22FD07AF">
            <w:pPr>
              <w:widowControl/>
              <w:numPr>
                <w:ilvl w:val="0"/>
                <w:numId w:val="6"/>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负责收集和整理结算依据资料，负责组织过程结算；</w:t>
            </w:r>
          </w:p>
          <w:p w14:paraId="260EC5DE">
            <w:pPr>
              <w:widowControl/>
              <w:numPr>
                <w:ilvl w:val="0"/>
                <w:numId w:val="6"/>
              </w:numPr>
              <w:spacing w:line="276" w:lineRule="auto"/>
              <w:contextualSpacing/>
              <w:rPr>
                <w:rFonts w:ascii="宋体" w:hAnsi="宋体" w:cs="宋体"/>
                <w:color w:val="auto"/>
                <w:kern w:val="0"/>
                <w:szCs w:val="21"/>
                <w:highlight w:val="none"/>
              </w:rPr>
            </w:pPr>
            <w:r>
              <w:rPr>
                <w:rFonts w:hint="eastAsia" w:cs="Calibri"/>
                <w:color w:val="auto"/>
                <w:szCs w:val="21"/>
                <w:highlight w:val="none"/>
              </w:rPr>
              <w:t>负责竣工结算审核、要求收到承建（服务）单位报送的结算文件后按甲方要求的时间内出具结算审核报告</w:t>
            </w:r>
            <w:r>
              <w:rPr>
                <w:rFonts w:hint="eastAsia" w:ascii="宋体" w:hAnsi="宋体" w:cs="Calibri"/>
                <w:color w:val="auto"/>
                <w:szCs w:val="21"/>
                <w:highlight w:val="none"/>
                <w:shd w:val="clear" w:color="auto" w:fill="FFFFFF"/>
              </w:rPr>
              <w:t>；</w:t>
            </w:r>
          </w:p>
          <w:p w14:paraId="74E06EB7">
            <w:pPr>
              <w:widowControl/>
              <w:numPr>
                <w:ilvl w:val="0"/>
                <w:numId w:val="6"/>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配合结算定审和决算工作，结算如需进行财政评审，协助并参加与财政评审部门的送审和对数工作。</w:t>
            </w:r>
          </w:p>
        </w:tc>
      </w:tr>
      <w:tr w14:paraId="05C8AC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DDE030">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6</w:t>
            </w:r>
          </w:p>
        </w:tc>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2AE597">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其他</w:t>
            </w:r>
          </w:p>
        </w:tc>
        <w:tc>
          <w:tcPr>
            <w:tcW w:w="7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C47706">
            <w:pPr>
              <w:widowControl/>
              <w:numPr>
                <w:ilvl w:val="0"/>
                <w:numId w:val="7"/>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负责按甲方要求编制各类造价管理文件；</w:t>
            </w:r>
          </w:p>
          <w:p w14:paraId="71A0A63F">
            <w:pPr>
              <w:widowControl/>
              <w:numPr>
                <w:ilvl w:val="0"/>
                <w:numId w:val="7"/>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负责委托合同价格审核；</w:t>
            </w:r>
          </w:p>
          <w:p w14:paraId="122AB796">
            <w:pPr>
              <w:widowControl/>
              <w:numPr>
                <w:ilvl w:val="0"/>
                <w:numId w:val="7"/>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参与设计方案论证会议、技术经济方案比选、变更论证等专题会或工作例会，提出造价专业意见；督促落实各阶段、各专业工程造价限额设计量化指标；</w:t>
            </w:r>
          </w:p>
          <w:p w14:paraId="6B0247A7">
            <w:pPr>
              <w:widowControl/>
              <w:numPr>
                <w:ilvl w:val="0"/>
                <w:numId w:val="7"/>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负责组织相关造价控制评审会议，包括邀请相应的经济专家。视情况邀请高级经济顾问对造价问题进行咨询把关；</w:t>
            </w:r>
          </w:p>
          <w:p w14:paraId="3193B2CC">
            <w:pPr>
              <w:widowControl/>
              <w:numPr>
                <w:ilvl w:val="0"/>
                <w:numId w:val="7"/>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配合甲方编制详细的工程成本预测和资金流量预测分析，以作为进度和成本控制的目标；随设计的深入定期分析工程成本、定期修正资金流量预测；</w:t>
            </w:r>
          </w:p>
          <w:p w14:paraId="11B8FB33">
            <w:pPr>
              <w:widowControl/>
              <w:numPr>
                <w:ilvl w:val="0"/>
                <w:numId w:val="7"/>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甲方安排的其他造价管理工作，如投资匡算、培训</w:t>
            </w:r>
            <w:r>
              <w:rPr>
                <w:rFonts w:hint="eastAsia" w:ascii="宋体" w:hAnsi="宋体" w:cs="宋体"/>
                <w:color w:val="auto"/>
                <w:kern w:val="0"/>
                <w:szCs w:val="21"/>
                <w:highlight w:val="none"/>
                <w:lang w:eastAsia="zh-CN"/>
              </w:rPr>
              <w:t>、</w:t>
            </w:r>
            <w:r>
              <w:rPr>
                <w:rFonts w:hint="eastAsia" w:hAnsi="宋体" w:cs="宋体"/>
                <w:color w:val="auto"/>
                <w:kern w:val="0"/>
                <w:szCs w:val="21"/>
                <w:highlight w:val="none"/>
                <w:lang w:val="en-US" w:eastAsia="zh-CN"/>
              </w:rPr>
              <w:t>各阶段各项费用测算工作</w:t>
            </w:r>
            <w:r>
              <w:rPr>
                <w:rFonts w:hint="eastAsia" w:ascii="宋体" w:hAnsi="宋体" w:cs="宋体"/>
                <w:color w:val="auto"/>
                <w:kern w:val="0"/>
                <w:szCs w:val="21"/>
                <w:highlight w:val="none"/>
              </w:rPr>
              <w:t>等；</w:t>
            </w:r>
          </w:p>
          <w:p w14:paraId="4CDFE66B">
            <w:pPr>
              <w:widowControl/>
              <w:numPr>
                <w:ilvl w:val="0"/>
                <w:numId w:val="7"/>
              </w:numPr>
              <w:spacing w:line="276"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设计费、监理费和检测监测费等费用审核；</w:t>
            </w:r>
          </w:p>
          <w:p w14:paraId="201606A2">
            <w:pPr>
              <w:widowControl/>
              <w:numPr>
                <w:ilvl w:val="0"/>
                <w:numId w:val="7"/>
              </w:numPr>
              <w:spacing w:line="276" w:lineRule="auto"/>
              <w:contextualSpacing/>
              <w:rPr>
                <w:rFonts w:ascii="宋体" w:hAnsi="宋体" w:cs="宋体"/>
                <w:color w:val="auto"/>
                <w:kern w:val="0"/>
                <w:szCs w:val="21"/>
                <w:highlight w:val="none"/>
              </w:rPr>
            </w:pPr>
            <w:r>
              <w:rPr>
                <w:rFonts w:hint="eastAsia"/>
                <w:color w:val="auto"/>
                <w:highlight w:val="none"/>
              </w:rPr>
              <w:t>管线、绿化迁移及其他项目红线内外配套工程的造价审核工作；</w:t>
            </w:r>
          </w:p>
          <w:p w14:paraId="77B636F2">
            <w:pPr>
              <w:widowControl/>
              <w:numPr>
                <w:ilvl w:val="0"/>
                <w:numId w:val="7"/>
              </w:numPr>
              <w:spacing w:line="276" w:lineRule="auto"/>
              <w:contextualSpacing/>
              <w:rPr>
                <w:color w:val="auto"/>
                <w:highlight w:val="none"/>
              </w:rPr>
            </w:pPr>
            <w:r>
              <w:rPr>
                <w:rFonts w:hint="eastAsia" w:ascii="宋体" w:hAnsi="宋体" w:cs="宋体"/>
                <w:color w:val="auto"/>
                <w:kern w:val="0"/>
                <w:szCs w:val="21"/>
                <w:highlight w:val="none"/>
              </w:rPr>
              <w:t>按要求配合项目审计工作；</w:t>
            </w:r>
          </w:p>
          <w:p w14:paraId="275A75BA">
            <w:pPr>
              <w:pStyle w:val="23"/>
              <w:ind w:firstLine="420" w:firstLineChars="200"/>
              <w:rPr>
                <w:color w:val="auto"/>
                <w:highlight w:val="none"/>
              </w:rPr>
            </w:pPr>
            <w:r>
              <w:rPr>
                <w:rFonts w:hint="eastAsia" w:ascii="宋体" w:hAnsi="宋体" w:eastAsia="宋体" w:cs="宋体"/>
                <w:color w:val="auto"/>
                <w:kern w:val="0"/>
                <w:sz w:val="21"/>
                <w:szCs w:val="21"/>
                <w:highlight w:val="none"/>
              </w:rPr>
              <w:t>负责</w:t>
            </w:r>
            <w:r>
              <w:rPr>
                <w:rFonts w:hint="eastAsia" w:ascii="宋体" w:hAnsi="宋体" w:eastAsia="宋体" w:cs="宋体"/>
                <w:color w:val="auto"/>
                <w:kern w:val="0"/>
                <w:sz w:val="21"/>
                <w:szCs w:val="21"/>
                <w:highlight w:val="none"/>
                <w:lang w:val="en-US" w:eastAsia="zh-CN"/>
              </w:rPr>
              <w:t>概算、</w:t>
            </w:r>
            <w:r>
              <w:rPr>
                <w:rFonts w:hint="eastAsia" w:ascii="宋体" w:hAnsi="宋体" w:eastAsia="宋体" w:cs="宋体"/>
                <w:color w:val="auto"/>
                <w:kern w:val="0"/>
                <w:sz w:val="21"/>
                <w:szCs w:val="21"/>
                <w:highlight w:val="none"/>
              </w:rPr>
              <w:t>预算、结算与</w:t>
            </w:r>
            <w:r>
              <w:rPr>
                <w:rFonts w:hint="eastAsia" w:ascii="宋体" w:hAnsi="宋体" w:eastAsia="宋体" w:cs="宋体"/>
                <w:color w:val="auto"/>
                <w:kern w:val="0"/>
                <w:sz w:val="21"/>
                <w:szCs w:val="21"/>
                <w:highlight w:val="none"/>
                <w:lang w:val="en-US" w:eastAsia="zh-CN"/>
              </w:rPr>
              <w:t>设计单位或</w:t>
            </w:r>
            <w:r>
              <w:rPr>
                <w:rFonts w:hint="eastAsia" w:ascii="宋体" w:hAnsi="宋体" w:eastAsia="宋体" w:cs="宋体"/>
                <w:color w:val="auto"/>
                <w:kern w:val="0"/>
                <w:sz w:val="21"/>
                <w:szCs w:val="21"/>
                <w:highlight w:val="none"/>
              </w:rPr>
              <w:t>施工单位对数工作。</w:t>
            </w:r>
          </w:p>
        </w:tc>
      </w:tr>
    </w:tbl>
    <w:p w14:paraId="04F47D4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4.2服务质量要求</w:t>
      </w:r>
    </w:p>
    <w:p w14:paraId="42BF319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4.2.1.乙方应熟悉并严格按照国家、省、市、区有关财政、基建、工程造价方面的法律、法规，以及甲方工程造价管理业务制度要求，依据合同相关约定，本着有依有据、合法合规的原则，科学、客观、公正地开展造价咨询工作，乙方提供的工程造价咨询成果文件应合理体现甲方控制项目投资的要求。</w:t>
      </w:r>
    </w:p>
    <w:p w14:paraId="4197A92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4.2.2.项目建设实行全过程限额设计和施工。概算金额应低于项目立项批复的估算金额。在不降低勘察设计任务书、初步设计文件、材料设备技术需求书中的主要设计指标（建筑高度、建筑面积等）的前提下，确保施工图预算不超过甲方和有权审核部门审定工程设计概算中的建安工程费总额。竣工结算总金额不得超出实际实施范围所对应的批复概算金额。</w:t>
      </w:r>
    </w:p>
    <w:p w14:paraId="66FA15E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4.2.3.乙方应确保本工程概算文件、施工图预算文件、招标工程量清单、招标控制价等的编制（审核）工作质量，开项必须齐全、工程量必须准确、造价必须合理，并满足工程投资控制和合同的约定。</w:t>
      </w:r>
    </w:p>
    <w:p w14:paraId="01ACC886">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4.2.4.乙方提供的造价成果文件应包括并不限于：编制说明、造价文件（含软件版）、工程量计算书、经济指标分析表、主要设备材料价格表、主要材料设备定价依据文件（含询价文件等）、审核意见落实情况说明和修改对比表等。</w:t>
      </w:r>
    </w:p>
    <w:p w14:paraId="0804002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4.2.5乙方至少要提供3个同类项目的技术经济指标供甲方做决策参考。乙方负责对造价成果（含估算（如有）及概算、施工图预算审核结果、招标工程量清单及控制价编制成果、设计变更及合同变更等）进行分析，对比同类项目，找出技术经济指标偏离内容及原因，及时修正，并提出合理化建议。</w:t>
      </w:r>
    </w:p>
    <w:p w14:paraId="13AB7CF0">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4.2.6.乙方应建立健全内部控制制度、质量保证体系和档案管理制度，保证工程造价咨询成果文件的质量，对其完整性、真实性、准确性、有效性负责，并负有保密责任。</w:t>
      </w:r>
    </w:p>
    <w:p w14:paraId="7BFE9E6D">
      <w:pPr>
        <w:widowControl/>
        <w:numPr>
          <w:ilvl w:val="255"/>
          <w:numId w:val="0"/>
        </w:num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（1）确保工程造价咨询成果文件文字表达清晰、装订整齐。确保提供的造价咨询成果能通过招标及财政评审的相应规范要求。</w:t>
      </w:r>
    </w:p>
    <w:p w14:paraId="0413C666">
      <w:pPr>
        <w:widowControl/>
        <w:numPr>
          <w:ilvl w:val="255"/>
          <w:numId w:val="0"/>
        </w:num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（2）确保工程造价咨询成果文件均由注册造价工程师编制，由</w:t>
      </w:r>
      <w:r>
        <w:rPr>
          <w:rFonts w:hint="default" w:ascii="仿宋" w:hAnsi="仿宋" w:eastAsia="仿宋"/>
          <w:color w:val="auto"/>
          <w:sz w:val="24"/>
          <w:szCs w:val="24"/>
          <w:highlight w:val="none"/>
          <w:lang w:val="en-US"/>
        </w:rPr>
        <w:t>技术</w:t>
      </w:r>
      <w:r>
        <w:rPr>
          <w:rFonts w:hint="eastAsia" w:ascii="仿宋" w:hAnsi="仿宋" w:eastAsia="仿宋"/>
          <w:color w:val="auto"/>
          <w:sz w:val="24"/>
          <w:szCs w:val="24"/>
          <w:highlight w:val="none"/>
        </w:rPr>
        <w:t>负责人（包括项目技术负责人、土建</w:t>
      </w:r>
      <w:r>
        <w:rPr>
          <w:rFonts w:hint="eastAsia" w:ascii="仿宋" w:hAnsi="仿宋" w:eastAsia="仿宋"/>
          <w:color w:val="auto"/>
          <w:sz w:val="24"/>
          <w:szCs w:val="24"/>
          <w:highlight w:val="none"/>
          <w:lang w:val="en-US" w:eastAsia="zh-CN"/>
        </w:rPr>
        <w:t>负责人</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安装负责人</w:t>
      </w:r>
      <w:r>
        <w:rPr>
          <w:rFonts w:hint="eastAsia" w:ascii="仿宋" w:hAnsi="仿宋" w:eastAsia="仿宋"/>
          <w:color w:val="auto"/>
          <w:sz w:val="24"/>
          <w:szCs w:val="24"/>
          <w:highlight w:val="none"/>
        </w:rPr>
        <w:t>）审核，由项目负责人或指挥长审定的三级审查制度。工程造价咨询成果文件的编制人应具有二级注册造价工程师执业资格或以上，工程造价咨询成果文件的审核人、审定人应具有一级注册造价工程师执业资格。工程造价咨询成果文件的编制人、审核人、审定人应在工程造价咨询的成果文件上签署执业资格专用印章，最终的成果文件需经项目指挥长或法定代表人签字并加盖公章。</w:t>
      </w:r>
    </w:p>
    <w:p w14:paraId="6304B811">
      <w:pPr>
        <w:widowControl/>
        <w:numPr>
          <w:ilvl w:val="255"/>
          <w:numId w:val="0"/>
        </w:num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编制人应认真阅读、复核甲方提供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14:paraId="41F63A7C">
      <w:pPr>
        <w:widowControl/>
        <w:numPr>
          <w:ilvl w:val="255"/>
          <w:numId w:val="0"/>
        </w:num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1D964427">
      <w:pPr>
        <w:widowControl/>
        <w:numPr>
          <w:ilvl w:val="255"/>
          <w:numId w:val="0"/>
        </w:num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14:paraId="080A0978">
      <w:pPr>
        <w:widowControl/>
        <w:numPr>
          <w:ilvl w:val="255"/>
          <w:numId w:val="0"/>
        </w:num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（6）乙方应建立工程造价咨询项目档案，保证项目资料的完整，不得损坏、遗失项目资料。加强项目档案管理，及时做好已完成项目的资料移交和归档工作，妥善保管至报告出具之日起十年后。</w:t>
      </w:r>
    </w:p>
    <w:p w14:paraId="58CA612F">
      <w:pPr>
        <w:widowControl/>
        <w:numPr>
          <w:ilvl w:val="255"/>
          <w:numId w:val="0"/>
        </w:num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（7）加强信息系统管理，及时建立电子信息台账；保证在甲方信息系统中录入或审核的工程造价相关信息及时、完整。</w:t>
      </w:r>
    </w:p>
    <w:p w14:paraId="4FCBDE90">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4.2.7审核工程量与进度款（即计量支付审核）；计量支付与进度相符，不得超付、借项支付等。</w:t>
      </w:r>
    </w:p>
    <w:p w14:paraId="176EEE2A">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4.2.8概算审核偏差应控制在±3%以内（概算审核偏差=（乙方审核金额-第三方或甲方复审金额）/乙方审核金额）；预算及招标控制价审核偏差应控制在±2%以内（预算/招标控制价审核偏差=（乙方审核金额-第三方或甲方复审金额）/乙方审核金额）；竣工结算审核偏差应控制在±1%以内（竣工结算审核偏差=（乙方审核金额-第三方或甲方复审金额）/乙方审核金额））；单项费用审核偏差应控制在±3%以内（单项费用审核偏差=（乙方审核金额-第三方或甲方复审金额）/乙方审核金额））；单项工程量审核偏差应控制在±3%以内（单项工程量审核偏差=（乙方审核工程量-第三方或甲方复审工程量）/乙方审核工程量）；新增主材价格审核偏差应控制在±5%以内（新增主材价格审核偏差=（乙方审核价格-第三方或甲方复审价格）/乙方审核价格）。</w:t>
      </w:r>
    </w:p>
    <w:p w14:paraId="2689F9C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4.3服务进度要求</w:t>
      </w:r>
    </w:p>
    <w:p w14:paraId="1DCC1576">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4.3.1.乙方应对甲方提供资料的完整性、严谨性把关，对因范围不清晰、图纸不详导致基本工程量难以计算等情况，应在收到资料后2个工作日内向甲方提出资料补充要求。因乙方未能在上述时间内提出要求而造成编审进度延误或其他损失的均由乙方自行承担全部责任。</w:t>
      </w:r>
    </w:p>
    <w:p w14:paraId="02A1C83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4.3.2.各项服务内容的工作时间要求（如有）（以下天数指日历天数）</w:t>
      </w:r>
    </w:p>
    <w:p w14:paraId="50A42129">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设计概算、施工图预算评审：自收到完整资料起，出具评审初步意见时间为：送审金额3000万元以内（含本数，下同）的为15天，送审金额3000万元-2亿元（含本数，下同）的为20天，送审金额2亿元以上的为25天，特殊情况经甲方批准后延长时间不超过10天；对数时间不超过出具评审初步意见时间，争议问题由乙方项目指挥长或法定代表人主持专题会议解决；对数完成后5天内出具最终评审报告。</w:t>
      </w:r>
    </w:p>
    <w:p w14:paraId="39086DE5">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（2）审核合同价格清单：自收到完整资料起5天内出具电子版审核说明。</w:t>
      </w:r>
    </w:p>
    <w:p w14:paraId="245538A6">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招标工程量清单、招标控制价编制：公告中招标工程量清单、招标控制价自收到甲方通知起10日内出具，终版招标工程量清单、招标控制价自收到完整资料起完成时间为：招标控制价在3000万元以内的20天，3000万元-2亿元的25天，2亿元以上的30天，特殊情况经甲方批准后延长时间不超过10天。</w:t>
      </w:r>
    </w:p>
    <w:p w14:paraId="2975FEC2">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（4）招标文件（含澄清答疑）审核：自收到资料起2天内出具电子版审核说明。</w:t>
      </w:r>
    </w:p>
    <w:p w14:paraId="1F0BF6A1">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（5）清标报告：自收到中标人投标文件5天内出具电子版审核说明。开标后90天内完成与中标人的对数并出具清标报告。</w:t>
      </w:r>
    </w:p>
    <w:p w14:paraId="22364AED">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主材单价、综合单价审核：自收到资料起完成时间为：主材3个以内5天，4-15个10天，16-30个15天，30个以上20天；综合单价3个以内3天，4-15个5天，16个以上10天；特殊情况经甲方批准后延长时间不超过10天；争议问题由乙方项目指挥长或法定代表人主持专题会议解决。</w:t>
      </w:r>
    </w:p>
    <w:p w14:paraId="40DE3618">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变更签证合同费用（含委托合同、检测费用）编制或审核：30万元以内的5天，30万元以上的10天，特殊情况经甲方批准后延长时间不超过10天，电子版审核说明提前2天出具，争议问题由乙方项目指挥长或法定代表人主持专题会议解决。</w:t>
      </w:r>
    </w:p>
    <w:p w14:paraId="46014ADE">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（8）图纸设计变更会签、材料设备看样定板会签：自收到资料起5天内完成。</w:t>
      </w:r>
    </w:p>
    <w:p w14:paraId="102492ED">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（9）工程进度款审核：自接受完整资料起</w:t>
      </w:r>
      <w:r>
        <w:rPr>
          <w:rFonts w:hint="eastAsia" w:ascii="仿宋" w:hAnsi="仿宋" w:eastAsia="仿宋"/>
          <w:color w:val="auto"/>
          <w:sz w:val="24"/>
          <w:szCs w:val="24"/>
          <w:highlight w:val="none"/>
          <w:lang w:eastAsia="zh-CN"/>
        </w:rPr>
        <w:t>3</w:t>
      </w:r>
      <w:r>
        <w:rPr>
          <w:rFonts w:hint="eastAsia" w:ascii="仿宋" w:hAnsi="仿宋" w:eastAsia="仿宋"/>
          <w:color w:val="auto"/>
          <w:sz w:val="24"/>
          <w:szCs w:val="24"/>
          <w:highlight w:val="none"/>
        </w:rPr>
        <w:t>日完成。</w:t>
      </w:r>
    </w:p>
    <w:p w14:paraId="07FF10F6">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（10）结算文件：自收到结算文件起出具结算审核报告时间为：施工类合同30日内，非施工类合同10日内。</w:t>
      </w:r>
    </w:p>
    <w:p w14:paraId="7DD34AF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4.3.3.以上工作期限为正常的工作期限，特急项目的工作期限由甲方根据实际情况确定，但最短不少于1天；其他咨询服务工作由甲方视具体情况确定；对于甲方提出的疑问，乙方应在24小时内给予答复。</w:t>
      </w:r>
    </w:p>
    <w:p w14:paraId="7DA2BD50">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4.4服务人员要求</w:t>
      </w:r>
    </w:p>
    <w:p w14:paraId="2ADA42B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4.4.1</w:t>
      </w:r>
      <w:r>
        <w:rPr>
          <w:rFonts w:hint="eastAsia" w:ascii="仿宋" w:hAnsi="仿宋" w:eastAsia="仿宋"/>
          <w:color w:val="auto"/>
          <w:sz w:val="24"/>
          <w:szCs w:val="24"/>
          <w:highlight w:val="none"/>
          <w:lang w:val="zh-CN"/>
        </w:rPr>
        <w:t>为本项目提供工程</w:t>
      </w:r>
      <w:r>
        <w:rPr>
          <w:rFonts w:hint="eastAsia" w:ascii="仿宋" w:hAnsi="仿宋" w:eastAsia="仿宋"/>
          <w:color w:val="auto"/>
          <w:sz w:val="24"/>
          <w:szCs w:val="24"/>
          <w:highlight w:val="none"/>
        </w:rPr>
        <w:t>造价咨询服务的具体人员详见</w:t>
      </w:r>
      <w:r>
        <w:rPr>
          <w:rFonts w:hint="eastAsia" w:ascii="仿宋" w:hAnsi="仿宋" w:eastAsia="仿宋"/>
          <w:color w:val="auto"/>
          <w:sz w:val="24"/>
          <w:szCs w:val="24"/>
          <w:highlight w:val="none"/>
          <w:lang w:val="zh-CN"/>
        </w:rPr>
        <w:t>附件</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zh-CN"/>
        </w:rPr>
        <w:t>。</w:t>
      </w:r>
    </w:p>
    <w:p w14:paraId="1895E560">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4.4.2乙方在投标文件《拟投入本项目造价人员一览表》中配备的人员在通过甲方的面试考核后方可确定为本项目的工程造价咨询服务人员，乙方不得擅自更换已确定为本项目的造价咨询服务人员，否则应按合同约定承担违约责任。确因特殊情况需要更换时，应提前书面提出更换人员的原因及更换人员的名单，更换人员的资质、资历、职称、实际工作经验、工作能力等应不低于投标文件中所承诺人员的素质，同时乙方应按合同约定承担违约责任，但乙方有合法理由（如服务人员因死亡、重大疾病等原因导致不能履行职责）提出申请并经甲方批准更换相关人员的，乙方可不承担违约责任。 </w:t>
      </w:r>
    </w:p>
    <w:p w14:paraId="39BE9DD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4.4.3本项目造价咨询工作必须由上述人员完成。当乙方工作进度不满足甲方要求时，甲方有权要求乙方上述人员驻场办公，必要时，乙方应按甲方要求增加或更换相关人员，直至整改完毕，相关费用（如有）均已包含在服务报酬中，甲方不再另行计付费用。</w:t>
      </w:r>
    </w:p>
    <w:p w14:paraId="6E1E4E6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4.4.4项目负责人应全面熟悉项目情况，乙方应安排部门经理以上人员（项目指挥长、项目负责人、技术负责人）中的至少1位带队参加会议、完成对数工作，相关费用（如有）均已包含在服务报酬中，甲方不再另行计付费用。</w:t>
      </w:r>
    </w:p>
    <w:p w14:paraId="1E90A76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4.4.5乙方所派出的服务本项目的造价咨询专业人员必须勤勉尽责，恪守职业道德，本着热情服务、秉公办事、廉洁自律的原则开展工作。如出现服务人员未按照合同履行职责，或与第三方串通造成经济损失，或不服从工作安排，不满足工作要求，不遵守管理制度，服务态度恶劣，不胜任工作等情形的，乙方应在接到甲方通知后3天内予以撤换，所调换人员的资质、资历、职称、实际工作能力等应不低于投标文件中所承诺人员的素质且需按合同约定承担违约责任。</w:t>
      </w:r>
    </w:p>
    <w:p w14:paraId="537575FC">
      <w:pPr>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4.4.6土建与安装专业需各专业至少安排1名造价人员，合计不少于2名造价人员，按甲方要求驻场办公或指定地点办公。驻场服务期限以甲方通知为准，不超过本项目所有合同结算定审之日。驻场人员应服从甲方的工作安排和管理，由甲方负责考勤，未经同意不得离开；驻场人员的相关费用已包含在服务报酬中，其薪资福利费用由乙方自行承担。乙方委派的所有驻场人员必须严格执行甲方考勤制度。乙方委派的所有驻场人员</w:t>
      </w:r>
      <w:r>
        <w:rPr>
          <w:rFonts w:hint="eastAsia" w:ascii="仿宋" w:hAnsi="仿宋" w:eastAsia="仿宋"/>
          <w:color w:val="auto"/>
          <w:sz w:val="24"/>
          <w:szCs w:val="24"/>
          <w:highlight w:val="none"/>
          <w:lang w:val="en-US" w:eastAsia="zh-CN"/>
        </w:rPr>
        <w:t>必须有【</w:t>
      </w:r>
      <w:r>
        <w:rPr>
          <w:rFonts w:hint="default" w:ascii="仿宋" w:hAnsi="仿宋" w:eastAsia="仿宋"/>
          <w:color w:val="auto"/>
          <w:sz w:val="24"/>
          <w:szCs w:val="24"/>
          <w:highlight w:val="none"/>
          <w:lang w:val="en-US" w:eastAsia="zh-CN"/>
        </w:rPr>
        <w:t>3</w:t>
      </w:r>
      <w:r>
        <w:rPr>
          <w:rFonts w:hint="eastAsia" w:ascii="仿宋" w:hAnsi="仿宋" w:eastAsia="仿宋"/>
          <w:color w:val="auto"/>
          <w:sz w:val="24"/>
          <w:szCs w:val="24"/>
          <w:highlight w:val="none"/>
          <w:lang w:val="en-US" w:eastAsia="zh-CN"/>
        </w:rPr>
        <w:t>】年及以上的造价工作经验。</w:t>
      </w:r>
    </w:p>
    <w:p w14:paraId="017AFE0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4.5其它服务要求</w:t>
      </w:r>
    </w:p>
    <w:p w14:paraId="20DE7969">
      <w:pPr>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4.5.1乙方须遵守甲方各项规章制度和廉政纪律要求，无条件配合甲方的复核、复审和考核等工作。</w:t>
      </w:r>
    </w:p>
    <w:p w14:paraId="6B68C145">
      <w:pPr>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4.5.2乙方须具备保障开展工作所需要的交通工具、办公设备和造价审核管理软件等。</w:t>
      </w:r>
    </w:p>
    <w:p w14:paraId="43666B48">
      <w:pPr>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zh-CN"/>
        </w:rPr>
        <w:t>4.5.3乙方应独立完成合同约定的造价咨询服务，未经甲方同意不得将工作内容另行委托第三方实施；对有特殊技术要求的咨询服务项目，需聘请相关专家共同完成咨询服务的，应事先征得甲方同意。未经甲方同意，乙方不得以任何形式向任何单位或个人披露审核项目的相关信息，不得对外提供、泄露相关审核情况。</w:t>
      </w:r>
      <w:r>
        <w:rPr>
          <w:rFonts w:hint="eastAsia" w:ascii="仿宋" w:hAnsi="仿宋" w:eastAsia="仿宋"/>
          <w:color w:val="auto"/>
          <w:sz w:val="24"/>
          <w:szCs w:val="24"/>
          <w:highlight w:val="none"/>
          <w:lang w:val="en-US" w:eastAsia="zh-CN"/>
        </w:rPr>
        <w:t>且聘请专家的费用由乙方承担。</w:t>
      </w:r>
    </w:p>
    <w:p w14:paraId="57374DC3">
      <w:pPr>
        <w:widowControl/>
        <w:spacing w:line="520" w:lineRule="exact"/>
        <w:ind w:firstLine="470" w:firstLineChars="195"/>
        <w:jc w:val="left"/>
        <w:outlineLvl w:val="1"/>
        <w:rPr>
          <w:rFonts w:ascii="仿宋" w:hAnsi="仿宋" w:eastAsia="仿宋" w:cs="仿宋"/>
          <w:b/>
          <w:color w:val="auto"/>
          <w:sz w:val="24"/>
          <w:szCs w:val="24"/>
          <w:highlight w:val="none"/>
        </w:rPr>
      </w:pPr>
      <w:bookmarkStart w:id="15" w:name="_Toc4676"/>
      <w:r>
        <w:rPr>
          <w:rFonts w:hint="eastAsia" w:ascii="仿宋" w:hAnsi="仿宋" w:eastAsia="仿宋" w:cs="仿宋"/>
          <w:b/>
          <w:color w:val="auto"/>
          <w:sz w:val="24"/>
          <w:szCs w:val="24"/>
          <w:highlight w:val="none"/>
        </w:rPr>
        <w:t>五、甲方的权利和义务</w:t>
      </w:r>
      <w:bookmarkEnd w:id="15"/>
    </w:p>
    <w:p w14:paraId="3BAC06F3">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5.1甲方的权利</w:t>
      </w:r>
    </w:p>
    <w:p w14:paraId="023119D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5.1.1甲方有权向乙方询问工作进展情况及相关的内容，并要求乙方提交造价咨询服务业务范围内的专项报告。</w:t>
      </w:r>
    </w:p>
    <w:p w14:paraId="0375BF1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5.1.2甲方有权阐述对具体问题的意见和建议。</w:t>
      </w:r>
    </w:p>
    <w:p w14:paraId="3A7B222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5.1.3乙方派出的项目技术负责人、专业造价工作人员或驻场服务人员未能满足甲方要求时，甲方有权要求乙方更换相关人员，乙方应在收到甲方通知之日起3个日历天内按甲方要求完成更换。</w:t>
      </w:r>
    </w:p>
    <w:p w14:paraId="39A6E39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14:paraId="496DC939">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5.2甲方的义务</w:t>
      </w:r>
    </w:p>
    <w:p w14:paraId="774F5AA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5.2.1甲方应负责与本合同约定项目造价咨询服务有关的第三人的协调。</w:t>
      </w:r>
    </w:p>
    <w:p w14:paraId="03A6CDF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5.2.2甲方应及时将所拥有的且是乙方实施本合同约定项目造价咨询服务所必需的有关资料提供给乙方。</w:t>
      </w:r>
    </w:p>
    <w:p w14:paraId="1BD436F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5.2.3甲方应在3个工作日内对乙方书面提交并要求做出答复的事宜做出书面答复。乙方要求第三人提供有关资料时，甲方应负责转达及资料转送。</w:t>
      </w:r>
    </w:p>
    <w:p w14:paraId="61FBFBD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5.2.4甲方指定</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（联系电话：</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）为联系人，负责与乙方联系。</w:t>
      </w:r>
    </w:p>
    <w:p w14:paraId="1385A91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5.3甲方其它权利和义务详见甲方造价管理制度及项目管理要求。</w:t>
      </w:r>
    </w:p>
    <w:p w14:paraId="476EB0C2">
      <w:pPr>
        <w:widowControl/>
        <w:spacing w:line="520" w:lineRule="exact"/>
        <w:ind w:firstLine="470" w:firstLineChars="195"/>
        <w:jc w:val="left"/>
        <w:outlineLvl w:val="1"/>
        <w:rPr>
          <w:rFonts w:ascii="仿宋" w:hAnsi="仿宋" w:eastAsia="仿宋" w:cs="仿宋"/>
          <w:b/>
          <w:color w:val="auto"/>
          <w:sz w:val="24"/>
          <w:szCs w:val="24"/>
          <w:highlight w:val="none"/>
        </w:rPr>
      </w:pPr>
      <w:bookmarkStart w:id="16" w:name="_Toc13148"/>
      <w:r>
        <w:rPr>
          <w:rFonts w:hint="eastAsia" w:ascii="仿宋" w:hAnsi="仿宋" w:eastAsia="仿宋" w:cs="仿宋"/>
          <w:b/>
          <w:color w:val="auto"/>
          <w:sz w:val="24"/>
          <w:szCs w:val="24"/>
          <w:highlight w:val="none"/>
        </w:rPr>
        <w:t>六、乙方的权利和义务</w:t>
      </w:r>
      <w:bookmarkEnd w:id="16"/>
    </w:p>
    <w:p w14:paraId="1D9AB852">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6.1乙方的权利</w:t>
      </w:r>
    </w:p>
    <w:p w14:paraId="5F62E63D">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6.1.1服务期限内，乙方有到工程现场勘察的权利。</w:t>
      </w:r>
    </w:p>
    <w:p w14:paraId="24343FF1">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6.1.2乙方有权按照本合同约定获得服务报酬。</w:t>
      </w:r>
    </w:p>
    <w:p w14:paraId="59C6C569">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6.2乙方的义务</w:t>
      </w:r>
    </w:p>
    <w:p w14:paraId="73486F44">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6.2.1乙方应依据《工程造价咨询企业管理办法》（中华人民共和国建设部令第149号、中华人民共和国住房和城乡建设部令第50号）、《注册造价工程师管理办法》（中华人民共和国建设部令第150号、中华人民共和国住房和城乡建设部令第50号）等国家、广东省、广州市相关规定与本合同约定以及甲方要求实施本合同项下的咨询服务工作、提交工作成果。</w:t>
      </w:r>
    </w:p>
    <w:p w14:paraId="43BC7560">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6.2.2乙方应按本合同约定派出项目技术负责人和专业造价工作人员，并按照甲方要求在甲方指定地点办公，为甲方提供全方位服务，保证造价咨询工作顺利进行。</w:t>
      </w:r>
    </w:p>
    <w:p w14:paraId="6596DA4F">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6.2.3服务期限内，乙方发现甲方提供的资料有缺陷、不明确或存在相互矛盾的，应及时书面通知甲方；否则由此导致甲方损失的乙方应承担赔偿责任。</w:t>
      </w:r>
    </w:p>
    <w:p w14:paraId="409B0326">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6.2.4乙方在履行合同过程中接触到的甲方的文件、资料、信息，均应以绝密件对待；未经甲方书面同意，不得提供给第三人，不得用于本合同以外的其他目的。</w:t>
      </w:r>
    </w:p>
    <w:p w14:paraId="38E97A16">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6.2.5未经甲方的书面同意，乙方不得转让本合同约定的权利和义务。</w:t>
      </w:r>
    </w:p>
    <w:p w14:paraId="3EE0F909">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6.2.6乙方不得从事或参与可能损害甲方利益的任何活动。</w:t>
      </w:r>
    </w:p>
    <w:p w14:paraId="63D028CD">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6.2.7未经甲方书面同意，乙方不得更换其派出技术负责人、专业造价工作人员及驻场服务人员。</w:t>
      </w:r>
    </w:p>
    <w:p w14:paraId="1E0D5935">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6.2.8乙方应当在3日内对甲方或第三人书面提出并要求做出答复的事宜做出书面答复。</w:t>
      </w:r>
    </w:p>
    <w:p w14:paraId="6CCE4CFE">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6.2.9乙方应严格按照合同约定及甲方相关管理办法的规定从事咨询服务工作。</w:t>
      </w:r>
    </w:p>
    <w:p w14:paraId="617B5063">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6.2.10乙方应确保造价咨询工作质量，工程量准确、造价合理，满足工程投资控制的要求。否则应按本合同条款第8.2款的约定承担违约责任。</w:t>
      </w:r>
    </w:p>
    <w:p w14:paraId="5D3DA800">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6.2.11乙方指定</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（联系电话：</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）为联系人，负责与甲方联系。</w:t>
      </w:r>
    </w:p>
    <w:p w14:paraId="2A32F7AC">
      <w:pPr>
        <w:widowControl/>
        <w:spacing w:line="520" w:lineRule="exact"/>
        <w:ind w:firstLine="470" w:firstLineChars="195"/>
        <w:jc w:val="left"/>
        <w:outlineLvl w:val="1"/>
        <w:rPr>
          <w:rFonts w:ascii="仿宋" w:hAnsi="仿宋" w:eastAsia="仿宋" w:cs="仿宋"/>
          <w:b/>
          <w:color w:val="auto"/>
          <w:sz w:val="24"/>
          <w:szCs w:val="24"/>
          <w:highlight w:val="none"/>
        </w:rPr>
      </w:pPr>
      <w:bookmarkStart w:id="17" w:name="_Toc22842"/>
      <w:r>
        <w:rPr>
          <w:rFonts w:hint="eastAsia" w:ascii="仿宋" w:hAnsi="仿宋" w:eastAsia="仿宋" w:cs="仿宋"/>
          <w:b/>
          <w:color w:val="auto"/>
          <w:sz w:val="24"/>
          <w:szCs w:val="24"/>
          <w:highlight w:val="none"/>
        </w:rPr>
        <w:t>七、服务报酬及其支付方式</w:t>
      </w:r>
      <w:bookmarkEnd w:id="17"/>
    </w:p>
    <w:p w14:paraId="37EECFE1">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7.1服务报酬</w:t>
      </w:r>
    </w:p>
    <w:p w14:paraId="34ED81AC">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7.1.1甲乙双方约定：本合同造价咨询服务报酬暂定为人民币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元），其中，不含税为￥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元，税金为￥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元，增值税率为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%。造价咨询费率为__%[造价咨询费率=合同价(即中标价___万元)/暂定建筑安装工程费(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万元)*100%],服务内容占比暂定为100%。</w:t>
      </w:r>
    </w:p>
    <w:p w14:paraId="5D2E35AA">
      <w:pPr>
        <w:widowControl/>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7.1.2甲乙双方一致同意按以下约定进行结算：</w:t>
      </w:r>
    </w:p>
    <w:p w14:paraId="150778FF">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本合同造价咨询服务酬金暂以本项目暂定建筑安装工程费(</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万元)作为造价咨询服务收费的计费额，以中标价作为造价咨询服务酬金的暂定金额；本项目概算批复后，以概算批复的工程费用作为造价咨询服务收费的计费额，结合造价咨询费率计算调整后的合同价，作为结算前的计算支付服务报酬的合同价，即：调整合同价=（造价咨询服务费中标价÷暂定建筑安装工程费）×概算批复工程费用；结算时以本项目实际工程结算建安费用作为造价咨询服务收费的计费额，结合造价咨询费率计算结算合同价，即：结算合同价=（造价咨询服务费中标价÷暂定建筑安装工程费）×结算建安工程费用。结算合同价不得高于本合同</w:t>
      </w:r>
      <w:r>
        <w:rPr>
          <w:rFonts w:hint="eastAsia" w:ascii="仿宋" w:hAnsi="仿宋" w:eastAsia="仿宋"/>
          <w:color w:val="auto"/>
          <w:sz w:val="24"/>
          <w:szCs w:val="24"/>
          <w:highlight w:val="none"/>
          <w:lang w:val="en-US" w:eastAsia="zh-CN"/>
        </w:rPr>
        <w:t>中标</w:t>
      </w:r>
      <w:r>
        <w:rPr>
          <w:rFonts w:hint="eastAsia" w:ascii="仿宋" w:hAnsi="仿宋" w:eastAsia="仿宋"/>
          <w:color w:val="auto"/>
          <w:sz w:val="24"/>
          <w:szCs w:val="24"/>
          <w:highlight w:val="none"/>
        </w:rPr>
        <w:t>暂定金额。</w:t>
      </w:r>
    </w:p>
    <w:p w14:paraId="6B1ADFD0">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按上述约定计取的本合同服务报酬结算金额不得超过估算批复的全过程造价咨询服务费。</w:t>
      </w:r>
    </w:p>
    <w:p w14:paraId="2C821E6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造价咨询服务报酬最终按照：（1）合同暂定金额、（2）调整合同价、（3）结算合同价、（4）估算批复的全过程造价咨询服务费，上述四者中的最低值进行结算。</w:t>
      </w:r>
    </w:p>
    <w:p w14:paraId="23C1E028">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7.1.3服务报酬</w:t>
      </w:r>
      <w:r>
        <w:rPr>
          <w:rFonts w:hint="eastAsia" w:ascii="仿宋" w:hAnsi="仿宋" w:eastAsia="仿宋"/>
          <w:color w:val="auto"/>
          <w:sz w:val="24"/>
          <w:szCs w:val="24"/>
          <w:highlight w:val="none"/>
          <w:lang w:val="zh-CN"/>
        </w:rPr>
        <w:t>包含投入委托项目的</w:t>
      </w:r>
      <w:r>
        <w:rPr>
          <w:rFonts w:hint="eastAsia" w:ascii="仿宋" w:hAnsi="仿宋" w:eastAsia="仿宋"/>
          <w:color w:val="auto"/>
          <w:sz w:val="24"/>
          <w:szCs w:val="24"/>
          <w:highlight w:val="none"/>
        </w:rPr>
        <w:t>人工、</w:t>
      </w:r>
      <w:r>
        <w:rPr>
          <w:rFonts w:hint="eastAsia" w:ascii="仿宋" w:hAnsi="仿宋" w:eastAsia="仿宋"/>
          <w:color w:val="auto"/>
          <w:sz w:val="24"/>
          <w:szCs w:val="24"/>
          <w:highlight w:val="none"/>
          <w:lang w:val="zh-CN"/>
        </w:rPr>
        <w:t>管理、</w:t>
      </w:r>
      <w:r>
        <w:rPr>
          <w:rFonts w:hint="eastAsia" w:ascii="仿宋" w:hAnsi="仿宋" w:eastAsia="仿宋"/>
          <w:color w:val="auto"/>
          <w:sz w:val="24"/>
          <w:szCs w:val="24"/>
          <w:highlight w:val="none"/>
        </w:rPr>
        <w:t>保险、利润、税金、</w:t>
      </w:r>
      <w:r>
        <w:rPr>
          <w:rFonts w:hint="eastAsia" w:ascii="仿宋" w:hAnsi="仿宋" w:eastAsia="仿宋"/>
          <w:color w:val="auto"/>
          <w:sz w:val="24"/>
          <w:szCs w:val="24"/>
          <w:highlight w:val="none"/>
          <w:lang w:val="zh-CN"/>
        </w:rPr>
        <w:t>交通、食宿、文件制作、驻场以及</w:t>
      </w:r>
      <w:r>
        <w:rPr>
          <w:rFonts w:hint="eastAsia" w:ascii="仿宋" w:hAnsi="仿宋" w:eastAsia="仿宋"/>
          <w:color w:val="auto"/>
          <w:sz w:val="24"/>
          <w:szCs w:val="24"/>
          <w:highlight w:val="none"/>
        </w:rPr>
        <w:t>完成本合同所需的</w:t>
      </w:r>
      <w:r>
        <w:rPr>
          <w:rFonts w:hint="eastAsia" w:ascii="仿宋" w:hAnsi="仿宋" w:eastAsia="仿宋"/>
          <w:color w:val="auto"/>
          <w:sz w:val="24"/>
          <w:szCs w:val="24"/>
          <w:highlight w:val="none"/>
          <w:lang w:val="zh-CN"/>
        </w:rPr>
        <w:t>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如主要材料市场信息及经济指标的比较分析）等工作的相关费用已包括在上述费用中，不再另行计费。除本合同另有约定外，乙方不得再向甲方要求支付其它任何费用。</w:t>
      </w:r>
    </w:p>
    <w:p w14:paraId="1D314B46">
      <w:pPr>
        <w:widowControl/>
        <w:spacing w:line="360" w:lineRule="auto"/>
        <w:ind w:firstLine="480"/>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7.2服务报酬支付方式</w:t>
      </w:r>
    </w:p>
    <w:p w14:paraId="1689DBA3">
      <w:pPr>
        <w:widowControl/>
        <w:spacing w:line="360" w:lineRule="auto"/>
        <w:ind w:firstLine="480" w:firstLineChars="200"/>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rPr>
        <w:t>预付款：合同签订生效且乙方已按要求向甲方提交履约担保，甲方收到乙方提出的支付申请后15个工作日内，预付款比例为</w:t>
      </w:r>
      <w:r>
        <w:rPr>
          <w:rFonts w:hint="eastAsia" w:ascii="仿宋" w:hAnsi="仿宋" w:eastAsia="仿宋"/>
          <w:color w:val="auto"/>
          <w:sz w:val="24"/>
          <w:szCs w:val="24"/>
          <w:highlight w:val="none"/>
          <w:lang w:val="zh-CN"/>
        </w:rPr>
        <w:t>本合同</w:t>
      </w:r>
      <w:r>
        <w:rPr>
          <w:rFonts w:hint="eastAsia" w:ascii="仿宋" w:hAnsi="仿宋" w:eastAsia="仿宋"/>
          <w:color w:val="auto"/>
          <w:sz w:val="24"/>
          <w:szCs w:val="24"/>
          <w:highlight w:val="none"/>
        </w:rPr>
        <w:t>价的10%。</w:t>
      </w:r>
    </w:p>
    <w:p w14:paraId="79EA65F1">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概算阶段：概算批复后，甲方收到乙方提出的支付申请后15个工作日内，支付调整合同金额的10%。</w:t>
      </w:r>
    </w:p>
    <w:p w14:paraId="4ABA0B79">
      <w:pPr>
        <w:widowControl/>
        <w:spacing w:line="360" w:lineRule="auto"/>
        <w:ind w:firstLine="480" w:firstLineChars="200"/>
        <w:jc w:val="left"/>
        <w:rPr>
          <w:rFonts w:hint="eastAsia" w:ascii="仿宋" w:hAnsi="仿宋" w:eastAsia="仿宋"/>
          <w:color w:val="auto"/>
          <w:sz w:val="24"/>
          <w:szCs w:val="24"/>
          <w:highlight w:val="none"/>
          <w:lang w:val="zh-CN"/>
        </w:rPr>
      </w:pPr>
      <w:r>
        <w:rPr>
          <w:rFonts w:hint="eastAsia" w:ascii="仿宋" w:hAnsi="仿宋" w:eastAsia="仿宋"/>
          <w:color w:val="auto"/>
          <w:sz w:val="24"/>
          <w:szCs w:val="24"/>
          <w:highlight w:val="none"/>
        </w:rPr>
        <w:t>施工图预算阶段或招标阶段：确定施工合同价格清单后乙方提出支付申请，甲方收到乙方提交的支付申请后15个工作日内，支付调整合同金额的15%（如出现多批次施工招标，则本阶段支付金额=调整合同金额的15%×（施工标段招标金额/总招标金额）按每批次招标控制价金额与批复概算中需招标建安工程费金额的比值分次支付）。</w:t>
      </w:r>
    </w:p>
    <w:p w14:paraId="6A65EEF0">
      <w:pPr>
        <w:widowControl/>
        <w:spacing w:line="360" w:lineRule="auto"/>
        <w:ind w:firstLine="480" w:firstLineChars="200"/>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rPr>
        <w:t>施工阶段及其他工作：按工期分季度支付进度款，每季度结束后乙方提出支付申请，甲方收到乙方提交的支付申请并审核完成后的15个工作日内支付上季度进度款，支付的进度款以调整合同金额的45%为基数，乘以本季度已施工工期占项目暂定总工期的比值；本阶段累计支付至调整合同金额的45%后停止支付。如本项目停工，则自甲方发出停工函之日起，停工期间不计入已施工工期。</w:t>
      </w:r>
    </w:p>
    <w:p w14:paraId="56F411B5">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结（决）算阶段：</w:t>
      </w:r>
      <w:r>
        <w:rPr>
          <w:rFonts w:hint="eastAsia" w:ascii="仿宋" w:hAnsi="仿宋" w:eastAsia="仿宋" w:cs="Times New Roman"/>
          <w:b w:val="0"/>
          <w:bCs w:val="0"/>
          <w:color w:val="auto"/>
          <w:sz w:val="24"/>
          <w:szCs w:val="24"/>
          <w:highlight w:val="none"/>
          <w:u w:val="none"/>
          <w:lang w:val="en-US" w:eastAsia="zh-CN"/>
        </w:rPr>
        <w:t>工程项目竣工结算报送给有权限进行结算终审的部门终审至该项目的结算终审，并获得结算批复文件，且完成本合同约定的所有工作内容后，中标人提出支付申请，招标人收到中标人提出的支付申请后15个工作日内，累计支付至本合同（全过程造价咨询）结算金额的95%。如项目需上级主管部门委托审核单位审定的，项目结算价与上级主管部门委托审核单位（如有）最终审定价相差幅度超过1%（含本数）的，扣除本合同的结算合同价（注：结算合同价定义详见合同条款第7.1.2款）的1%作为违约金；相差幅度超过3%（含本数）的，扣除本合同的结算合同价的3%作为违约金。本合同最终结算金额为结算合同价扣除违约金</w:t>
      </w:r>
      <w:r>
        <w:rPr>
          <w:rFonts w:hint="eastAsia" w:ascii="仿宋" w:hAnsi="仿宋" w:eastAsia="仿宋"/>
          <w:color w:val="auto"/>
          <w:sz w:val="24"/>
          <w:szCs w:val="24"/>
          <w:highlight w:val="none"/>
        </w:rPr>
        <w:t>。</w:t>
      </w:r>
    </w:p>
    <w:p w14:paraId="67E1A907">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费结算阶段：在完成全部服务内容后，由甲方对乙方造价咨询服务工作质量情况进行考评（具体考核标准详见附件《造价咨询服务考核评分表》）视考评情况予以支付。乙方在考评中得分90分或以上的，按结算金额的5%正常支付；85分≤考评得分＜90分，按结算金额的4%支付；75分≤考评得分＜85分，按结算金额的2.5%支付；65分≤考评得分＜75分，按结算金额的1%支付；考评得分＜65分，则考评情况服务酬金不予结算支付。</w:t>
      </w:r>
    </w:p>
    <w:p w14:paraId="02072A69">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1.每次付款，乙方均需按甲方财务管理制度办理支付申请手续，并提供合法有效增值税一般纳税人服务类专用发票的正式发票。乙方延迟提供合法有效的增值税发票的，甲方有权相应顺延服务费支付时间且无需承担违约责任，乙方不得据此停止履行合同义务。</w:t>
      </w:r>
    </w:p>
    <w:p w14:paraId="0049572E">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2.实际支付可视项目进展情况分次支付。</w:t>
      </w:r>
    </w:p>
    <w:p w14:paraId="24C66026">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3.概算批复后，即根据概算批复调整上述第7.1款的暂定合同金额（调整合同价=（造价咨询服务费中标价÷暂定建筑安装工程费）×概算批复工程费用），以调整结（决）算阶段前的实际支付金额。</w:t>
      </w:r>
    </w:p>
    <w:p w14:paraId="7DF32374">
      <w:pPr>
        <w:widowControl/>
        <w:spacing w:line="360" w:lineRule="auto"/>
        <w:ind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zh-CN"/>
        </w:rPr>
        <w:t>7.</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.1甲方开票信息如下：</w:t>
      </w:r>
    </w:p>
    <w:tbl>
      <w:tblPr>
        <w:tblStyle w:val="25"/>
        <w:tblW w:w="70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73"/>
        <w:gridCol w:w="4814"/>
      </w:tblGrid>
      <w:tr w14:paraId="4A5AA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498BE1F4">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公司名称</w:t>
            </w:r>
          </w:p>
        </w:tc>
        <w:tc>
          <w:tcPr>
            <w:tcW w:w="4814" w:type="dxa"/>
            <w:vAlign w:val="center"/>
          </w:tcPr>
          <w:p w14:paraId="4EE191D9">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p>
        </w:tc>
      </w:tr>
      <w:tr w14:paraId="6CB01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04215F19">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税号</w:t>
            </w:r>
          </w:p>
        </w:tc>
        <w:tc>
          <w:tcPr>
            <w:tcW w:w="4814" w:type="dxa"/>
            <w:vAlign w:val="center"/>
          </w:tcPr>
          <w:p w14:paraId="2133B2A1">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p>
        </w:tc>
      </w:tr>
      <w:tr w14:paraId="3B91D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24739850">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地址</w:t>
            </w:r>
          </w:p>
        </w:tc>
        <w:tc>
          <w:tcPr>
            <w:tcW w:w="4814" w:type="dxa"/>
            <w:vAlign w:val="center"/>
          </w:tcPr>
          <w:p w14:paraId="63527C6F">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p>
        </w:tc>
      </w:tr>
      <w:tr w14:paraId="60111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2F8E28CF">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电话</w:t>
            </w:r>
          </w:p>
        </w:tc>
        <w:tc>
          <w:tcPr>
            <w:tcW w:w="4814" w:type="dxa"/>
            <w:vAlign w:val="center"/>
          </w:tcPr>
          <w:p w14:paraId="4869FB02">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p>
        </w:tc>
      </w:tr>
      <w:tr w14:paraId="5718A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16B37712">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开户银行</w:t>
            </w:r>
          </w:p>
        </w:tc>
        <w:tc>
          <w:tcPr>
            <w:tcW w:w="4814" w:type="dxa"/>
            <w:vAlign w:val="center"/>
          </w:tcPr>
          <w:p w14:paraId="7FAE18D1">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p>
        </w:tc>
      </w:tr>
      <w:tr w14:paraId="70D5D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273" w:type="dxa"/>
            <w:vAlign w:val="center"/>
          </w:tcPr>
          <w:p w14:paraId="0E72446F">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银行账号</w:t>
            </w:r>
          </w:p>
        </w:tc>
        <w:tc>
          <w:tcPr>
            <w:tcW w:w="4814" w:type="dxa"/>
            <w:vAlign w:val="center"/>
          </w:tcPr>
          <w:p w14:paraId="29A9EA1B">
            <w:pPr>
              <w:widowControl w:val="0"/>
              <w:kinsoku/>
              <w:autoSpaceDE/>
              <w:autoSpaceDN/>
              <w:adjustRightInd/>
              <w:snapToGrid/>
              <w:spacing w:line="360" w:lineRule="auto"/>
              <w:textAlignment w:val="auto"/>
              <w:rPr>
                <w:rFonts w:ascii="仿宋" w:hAnsi="仿宋" w:eastAsia="仿宋" w:cs="Times New Roman"/>
                <w:snapToGrid/>
                <w:color w:val="auto"/>
                <w:kern w:val="2"/>
                <w:sz w:val="24"/>
                <w:szCs w:val="24"/>
                <w:highlight w:val="none"/>
                <w:lang w:eastAsia="zh-CN"/>
              </w:rPr>
            </w:pPr>
          </w:p>
        </w:tc>
      </w:tr>
    </w:tbl>
    <w:p w14:paraId="1FD561AA">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7.3.2</w:t>
      </w:r>
      <w:r>
        <w:rPr>
          <w:rFonts w:hint="eastAsia" w:ascii="仿宋" w:hAnsi="仿宋" w:eastAsia="仿宋"/>
          <w:color w:val="auto"/>
          <w:sz w:val="24"/>
          <w:szCs w:val="24"/>
          <w:highlight w:val="none"/>
        </w:rPr>
        <w:t xml:space="preserve">乙方指定收款账户为：  </w:t>
      </w:r>
    </w:p>
    <w:p w14:paraId="3A8501FE">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账户名称：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14:paraId="538E6523">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14:paraId="31EFFB89">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银行账号：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14:paraId="75B6D72C">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统一社会信用代码：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14:paraId="0B26AC51">
      <w:pPr>
        <w:widowControl/>
        <w:spacing w:line="360" w:lineRule="auto"/>
        <w:ind w:firstLine="480" w:firstLineChars="200"/>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7.</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zh-CN"/>
        </w:rPr>
        <w:t>双方一致同意，如本合同工程审计机关对结算评审提出修正意见的，双方应当本着实事求是的原则，按审计机关意见予以纠正。</w:t>
      </w:r>
    </w:p>
    <w:p w14:paraId="54B0E9C6">
      <w:pPr>
        <w:widowControl/>
        <w:spacing w:line="360" w:lineRule="auto"/>
        <w:ind w:firstLine="480" w:firstLineChars="200"/>
        <w:jc w:val="left"/>
        <w:rPr>
          <w:rFonts w:ascii="仿宋" w:hAnsi="仿宋" w:eastAsia="仿宋"/>
          <w:color w:val="auto"/>
          <w:sz w:val="24"/>
          <w:szCs w:val="24"/>
          <w:highlight w:val="none"/>
          <w:lang w:val="zh-CN"/>
        </w:rPr>
      </w:pPr>
      <w:r>
        <w:rPr>
          <w:rFonts w:ascii="仿宋" w:hAnsi="仿宋" w:eastAsia="仿宋"/>
          <w:color w:val="auto"/>
          <w:sz w:val="24"/>
          <w:szCs w:val="24"/>
          <w:highlight w:val="none"/>
          <w:lang w:val="zh-CN"/>
        </w:rPr>
        <w:t>7.5</w:t>
      </w:r>
      <w:r>
        <w:rPr>
          <w:rFonts w:hint="eastAsia" w:ascii="仿宋" w:hAnsi="仿宋" w:eastAsia="仿宋" w:cs="Times New Roman"/>
          <w:snapToGrid/>
          <w:color w:val="auto"/>
          <w:kern w:val="2"/>
          <w:sz w:val="24"/>
          <w:szCs w:val="24"/>
          <w:highlight w:val="none"/>
          <w:lang w:eastAsia="zh-CN"/>
        </w:rPr>
        <w:t>支付方式：</w:t>
      </w:r>
      <w:r>
        <w:rPr>
          <w:rFonts w:hint="eastAsia" w:ascii="仿宋" w:hAnsi="仿宋" w:eastAsia="仿宋" w:cs="Times New Roman"/>
          <w:snapToGrid/>
          <w:color w:val="auto"/>
          <w:kern w:val="2"/>
          <w:sz w:val="24"/>
          <w:szCs w:val="24"/>
          <w:highlight w:val="none"/>
          <w:lang w:val="en-US" w:eastAsia="zh-CN"/>
        </w:rPr>
        <w:t>甲方</w:t>
      </w:r>
      <w:r>
        <w:rPr>
          <w:rFonts w:hint="eastAsia" w:ascii="仿宋" w:hAnsi="仿宋" w:eastAsia="仿宋" w:cs="Times New Roman"/>
          <w:snapToGrid/>
          <w:color w:val="auto"/>
          <w:kern w:val="2"/>
          <w:sz w:val="24"/>
          <w:szCs w:val="24"/>
          <w:highlight w:val="none"/>
          <w:lang w:eastAsia="zh-CN"/>
        </w:rPr>
        <w:t>有权通过银行承兑汇票、商业承兑汇票或银行账户转账方式支付</w:t>
      </w:r>
      <w:r>
        <w:rPr>
          <w:rFonts w:hint="eastAsia" w:ascii="仿宋" w:hAnsi="仿宋" w:eastAsia="仿宋" w:cs="仿宋"/>
          <w:color w:val="auto"/>
          <w:sz w:val="24"/>
          <w:szCs w:val="24"/>
          <w:highlight w:val="none"/>
          <w:lang w:val="zh-CN"/>
        </w:rPr>
        <w:t>。</w:t>
      </w:r>
    </w:p>
    <w:p w14:paraId="615B2CC0">
      <w:pPr>
        <w:widowControl/>
        <w:spacing w:line="520" w:lineRule="exact"/>
        <w:ind w:firstLine="470" w:firstLineChars="195"/>
        <w:jc w:val="left"/>
        <w:outlineLvl w:val="1"/>
        <w:rPr>
          <w:rFonts w:ascii="仿宋" w:hAnsi="仿宋" w:eastAsia="仿宋" w:cs="仿宋"/>
          <w:b/>
          <w:color w:val="auto"/>
          <w:sz w:val="24"/>
          <w:szCs w:val="24"/>
          <w:highlight w:val="none"/>
        </w:rPr>
      </w:pPr>
      <w:bookmarkStart w:id="18" w:name="_Toc29849"/>
      <w:r>
        <w:rPr>
          <w:rFonts w:hint="eastAsia" w:ascii="仿宋" w:hAnsi="仿宋" w:eastAsia="仿宋" w:cs="仿宋"/>
          <w:b/>
          <w:color w:val="auto"/>
          <w:sz w:val="24"/>
          <w:szCs w:val="24"/>
          <w:highlight w:val="none"/>
        </w:rPr>
        <w:t>八、违约责任</w:t>
      </w:r>
      <w:bookmarkEnd w:id="18"/>
    </w:p>
    <w:p w14:paraId="050A20B6">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8.1甲方违约责任</w:t>
      </w:r>
    </w:p>
    <w:p w14:paraId="524A5D36">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若由于甲方原因造成未在本合同约定的支付期限内支付服务报酬，甲方除应继续支付服务报酬外，还应按同期央行公布的基准活期存款利率给乙方计付款项拖欠期间的利息。</w:t>
      </w:r>
    </w:p>
    <w:p w14:paraId="3EF0F5DD">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8.2乙方违约责任</w:t>
      </w:r>
    </w:p>
    <w:p w14:paraId="3888B0F1">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8.2.1乙方承担违约责任的方式包括但不限于：</w:t>
      </w:r>
    </w:p>
    <w:p w14:paraId="44D71F35">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（1）书面警告。乙方不履行或不完全履行合同或不执行甲方的指令时，甲方有权向乙方发出书面警告。乙方必须在书面警告限定的时间内履行义务或执行指令，否则应承担一次一般违约责任。</w:t>
      </w:r>
    </w:p>
    <w:p w14:paraId="10C2C59E">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（2）一般违约责任。乙方违反本合同的约定须承担一般违约责任时，必须向甲方交纳违约金人民币3000元/次。</w:t>
      </w:r>
    </w:p>
    <w:p w14:paraId="6B554BD9">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（3）严重违约责任。乙方违反本合同的约定须承担严重违约责任时，必须向甲方交纳违约金人民币10000元/次。</w:t>
      </w:r>
    </w:p>
    <w:p w14:paraId="4BF77F73">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（4）下浮支付服务报酬。乙方的违约情节特别严重时，甲方有权在合同约定基础上再下浮支付服务报酬，累计下浮金额不超过服务报酬总额的50%。</w:t>
      </w:r>
    </w:p>
    <w:p w14:paraId="79354AA0">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（5）部分解除合同或解除合同。乙方累计三次以上（含三次）严重违约或甲方认为其违约情节特别恶劣的，甲方有权单方面部分解除合同或解除合同。</w:t>
      </w:r>
    </w:p>
    <w:p w14:paraId="05BF3A44">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6）赔偿损失。因乙方违约或工作失误给甲方造成损失的，乙方应向甲方赔偿与违约有直接或间接因果关系的所有损失，但赔偿总额不应超过服务报酬总额。如果损失是由于乙方故意或严重渎职造成的，乙方应全额赔偿由此给甲方所造成的损失。</w:t>
      </w:r>
    </w:p>
    <w:p w14:paraId="3776A0E3">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8.2.2三次书面警告另行追加一次一般违约责任，三次一般违约责任另行追加一次严重违约责任，累计三次严重违约责任，甲方有权单方面部分解除合同或解除合同。</w:t>
      </w:r>
    </w:p>
    <w:p w14:paraId="01A80A1A">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如：视情况决定将乙方的违约行为通报有关政府主管部门，提起诉讼等。</w:t>
      </w:r>
    </w:p>
    <w:p w14:paraId="0114B822">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8.2.4组织管理方面的违约责任</w:t>
      </w:r>
    </w:p>
    <w:p w14:paraId="6A092B64">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14:paraId="2493F462">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14:paraId="5D33EBFD">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14:paraId="711BD623">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4）乙方违反本合同约定，所配备的造价咨询人员（含驻场人员）不按甲方的作息时间在甲方指定的地点驻场办公的，第一次将向乙方发出书面警告，乙方应在甲方规定的时间内改正，第二次以后，每违反一次按一次一般违约处理；同时甲方有权视情况单方面部分解除合同或解除合同。</w:t>
      </w:r>
    </w:p>
    <w:p w14:paraId="4CDF0B46">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（5）乙方违反本合同约定，未经甲方书面同意擅自更换造价咨询人员的，甲方有权发出书面警告，乙方应在甲方规定的时间内改正，否则应承担一次严重违约责任；同时甲方有权方面部分解除合同或解除合同。</w:t>
      </w:r>
    </w:p>
    <w:p w14:paraId="6F300F83">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14:paraId="7544978B">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（7）甲方要求乙方有关人员必须参加的会议（含对数等），有关人员必须到会，未经甲方同意不到会或不按期到会的，甲方有权给予书面警告。</w:t>
      </w:r>
    </w:p>
    <w:p w14:paraId="00007AB4">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8.2.5工作进度方面的违约责任</w:t>
      </w:r>
    </w:p>
    <w:p w14:paraId="35D5DA24">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乙方不按本合同约定的时间向甲方提交合格的造价咨询成果文件的，每延误一天，应按本合同服务报酬总额的1‰向甲方支付违约金；延误20天以上，乙方除按上述约定继续支付违约金外，甲方有权下浮10%支付服务报酬；延误30天以上，甲方有权单方面部分解除合同或解除合同。</w:t>
      </w:r>
    </w:p>
    <w:p w14:paraId="0DC97F7B">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14:paraId="02BE9730">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（3）乙方不按本合同约定的时间向甲方提交造价咨询工作报告和符合归档要求的造价咨询成果文件的，业主单位支付服务报酬的时间相应顺延，且乙方须承担一次严重违约责任。</w:t>
      </w:r>
    </w:p>
    <w:p w14:paraId="1EA87BE5">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8.2.6服务质量方面的违约责任</w:t>
      </w:r>
    </w:p>
    <w:p w14:paraId="116F5D02">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（1）乙方提交的工作成果存在单项漏项或偏差金额＜100万元的，按以下约定处理：</w:t>
      </w:r>
    </w:p>
    <w:p w14:paraId="6116D438">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漏项或偏差金额累计达到100万元以上且不超过500万元时，甲方即有权要求乙方承担一次一般违约责任；最终确认漏项或偏差累计金额达到500万元以上的，甲方有权要求乙方另行承担一次严重违约责任。</w:t>
      </w:r>
    </w:p>
    <w:p w14:paraId="664D72E6">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（2）乙方提交的工作成果存在单项漏项或偏差金额≥100万元的，每发现一次，甲方有权要求乙方承担一次严重违约责任。</w:t>
      </w:r>
    </w:p>
    <w:p w14:paraId="45DFC5A4">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3）经查实乙方违反本合同约定或者由于乙方的其它原因，致使甲方被投诉的，甲方视情节严重程度有权要求乙方承担一次一般违约或以上的违约责任并下浮10%支付服务报酬。因此致使中标无效需要重新组织招标的，重新组织招标所需要的费用全部由乙方承担。同时，甲方有权单方面部分解除合同或解除合同。</w:t>
      </w:r>
    </w:p>
    <w:p w14:paraId="3331E978">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并甲方有权下浮10%支付服务报酬；延误30天以上，甲方有权单方面部分解除合同或解除合同。</w:t>
      </w:r>
    </w:p>
    <w:p w14:paraId="6E8E8EF9">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（5）乙方对本合同约定有关工作事项故意拖延或者不作出明确处理意见的，每发生一次，乙方须承担一次一般违约责任。若因此给甲方造成损失的，乙方应赔偿甲方的全部损失。</w:t>
      </w:r>
    </w:p>
    <w:p w14:paraId="63837365">
      <w:pPr>
        <w:widowControl/>
        <w:spacing w:line="360" w:lineRule="auto"/>
        <w:ind w:firstLine="480"/>
        <w:rPr>
          <w:rFonts w:ascii="仿宋" w:hAnsi="仿宋"/>
          <w:color w:val="auto"/>
          <w:sz w:val="24"/>
          <w:szCs w:val="24"/>
          <w:highlight w:val="none"/>
        </w:rPr>
      </w:pPr>
      <w:r>
        <w:rPr>
          <w:rFonts w:hint="eastAsia" w:ascii="仿宋" w:hAnsi="仿宋" w:eastAsia="仿宋"/>
          <w:color w:val="auto"/>
          <w:sz w:val="24"/>
          <w:szCs w:val="24"/>
          <w:highlight w:val="none"/>
        </w:rPr>
        <w:t>（6）由于乙方原因，致使本合同项目在施工阶段中发生三类变更的，甲方有权要求乙方承担一次一般违约责任；发生二类变更的，乙方除应承担一次严重违约责任外，还应向甲方赔偿相应的损失；发生一类变更的，甲方有权下浮10%支付服务报酬，且乙方应向甲方赔偿相应的损失，同时，甲方有权单方面部分解除合同或解除合同。（一类变更：单项变更造价增减超过中标合同价的10%或 400 万元以上；二类变更：单项变更造价增减不满中标合同价的10%且变更金额为50万元以上不满</w:t>
      </w:r>
      <w:r>
        <w:rPr>
          <w:rFonts w:hint="eastAsia" w:ascii="仿宋" w:hAnsi="仿宋" w:eastAsia="仿宋"/>
          <w:color w:val="auto"/>
          <w:sz w:val="24"/>
          <w:szCs w:val="24"/>
          <w:highlight w:val="none"/>
          <w:lang w:val="en-US" w:eastAsia="zh-CN"/>
        </w:rPr>
        <w:t>400</w:t>
      </w:r>
      <w:r>
        <w:rPr>
          <w:rFonts w:hint="eastAsia" w:ascii="仿宋" w:hAnsi="仿宋" w:eastAsia="仿宋"/>
          <w:color w:val="auto"/>
          <w:sz w:val="24"/>
          <w:szCs w:val="24"/>
          <w:highlight w:val="none"/>
        </w:rPr>
        <w:t>万元 ；三类变更：未达到一、二类变更造价标准的其他情形。）</w:t>
      </w:r>
    </w:p>
    <w:p w14:paraId="6E200B3E">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7）竣工结算总金额超出实际实施范围所对应的批复概算金额，甲方有权下浮10%支付服务报酬，同时，甲方有权单方面部分解除合同或解除合同。</w:t>
      </w:r>
    </w:p>
    <w:p w14:paraId="6475CB8A">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8.2.7工作纪律方面的违约责任</w:t>
      </w:r>
    </w:p>
    <w:p w14:paraId="2D3327ED">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（1）对于造价异常情况，乙方不如实或不及时上报甲方甚至隐瞒不报的，一经核实，乙方须承担一次严重违约责任。若因此给甲方造成损失的，乙方应赔偿甲方的全部损失。</w:t>
      </w:r>
    </w:p>
    <w:p w14:paraId="5FD49D19">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2）乙方违反本合同约定，接受了与本合同工程建设项目有关的咨询业务，甲方有权单方面部分解除合同或解除合同；同时，甲方将如实通报政府有关部门，由政府有关部门对其进行处罚。若因此给甲方造成损失，乙方应赔偿甲方的全部损失。</w:t>
      </w:r>
    </w:p>
    <w:p w14:paraId="76387768">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14:paraId="163C994C">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4）如发生任何对乙方的投诉情况，经查属实，甲方有权根据情节轻重要求乙方承担一次严重违约责任并且甲方有权下浮10%支付服务报酬。同时，甲方将视情况决定将乙方的违约行为通报有关政府主管部门。如因对乙方的投诉最终导致甲方被投诉的，同时按照本合同条款第8.2.6－（3）款执行。</w:t>
      </w:r>
    </w:p>
    <w:p w14:paraId="4779460B">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（5）乙方通过提供虚假信息，误导或欺骗等方式，谋取非法利益的；乙方未经甲方书面同意擅自将受托项目转委托给第三方的，每次均须承担严重违约责任一次。</w:t>
      </w:r>
    </w:p>
    <w:p w14:paraId="736A93D4">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（6）乙方拒绝接受甲方跟踪核查的；乙方不按要求保管甲方提供的相关资料的，每次均须承担一般违约责任一次。</w:t>
      </w:r>
    </w:p>
    <w:p w14:paraId="3E7F7290">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（7）乙方违反回避、或保密义务，每次均须承担严重违约责任一次，并承担其它相应的法律责任。</w:t>
      </w:r>
    </w:p>
    <w:p w14:paraId="44B51E28">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8.2.8乙方在项目工作质量考评中合格，但分数低于65分且有单项得分低于合格基准分的，甲方有权下浮10%支付造价咨询服务报酬，并要求乙方对相应单项进行整改，乙方必须无条件接受。</w:t>
      </w:r>
    </w:p>
    <w:p w14:paraId="64C4A189">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8.2.9乙方向甲方提出的赔偿要求不能成立时，则应补偿由于该赔偿或其他要求所导致甲方的各种费用的支出。</w:t>
      </w:r>
    </w:p>
    <w:p w14:paraId="0267E6FD">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8.2.10在本合同有效期内，乙方的单位名称变更的，应及时以书面形式通知甲方；乙方法定代表人变更的，应在变更后15日内向甲方提交新法定代表人的职务、职称、联系电话、通信地址等信息。否则视为乙方违约，乙方应当承担一次一般违约责任。</w:t>
      </w:r>
    </w:p>
    <w:p w14:paraId="5896FBC4">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8.2.11除上述约定之外，乙方不履行或不完全履行合同其他义务的，均构成违约，应当承担一次一般违约责任。情节较轻的，可给予书面警告；情节较重的，应当承担一次严重违约责任。</w:t>
      </w:r>
    </w:p>
    <w:p w14:paraId="1ABA63BA">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8.2.12乙方违约责任的认定方式：以甲方发出的通知、通报、会议纪要等书面文件确定的内容为准。</w:t>
      </w:r>
    </w:p>
    <w:p w14:paraId="534974E4">
      <w:pPr>
        <w:widowControl/>
        <w:spacing w:line="520" w:lineRule="exact"/>
        <w:ind w:firstLine="470" w:firstLineChars="195"/>
        <w:jc w:val="left"/>
        <w:outlineLvl w:val="1"/>
        <w:rPr>
          <w:rFonts w:ascii="仿宋" w:hAnsi="仿宋" w:eastAsia="仿宋" w:cs="仿宋"/>
          <w:b/>
          <w:color w:val="auto"/>
          <w:sz w:val="24"/>
          <w:szCs w:val="24"/>
          <w:highlight w:val="none"/>
        </w:rPr>
      </w:pPr>
      <w:bookmarkStart w:id="19" w:name="_Toc25909"/>
      <w:r>
        <w:rPr>
          <w:rFonts w:hint="eastAsia" w:ascii="仿宋" w:hAnsi="仿宋" w:eastAsia="仿宋" w:cs="仿宋"/>
          <w:b/>
          <w:color w:val="auto"/>
          <w:sz w:val="24"/>
          <w:szCs w:val="24"/>
          <w:highlight w:val="none"/>
        </w:rPr>
        <w:t>九、合同变更与终止</w:t>
      </w:r>
      <w:bookmarkEnd w:id="19"/>
    </w:p>
    <w:p w14:paraId="000327E6">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9.1由于甲方或第三人的原因使乙方工作受到阻碍或延误以致增加了工作量或持续时间，则乙方应当将此情况与可能产生的影响及时书面通知甲方，双方协商确认后方可对完成建设工程造价咨询工作的时间进行相应延长。</w:t>
      </w:r>
    </w:p>
    <w:p w14:paraId="2DFC9DA7">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9.2当事人一方要求变更或解除合同时，应当至少提前14天通知对方；因变更或解除合同使一方遭受损失的，应由责任方负责赔偿。</w:t>
      </w:r>
    </w:p>
    <w:p w14:paraId="5E1B6A63">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9.3本合同履行期间，如遇不可抗力，致使合同无法履行的，双方应按有关法律规定及时协商处理。</w:t>
      </w:r>
    </w:p>
    <w:p w14:paraId="018179C7">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不可抗力，是指不能预见、不能避免并不能克服、对本合同的约定工作造成实质性影响的自然灾害和战争、动乱（不包括乙方内部的任何纠纷和纷争）等社会事件。政府关于本项目政策的重大调整或本项目建设规划方案重大功能性调整，也属不可抗力。</w:t>
      </w:r>
    </w:p>
    <w:p w14:paraId="7FFCCC22">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9.4变更或解除合同的通知或协议应当采取书面形式，新的协议未达成之前，原合同仍然有效。</w:t>
      </w:r>
    </w:p>
    <w:p w14:paraId="036A4764">
      <w:pPr>
        <w:widowControl/>
        <w:spacing w:line="520" w:lineRule="exact"/>
        <w:ind w:firstLine="470" w:firstLineChars="195"/>
        <w:jc w:val="left"/>
        <w:outlineLvl w:val="1"/>
        <w:rPr>
          <w:rFonts w:ascii="仿宋" w:hAnsi="仿宋" w:eastAsia="仿宋" w:cs="仿宋"/>
          <w:b/>
          <w:color w:val="auto"/>
          <w:sz w:val="24"/>
          <w:szCs w:val="24"/>
          <w:highlight w:val="none"/>
        </w:rPr>
      </w:pPr>
      <w:bookmarkStart w:id="20" w:name="_Toc25126"/>
      <w:r>
        <w:rPr>
          <w:rFonts w:hint="eastAsia" w:ascii="仿宋" w:hAnsi="仿宋" w:eastAsia="仿宋" w:cs="仿宋"/>
          <w:b/>
          <w:color w:val="auto"/>
          <w:sz w:val="24"/>
          <w:szCs w:val="24"/>
          <w:highlight w:val="none"/>
        </w:rPr>
        <w:t>十、履约担保及索赔</w:t>
      </w:r>
      <w:bookmarkEnd w:id="20"/>
    </w:p>
    <w:p w14:paraId="6C743D07">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10.1 乙方应在本合同签订后1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天内按招标文件载明的格式向甲方</w:t>
      </w:r>
      <w:r>
        <w:rPr>
          <w:rFonts w:hint="eastAsia" w:ascii="仿宋" w:hAnsi="仿宋" w:eastAsia="仿宋" w:cs="Times New Roman"/>
          <w:snapToGrid/>
          <w:color w:val="auto"/>
          <w:kern w:val="2"/>
          <w:sz w:val="24"/>
          <w:szCs w:val="24"/>
          <w:highlight w:val="none"/>
          <w:u w:val="none"/>
          <w:lang w:eastAsia="zh-CN"/>
        </w:rPr>
        <w:t>提交履约担保（履约担保形式包含担保保函、银行保函），</w:t>
      </w:r>
      <w:r>
        <w:rPr>
          <w:rFonts w:hint="eastAsia" w:ascii="仿宋" w:hAnsi="仿宋" w:eastAsia="仿宋"/>
          <w:color w:val="auto"/>
          <w:sz w:val="24"/>
          <w:szCs w:val="24"/>
          <w:highlight w:val="none"/>
        </w:rPr>
        <w:t>担保金额为合同价款的10%,即人民币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w:t>
      </w:r>
    </w:p>
    <w:p w14:paraId="5DF64541">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10.2 乙方如未能在上述约定的时间内提交履约担保的，视为乙方擅自解除本合同，乙方应按合同总额的20%向甲方支付违约金；如乙方后续向甲方提交足额的履约担保，甲方亦同意继续履行本合同的除外。</w:t>
      </w:r>
    </w:p>
    <w:p w14:paraId="48B6E83E">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10.3 乙方提交的履约担保是对本合同约定的乙方的全部义务（包括但不限于乙方违约后应支付的违约金和赔偿金）的担保，乙方的任何一次不履行或不完全履行合同义务的行为，甲方均有权向提出索赔。</w:t>
      </w:r>
    </w:p>
    <w:p w14:paraId="73E9EA6E">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10.4 乙方不履行或不完全履行合同义务的行为导致甲方依据履约担保索赔担保金额的一部分或者全部的，乙方必须在甲方规定的时间内补充提交履约担保，使得本合同履行期间有效的履约担保金额等于乙方按本合同约定第一次提交的履约担保金额。</w:t>
      </w:r>
    </w:p>
    <w:p w14:paraId="1A511FB8">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10.5 乙方提交的履约担保期限应与合同履行期限一致，如履约担保到期时本项目还未达到退保函的条件，乙方应于担保有效期前30日内无条件完成续保手续，否则甲方有权不支付进度款，续保费用由乙方承担。</w:t>
      </w:r>
    </w:p>
    <w:p w14:paraId="6A03B7F0">
      <w:pPr>
        <w:spacing w:line="520" w:lineRule="exact"/>
        <w:ind w:firstLine="480" w:firstLineChars="200"/>
        <w:outlineLvl w:val="2"/>
        <w:rPr>
          <w:rFonts w:ascii="仿宋" w:hAnsi="仿宋" w:eastAsia="仿宋" w:cs="仿宋"/>
          <w:color w:val="auto"/>
          <w:sz w:val="24"/>
          <w:szCs w:val="24"/>
          <w:highlight w:val="none"/>
        </w:rPr>
      </w:pPr>
      <w:r>
        <w:rPr>
          <w:rFonts w:hint="eastAsia" w:ascii="仿宋" w:hAnsi="仿宋" w:eastAsia="仿宋"/>
          <w:color w:val="auto"/>
          <w:sz w:val="24"/>
          <w:szCs w:val="24"/>
          <w:highlight w:val="none"/>
        </w:rPr>
        <w:t>10.6</w:t>
      </w:r>
      <w:r>
        <w:rPr>
          <w:rFonts w:hint="eastAsia" w:ascii="仿宋" w:hAnsi="仿宋" w:eastAsia="仿宋" w:cs="仿宋"/>
          <w:color w:val="auto"/>
          <w:sz w:val="24"/>
          <w:szCs w:val="24"/>
          <w:highlight w:val="none"/>
        </w:rPr>
        <w:t>如乙方未依本协议要求按时完成续保手续或未能按时补足履约担保金额的，甲方有权选择：</w:t>
      </w:r>
    </w:p>
    <w:p w14:paraId="7479ABAF">
      <w:pPr>
        <w:spacing w:line="520" w:lineRule="exact"/>
        <w:ind w:firstLine="480" w:firstLineChars="200"/>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①单方解除本合同并要求乙方按本合同暂定总价的20%支付违约金，并追究法律责任。</w:t>
      </w:r>
    </w:p>
    <w:p w14:paraId="7164D02F">
      <w:pPr>
        <w:spacing w:line="520" w:lineRule="exact"/>
        <w:ind w:firstLine="480" w:firstLineChars="200"/>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②不解除合同，暂停支付合同款项，直至乙方按本合同及甲方的要求开具合法有效的履约保函。</w:t>
      </w:r>
    </w:p>
    <w:p w14:paraId="3A2E3DE0">
      <w:pPr>
        <w:spacing w:line="520" w:lineRule="exact"/>
        <w:ind w:firstLine="480" w:firstLineChars="200"/>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③不解除合同，甲方有权从服务费中等额扣除与履约担保金额一致的服务费，待本工程服务期届满3个月之日起15个工作日内一次性无息退还给乙方。</w:t>
      </w:r>
    </w:p>
    <w:p w14:paraId="53CE4E13">
      <w:pPr>
        <w:spacing w:line="520" w:lineRule="exact"/>
        <w:ind w:firstLine="480" w:firstLineChars="200"/>
        <w:outlineLvl w:val="2"/>
        <w:rPr>
          <w:color w:val="auto"/>
          <w:highlight w:val="none"/>
        </w:rPr>
      </w:pPr>
      <w:r>
        <w:rPr>
          <w:rFonts w:hint="eastAsia" w:ascii="仿宋" w:hAnsi="仿宋" w:eastAsia="仿宋" w:cs="仿宋"/>
          <w:color w:val="auto"/>
          <w:sz w:val="24"/>
          <w:szCs w:val="24"/>
          <w:highlight w:val="none"/>
        </w:rPr>
        <w:t>如甲方选择前述第②或者第③项的，乙方除需按前述要求提供履约担保，还需要按照合同暂定总价的2%支付违约金。</w:t>
      </w:r>
    </w:p>
    <w:p w14:paraId="0C04BC87">
      <w:pPr>
        <w:widowControl/>
        <w:spacing w:line="360" w:lineRule="auto"/>
        <w:ind w:firstLine="480"/>
        <w:rPr>
          <w:rFonts w:ascii="宋体" w:hAnsi="宋体"/>
          <w:color w:val="auto"/>
          <w:spacing w:val="4"/>
          <w:kern w:val="0"/>
          <w:sz w:val="24"/>
          <w:szCs w:val="24"/>
          <w:highlight w:val="none"/>
        </w:rPr>
      </w:pPr>
      <w:r>
        <w:rPr>
          <w:rFonts w:hint="eastAsia" w:ascii="仿宋" w:hAnsi="仿宋" w:eastAsia="仿宋"/>
          <w:color w:val="auto"/>
          <w:sz w:val="24"/>
          <w:szCs w:val="24"/>
          <w:highlight w:val="none"/>
        </w:rPr>
        <w:t>10.7 工程结算最终定审后，乙方可以向甲方申请退还履约担保。</w:t>
      </w:r>
    </w:p>
    <w:p w14:paraId="12386C6F">
      <w:pPr>
        <w:widowControl/>
        <w:spacing w:line="520" w:lineRule="exact"/>
        <w:ind w:firstLine="470" w:firstLineChars="195"/>
        <w:jc w:val="left"/>
        <w:outlineLvl w:val="1"/>
        <w:rPr>
          <w:rFonts w:ascii="仿宋" w:hAnsi="仿宋" w:eastAsia="仿宋" w:cs="仿宋"/>
          <w:b/>
          <w:color w:val="auto"/>
          <w:sz w:val="24"/>
          <w:szCs w:val="24"/>
          <w:highlight w:val="none"/>
        </w:rPr>
      </w:pPr>
      <w:bookmarkStart w:id="21" w:name="_Toc31284"/>
      <w:r>
        <w:rPr>
          <w:rFonts w:hint="eastAsia" w:ascii="仿宋" w:hAnsi="仿宋" w:eastAsia="仿宋" w:cs="仿宋"/>
          <w:b/>
          <w:color w:val="auto"/>
          <w:sz w:val="24"/>
          <w:szCs w:val="24"/>
          <w:highlight w:val="none"/>
        </w:rPr>
        <w:t>十一、合同争议的解决</w:t>
      </w:r>
      <w:bookmarkEnd w:id="21"/>
    </w:p>
    <w:p w14:paraId="2CA9995A">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11.1凡因履行本合同而引起的一切争议或与本合同有关的争议，应由甲乙双方通过友好协商解决。协商不成时，任何一方均有权向甲方住所地人民法院提起诉讼。</w:t>
      </w:r>
    </w:p>
    <w:p w14:paraId="2FCBE3BF">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11.2乙方承诺：在争议解决期间，仍将尽职尽责继续完成甲方所委托的工作，否则甲方有权先行单方面解除本合同；如甲方决定先行单方面解除本合同的，乙方立即无条件服从并将有关资料无偿移交甲方。</w:t>
      </w:r>
    </w:p>
    <w:p w14:paraId="70B13B64">
      <w:pPr>
        <w:widowControl/>
        <w:spacing w:line="520" w:lineRule="exact"/>
        <w:ind w:firstLine="470" w:firstLineChars="195"/>
        <w:jc w:val="left"/>
        <w:outlineLvl w:val="1"/>
        <w:rPr>
          <w:rFonts w:ascii="仿宋" w:hAnsi="仿宋" w:eastAsia="仿宋" w:cs="仿宋"/>
          <w:b/>
          <w:color w:val="auto"/>
          <w:sz w:val="24"/>
          <w:szCs w:val="24"/>
          <w:highlight w:val="none"/>
        </w:rPr>
      </w:pPr>
      <w:bookmarkStart w:id="22" w:name="_Toc21465"/>
      <w:r>
        <w:rPr>
          <w:rFonts w:hint="eastAsia" w:ascii="仿宋" w:hAnsi="仿宋" w:eastAsia="仿宋" w:cs="仿宋"/>
          <w:b/>
          <w:color w:val="auto"/>
          <w:sz w:val="24"/>
          <w:szCs w:val="24"/>
          <w:highlight w:val="none"/>
        </w:rPr>
        <w:t>十二、其它</w:t>
      </w:r>
      <w:bookmarkEnd w:id="22"/>
    </w:p>
    <w:p w14:paraId="4FB24873">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12.1补充条款</w:t>
      </w:r>
    </w:p>
    <w:p w14:paraId="5C9452C3">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乙方承诺严格按照合同约定履行义务，并同意甲方将其履行合同、招投标文件义务的履约情况和不诚信行为（包括但不限于由甲方组织的考核、考评通报、作出的违约责任处理决定等）在甲方网站和建设项目业主网站及其他媒体上公开披露，由此造成的一切损失和不利后果均由乙方自行承担。</w:t>
      </w:r>
    </w:p>
    <w:p w14:paraId="081A8B0E">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12.2知识产权</w:t>
      </w:r>
    </w:p>
    <w:p w14:paraId="412A901C">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乙方应保证在造价咨询服务中所编制的文件不侵犯他人合法权益。乙方为本合同约定项目提供造价咨询服务编制的所有文件的知识产权应属甲方专有。</w:t>
      </w:r>
    </w:p>
    <w:p w14:paraId="3F2BB115">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12.3回避</w:t>
      </w:r>
    </w:p>
    <w:p w14:paraId="212BC801">
      <w:pPr>
        <w:widowControl/>
        <w:spacing w:line="360" w:lineRule="auto"/>
        <w:ind w:firstLine="480"/>
        <w:rPr>
          <w:rFonts w:ascii="宋体" w:hAnsi="宋体"/>
          <w:snapToGrid w:val="0"/>
          <w:color w:val="auto"/>
          <w:sz w:val="24"/>
          <w:szCs w:val="24"/>
          <w:highlight w:val="none"/>
        </w:rPr>
      </w:pPr>
      <w:r>
        <w:rPr>
          <w:rFonts w:hint="eastAsia" w:ascii="仿宋" w:hAnsi="仿宋" w:eastAsia="仿宋"/>
          <w:color w:val="auto"/>
          <w:sz w:val="24"/>
          <w:szCs w:val="24"/>
          <w:highlight w:val="none"/>
        </w:rPr>
        <w:t>乙方不得再接受除甲方外的其他委托人对本项目的服务委托，即不能就本项目既接受甲方的委托，又接受项目投标供应商、施工承包单位等相对利益关系人的委托，否则甲方有权解除本合同并按合同条款第8.2款的约定追究乙方的违约责任。</w:t>
      </w:r>
    </w:p>
    <w:p w14:paraId="2156E6F9">
      <w:pPr>
        <w:widowControl/>
        <w:spacing w:line="520" w:lineRule="exact"/>
        <w:ind w:firstLine="470" w:firstLineChars="195"/>
        <w:jc w:val="left"/>
        <w:outlineLvl w:val="1"/>
        <w:rPr>
          <w:rFonts w:ascii="仿宋" w:hAnsi="仿宋" w:eastAsia="仿宋" w:cs="仿宋"/>
          <w:b/>
          <w:color w:val="auto"/>
          <w:sz w:val="24"/>
          <w:szCs w:val="24"/>
          <w:highlight w:val="none"/>
        </w:rPr>
      </w:pPr>
      <w:bookmarkStart w:id="23" w:name="_Toc13873"/>
      <w:r>
        <w:rPr>
          <w:rFonts w:hint="eastAsia" w:ascii="仿宋" w:hAnsi="仿宋" w:eastAsia="仿宋" w:cs="仿宋"/>
          <w:b/>
          <w:color w:val="auto"/>
          <w:sz w:val="24"/>
          <w:szCs w:val="24"/>
          <w:highlight w:val="none"/>
        </w:rPr>
        <w:t>十三、附件</w:t>
      </w:r>
      <w:bookmarkEnd w:id="23"/>
    </w:p>
    <w:p w14:paraId="5A15437A">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附件1：工程建设廉洁协议书</w:t>
      </w:r>
    </w:p>
    <w:p w14:paraId="6C480E59">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附件2：中标通知书</w:t>
      </w:r>
    </w:p>
    <w:p w14:paraId="4E3433F3">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附件3：拟投入本项目造价人员一览表</w:t>
      </w:r>
    </w:p>
    <w:p w14:paraId="22B18C61">
      <w:pPr>
        <w:widowControl/>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附件4：投标函及投标函附录</w:t>
      </w:r>
    </w:p>
    <w:p w14:paraId="0E4F4E48">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附件5：乙方营业执照</w:t>
      </w:r>
    </w:p>
    <w:p w14:paraId="32261323">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附件6：造价咨询服务考核评分表</w:t>
      </w:r>
    </w:p>
    <w:p w14:paraId="17928007">
      <w:pPr>
        <w:widowControl/>
        <w:spacing w:line="520" w:lineRule="exact"/>
        <w:contextualSpacing/>
        <w:jc w:val="left"/>
        <w:outlineLvl w:val="0"/>
        <w:rPr>
          <w:rFonts w:ascii="宋体" w:hAnsi="宋体" w:cs="宋体"/>
          <w:snapToGrid w:val="0"/>
          <w:color w:val="auto"/>
          <w:sz w:val="24"/>
          <w:szCs w:val="24"/>
          <w:highlight w:val="none"/>
        </w:rPr>
      </w:pPr>
      <w:bookmarkStart w:id="24" w:name="_Toc834"/>
      <w:r>
        <w:rPr>
          <w:rFonts w:hint="eastAsia" w:ascii="宋体" w:hAnsi="宋体" w:cs="宋体"/>
          <w:snapToGrid w:val="0"/>
          <w:color w:val="auto"/>
          <w:sz w:val="24"/>
          <w:szCs w:val="24"/>
          <w:highlight w:val="none"/>
        </w:rPr>
        <w:t>（本页以下无正文）</w:t>
      </w:r>
      <w:r>
        <w:rPr>
          <w:rFonts w:ascii="宋体" w:hAnsi="宋体" w:cs="宋体"/>
          <w:snapToGrid w:val="0"/>
          <w:color w:val="auto"/>
          <w:sz w:val="24"/>
          <w:szCs w:val="24"/>
          <w:highlight w:val="none"/>
        </w:rPr>
        <w:br w:type="page"/>
      </w:r>
      <w:r>
        <w:rPr>
          <w:rFonts w:hint="eastAsia" w:ascii="宋体" w:hAnsi="宋体" w:cs="宋体"/>
          <w:snapToGrid w:val="0"/>
          <w:color w:val="auto"/>
          <w:sz w:val="24"/>
          <w:szCs w:val="24"/>
          <w:highlight w:val="none"/>
        </w:rPr>
        <w:t>附件1：</w:t>
      </w:r>
      <w:bookmarkEnd w:id="24"/>
    </w:p>
    <w:p w14:paraId="08B3766F">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工程建设廉洁协议书</w:t>
      </w:r>
    </w:p>
    <w:p w14:paraId="59C63602">
      <w:pPr>
        <w:widowControl/>
        <w:adjustRightInd w:val="0"/>
        <w:snapToGrid w:val="0"/>
        <w:spacing w:line="360" w:lineRule="auto"/>
        <w:jc w:val="left"/>
        <w:rPr>
          <w:rFonts w:ascii="宋体" w:hAnsi="宋体"/>
          <w:snapToGrid w:val="0"/>
          <w:color w:val="auto"/>
          <w:kern w:val="0"/>
          <w:szCs w:val="32"/>
          <w:highlight w:val="none"/>
        </w:rPr>
      </w:pPr>
    </w:p>
    <w:p w14:paraId="2442813C">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工程项目名称：                              </w:t>
      </w:r>
    </w:p>
    <w:p w14:paraId="3F31791C">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工程项目地址：                                           </w:t>
      </w:r>
    </w:p>
    <w:p w14:paraId="5A8A9D32">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甲方（委托人）：</w:t>
      </w:r>
    </w:p>
    <w:p w14:paraId="064B55CA">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乙方（受托人）： </w:t>
      </w:r>
    </w:p>
    <w:p w14:paraId="7DC50A21">
      <w:pPr>
        <w:widowControl/>
        <w:spacing w:line="360" w:lineRule="auto"/>
        <w:ind w:firstLine="480"/>
        <w:jc w:val="left"/>
        <w:rPr>
          <w:rFonts w:ascii="仿宋" w:hAnsi="仿宋" w:eastAsia="仿宋"/>
          <w:color w:val="auto"/>
          <w:sz w:val="24"/>
          <w:szCs w:val="24"/>
          <w:highlight w:val="none"/>
        </w:rPr>
      </w:pPr>
    </w:p>
    <w:p w14:paraId="2E9D78B9">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为切实规范甲乙双方的各项建筑活动，预防本工程违法违纪等腐败现象的发生，保障工程建设优质、安全和廉洁，根据《广州市建筑市场廉洁准入规定》及相关法律法规的规定，特订立本协议书。</w:t>
      </w:r>
    </w:p>
    <w:p w14:paraId="547BF826">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第一条 甲乙双方责任</w:t>
      </w:r>
    </w:p>
    <w:p w14:paraId="112C8C42">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（一）严格遵守国家和省、市关于市场准入、项目招标投标、工程施工、工程验收、结算和市场活动等有关法律、法规，相关政策，以及廉政建设的各项约定。</w:t>
      </w:r>
    </w:p>
    <w:p w14:paraId="0864E9F3">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（二）严格执行建设工程项目承发包合同文件，自觉按合同办事。</w:t>
      </w:r>
    </w:p>
    <w:p w14:paraId="4A917E48">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14:paraId="48F53624">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（四）发现对方在建筑活动中存在违规、违纪、违法行为的，有权向其上级主管部门或纪检监察、检察等有关机关举报。</w:t>
      </w:r>
    </w:p>
    <w:p w14:paraId="24713C33">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（五）甲乙双方单位监督部门应充分发挥各自职能作用，积极互动形成纵向监督合力，依照本协议书规定，对本工程廉洁从业情况实施监督，及时制止不廉洁行为的发生。</w:t>
      </w:r>
    </w:p>
    <w:p w14:paraId="1BC36257">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第二条 甲方责任</w:t>
      </w:r>
    </w:p>
    <w:p w14:paraId="79A9537F">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（一）甲方领导干部和从事该工程建设的管理人员，在建筑活动中须严格遵守以下廉洁从业规定：</w:t>
      </w:r>
    </w:p>
    <w:p w14:paraId="25423BF3">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1.不准向乙方和相关单位或个人索取钱物或接受回扣、礼金、各种有价证券、信用卡和好处费、感谢费以及其它支付凭证等。</w:t>
      </w:r>
    </w:p>
    <w:p w14:paraId="0EF81CC0">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2.不准接受可能影响公正执行公务的乙方和相关单位或个人的礼物馈赠、宴请、各种形式俱乐部会员资格、高消费娱乐活动。</w:t>
      </w:r>
    </w:p>
    <w:p w14:paraId="509A0AB8">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3.不准在乙方和相关单位报销任何应由甲方或个人负担的费用。</w:t>
      </w:r>
    </w:p>
    <w:p w14:paraId="3943BF6F">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4.不准要求、暗示或接受乙方和相关单位或个人为自己、配偶、子女、其他亲属朋友及身边工作人员的装修住房、婚丧嫁娶、工作安排、学习培训、经商办企业以及出国（境）、旅游、度假等支付费用。</w:t>
      </w:r>
    </w:p>
    <w:p w14:paraId="441F8CE6">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5.不准向乙方介绍配偶、子女、其他亲属朋友及身边工作人员参与同甲方项目工程合同有关的设备、材料、工程分包、劳务等经济活动。</w:t>
      </w:r>
    </w:p>
    <w:p w14:paraId="5539BA25">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6.不得以任何理由向乙方和相关单位推荐分包单位和要求或暗示乙方购买项目工程合同规定外的材料、设备等。</w:t>
      </w:r>
    </w:p>
    <w:p w14:paraId="7E4304A9">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（二）正式开工前组织与乙方廉洁责任人见面会，进行廉洁工程建设交底，明确廉洁工程建设责任和目标任务、举报方式。</w:t>
      </w:r>
    </w:p>
    <w:p w14:paraId="302178FC">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（三）加强对质量安全、计量支付、工程变更以及工程结算等建设管理环节的监督管理，特别是各业务审批效能方面的监察检查，提高建设管理服务水平。</w:t>
      </w:r>
    </w:p>
    <w:p w14:paraId="47CEC855">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（四）在工地现场设置反腐倡廉举报箱和公开举报电话，并组织开展廉政座谈、法制讲座、参观监狱等活动，加强廉洁自律教育，营造廉洁工地文化氛围，筑牢文化防腐第一道防线。</w:t>
      </w:r>
    </w:p>
    <w:p w14:paraId="54E1ED73">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（五）成立现场监督工作机构，不定期对工地建设管理及监督工作情况开展巡查，对发现的有关问题，及时协调给予现场解决。</w:t>
      </w:r>
    </w:p>
    <w:p w14:paraId="4AE0B564">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第三条 乙方责任</w:t>
      </w:r>
    </w:p>
    <w:p w14:paraId="29FB6110">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（一）与甲方保持正常的业务交往，遵守以下规定：</w:t>
      </w:r>
    </w:p>
    <w:p w14:paraId="34F2002C">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1.不准以任何理由向甲方人员行贿或赠送回扣、礼金、各种有价证券、信用卡和好处费、感谢费及其它支付凭证等。</w:t>
      </w:r>
    </w:p>
    <w:p w14:paraId="3181B5E0">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2.不准以任何理由为甲方人员组织有可能影响公正执行公务的宴请、各种形式俱乐部及高消费娱乐等活动。</w:t>
      </w:r>
    </w:p>
    <w:p w14:paraId="76A8D788">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3.不准以任何理由为甲方或个人报销应由对方或个人支付的费用。</w:t>
      </w:r>
    </w:p>
    <w:p w14:paraId="7C618B00">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4.不准暗示或要求为甲方人员及其配偶、子女、其他亲属朋友及身边工作人员的装修住房、婚丧嫁娶、工作安排、学习培训、经商办企业以及出国（境）、旅游、度假提供方便和支付费用。</w:t>
      </w:r>
    </w:p>
    <w:p w14:paraId="75492F80">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5.不准介绍和安排甲方人员及其配偶、子女、其他亲属朋友及身边工作人员参与同甲方工程项目有关的设备、材料、工程分包、劳务等经济活动。</w:t>
      </w:r>
    </w:p>
    <w:p w14:paraId="76108829">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（二）细化内部廉洁工程建设任务，分解责任，明确落实到项目部管理人员，层层签订廉洁从业责任状，形成有效的管理机制。</w:t>
      </w:r>
    </w:p>
    <w:p w14:paraId="1D79EC2B">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（三）成立现场施工监督工作组，负责项目部廉政责任组织落实，工地廉洁文化建设以及对现场实施进行监督管理，并接受甲方监督工作机构的再监督。</w:t>
      </w:r>
    </w:p>
    <w:p w14:paraId="40BC3503">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（四）按甲方要求在工地项目部设置廉洁文化教育专区，开展观看警示教育片、图片展览等教育活动，加强对员工的法律法规、廉洁和职业道德教育。</w:t>
      </w:r>
    </w:p>
    <w:p w14:paraId="313F267D">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第四条 违约责任</w:t>
      </w:r>
    </w:p>
    <w:p w14:paraId="12E06CC4">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（一）甲方违约责任</w:t>
      </w:r>
    </w:p>
    <w:p w14:paraId="2A04E89F">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1.甲方不履行或不完全履行本协议书有关责任义务给乙方造成损失的，在乙方提交足够证据并经查证属实的情况下，甲方赔偿其直接经济损失。</w:t>
      </w:r>
    </w:p>
    <w:p w14:paraId="13B42224">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2.甲方人员出现受贿等严重违法违纪违规行为的，按照管理权限，依据有关法律法规和规定给予党纪、政纪处分或组织处理；涉嫌犯罪的，移交司法机关追究刑事责任。</w:t>
      </w:r>
    </w:p>
    <w:p w14:paraId="3A6B49A8">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（二）乙方违约责任</w:t>
      </w:r>
    </w:p>
    <w:p w14:paraId="17DF9770">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1.乙方不履行或不完全履行本协议书有关责任义务的，按本工程合同规定须承担一次一般违约责任。情节较轻的，可给予书面警告；情节较重的，须承担一次严重违约责任。</w:t>
      </w:r>
    </w:p>
    <w:p w14:paraId="63E1ABD7">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乙方出现严重违法违纪违规行为的，甲方将上报市检察院或监察机关依法查处，并提请建设行政主管部门根据《广州市建筑市场廉洁准入规定》给予限制或者取消其进入广州市建筑市场从事建筑活动的资格等处罚。</w:t>
      </w:r>
    </w:p>
    <w:p w14:paraId="32646AB0">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第五条 甲乙双方监管部门</w:t>
      </w:r>
    </w:p>
    <w:p w14:paraId="361D08CA">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1.甲方监督部门：纪检监察室，举报电话/电子邮箱：</w:t>
      </w:r>
    </w:p>
    <w:p w14:paraId="26148639">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020- </w:t>
      </w:r>
      <w:r>
        <w:rPr>
          <w:rFonts w:hint="eastAsia" w:ascii="仿宋" w:hAnsi="仿宋" w:eastAsia="仿宋"/>
          <w:color w:val="auto"/>
          <w:sz w:val="24"/>
          <w:szCs w:val="24"/>
          <w:highlight w:val="none"/>
          <w:u w:val="single"/>
        </w:rPr>
        <w:t xml:space="preserve">   /        </w:t>
      </w:r>
      <w:r>
        <w:rPr>
          <w:rFonts w:hint="eastAsia" w:ascii="仿宋" w:hAnsi="仿宋" w:eastAsia="仿宋"/>
          <w:color w:val="auto"/>
          <w:sz w:val="24"/>
          <w:szCs w:val="24"/>
          <w:highlight w:val="none"/>
        </w:rPr>
        <w:t xml:space="preserve"> （纪委书记信箱）。</w:t>
      </w:r>
    </w:p>
    <w:p w14:paraId="32A5567A">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2.乙方监督部门：</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，举报电话：</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14:paraId="44D31C2D">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廉政责任人：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，职务：</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，上级主管部门：</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w:t>
      </w:r>
    </w:p>
    <w:p w14:paraId="3AEC3BEB">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第六条 本协议书作为合同的附件，与合同具有同等法律效力。经双方签字盖章后生效。</w:t>
      </w:r>
    </w:p>
    <w:p w14:paraId="2709DB2E">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第七条 本协议书有效期为双方签字盖章之日起至所属工程项目合同履行完毕时止。</w:t>
      </w:r>
    </w:p>
    <w:p w14:paraId="5C8B827C">
      <w:pPr>
        <w:widowControl/>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第八条 未尽事宜，由双方协商解决。</w:t>
      </w:r>
    </w:p>
    <w:p w14:paraId="6AC70C2B">
      <w:pPr>
        <w:widowControl/>
        <w:adjustRightInd w:val="0"/>
        <w:snapToGrid w:val="0"/>
        <w:spacing w:line="360" w:lineRule="auto"/>
        <w:jc w:val="left"/>
        <w:rPr>
          <w:rFonts w:ascii="宋体" w:hAnsi="宋体"/>
          <w:snapToGrid w:val="0"/>
          <w:color w:val="auto"/>
          <w:kern w:val="0"/>
          <w:sz w:val="24"/>
          <w:szCs w:val="24"/>
          <w:highlight w:val="none"/>
        </w:rPr>
      </w:pPr>
    </w:p>
    <w:p w14:paraId="463CE39E">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甲方：                            乙方：   </w:t>
      </w:r>
    </w:p>
    <w:p w14:paraId="30A1A5F7">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                         （盖章）</w:t>
      </w:r>
    </w:p>
    <w:p w14:paraId="17A1836B">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14:paraId="4FBDBF0C">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14:paraId="00A20C78">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14:paraId="7B464F40">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委托代理人：                            委托代理人：</w:t>
      </w:r>
    </w:p>
    <w:p w14:paraId="0A12BDE9">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14:paraId="13135E17">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日期：    年  月  日                    日期：    年  月  日</w:t>
      </w:r>
    </w:p>
    <w:p w14:paraId="3B6B91EA">
      <w:pPr>
        <w:widowControl/>
        <w:spacing w:line="360" w:lineRule="auto"/>
        <w:contextualSpacing/>
        <w:jc w:val="left"/>
        <w:rPr>
          <w:rFonts w:ascii="宋体" w:hAnsi="宋体" w:cs="宋体"/>
          <w:snapToGrid w:val="0"/>
          <w:color w:val="auto"/>
          <w:sz w:val="24"/>
          <w:szCs w:val="24"/>
          <w:highlight w:val="none"/>
        </w:rPr>
      </w:pPr>
    </w:p>
    <w:p w14:paraId="5BA00BF6">
      <w:pPr>
        <w:rPr>
          <w:color w:val="auto"/>
          <w:highlight w:val="none"/>
        </w:rPr>
      </w:pPr>
      <w:r>
        <w:rPr>
          <w:color w:val="auto"/>
          <w:highlight w:val="none"/>
        </w:rPr>
        <w:br w:type="page"/>
      </w:r>
    </w:p>
    <w:p w14:paraId="0257E9DB">
      <w:pPr>
        <w:rPr>
          <w:color w:val="auto"/>
          <w:highlight w:val="none"/>
        </w:rPr>
      </w:pPr>
    </w:p>
    <w:p w14:paraId="18E01301">
      <w:pPr>
        <w:spacing w:line="360" w:lineRule="auto"/>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廉洁协议</w:t>
      </w:r>
    </w:p>
    <w:p w14:paraId="5D14B33B">
      <w:pPr>
        <w:spacing w:line="360" w:lineRule="auto"/>
        <w:ind w:firstLine="420" w:firstLineChars="200"/>
        <w:rPr>
          <w:rFonts w:ascii="仿宋" w:hAnsi="仿宋" w:eastAsia="仿宋"/>
          <w:color w:val="auto"/>
          <w:highlight w:val="none"/>
        </w:rPr>
      </w:pPr>
    </w:p>
    <w:p w14:paraId="7B250D6B">
      <w:pPr>
        <w:spacing w:line="360" w:lineRule="auto"/>
        <w:ind w:firstLine="420" w:firstLineChars="200"/>
        <w:rPr>
          <w:color w:val="auto"/>
          <w:highlight w:val="none"/>
        </w:rPr>
      </w:pPr>
      <w:r>
        <w:rPr>
          <w:rFonts w:hint="eastAsia" w:ascii="仿宋" w:hAnsi="仿宋" w:eastAsia="仿宋"/>
          <w:color w:val="auto"/>
          <w:highlight w:val="none"/>
        </w:rPr>
        <w:t xml:space="preserve">甲方： </w:t>
      </w:r>
    </w:p>
    <w:p w14:paraId="35D827F1">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 xml:space="preserve">乙方: </w:t>
      </w:r>
    </w:p>
    <w:p w14:paraId="1EE70879">
      <w:pPr>
        <w:snapToGrid w:val="0"/>
        <w:spacing w:line="520" w:lineRule="exact"/>
        <w:ind w:firstLine="420" w:firstLineChars="200"/>
        <w:rPr>
          <w:rFonts w:ascii="仿宋" w:hAnsi="仿宋" w:eastAsia="仿宋"/>
          <w:color w:val="auto"/>
          <w:highlight w:val="none"/>
        </w:rPr>
      </w:pPr>
      <w:r>
        <w:rPr>
          <w:rFonts w:hint="eastAsia" w:ascii="仿宋" w:hAnsi="仿宋" w:eastAsia="仿宋"/>
          <w:color w:val="auto"/>
          <w:highlight w:val="none"/>
        </w:rPr>
        <w:t>乙方同意接受甲方邀请，参与甲方  ，为保障双方的合法权益，使甲乙双方在合作过程中保持廉洁自律的工作作风，防止各种不正当行为的发生，甲乙双方同意订立本协议如下：</w:t>
      </w:r>
    </w:p>
    <w:p w14:paraId="3CDAB97D">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一、甲乙双方应当自觉遵守国家、广东省和广州市有关法律法规以及有关廉政建设的各项规定。廉洁经营，对违反廉洁协议的人和事必须严肃处理。</w:t>
      </w:r>
    </w:p>
    <w:p w14:paraId="23E332A7">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二、甲方及其工作人员不得以任何形式向乙方索要和收受回扣等好处费。</w:t>
      </w:r>
    </w:p>
    <w:p w14:paraId="0309636A">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三、甲方工作人员不得接受乙方的礼金（卡）、有价证券和贵重物品等，不得在乙方报销应由个人支付的费用。</w:t>
      </w:r>
    </w:p>
    <w:p w14:paraId="50B6CA8D">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四、甲方及其工作人员应当保持与乙方的正常的业务交往，除公司安排的正常的对外业务活动外，甲方工作人员不得参加可能对公正执行业务有影响的宴请和娱乐活动。</w:t>
      </w:r>
    </w:p>
    <w:p w14:paraId="29DE8895">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五、乙方及其工作人员不得利用向甲方及其工作人员行贿、提供回扣、送礼或者其他好处等不正当手段联系业务项目。</w:t>
      </w:r>
    </w:p>
    <w:p w14:paraId="2D0D3E83">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六、乙方以及工作人员应按合同或双方约定的工作程序开展工作，不得为谋取私利擅自与甲方工作人员就项目所涉及的承包、费用、材料、变更、验收、质量问题处理等进行私下商谈或者达成默契。</w:t>
      </w:r>
    </w:p>
    <w:p w14:paraId="53F45D51">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七、除双方正常的业务交往外，乙方不得以洽谈业务、签订经济合同等为借口，邀请甲方工作人员进行高消费的娱乐活动。</w:t>
      </w:r>
    </w:p>
    <w:p w14:paraId="607981F5">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八、乙方如发现甲方工作人员有违反上述协议者，应向甲方领导或纪检监察审计部门举报。甲方对举报属实和严格遵守《廉洁协议》的乙方，在同等条件下给予继续参加甲方今后有关项目投标的优先权。</w:t>
      </w:r>
    </w:p>
    <w:p w14:paraId="5B14C900">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九、甲方发现乙方有违反本协议或者采取不正当的手段贿赂甲方工作人员，甲方根据具体情节和造成的后果追究乙方的违约责任。一经查实，甲方将取消乙方继续参与项目洽谈及竞标资格，如已签订合同，甲方有权终止项目合同，由此导致甲方所造成的损失以及发生的一切费用由乙方承担。</w:t>
      </w:r>
    </w:p>
    <w:p w14:paraId="0B3BCDF2">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十、本协议作为  项目实施期间甲乙双方的行为规范，应共同遵守。</w:t>
      </w:r>
    </w:p>
    <w:p w14:paraId="5142FE9E">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十一、本协议经乙方打印盖章签字后立即生效。本协议份数随主合同。</w:t>
      </w:r>
    </w:p>
    <w:p w14:paraId="03CFF23B">
      <w:pPr>
        <w:spacing w:line="360" w:lineRule="auto"/>
        <w:rPr>
          <w:rFonts w:ascii="仿宋" w:hAnsi="仿宋" w:eastAsia="仿宋"/>
          <w:color w:val="auto"/>
          <w:highlight w:val="none"/>
        </w:rPr>
      </w:pPr>
    </w:p>
    <w:p w14:paraId="24800578">
      <w:pPr>
        <w:spacing w:line="360" w:lineRule="auto"/>
        <w:rPr>
          <w:rFonts w:ascii="仿宋" w:hAnsi="仿宋" w:eastAsia="仿宋"/>
          <w:color w:val="auto"/>
          <w:highlight w:val="none"/>
        </w:rPr>
      </w:pPr>
    </w:p>
    <w:p w14:paraId="1598064F">
      <w:pPr>
        <w:spacing w:line="360" w:lineRule="auto"/>
        <w:rPr>
          <w:rFonts w:ascii="仿宋" w:hAnsi="仿宋" w:eastAsia="仿宋"/>
          <w:color w:val="auto"/>
          <w:highlight w:val="none"/>
        </w:rPr>
      </w:pPr>
    </w:p>
    <w:p w14:paraId="644446C2">
      <w:pPr>
        <w:spacing w:line="480" w:lineRule="auto"/>
        <w:rPr>
          <w:rFonts w:ascii="仿宋" w:hAnsi="仿宋" w:eastAsia="仿宋"/>
          <w:color w:val="auto"/>
          <w:highlight w:val="none"/>
        </w:rPr>
      </w:pPr>
      <w:r>
        <w:rPr>
          <w:rFonts w:hint="eastAsia" w:ascii="仿宋" w:hAnsi="仿宋" w:eastAsia="仿宋"/>
          <w:color w:val="auto"/>
          <w:highlight w:val="none"/>
        </w:rPr>
        <w:t>甲方（盖章）：                               乙方（盖章）：</w:t>
      </w:r>
    </w:p>
    <w:p w14:paraId="25AE9952">
      <w:pPr>
        <w:spacing w:line="480" w:lineRule="auto"/>
        <w:rPr>
          <w:rFonts w:ascii="仿宋" w:hAnsi="仿宋" w:eastAsia="仿宋"/>
          <w:color w:val="auto"/>
          <w:highlight w:val="none"/>
        </w:rPr>
      </w:pPr>
      <w:r>
        <w:rPr>
          <w:rFonts w:hint="eastAsia" w:ascii="仿宋" w:hAnsi="仿宋" w:eastAsia="仿宋"/>
          <w:color w:val="auto"/>
          <w:highlight w:val="none"/>
        </w:rPr>
        <w:t xml:space="preserve">签字代表： </w:t>
      </w:r>
      <w:r>
        <w:rPr>
          <w:rFonts w:ascii="仿宋" w:hAnsi="仿宋" w:eastAsia="仿宋"/>
          <w:color w:val="auto"/>
          <w:highlight w:val="none"/>
        </w:rPr>
        <w:t xml:space="preserve">                                  </w:t>
      </w:r>
      <w:r>
        <w:rPr>
          <w:rFonts w:hint="eastAsia" w:ascii="仿宋" w:hAnsi="仿宋" w:eastAsia="仿宋"/>
          <w:color w:val="auto"/>
          <w:highlight w:val="none"/>
        </w:rPr>
        <w:t>签字代表：</w:t>
      </w:r>
    </w:p>
    <w:p w14:paraId="10152086">
      <w:pPr>
        <w:spacing w:line="480" w:lineRule="auto"/>
        <w:rPr>
          <w:rFonts w:ascii="仿宋" w:hAnsi="仿宋" w:eastAsia="仿宋"/>
          <w:color w:val="auto"/>
          <w:highlight w:val="none"/>
        </w:rPr>
      </w:pPr>
      <w:r>
        <w:rPr>
          <w:rFonts w:hint="eastAsia" w:ascii="仿宋" w:hAnsi="仿宋" w:eastAsia="仿宋"/>
          <w:color w:val="auto"/>
          <w:highlight w:val="none"/>
        </w:rPr>
        <w:t xml:space="preserve">电话：  </w:t>
      </w:r>
      <w:r>
        <w:rPr>
          <w:rFonts w:ascii="仿宋" w:hAnsi="仿宋" w:eastAsia="仿宋"/>
          <w:color w:val="auto"/>
          <w:highlight w:val="none"/>
        </w:rPr>
        <w:t xml:space="preserve">                                      </w:t>
      </w:r>
      <w:r>
        <w:rPr>
          <w:rFonts w:hint="eastAsia" w:ascii="仿宋" w:hAnsi="仿宋" w:eastAsia="仿宋"/>
          <w:color w:val="auto"/>
          <w:highlight w:val="none"/>
        </w:rPr>
        <w:t>电话：</w:t>
      </w:r>
    </w:p>
    <w:p w14:paraId="76629544">
      <w:pPr>
        <w:spacing w:before="312" w:beforeLines="100" w:after="312" w:afterLines="100" w:line="360" w:lineRule="auto"/>
        <w:outlineLvl w:val="1"/>
        <w:rPr>
          <w:rFonts w:ascii="仿宋" w:hAnsi="仿宋" w:eastAsia="仿宋"/>
          <w:color w:val="auto"/>
          <w:highlight w:val="none"/>
        </w:rPr>
      </w:pPr>
      <w:r>
        <w:rPr>
          <w:rFonts w:hint="eastAsia" w:ascii="仿宋" w:hAnsi="仿宋" w:eastAsia="仿宋"/>
          <w:color w:val="auto"/>
          <w:highlight w:val="none"/>
        </w:rPr>
        <w:t xml:space="preserve">时间： </w:t>
      </w:r>
      <w:r>
        <w:rPr>
          <w:rFonts w:ascii="仿宋" w:hAnsi="仿宋" w:eastAsia="仿宋"/>
          <w:color w:val="auto"/>
          <w:highlight w:val="none"/>
        </w:rPr>
        <w:t xml:space="preserve">    </w:t>
      </w:r>
      <w:r>
        <w:rPr>
          <w:rFonts w:hint="eastAsia" w:ascii="仿宋" w:hAnsi="仿宋" w:eastAsia="仿宋"/>
          <w:color w:val="auto"/>
          <w:highlight w:val="none"/>
        </w:rPr>
        <w:t xml:space="preserve">年 </w:t>
      </w:r>
      <w:r>
        <w:rPr>
          <w:rFonts w:ascii="仿宋" w:hAnsi="仿宋" w:eastAsia="仿宋"/>
          <w:color w:val="auto"/>
          <w:highlight w:val="none"/>
        </w:rPr>
        <w:t xml:space="preserve">   </w:t>
      </w:r>
      <w:r>
        <w:rPr>
          <w:rFonts w:hint="eastAsia" w:ascii="仿宋" w:hAnsi="仿宋" w:eastAsia="仿宋"/>
          <w:color w:val="auto"/>
          <w:highlight w:val="none"/>
        </w:rPr>
        <w:t xml:space="preserve">月 </w:t>
      </w:r>
      <w:r>
        <w:rPr>
          <w:rFonts w:ascii="仿宋" w:hAnsi="仿宋" w:eastAsia="仿宋"/>
          <w:color w:val="auto"/>
          <w:highlight w:val="none"/>
        </w:rPr>
        <w:t xml:space="preserve">  </w:t>
      </w:r>
      <w:r>
        <w:rPr>
          <w:rFonts w:hint="eastAsia" w:ascii="仿宋" w:hAnsi="仿宋" w:eastAsia="仿宋"/>
          <w:color w:val="auto"/>
          <w:highlight w:val="none"/>
        </w:rPr>
        <w:t xml:space="preserve">日 </w:t>
      </w:r>
      <w:r>
        <w:rPr>
          <w:rFonts w:ascii="仿宋" w:hAnsi="仿宋" w:eastAsia="仿宋"/>
          <w:color w:val="auto"/>
          <w:highlight w:val="none"/>
        </w:rPr>
        <w:t xml:space="preserve">                    </w:t>
      </w:r>
      <w:r>
        <w:rPr>
          <w:rFonts w:hint="eastAsia" w:ascii="仿宋" w:hAnsi="仿宋" w:eastAsia="仿宋"/>
          <w:color w:val="auto"/>
          <w:highlight w:val="none"/>
        </w:rPr>
        <w:t xml:space="preserve">时间： </w:t>
      </w:r>
      <w:r>
        <w:rPr>
          <w:rFonts w:ascii="仿宋" w:hAnsi="仿宋" w:eastAsia="仿宋"/>
          <w:color w:val="auto"/>
          <w:highlight w:val="none"/>
        </w:rPr>
        <w:t xml:space="preserve">    </w:t>
      </w:r>
      <w:r>
        <w:rPr>
          <w:rFonts w:hint="eastAsia" w:ascii="仿宋" w:hAnsi="仿宋" w:eastAsia="仿宋"/>
          <w:color w:val="auto"/>
          <w:highlight w:val="none"/>
        </w:rPr>
        <w:t xml:space="preserve">年 </w:t>
      </w:r>
      <w:r>
        <w:rPr>
          <w:rFonts w:ascii="仿宋" w:hAnsi="仿宋" w:eastAsia="仿宋"/>
          <w:color w:val="auto"/>
          <w:highlight w:val="none"/>
        </w:rPr>
        <w:t xml:space="preserve">   </w:t>
      </w:r>
      <w:r>
        <w:rPr>
          <w:rFonts w:hint="eastAsia" w:ascii="仿宋" w:hAnsi="仿宋" w:eastAsia="仿宋"/>
          <w:color w:val="auto"/>
          <w:highlight w:val="none"/>
        </w:rPr>
        <w:t xml:space="preserve">月 </w:t>
      </w:r>
      <w:r>
        <w:rPr>
          <w:rFonts w:ascii="仿宋" w:hAnsi="仿宋" w:eastAsia="仿宋"/>
          <w:color w:val="auto"/>
          <w:highlight w:val="none"/>
        </w:rPr>
        <w:t xml:space="preserve">  </w:t>
      </w:r>
      <w:r>
        <w:rPr>
          <w:rFonts w:hint="eastAsia" w:ascii="仿宋" w:hAnsi="仿宋" w:eastAsia="仿宋"/>
          <w:color w:val="auto"/>
          <w:highlight w:val="none"/>
        </w:rPr>
        <w:t>日</w:t>
      </w:r>
    </w:p>
    <w:p w14:paraId="36DEF2AF">
      <w:pPr>
        <w:widowControl/>
        <w:spacing w:line="360" w:lineRule="auto"/>
        <w:contextualSpacing/>
        <w:jc w:val="left"/>
        <w:outlineLvl w:val="0"/>
        <w:rPr>
          <w:rFonts w:ascii="宋体" w:hAnsi="宋体" w:cs="宋体"/>
          <w:snapToGrid w:val="0"/>
          <w:color w:val="auto"/>
          <w:sz w:val="24"/>
          <w:szCs w:val="24"/>
          <w:highlight w:val="none"/>
        </w:rPr>
      </w:pPr>
      <w:r>
        <w:rPr>
          <w:rFonts w:ascii="宋体" w:hAnsi="宋体" w:cs="宋体"/>
          <w:snapToGrid w:val="0"/>
          <w:color w:val="auto"/>
          <w:sz w:val="24"/>
          <w:szCs w:val="24"/>
          <w:highlight w:val="none"/>
        </w:rPr>
        <w:br w:type="page"/>
      </w:r>
      <w:bookmarkStart w:id="25" w:name="_Toc14835"/>
      <w:r>
        <w:rPr>
          <w:rFonts w:hint="eastAsia" w:ascii="宋体" w:hAnsi="宋体" w:cs="宋体"/>
          <w:snapToGrid w:val="0"/>
          <w:color w:val="auto"/>
          <w:sz w:val="24"/>
          <w:szCs w:val="24"/>
          <w:highlight w:val="none"/>
        </w:rPr>
        <w:t>附件2：</w:t>
      </w:r>
      <w:bookmarkEnd w:id="25"/>
    </w:p>
    <w:p w14:paraId="31019206">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中标通知书</w:t>
      </w:r>
    </w:p>
    <w:p w14:paraId="06A6B1C1">
      <w:pPr>
        <w:widowControl/>
        <w:spacing w:line="360" w:lineRule="auto"/>
        <w:contextualSpacing/>
        <w:jc w:val="left"/>
        <w:outlineLvl w:val="0"/>
        <w:rPr>
          <w:rFonts w:ascii="宋体" w:hAnsi="宋体" w:cs="宋体"/>
          <w:b/>
          <w:snapToGrid w:val="0"/>
          <w:color w:val="auto"/>
          <w:kern w:val="0"/>
          <w:sz w:val="32"/>
          <w:szCs w:val="32"/>
          <w:highlight w:val="none"/>
        </w:rPr>
      </w:pPr>
      <w:r>
        <w:rPr>
          <w:rFonts w:ascii="宋体" w:hAnsi="宋体" w:cs="宋体"/>
          <w:snapToGrid w:val="0"/>
          <w:color w:val="auto"/>
          <w:sz w:val="24"/>
          <w:szCs w:val="24"/>
          <w:highlight w:val="none"/>
        </w:rPr>
        <w:br w:type="page"/>
      </w:r>
      <w:bookmarkStart w:id="26" w:name="_Toc3488"/>
      <w:r>
        <w:rPr>
          <w:rFonts w:hint="eastAsia" w:ascii="宋体" w:hAnsi="宋体" w:cs="宋体"/>
          <w:snapToGrid w:val="0"/>
          <w:color w:val="auto"/>
          <w:sz w:val="24"/>
          <w:szCs w:val="24"/>
          <w:highlight w:val="none"/>
        </w:rPr>
        <w:t>附件3：</w:t>
      </w:r>
    </w:p>
    <w:p w14:paraId="023570AA">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拟投入本项目造价人员一览表</w:t>
      </w:r>
    </w:p>
    <w:p w14:paraId="231E97E0">
      <w:pPr>
        <w:widowControl/>
        <w:jc w:val="left"/>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br w:type="page"/>
      </w:r>
    </w:p>
    <w:bookmarkEnd w:id="26"/>
    <w:p w14:paraId="2F4E25A5">
      <w:pPr>
        <w:rPr>
          <w:color w:val="auto"/>
          <w:sz w:val="24"/>
          <w:szCs w:val="24"/>
          <w:highlight w:val="none"/>
        </w:rPr>
      </w:pPr>
      <w:r>
        <w:rPr>
          <w:rFonts w:hint="eastAsia"/>
          <w:color w:val="auto"/>
          <w:sz w:val="24"/>
          <w:szCs w:val="24"/>
          <w:highlight w:val="none"/>
        </w:rPr>
        <w:t>附件4：投标函及投标函附录</w:t>
      </w:r>
    </w:p>
    <w:p w14:paraId="25423A0C">
      <w:pPr>
        <w:rPr>
          <w:color w:val="auto"/>
          <w:sz w:val="24"/>
          <w:szCs w:val="24"/>
          <w:highlight w:val="none"/>
        </w:rPr>
      </w:pPr>
      <w:r>
        <w:rPr>
          <w:rFonts w:hint="eastAsia"/>
          <w:color w:val="auto"/>
          <w:sz w:val="24"/>
          <w:szCs w:val="24"/>
          <w:highlight w:val="none"/>
        </w:rPr>
        <w:br w:type="page"/>
      </w:r>
    </w:p>
    <w:p w14:paraId="6DEE8858">
      <w:pPr>
        <w:widowControl/>
        <w:jc w:val="left"/>
        <w:rPr>
          <w:rFonts w:ascii="宋体" w:hAnsi="宋体" w:cs="宋体"/>
          <w:color w:val="auto"/>
          <w:kern w:val="0"/>
          <w:sz w:val="24"/>
          <w:szCs w:val="24"/>
          <w:highlight w:val="none"/>
        </w:rPr>
      </w:pPr>
      <w:r>
        <w:rPr>
          <w:rFonts w:hint="eastAsia" w:ascii="宋体" w:hAnsi="宋体" w:cs="宋体"/>
          <w:snapToGrid w:val="0"/>
          <w:color w:val="auto"/>
          <w:sz w:val="24"/>
          <w:szCs w:val="24"/>
          <w:highlight w:val="none"/>
        </w:rPr>
        <w:t>附件5：</w:t>
      </w:r>
      <w:r>
        <w:rPr>
          <w:rFonts w:hint="eastAsia"/>
          <w:color w:val="auto"/>
          <w:sz w:val="24"/>
          <w:szCs w:val="24"/>
          <w:highlight w:val="none"/>
        </w:rPr>
        <w:t>乙方营业执照</w:t>
      </w:r>
    </w:p>
    <w:p w14:paraId="1FD5C230">
      <w:pPr>
        <w:widowControl/>
        <w:spacing w:line="360" w:lineRule="auto"/>
        <w:contextualSpacing/>
        <w:jc w:val="left"/>
        <w:outlineLvl w:val="0"/>
        <w:rPr>
          <w:color w:val="auto"/>
          <w:highlight w:val="none"/>
        </w:rPr>
      </w:pPr>
      <w:r>
        <w:rPr>
          <w:rFonts w:ascii="宋体" w:hAnsi="宋体" w:cs="宋体"/>
          <w:snapToGrid w:val="0"/>
          <w:color w:val="auto"/>
          <w:sz w:val="24"/>
          <w:szCs w:val="24"/>
          <w:highlight w:val="none"/>
        </w:rPr>
        <w:br w:type="page"/>
      </w:r>
    </w:p>
    <w:p w14:paraId="1B4D09BC">
      <w:pPr>
        <w:widowControl/>
        <w:jc w:val="left"/>
        <w:rPr>
          <w:color w:val="auto"/>
          <w:sz w:val="24"/>
          <w:szCs w:val="24"/>
          <w:highlight w:val="none"/>
        </w:rPr>
      </w:pPr>
      <w:r>
        <w:rPr>
          <w:rFonts w:hint="eastAsia"/>
          <w:color w:val="auto"/>
          <w:sz w:val="24"/>
          <w:szCs w:val="24"/>
          <w:highlight w:val="none"/>
        </w:rPr>
        <w:t>附件</w:t>
      </w:r>
      <w:r>
        <w:rPr>
          <w:rFonts w:hint="eastAsia"/>
          <w:color w:val="auto"/>
          <w:sz w:val="24"/>
          <w:szCs w:val="24"/>
          <w:highlight w:val="none"/>
          <w:lang w:val="en-US" w:eastAsia="zh-CN"/>
        </w:rPr>
        <w:t>6</w:t>
      </w:r>
      <w:r>
        <w:rPr>
          <w:rFonts w:hint="eastAsia"/>
          <w:color w:val="auto"/>
          <w:sz w:val="24"/>
          <w:szCs w:val="24"/>
          <w:highlight w:val="none"/>
        </w:rPr>
        <w:t>：</w:t>
      </w:r>
    </w:p>
    <w:p w14:paraId="2830D075">
      <w:pPr>
        <w:widowControl/>
        <w:adjustRightInd w:val="0"/>
        <w:snapToGrid w:val="0"/>
        <w:spacing w:line="360" w:lineRule="auto"/>
        <w:jc w:val="center"/>
        <w:rPr>
          <w:rFonts w:ascii="仿宋" w:hAnsi="仿宋" w:eastAsia="仿宋"/>
          <w:b/>
          <w:snapToGrid w:val="0"/>
          <w:color w:val="auto"/>
          <w:kern w:val="0"/>
          <w:sz w:val="32"/>
          <w:szCs w:val="32"/>
          <w:highlight w:val="none"/>
        </w:rPr>
      </w:pPr>
      <w:r>
        <w:rPr>
          <w:rFonts w:hint="eastAsia" w:ascii="仿宋" w:hAnsi="仿宋" w:eastAsia="仿宋"/>
          <w:b/>
          <w:snapToGrid w:val="0"/>
          <w:color w:val="auto"/>
          <w:kern w:val="0"/>
          <w:sz w:val="32"/>
          <w:szCs w:val="32"/>
          <w:highlight w:val="none"/>
        </w:rPr>
        <w:t>造价咨询服务考核评分表</w:t>
      </w:r>
    </w:p>
    <w:tbl>
      <w:tblPr>
        <w:tblStyle w:val="25"/>
        <w:tblpPr w:leftFromText="180" w:rightFromText="180" w:vertAnchor="text" w:horzAnchor="page" w:tblpX="1164" w:tblpY="39"/>
        <w:tblOverlap w:val="never"/>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05"/>
        <w:gridCol w:w="722"/>
        <w:gridCol w:w="573"/>
        <w:gridCol w:w="4936"/>
        <w:gridCol w:w="955"/>
        <w:gridCol w:w="575"/>
      </w:tblGrid>
      <w:tr w14:paraId="3E3F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7" w:type="dxa"/>
            <w:vAlign w:val="center"/>
          </w:tcPr>
          <w:p w14:paraId="71984121">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序号</w:t>
            </w:r>
          </w:p>
        </w:tc>
        <w:tc>
          <w:tcPr>
            <w:tcW w:w="1105" w:type="dxa"/>
            <w:vAlign w:val="center"/>
          </w:tcPr>
          <w:p w14:paraId="729FE391">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检查项目</w:t>
            </w:r>
          </w:p>
        </w:tc>
        <w:tc>
          <w:tcPr>
            <w:tcW w:w="722" w:type="dxa"/>
            <w:vAlign w:val="center"/>
          </w:tcPr>
          <w:p w14:paraId="00562DAF">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基本分</w:t>
            </w:r>
          </w:p>
        </w:tc>
        <w:tc>
          <w:tcPr>
            <w:tcW w:w="573" w:type="dxa"/>
            <w:vAlign w:val="center"/>
          </w:tcPr>
          <w:p w14:paraId="27AD414A">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权重</w:t>
            </w:r>
          </w:p>
        </w:tc>
        <w:tc>
          <w:tcPr>
            <w:tcW w:w="4936" w:type="dxa"/>
            <w:vAlign w:val="center"/>
          </w:tcPr>
          <w:p w14:paraId="44E74A48">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检查扣分标准</w:t>
            </w:r>
          </w:p>
        </w:tc>
        <w:tc>
          <w:tcPr>
            <w:tcW w:w="955" w:type="dxa"/>
            <w:vAlign w:val="center"/>
          </w:tcPr>
          <w:p w14:paraId="69D1F21A">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扣分/加分理由</w:t>
            </w:r>
          </w:p>
        </w:tc>
        <w:tc>
          <w:tcPr>
            <w:tcW w:w="575" w:type="dxa"/>
            <w:vAlign w:val="center"/>
          </w:tcPr>
          <w:p w14:paraId="5C5E8282">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得分</w:t>
            </w:r>
          </w:p>
        </w:tc>
      </w:tr>
      <w:tr w14:paraId="02ED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17" w:type="dxa"/>
            <w:vAlign w:val="center"/>
          </w:tcPr>
          <w:p w14:paraId="032CFC13">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一</w:t>
            </w:r>
          </w:p>
        </w:tc>
        <w:tc>
          <w:tcPr>
            <w:tcW w:w="1105" w:type="dxa"/>
            <w:vAlign w:val="center"/>
          </w:tcPr>
          <w:p w14:paraId="17DCF794">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造价控制</w:t>
            </w:r>
          </w:p>
        </w:tc>
        <w:tc>
          <w:tcPr>
            <w:tcW w:w="722" w:type="dxa"/>
            <w:vAlign w:val="center"/>
          </w:tcPr>
          <w:p w14:paraId="4990C7C2">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vAlign w:val="center"/>
          </w:tcPr>
          <w:p w14:paraId="729C4D36">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w:t>
            </w:r>
          </w:p>
        </w:tc>
        <w:tc>
          <w:tcPr>
            <w:tcW w:w="4936" w:type="dxa"/>
            <w:vAlign w:val="center"/>
          </w:tcPr>
          <w:p w14:paraId="4A9FC56F">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1.本项目结算总金额超出概算对应批复总金额的，本项不得分。</w:t>
            </w:r>
          </w:p>
          <w:p w14:paraId="487FE61F">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2.未按合同要求提出限额设计量化指标，扣10分。</w:t>
            </w:r>
          </w:p>
          <w:p w14:paraId="50C51770">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rPr>
              <w:t>未按合同要求提交投资控制报告的，每次扣1分。</w:t>
            </w:r>
          </w:p>
        </w:tc>
        <w:tc>
          <w:tcPr>
            <w:tcW w:w="955" w:type="dxa"/>
            <w:vAlign w:val="center"/>
          </w:tcPr>
          <w:p w14:paraId="119AD5AC">
            <w:pPr>
              <w:widowControl/>
              <w:jc w:val="left"/>
              <w:rPr>
                <w:rFonts w:ascii="仿宋" w:hAnsi="仿宋" w:eastAsia="仿宋" w:cs="宋体"/>
                <w:color w:val="auto"/>
                <w:kern w:val="0"/>
                <w:szCs w:val="21"/>
                <w:highlight w:val="none"/>
              </w:rPr>
            </w:pPr>
          </w:p>
        </w:tc>
        <w:tc>
          <w:tcPr>
            <w:tcW w:w="575" w:type="dxa"/>
            <w:vAlign w:val="center"/>
          </w:tcPr>
          <w:p w14:paraId="7E18B113">
            <w:pPr>
              <w:widowControl/>
              <w:jc w:val="left"/>
              <w:rPr>
                <w:rFonts w:ascii="仿宋" w:hAnsi="仿宋" w:eastAsia="仿宋" w:cs="宋体"/>
                <w:color w:val="auto"/>
                <w:kern w:val="0"/>
                <w:szCs w:val="21"/>
                <w:highlight w:val="none"/>
              </w:rPr>
            </w:pPr>
          </w:p>
        </w:tc>
      </w:tr>
      <w:tr w14:paraId="5375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17" w:type="dxa"/>
            <w:vAlign w:val="center"/>
          </w:tcPr>
          <w:p w14:paraId="3321642D">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二</w:t>
            </w:r>
          </w:p>
        </w:tc>
        <w:tc>
          <w:tcPr>
            <w:tcW w:w="1105" w:type="dxa"/>
            <w:vAlign w:val="center"/>
          </w:tcPr>
          <w:p w14:paraId="08D01C95">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人员驻场情况</w:t>
            </w:r>
          </w:p>
        </w:tc>
        <w:tc>
          <w:tcPr>
            <w:tcW w:w="722" w:type="dxa"/>
            <w:vAlign w:val="center"/>
          </w:tcPr>
          <w:p w14:paraId="366E6A9F">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vAlign w:val="center"/>
          </w:tcPr>
          <w:p w14:paraId="2654327F">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p>
        </w:tc>
        <w:tc>
          <w:tcPr>
            <w:tcW w:w="4936" w:type="dxa"/>
            <w:vAlign w:val="center"/>
          </w:tcPr>
          <w:p w14:paraId="05AC55E3">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乙方未按合同要求投入人员（含驻场人员）的，或甲方提出驻场要求时乙方未及时安排人员进行驻场服务的，或甲方要求更换驻场人员时乙方未及时更换的，每出现一次扣</w:t>
            </w:r>
            <w:r>
              <w:rPr>
                <w:rFonts w:ascii="仿宋" w:hAnsi="仿宋" w:eastAsia="仿宋" w:cs="宋体"/>
                <w:color w:val="auto"/>
                <w:kern w:val="0"/>
                <w:szCs w:val="21"/>
                <w:highlight w:val="none"/>
              </w:rPr>
              <w:t>10</w:t>
            </w:r>
            <w:r>
              <w:rPr>
                <w:rFonts w:hint="eastAsia" w:ascii="仿宋" w:hAnsi="仿宋" w:eastAsia="仿宋" w:cs="宋体"/>
                <w:color w:val="auto"/>
                <w:kern w:val="0"/>
                <w:szCs w:val="21"/>
                <w:highlight w:val="none"/>
              </w:rPr>
              <w:t>分</w:t>
            </w:r>
            <w:r>
              <w:rPr>
                <w:rFonts w:ascii="仿宋" w:hAnsi="仿宋" w:eastAsia="仿宋" w:cs="宋体"/>
                <w:color w:val="auto"/>
                <w:kern w:val="0"/>
                <w:szCs w:val="21"/>
                <w:highlight w:val="none"/>
              </w:rPr>
              <w:t>/次.人</w:t>
            </w:r>
            <w:r>
              <w:rPr>
                <w:rFonts w:hint="eastAsia" w:ascii="仿宋" w:hAnsi="仿宋" w:eastAsia="仿宋" w:cs="宋体"/>
                <w:color w:val="auto"/>
                <w:kern w:val="0"/>
                <w:szCs w:val="21"/>
                <w:highlight w:val="none"/>
              </w:rPr>
              <w:t>。（以甲方发出的书面文件认定）</w:t>
            </w:r>
          </w:p>
        </w:tc>
        <w:tc>
          <w:tcPr>
            <w:tcW w:w="955" w:type="dxa"/>
            <w:vAlign w:val="center"/>
          </w:tcPr>
          <w:p w14:paraId="295805BF">
            <w:pPr>
              <w:widowControl/>
              <w:jc w:val="left"/>
              <w:rPr>
                <w:rFonts w:ascii="仿宋" w:hAnsi="仿宋" w:eastAsia="仿宋" w:cs="宋体"/>
                <w:color w:val="auto"/>
                <w:kern w:val="0"/>
                <w:szCs w:val="21"/>
                <w:highlight w:val="none"/>
              </w:rPr>
            </w:pPr>
          </w:p>
        </w:tc>
        <w:tc>
          <w:tcPr>
            <w:tcW w:w="575" w:type="dxa"/>
            <w:vAlign w:val="center"/>
          </w:tcPr>
          <w:p w14:paraId="66FA134E">
            <w:pPr>
              <w:widowControl/>
              <w:jc w:val="left"/>
              <w:rPr>
                <w:rFonts w:ascii="仿宋" w:hAnsi="仿宋" w:eastAsia="仿宋" w:cs="宋体"/>
                <w:color w:val="auto"/>
                <w:kern w:val="0"/>
                <w:szCs w:val="21"/>
                <w:highlight w:val="none"/>
              </w:rPr>
            </w:pPr>
          </w:p>
        </w:tc>
      </w:tr>
      <w:tr w14:paraId="40D9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17" w:type="dxa"/>
            <w:vAlign w:val="center"/>
          </w:tcPr>
          <w:p w14:paraId="66F921DD">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三</w:t>
            </w:r>
          </w:p>
        </w:tc>
        <w:tc>
          <w:tcPr>
            <w:tcW w:w="1105" w:type="dxa"/>
            <w:vAlign w:val="center"/>
          </w:tcPr>
          <w:p w14:paraId="68C1651A">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工作效率</w:t>
            </w:r>
          </w:p>
        </w:tc>
        <w:tc>
          <w:tcPr>
            <w:tcW w:w="722" w:type="dxa"/>
            <w:vAlign w:val="center"/>
          </w:tcPr>
          <w:p w14:paraId="5E2BCA26">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vAlign w:val="center"/>
          </w:tcPr>
          <w:p w14:paraId="715EA7C6">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p>
        </w:tc>
        <w:tc>
          <w:tcPr>
            <w:tcW w:w="4936" w:type="dxa"/>
            <w:vAlign w:val="center"/>
          </w:tcPr>
          <w:p w14:paraId="528B69FC">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未在合同约定期限内完成工作的，每超出1天，扣2分。</w:t>
            </w:r>
          </w:p>
        </w:tc>
        <w:tc>
          <w:tcPr>
            <w:tcW w:w="955" w:type="dxa"/>
            <w:vAlign w:val="center"/>
          </w:tcPr>
          <w:p w14:paraId="14174181">
            <w:pPr>
              <w:widowControl/>
              <w:jc w:val="left"/>
              <w:rPr>
                <w:rFonts w:ascii="仿宋" w:hAnsi="仿宋" w:eastAsia="仿宋" w:cs="宋体"/>
                <w:color w:val="auto"/>
                <w:kern w:val="0"/>
                <w:szCs w:val="21"/>
                <w:highlight w:val="none"/>
              </w:rPr>
            </w:pPr>
          </w:p>
        </w:tc>
        <w:tc>
          <w:tcPr>
            <w:tcW w:w="575" w:type="dxa"/>
            <w:vAlign w:val="center"/>
          </w:tcPr>
          <w:p w14:paraId="281891A4">
            <w:pPr>
              <w:widowControl/>
              <w:jc w:val="center"/>
              <w:rPr>
                <w:rFonts w:ascii="仿宋" w:hAnsi="仿宋" w:eastAsia="仿宋" w:cs="宋体"/>
                <w:color w:val="auto"/>
                <w:kern w:val="0"/>
                <w:szCs w:val="21"/>
                <w:highlight w:val="none"/>
              </w:rPr>
            </w:pPr>
          </w:p>
        </w:tc>
      </w:tr>
      <w:tr w14:paraId="7080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17" w:type="dxa"/>
            <w:vAlign w:val="center"/>
          </w:tcPr>
          <w:p w14:paraId="748C0027">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四</w:t>
            </w:r>
          </w:p>
        </w:tc>
        <w:tc>
          <w:tcPr>
            <w:tcW w:w="1105" w:type="dxa"/>
            <w:vAlign w:val="center"/>
          </w:tcPr>
          <w:p w14:paraId="46225EA3">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造价文件审核质量</w:t>
            </w:r>
          </w:p>
        </w:tc>
        <w:tc>
          <w:tcPr>
            <w:tcW w:w="722" w:type="dxa"/>
            <w:vAlign w:val="center"/>
          </w:tcPr>
          <w:p w14:paraId="4EDE5913">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vAlign w:val="center"/>
          </w:tcPr>
          <w:p w14:paraId="07182A5E">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w:t>
            </w:r>
          </w:p>
        </w:tc>
        <w:tc>
          <w:tcPr>
            <w:tcW w:w="4936" w:type="dxa"/>
            <w:vAlign w:val="center"/>
          </w:tcPr>
          <w:p w14:paraId="4B98481A">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经核实审核质量确属造价咨询单位责任的，按以下标准扣分：</w:t>
            </w:r>
          </w:p>
          <w:p w14:paraId="3D4EC1E7">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1、招标工程量清单及控制价计算错误、列项错误、描述错误，出现缺项漏项等引起合同增减额超过1%的，每次扣10分；</w:t>
            </w:r>
          </w:p>
          <w:p w14:paraId="33112DFD">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2、合同支付审核出现差错或资料不齐，每单扣2分；</w:t>
            </w:r>
          </w:p>
          <w:p w14:paraId="1F92AC7B">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hint="eastAsia" w:ascii="仿宋" w:hAnsi="仿宋" w:eastAsia="仿宋"/>
                <w:color w:val="auto"/>
                <w:szCs w:val="20"/>
                <w:highlight w:val="none"/>
              </w:rPr>
              <w:t>主材单价有综合价不执行、主材单价质量偏差率超过20 %、统计错误5万元以上、文件执行错误的，</w:t>
            </w:r>
            <w:r>
              <w:rPr>
                <w:rFonts w:hint="eastAsia" w:ascii="仿宋" w:hAnsi="仿宋" w:eastAsia="仿宋" w:cs="宋体"/>
                <w:color w:val="auto"/>
                <w:kern w:val="0"/>
                <w:szCs w:val="21"/>
                <w:highlight w:val="none"/>
              </w:rPr>
              <w:t>每次扣2分。</w:t>
            </w:r>
          </w:p>
          <w:p w14:paraId="3B25A614">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4、合同结算审核与经第三方结算审计结果0.3%≤偏差率＜0.5%，每次扣1分；0.5%≤偏差率≤1%，每次扣2分；</w:t>
            </w:r>
          </w:p>
          <w:p w14:paraId="109331DD">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5、工程造价文件质量（含预算、招标控制价、结算）偏差率超过合同规定的，本项不得分。</w:t>
            </w:r>
          </w:p>
        </w:tc>
        <w:tc>
          <w:tcPr>
            <w:tcW w:w="955" w:type="dxa"/>
            <w:vAlign w:val="center"/>
          </w:tcPr>
          <w:p w14:paraId="4679422F">
            <w:pPr>
              <w:widowControl/>
              <w:jc w:val="left"/>
              <w:rPr>
                <w:rFonts w:ascii="仿宋" w:hAnsi="仿宋" w:eastAsia="仿宋" w:cs="宋体"/>
                <w:color w:val="auto"/>
                <w:kern w:val="0"/>
                <w:szCs w:val="21"/>
                <w:highlight w:val="none"/>
              </w:rPr>
            </w:pPr>
          </w:p>
        </w:tc>
        <w:tc>
          <w:tcPr>
            <w:tcW w:w="575" w:type="dxa"/>
            <w:vAlign w:val="center"/>
          </w:tcPr>
          <w:p w14:paraId="17BF8994">
            <w:pPr>
              <w:widowControl/>
              <w:jc w:val="center"/>
              <w:rPr>
                <w:rFonts w:ascii="仿宋" w:hAnsi="仿宋" w:eastAsia="仿宋" w:cs="宋体"/>
                <w:color w:val="auto"/>
                <w:kern w:val="0"/>
                <w:szCs w:val="21"/>
                <w:highlight w:val="none"/>
              </w:rPr>
            </w:pPr>
          </w:p>
        </w:tc>
      </w:tr>
      <w:tr w14:paraId="1E32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17" w:type="dxa"/>
            <w:vAlign w:val="center"/>
          </w:tcPr>
          <w:p w14:paraId="3D4A1E44">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五</w:t>
            </w:r>
          </w:p>
        </w:tc>
        <w:tc>
          <w:tcPr>
            <w:tcW w:w="1105" w:type="dxa"/>
            <w:vAlign w:val="center"/>
          </w:tcPr>
          <w:p w14:paraId="75C97637">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增值服务（如有）</w:t>
            </w:r>
          </w:p>
        </w:tc>
        <w:tc>
          <w:tcPr>
            <w:tcW w:w="722" w:type="dxa"/>
            <w:vAlign w:val="center"/>
          </w:tcPr>
          <w:p w14:paraId="059B4E07">
            <w:pPr>
              <w:widowControl/>
              <w:jc w:val="center"/>
              <w:rPr>
                <w:rFonts w:ascii="仿宋" w:hAnsi="仿宋" w:eastAsia="仿宋" w:cs="宋体"/>
                <w:color w:val="auto"/>
                <w:kern w:val="0"/>
                <w:szCs w:val="21"/>
                <w:highlight w:val="none"/>
              </w:rPr>
            </w:pPr>
          </w:p>
        </w:tc>
        <w:tc>
          <w:tcPr>
            <w:tcW w:w="573" w:type="dxa"/>
            <w:vAlign w:val="center"/>
          </w:tcPr>
          <w:p w14:paraId="6E050380">
            <w:pPr>
              <w:widowControl/>
              <w:jc w:val="center"/>
              <w:rPr>
                <w:rFonts w:ascii="仿宋" w:hAnsi="仿宋" w:eastAsia="仿宋" w:cs="宋体"/>
                <w:color w:val="auto"/>
                <w:kern w:val="0"/>
                <w:szCs w:val="21"/>
                <w:highlight w:val="none"/>
              </w:rPr>
            </w:pPr>
          </w:p>
        </w:tc>
        <w:tc>
          <w:tcPr>
            <w:tcW w:w="4936" w:type="dxa"/>
            <w:vAlign w:val="center"/>
          </w:tcPr>
          <w:p w14:paraId="50D728B9">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积极主动配合甲方的工作需求，提供合同约定范围外的造价咨询服务工作的，包括但不限于提供咨询服务、专业培训等，根据增值服务工作的重要性及完成质量，每提供一次增值服务加分1-2分；如增值服务获得甲方表扬信，再加3分。</w:t>
            </w:r>
          </w:p>
        </w:tc>
        <w:tc>
          <w:tcPr>
            <w:tcW w:w="955" w:type="dxa"/>
            <w:vAlign w:val="center"/>
          </w:tcPr>
          <w:p w14:paraId="6085B6C0">
            <w:pPr>
              <w:widowControl/>
              <w:jc w:val="left"/>
              <w:rPr>
                <w:rFonts w:ascii="仿宋" w:hAnsi="仿宋" w:eastAsia="仿宋" w:cs="宋体"/>
                <w:color w:val="auto"/>
                <w:kern w:val="0"/>
                <w:szCs w:val="21"/>
                <w:highlight w:val="none"/>
              </w:rPr>
            </w:pPr>
          </w:p>
        </w:tc>
        <w:tc>
          <w:tcPr>
            <w:tcW w:w="575" w:type="dxa"/>
            <w:vAlign w:val="center"/>
          </w:tcPr>
          <w:p w14:paraId="4B6B2306">
            <w:pPr>
              <w:widowControl/>
              <w:jc w:val="center"/>
              <w:rPr>
                <w:rFonts w:ascii="仿宋" w:hAnsi="仿宋" w:eastAsia="仿宋" w:cs="宋体"/>
                <w:color w:val="auto"/>
                <w:kern w:val="0"/>
                <w:szCs w:val="21"/>
                <w:highlight w:val="none"/>
              </w:rPr>
            </w:pPr>
          </w:p>
        </w:tc>
      </w:tr>
      <w:tr w14:paraId="2F50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7" w:type="dxa"/>
            <w:vAlign w:val="center"/>
          </w:tcPr>
          <w:p w14:paraId="010A56C2">
            <w:pPr>
              <w:widowControl/>
              <w:jc w:val="center"/>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分值汇总</w:t>
            </w:r>
          </w:p>
        </w:tc>
        <w:tc>
          <w:tcPr>
            <w:tcW w:w="1105" w:type="dxa"/>
            <w:vAlign w:val="center"/>
          </w:tcPr>
          <w:p w14:paraId="528CE5C0">
            <w:pPr>
              <w:widowControl/>
              <w:jc w:val="center"/>
              <w:rPr>
                <w:rFonts w:ascii="仿宋" w:hAnsi="仿宋" w:eastAsia="仿宋" w:cs="宋体"/>
                <w:color w:val="auto"/>
                <w:kern w:val="0"/>
                <w:szCs w:val="21"/>
                <w:highlight w:val="none"/>
              </w:rPr>
            </w:pPr>
          </w:p>
        </w:tc>
        <w:tc>
          <w:tcPr>
            <w:tcW w:w="722" w:type="dxa"/>
          </w:tcPr>
          <w:p w14:paraId="50E984F2">
            <w:pPr>
              <w:widowControl/>
              <w:jc w:val="center"/>
              <w:rPr>
                <w:rFonts w:ascii="仿宋" w:hAnsi="仿宋" w:eastAsia="仿宋" w:cs="宋体"/>
                <w:color w:val="auto"/>
                <w:kern w:val="0"/>
                <w:szCs w:val="21"/>
                <w:highlight w:val="none"/>
              </w:rPr>
            </w:pPr>
          </w:p>
        </w:tc>
        <w:tc>
          <w:tcPr>
            <w:tcW w:w="573" w:type="dxa"/>
            <w:vAlign w:val="center"/>
          </w:tcPr>
          <w:p w14:paraId="30835CD7">
            <w:pPr>
              <w:widowControl/>
              <w:jc w:val="center"/>
              <w:rPr>
                <w:rFonts w:ascii="仿宋" w:hAnsi="仿宋" w:eastAsia="仿宋" w:cs="宋体"/>
                <w:color w:val="auto"/>
                <w:kern w:val="0"/>
                <w:szCs w:val="21"/>
                <w:highlight w:val="none"/>
              </w:rPr>
            </w:pPr>
          </w:p>
        </w:tc>
        <w:tc>
          <w:tcPr>
            <w:tcW w:w="6466" w:type="dxa"/>
            <w:gridSpan w:val="3"/>
            <w:vAlign w:val="center"/>
          </w:tcPr>
          <w:p w14:paraId="19C6DDC6">
            <w:pPr>
              <w:widowControl/>
              <w:jc w:val="center"/>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　</w:t>
            </w:r>
            <w:r>
              <w:rPr>
                <w:rFonts w:hint="eastAsia" w:ascii="仿宋" w:hAnsi="仿宋" w:eastAsia="仿宋" w:cs="宋体"/>
                <w:color w:val="auto"/>
                <w:kern w:val="0"/>
                <w:szCs w:val="21"/>
                <w:highlight w:val="none"/>
              </w:rPr>
              <w:t>　</w:t>
            </w:r>
          </w:p>
        </w:tc>
      </w:tr>
    </w:tbl>
    <w:p w14:paraId="4693F36A">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注：1、单项基本分为100分，单项合格基准分为60分。</w:t>
      </w:r>
    </w:p>
    <w:p w14:paraId="59C13255">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    2、第一～四项考核项目满分合计为100分，各项扣分=∑子项扣分*相应权重，扣分总额以该检查项目对应的分值为限，如同一行为符合两项或以上的扣分标准，则累加扣分；</w:t>
      </w:r>
    </w:p>
    <w:p w14:paraId="28A80521">
      <w:pPr>
        <w:widowControl/>
        <w:ind w:firstLine="400" w:firstLineChars="200"/>
        <w:jc w:val="left"/>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3、第五项</w:t>
      </w:r>
      <w:r>
        <w:rPr>
          <w:rFonts w:hint="eastAsia" w:ascii="仿宋" w:hAnsi="仿宋" w:eastAsia="仿宋" w:cs="宋体"/>
          <w:color w:val="auto"/>
          <w:kern w:val="0"/>
          <w:sz w:val="20"/>
          <w:szCs w:val="20"/>
          <w:highlight w:val="none"/>
        </w:rPr>
        <w:t>为加分条件，在第一～四项考核分数的基础上直接加分。</w:t>
      </w:r>
    </w:p>
    <w:p w14:paraId="3735D4A6">
      <w:pPr>
        <w:widowControl/>
        <w:ind w:firstLine="400" w:firstLineChars="200"/>
        <w:jc w:val="left"/>
        <w:rPr>
          <w:color w:val="auto"/>
          <w:highlight w:val="none"/>
        </w:rPr>
      </w:pPr>
      <w:r>
        <w:rPr>
          <w:rFonts w:ascii="仿宋" w:hAnsi="仿宋" w:eastAsia="仿宋" w:cs="宋体"/>
          <w:color w:val="auto"/>
          <w:kern w:val="0"/>
          <w:sz w:val="20"/>
          <w:szCs w:val="20"/>
          <w:highlight w:val="none"/>
        </w:rPr>
        <w:t>4、最终</w:t>
      </w:r>
      <w:r>
        <w:rPr>
          <w:rFonts w:hint="eastAsia" w:ascii="仿宋" w:hAnsi="仿宋" w:eastAsia="仿宋" w:cs="宋体"/>
          <w:color w:val="auto"/>
          <w:kern w:val="0"/>
          <w:sz w:val="20"/>
          <w:szCs w:val="20"/>
          <w:highlight w:val="none"/>
        </w:rPr>
        <w:t>考核得分</w:t>
      </w:r>
      <w:r>
        <w:rPr>
          <w:rFonts w:ascii="仿宋" w:hAnsi="仿宋" w:eastAsia="仿宋" w:cs="宋体"/>
          <w:color w:val="auto"/>
          <w:kern w:val="0"/>
          <w:sz w:val="20"/>
          <w:szCs w:val="20"/>
          <w:highlight w:val="none"/>
        </w:rPr>
        <w:t>=造价控制</w:t>
      </w:r>
      <w:r>
        <w:rPr>
          <w:rFonts w:hint="eastAsia" w:ascii="仿宋" w:hAnsi="仿宋" w:eastAsia="仿宋" w:cs="宋体"/>
          <w:color w:val="auto"/>
          <w:kern w:val="0"/>
          <w:sz w:val="20"/>
          <w:szCs w:val="20"/>
          <w:highlight w:val="none"/>
        </w:rPr>
        <w:t>得分</w:t>
      </w:r>
      <w:r>
        <w:rPr>
          <w:rFonts w:ascii="仿宋" w:hAnsi="仿宋" w:eastAsia="仿宋" w:cs="宋体"/>
          <w:color w:val="auto"/>
          <w:kern w:val="0"/>
          <w:sz w:val="20"/>
          <w:szCs w:val="20"/>
          <w:highlight w:val="none"/>
        </w:rPr>
        <w:t>*30%权重+人员驻场情况得分*20%权重+工作效率得分*20%权重+</w:t>
      </w:r>
      <w:r>
        <w:rPr>
          <w:rFonts w:hint="eastAsia" w:ascii="仿宋" w:hAnsi="仿宋" w:eastAsia="仿宋" w:cs="宋体"/>
          <w:color w:val="auto"/>
          <w:kern w:val="0"/>
          <w:sz w:val="20"/>
          <w:szCs w:val="20"/>
          <w:highlight w:val="none"/>
        </w:rPr>
        <w:t>造价文件审核质量得分</w:t>
      </w:r>
      <w:r>
        <w:rPr>
          <w:rFonts w:ascii="仿宋" w:hAnsi="仿宋" w:eastAsia="仿宋" w:cs="宋体"/>
          <w:color w:val="auto"/>
          <w:kern w:val="0"/>
          <w:sz w:val="20"/>
          <w:szCs w:val="20"/>
          <w:highlight w:val="none"/>
        </w:rPr>
        <w:t>*30%权重+增值服务得分</w:t>
      </w:r>
      <w:r>
        <w:rPr>
          <w:rFonts w:hint="eastAsia" w:ascii="仿宋" w:hAnsi="仿宋" w:eastAsia="仿宋" w:cs="宋体"/>
          <w:color w:val="auto"/>
          <w:kern w:val="0"/>
          <w:sz w:val="20"/>
          <w:szCs w:val="20"/>
          <w:highlight w:val="none"/>
        </w:rPr>
        <w:t>。最终考核合格分为60分。</w:t>
      </w:r>
    </w:p>
    <w:p w14:paraId="1DE88299">
      <w:pPr>
        <w:tabs>
          <w:tab w:val="left" w:pos="1633"/>
        </w:tabs>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B0604020202020204"/>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9676">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06F5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306F5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73CC7"/>
    <w:multiLevelType w:val="multilevel"/>
    <w:tmpl w:val="A6773CC7"/>
    <w:lvl w:ilvl="0" w:tentative="0">
      <w:start w:val="1"/>
      <w:numFmt w:val="none"/>
      <w:pStyle w:val="3"/>
      <w:isLgl/>
      <w:suff w:val="nothing"/>
      <w:lvlText w:val=""/>
      <w:lvlJc w:val="left"/>
      <w:pPr>
        <w:ind w:left="0" w:firstLine="0"/>
      </w:pPr>
      <w:rPr>
        <w:rFonts w:hint="eastAsia"/>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AA672A9A"/>
    <w:multiLevelType w:val="singleLevel"/>
    <w:tmpl w:val="AA672A9A"/>
    <w:lvl w:ilvl="0" w:tentative="0">
      <w:start w:val="1"/>
      <w:numFmt w:val="decimal"/>
      <w:lvlText w:val="(%1)"/>
      <w:lvlJc w:val="left"/>
      <w:pPr>
        <w:ind w:left="425" w:hanging="425"/>
      </w:pPr>
      <w:rPr>
        <w:rFonts w:hint="default"/>
      </w:rPr>
    </w:lvl>
  </w:abstractNum>
  <w:abstractNum w:abstractNumId="2">
    <w:nsid w:val="C231502C"/>
    <w:multiLevelType w:val="singleLevel"/>
    <w:tmpl w:val="C231502C"/>
    <w:lvl w:ilvl="0" w:tentative="0">
      <w:start w:val="1"/>
      <w:numFmt w:val="decimal"/>
      <w:lvlText w:val="(%1)"/>
      <w:lvlJc w:val="left"/>
      <w:pPr>
        <w:ind w:left="425" w:hanging="425"/>
      </w:pPr>
      <w:rPr>
        <w:rFonts w:hint="default"/>
      </w:rPr>
    </w:lvl>
  </w:abstractNum>
  <w:abstractNum w:abstractNumId="3">
    <w:nsid w:val="CE2C72EE"/>
    <w:multiLevelType w:val="singleLevel"/>
    <w:tmpl w:val="CE2C72EE"/>
    <w:lvl w:ilvl="0" w:tentative="0">
      <w:start w:val="1"/>
      <w:numFmt w:val="decimal"/>
      <w:lvlText w:val="(%1)"/>
      <w:lvlJc w:val="left"/>
      <w:pPr>
        <w:ind w:left="425" w:hanging="425"/>
      </w:pPr>
      <w:rPr>
        <w:rFonts w:hint="default"/>
      </w:rPr>
    </w:lvl>
  </w:abstractNum>
  <w:abstractNum w:abstractNumId="4">
    <w:nsid w:val="134E74D6"/>
    <w:multiLevelType w:val="singleLevel"/>
    <w:tmpl w:val="134E74D6"/>
    <w:lvl w:ilvl="0" w:tentative="0">
      <w:start w:val="1"/>
      <w:numFmt w:val="decimal"/>
      <w:lvlText w:val="(%1)"/>
      <w:lvlJc w:val="left"/>
      <w:pPr>
        <w:ind w:left="425" w:hanging="425"/>
      </w:pPr>
      <w:rPr>
        <w:rFonts w:hint="default"/>
      </w:rPr>
    </w:lvl>
  </w:abstractNum>
  <w:abstractNum w:abstractNumId="5">
    <w:nsid w:val="13A7431B"/>
    <w:multiLevelType w:val="singleLevel"/>
    <w:tmpl w:val="13A7431B"/>
    <w:lvl w:ilvl="0" w:tentative="0">
      <w:start w:val="1"/>
      <w:numFmt w:val="decimal"/>
      <w:lvlText w:val="(%1)"/>
      <w:lvlJc w:val="left"/>
      <w:pPr>
        <w:ind w:left="425" w:hanging="425"/>
      </w:pPr>
      <w:rPr>
        <w:rFonts w:hint="default"/>
      </w:rPr>
    </w:lvl>
  </w:abstractNum>
  <w:abstractNum w:abstractNumId="6">
    <w:nsid w:val="7AB8FF84"/>
    <w:multiLevelType w:val="singleLevel"/>
    <w:tmpl w:val="7AB8FF84"/>
    <w:lvl w:ilvl="0" w:tentative="0">
      <w:start w:val="1"/>
      <w:numFmt w:val="decimal"/>
      <w:lvlText w:val="(%1)"/>
      <w:lvlJc w:val="left"/>
      <w:pPr>
        <w:ind w:left="425" w:hanging="425"/>
      </w:pPr>
      <w:rPr>
        <w:rFonts w:hint="default"/>
        <w:b w:val="0"/>
        <w:bCs w:val="0"/>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iYTU3YWFkZGU3MzA1YWJlODI1ZDNlNzljOTViZjAifQ=="/>
  </w:docVars>
  <w:rsids>
    <w:rsidRoot w:val="531F7F8A"/>
    <w:rsid w:val="001C560E"/>
    <w:rsid w:val="002157D2"/>
    <w:rsid w:val="002C5FC9"/>
    <w:rsid w:val="00516711"/>
    <w:rsid w:val="00540F11"/>
    <w:rsid w:val="00580B4C"/>
    <w:rsid w:val="00633E7F"/>
    <w:rsid w:val="00650094"/>
    <w:rsid w:val="006C640F"/>
    <w:rsid w:val="00844315"/>
    <w:rsid w:val="00A03751"/>
    <w:rsid w:val="00B660FF"/>
    <w:rsid w:val="00C47ACE"/>
    <w:rsid w:val="00C82F99"/>
    <w:rsid w:val="00CE14A4"/>
    <w:rsid w:val="00D06F88"/>
    <w:rsid w:val="00D147D1"/>
    <w:rsid w:val="00E277CF"/>
    <w:rsid w:val="00EE11AA"/>
    <w:rsid w:val="00FA7F79"/>
    <w:rsid w:val="00FC5EA9"/>
    <w:rsid w:val="0171579D"/>
    <w:rsid w:val="01D83930"/>
    <w:rsid w:val="02757B5E"/>
    <w:rsid w:val="02C866AB"/>
    <w:rsid w:val="04700D62"/>
    <w:rsid w:val="047F3622"/>
    <w:rsid w:val="05712158"/>
    <w:rsid w:val="074B2755"/>
    <w:rsid w:val="07606712"/>
    <w:rsid w:val="08305958"/>
    <w:rsid w:val="0ACB1C83"/>
    <w:rsid w:val="0AF91BE7"/>
    <w:rsid w:val="0BD2447D"/>
    <w:rsid w:val="0D1162AA"/>
    <w:rsid w:val="0E1E61DB"/>
    <w:rsid w:val="0EE40F6D"/>
    <w:rsid w:val="0F785DDC"/>
    <w:rsid w:val="0F8B4A6E"/>
    <w:rsid w:val="0FDE4247"/>
    <w:rsid w:val="119E2038"/>
    <w:rsid w:val="12CC0187"/>
    <w:rsid w:val="13D071DF"/>
    <w:rsid w:val="14034EC9"/>
    <w:rsid w:val="14B61228"/>
    <w:rsid w:val="15175D77"/>
    <w:rsid w:val="156C44F9"/>
    <w:rsid w:val="173642DA"/>
    <w:rsid w:val="19777904"/>
    <w:rsid w:val="198836DB"/>
    <w:rsid w:val="1A14363D"/>
    <w:rsid w:val="1A2125ED"/>
    <w:rsid w:val="1BBC50A4"/>
    <w:rsid w:val="1BF30AF7"/>
    <w:rsid w:val="1E795E19"/>
    <w:rsid w:val="1E8B65FE"/>
    <w:rsid w:val="1F752ADA"/>
    <w:rsid w:val="1FF0272E"/>
    <w:rsid w:val="20B444D3"/>
    <w:rsid w:val="20D1671D"/>
    <w:rsid w:val="20ED58BD"/>
    <w:rsid w:val="21132974"/>
    <w:rsid w:val="21D82528"/>
    <w:rsid w:val="22F1253D"/>
    <w:rsid w:val="23203BE5"/>
    <w:rsid w:val="233375A6"/>
    <w:rsid w:val="23D30D9F"/>
    <w:rsid w:val="23D90D4C"/>
    <w:rsid w:val="24631A48"/>
    <w:rsid w:val="25C5547F"/>
    <w:rsid w:val="27CB4038"/>
    <w:rsid w:val="2A747051"/>
    <w:rsid w:val="2AF23D50"/>
    <w:rsid w:val="2B470A4E"/>
    <w:rsid w:val="2C684AF6"/>
    <w:rsid w:val="2D777DD6"/>
    <w:rsid w:val="2D7D1673"/>
    <w:rsid w:val="2D982709"/>
    <w:rsid w:val="2E6B1618"/>
    <w:rsid w:val="2EEE2746"/>
    <w:rsid w:val="30376A42"/>
    <w:rsid w:val="30EF713D"/>
    <w:rsid w:val="31525357"/>
    <w:rsid w:val="31FC065F"/>
    <w:rsid w:val="32E5128A"/>
    <w:rsid w:val="33742A1B"/>
    <w:rsid w:val="33F9208C"/>
    <w:rsid w:val="34B558C4"/>
    <w:rsid w:val="34C91C8B"/>
    <w:rsid w:val="3626024B"/>
    <w:rsid w:val="365B06D1"/>
    <w:rsid w:val="38013066"/>
    <w:rsid w:val="38112C4F"/>
    <w:rsid w:val="3940655A"/>
    <w:rsid w:val="394419C3"/>
    <w:rsid w:val="39FA3D09"/>
    <w:rsid w:val="3A810BBB"/>
    <w:rsid w:val="3AB234E3"/>
    <w:rsid w:val="3CC76D3D"/>
    <w:rsid w:val="3DD8288B"/>
    <w:rsid w:val="3F3340E0"/>
    <w:rsid w:val="3F856E91"/>
    <w:rsid w:val="41137275"/>
    <w:rsid w:val="412A1D04"/>
    <w:rsid w:val="4132084A"/>
    <w:rsid w:val="414F46B1"/>
    <w:rsid w:val="41552360"/>
    <w:rsid w:val="425B7C33"/>
    <w:rsid w:val="425E5AD9"/>
    <w:rsid w:val="42F7383A"/>
    <w:rsid w:val="44504281"/>
    <w:rsid w:val="44F70BEF"/>
    <w:rsid w:val="46DB2F7F"/>
    <w:rsid w:val="48F04328"/>
    <w:rsid w:val="49A25890"/>
    <w:rsid w:val="4A1E01A5"/>
    <w:rsid w:val="4B1164F8"/>
    <w:rsid w:val="4BE4610B"/>
    <w:rsid w:val="4C04577D"/>
    <w:rsid w:val="4F1D2007"/>
    <w:rsid w:val="4F76393F"/>
    <w:rsid w:val="4FB375FD"/>
    <w:rsid w:val="501461F7"/>
    <w:rsid w:val="50871F2C"/>
    <w:rsid w:val="518F5D62"/>
    <w:rsid w:val="52C7720A"/>
    <w:rsid w:val="530701AA"/>
    <w:rsid w:val="531F7F8A"/>
    <w:rsid w:val="53415720"/>
    <w:rsid w:val="54166E9E"/>
    <w:rsid w:val="54FA5E39"/>
    <w:rsid w:val="56650D6A"/>
    <w:rsid w:val="570E0834"/>
    <w:rsid w:val="5770174B"/>
    <w:rsid w:val="57B256D4"/>
    <w:rsid w:val="57C32E7A"/>
    <w:rsid w:val="58157169"/>
    <w:rsid w:val="594628C9"/>
    <w:rsid w:val="59B85164"/>
    <w:rsid w:val="5A762D7E"/>
    <w:rsid w:val="5AF61262"/>
    <w:rsid w:val="5C1F613A"/>
    <w:rsid w:val="5C2956B1"/>
    <w:rsid w:val="5CC10A9F"/>
    <w:rsid w:val="5E1A7CF0"/>
    <w:rsid w:val="5E5D557B"/>
    <w:rsid w:val="5F1B6B5B"/>
    <w:rsid w:val="5F450F84"/>
    <w:rsid w:val="5F9C175D"/>
    <w:rsid w:val="60017F21"/>
    <w:rsid w:val="600D5953"/>
    <w:rsid w:val="619732F5"/>
    <w:rsid w:val="61995B9E"/>
    <w:rsid w:val="61C255EA"/>
    <w:rsid w:val="623560D4"/>
    <w:rsid w:val="626E62F6"/>
    <w:rsid w:val="62F37AB7"/>
    <w:rsid w:val="63431E6F"/>
    <w:rsid w:val="64A62393"/>
    <w:rsid w:val="64A80AB7"/>
    <w:rsid w:val="657547B3"/>
    <w:rsid w:val="6634639D"/>
    <w:rsid w:val="664C5BF6"/>
    <w:rsid w:val="66704F8E"/>
    <w:rsid w:val="677D3C86"/>
    <w:rsid w:val="688772BC"/>
    <w:rsid w:val="6A0A1BC0"/>
    <w:rsid w:val="6AE94A87"/>
    <w:rsid w:val="6BE1432B"/>
    <w:rsid w:val="6C2B1C9A"/>
    <w:rsid w:val="71D74295"/>
    <w:rsid w:val="720C520D"/>
    <w:rsid w:val="726243FF"/>
    <w:rsid w:val="73404F49"/>
    <w:rsid w:val="73BD4B84"/>
    <w:rsid w:val="73F23B44"/>
    <w:rsid w:val="74283CCE"/>
    <w:rsid w:val="748D5699"/>
    <w:rsid w:val="749469BC"/>
    <w:rsid w:val="74F7585B"/>
    <w:rsid w:val="753A5C68"/>
    <w:rsid w:val="760419EB"/>
    <w:rsid w:val="7689413E"/>
    <w:rsid w:val="76CF4CF7"/>
    <w:rsid w:val="774F2B07"/>
    <w:rsid w:val="77B572B5"/>
    <w:rsid w:val="77E37ADE"/>
    <w:rsid w:val="782F0C71"/>
    <w:rsid w:val="79E933C5"/>
    <w:rsid w:val="7A4E12D2"/>
    <w:rsid w:val="7A4F7B3A"/>
    <w:rsid w:val="7ABD77D2"/>
    <w:rsid w:val="7B990465"/>
    <w:rsid w:val="7BFF281B"/>
    <w:rsid w:val="7CEE3FAD"/>
    <w:rsid w:val="7CF83394"/>
    <w:rsid w:val="7E791B09"/>
    <w:rsid w:val="7FB57778"/>
    <w:rsid w:val="7FDD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jc w:val="center"/>
      <w:outlineLvl w:val="0"/>
    </w:pPr>
    <w:rPr>
      <w:b/>
      <w:bCs/>
      <w:kern w:val="44"/>
      <w:sz w:val="30"/>
      <w:szCs w:val="44"/>
    </w:rPr>
  </w:style>
  <w:style w:type="paragraph" w:styleId="4">
    <w:name w:val="heading 2"/>
    <w:basedOn w:val="1"/>
    <w:next w:val="1"/>
    <w:autoRedefine/>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5">
    <w:name w:val="heading 3"/>
    <w:basedOn w:val="1"/>
    <w:next w:val="1"/>
    <w:autoRedefine/>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宋体"/>
    </w:rPr>
  </w:style>
  <w:style w:type="paragraph" w:styleId="12">
    <w:name w:val="Normal Indent"/>
    <w:basedOn w:val="1"/>
    <w:semiHidden/>
    <w:unhideWhenUsed/>
    <w:qFormat/>
    <w:uiPriority w:val="99"/>
    <w:pPr>
      <w:ind w:firstLine="420" w:firstLineChars="200"/>
    </w:pPr>
  </w:style>
  <w:style w:type="paragraph" w:styleId="13">
    <w:name w:val="annotation text"/>
    <w:basedOn w:val="1"/>
    <w:link w:val="35"/>
    <w:autoRedefine/>
    <w:qFormat/>
    <w:uiPriority w:val="0"/>
    <w:pPr>
      <w:jc w:val="left"/>
    </w:pPr>
  </w:style>
  <w:style w:type="paragraph" w:styleId="14">
    <w:name w:val="Body Text"/>
    <w:basedOn w:val="1"/>
    <w:next w:val="1"/>
    <w:autoRedefine/>
    <w:unhideWhenUsed/>
    <w:qFormat/>
    <w:uiPriority w:val="0"/>
    <w:pPr>
      <w:spacing w:after="120"/>
    </w:pPr>
    <w:rPr>
      <w:kern w:val="0"/>
      <w:sz w:val="20"/>
      <w:szCs w:val="20"/>
    </w:rPr>
  </w:style>
  <w:style w:type="paragraph" w:styleId="15">
    <w:name w:val="Body Text Indent"/>
    <w:basedOn w:val="1"/>
    <w:next w:val="16"/>
    <w:autoRedefine/>
    <w:qFormat/>
    <w:uiPriority w:val="0"/>
    <w:pPr>
      <w:spacing w:after="120"/>
      <w:ind w:left="420" w:leftChars="200"/>
    </w:pPr>
    <w:rPr>
      <w:kern w:val="0"/>
      <w:sz w:val="20"/>
      <w:szCs w:val="20"/>
    </w:rPr>
  </w:style>
  <w:style w:type="paragraph" w:styleId="16">
    <w:name w:val="envelope return"/>
    <w:basedOn w:val="1"/>
    <w:autoRedefine/>
    <w:qFormat/>
    <w:uiPriority w:val="0"/>
    <w:pPr>
      <w:snapToGrid w:val="0"/>
    </w:pPr>
    <w:rPr>
      <w:rFonts w:ascii="Arial" w:hAnsi="Arial"/>
    </w:rPr>
  </w:style>
  <w:style w:type="paragraph" w:styleId="17">
    <w:name w:val="Balloon Text"/>
    <w:basedOn w:val="1"/>
    <w:link w:val="34"/>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2"/>
    <w:basedOn w:val="1"/>
    <w:next w:val="1"/>
    <w:autoRedefine/>
    <w:qFormat/>
    <w:uiPriority w:val="39"/>
    <w:pPr>
      <w:ind w:left="200" w:leftChars="200"/>
    </w:p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22">
    <w:name w:val="annotation subject"/>
    <w:basedOn w:val="13"/>
    <w:next w:val="13"/>
    <w:link w:val="36"/>
    <w:qFormat/>
    <w:uiPriority w:val="0"/>
    <w:pPr>
      <w:jc w:val="both"/>
    </w:pPr>
    <w:rPr>
      <w:b/>
      <w:bCs/>
      <w:sz w:val="20"/>
      <w:szCs w:val="20"/>
    </w:rPr>
  </w:style>
  <w:style w:type="paragraph" w:styleId="23">
    <w:name w:val="Body Text First Indent"/>
    <w:basedOn w:val="14"/>
    <w:next w:val="14"/>
    <w:autoRedefine/>
    <w:qFormat/>
    <w:uiPriority w:val="0"/>
    <w:pPr>
      <w:spacing w:line="312" w:lineRule="auto"/>
      <w:ind w:firstLine="420"/>
    </w:pPr>
    <w:rPr>
      <w:szCs w:val="24"/>
    </w:rPr>
  </w:style>
  <w:style w:type="paragraph" w:styleId="24">
    <w:name w:val="Body Text First Indent 2"/>
    <w:basedOn w:val="15"/>
    <w:autoRedefine/>
    <w:unhideWhenUsed/>
    <w:qFormat/>
    <w:uiPriority w:val="0"/>
    <w:pPr>
      <w:ind w:firstLine="420" w:firstLineChars="200"/>
    </w:pPr>
    <w:rPr>
      <w:szCs w:val="22"/>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annotation reference"/>
    <w:qFormat/>
    <w:uiPriority w:val="99"/>
    <w:rPr>
      <w:rFonts w:ascii="Times New Roman" w:hAnsi="Times New Roman" w:cs="Times New Roman"/>
      <w:sz w:val="21"/>
      <w:szCs w:val="21"/>
    </w:rPr>
  </w:style>
  <w:style w:type="paragraph" w:customStyle="1" w:styleId="3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样式"/>
    <w:basedOn w:val="1"/>
    <w:next w:val="15"/>
    <w:autoRedefine/>
    <w:qFormat/>
    <w:uiPriority w:val="0"/>
    <w:pPr>
      <w:jc w:val="center"/>
    </w:pPr>
    <w:rPr>
      <w:rFonts w:ascii="宋体" w:hAnsi="宋体"/>
      <w:color w:val="FF0000"/>
      <w:sz w:val="24"/>
      <w:szCs w:val="24"/>
    </w:rPr>
  </w:style>
  <w:style w:type="paragraph" w:customStyle="1" w:styleId="32">
    <w:name w:val="宏达正文"/>
    <w:basedOn w:val="1"/>
    <w:autoRedefine/>
    <w:qFormat/>
    <w:uiPriority w:val="0"/>
    <w:pPr>
      <w:ind w:firstLine="200" w:firstLineChars="200"/>
    </w:pPr>
    <w:rPr>
      <w:rFonts w:ascii="FangSong_GB2312" w:eastAsia="FangSong_GB2312"/>
      <w:kern w:val="0"/>
      <w:sz w:val="28"/>
      <w:szCs w:val="28"/>
    </w:rPr>
  </w:style>
  <w:style w:type="table" w:customStyle="1" w:styleId="33">
    <w:name w:val="Table Normal1"/>
    <w:autoRedefine/>
    <w:semiHidden/>
    <w:unhideWhenUsed/>
    <w:qFormat/>
    <w:uiPriority w:val="0"/>
    <w:tblPr>
      <w:tblCellMar>
        <w:top w:w="0" w:type="dxa"/>
        <w:left w:w="0" w:type="dxa"/>
        <w:bottom w:w="0" w:type="dxa"/>
        <w:right w:w="0" w:type="dxa"/>
      </w:tblCellMar>
    </w:tblPr>
  </w:style>
  <w:style w:type="character" w:customStyle="1" w:styleId="34">
    <w:name w:val="Balloon Text Char"/>
    <w:basedOn w:val="27"/>
    <w:link w:val="17"/>
    <w:qFormat/>
    <w:uiPriority w:val="0"/>
    <w:rPr>
      <w:kern w:val="2"/>
      <w:sz w:val="18"/>
      <w:szCs w:val="18"/>
      <w:lang w:val="en-US"/>
    </w:rPr>
  </w:style>
  <w:style w:type="character" w:customStyle="1" w:styleId="35">
    <w:name w:val="Comment Text Char"/>
    <w:basedOn w:val="27"/>
    <w:link w:val="13"/>
    <w:qFormat/>
    <w:uiPriority w:val="0"/>
    <w:rPr>
      <w:kern w:val="2"/>
      <w:sz w:val="21"/>
      <w:szCs w:val="22"/>
      <w:lang w:val="en-US"/>
    </w:rPr>
  </w:style>
  <w:style w:type="character" w:customStyle="1" w:styleId="36">
    <w:name w:val="Comment Subject Char"/>
    <w:basedOn w:val="35"/>
    <w:link w:val="22"/>
    <w:qFormat/>
    <w:uiPriority w:val="0"/>
    <w:rPr>
      <w:b/>
      <w:bCs/>
      <w:kern w:val="2"/>
      <w:sz w:val="21"/>
      <w:szCs w:val="22"/>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20878</Words>
  <Characters>21698</Characters>
  <Lines>160</Lines>
  <Paragraphs>45</Paragraphs>
  <TotalTime>0</TotalTime>
  <ScaleCrop>false</ScaleCrop>
  <LinksUpToDate>false</LinksUpToDate>
  <CharactersWithSpaces>22645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2025-02-21T11:35:00Z</dcterms:created>
  <dc:creator>123</dc:creator>
  <cp:lastModifiedBy>JXL</cp:lastModifiedBy>
  <dcterms:modified xsi:type="dcterms:W3CDTF">2025-05-14T10:48:55Z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8066F470E67C46AC891024A1EB9C50DA_13</vt:lpwstr>
  </property>
  <property fmtid="{D5CDD505-2E9C-101B-9397-08002B2CF9AE}" pid="4" name="KSOTemplateDocerSaveRecord">
    <vt:lpwstr>eyJoZGlkIjoiODdmYWUyYzUxY2RmNTI5NDk2ZWJmMDM5Yzc0OGNmMDEiLCJ1c2VySWQiOiIyNjY4MTY4ODAifQ==</vt:lpwstr>
  </property>
</Properties>
</file>