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b/>
          <w:color w:val="auto"/>
          <w:sz w:val="44"/>
          <w:szCs w:val="44"/>
          <w:highlight w:val="none"/>
        </w:rPr>
      </w:pPr>
      <w:r>
        <w:rPr>
          <w:rFonts w:hint="eastAsia"/>
          <w:b/>
          <w:color w:val="auto"/>
          <w:sz w:val="44"/>
          <w:szCs w:val="44"/>
          <w:highlight w:val="none"/>
        </w:rPr>
        <w:t xml:space="preserve">                                                                                                                                                                                                                                                                                                                                         </w:t>
      </w:r>
    </w:p>
    <w:p>
      <w:pPr>
        <w:autoSpaceDE w:val="0"/>
        <w:autoSpaceDN w:val="0"/>
        <w:adjustRightInd w:val="0"/>
        <w:spacing w:line="360" w:lineRule="auto"/>
        <w:jc w:val="center"/>
        <w:rPr>
          <w:b/>
          <w:color w:val="auto"/>
          <w:sz w:val="44"/>
          <w:szCs w:val="44"/>
          <w:highlight w:val="none"/>
        </w:rPr>
      </w:pPr>
      <w:r>
        <w:rPr>
          <w:rFonts w:hint="eastAsia"/>
          <w:b/>
          <w:color w:val="auto"/>
          <w:sz w:val="44"/>
          <w:szCs w:val="44"/>
          <w:highlight w:val="none"/>
        </w:rPr>
        <w:t>增城国家级开发区中新园区基础设施配套中新下沉式再生水厂项目施工监理</w:t>
      </w:r>
    </w:p>
    <w:p>
      <w:pPr>
        <w:pStyle w:val="15"/>
        <w:ind w:firstLine="883" w:firstLineChars="200"/>
        <w:jc w:val="both"/>
        <w:rPr>
          <w:b/>
          <w:color w:val="auto"/>
          <w:sz w:val="44"/>
          <w:szCs w:val="44"/>
          <w:highlight w:val="none"/>
        </w:rPr>
      </w:pPr>
    </w:p>
    <w:p>
      <w:pPr>
        <w:ind w:firstLine="640" w:firstLineChars="200"/>
        <w:jc w:val="center"/>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（招标编号：</w:t>
      </w:r>
      <w:r>
        <w:rPr>
          <w:rFonts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u w:val="single"/>
        </w:rPr>
        <w:t xml:space="preserve">          </w:t>
      </w:r>
      <w:r>
        <w:rPr>
          <w:rFonts w:ascii="Times New Roman" w:hAnsi="Times New Roman" w:eastAsia="黑体"/>
          <w:color w:val="auto"/>
          <w:sz w:val="32"/>
          <w:szCs w:val="32"/>
          <w:highlight w:val="none"/>
        </w:rPr>
        <w:t>）</w:t>
      </w: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szCs w:val="28"/>
          <w:highlight w:val="none"/>
        </w:rPr>
      </w:pPr>
    </w:p>
    <w:p>
      <w:pPr>
        <w:ind w:firstLine="986"/>
        <w:rPr>
          <w:rFonts w:ascii="Times New Roman" w:hAnsi="Times New Roman"/>
          <w:color w:val="auto"/>
          <w:sz w:val="28"/>
          <w:highlight w:val="none"/>
        </w:rPr>
      </w:pPr>
    </w:p>
    <w:p>
      <w:pPr>
        <w:ind w:firstLine="1680" w:firstLineChars="200"/>
        <w:rPr>
          <w:rFonts w:ascii="Times New Roman" w:hAnsi="Times New Roman" w:eastAsia="黑体"/>
          <w:color w:val="auto"/>
          <w:sz w:val="84"/>
          <w:szCs w:val="84"/>
          <w:highlight w:val="none"/>
        </w:rPr>
      </w:pPr>
      <w:r>
        <w:rPr>
          <w:rFonts w:ascii="Times New Roman" w:hAnsi="Times New Roman" w:eastAsia="黑体"/>
          <w:color w:val="auto"/>
          <w:sz w:val="84"/>
          <w:szCs w:val="84"/>
          <w:highlight w:val="none"/>
        </w:rPr>
        <w:t>招</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标</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文</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件</w:t>
      </w:r>
      <w:r>
        <w:rPr>
          <w:rFonts w:hint="eastAsia" w:ascii="Times New Roman" w:hAnsi="Times New Roman" w:eastAsia="黑体"/>
          <w:color w:val="auto"/>
          <w:sz w:val="84"/>
          <w:szCs w:val="84"/>
          <w:highlight w:val="none"/>
        </w:rPr>
        <w:t xml:space="preserve">                                                 </w:t>
      </w: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pStyle w:val="22"/>
        <w:ind w:firstLine="480"/>
        <w:rPr>
          <w:color w:val="auto"/>
          <w:highlight w:val="none"/>
        </w:rPr>
      </w:pPr>
    </w:p>
    <w:p>
      <w:pPr>
        <w:spacing w:line="400" w:lineRule="exact"/>
        <w:ind w:firstLine="420" w:firstLineChars="200"/>
        <w:rPr>
          <w:rFonts w:ascii="Times New Roman" w:hAnsi="Times New Roman"/>
          <w:color w:val="auto"/>
          <w:highlight w:val="none"/>
        </w:rPr>
      </w:pPr>
      <w:bookmarkStart w:id="936" w:name="_GoBack"/>
      <w:bookmarkEnd w:id="936"/>
    </w:p>
    <w:p>
      <w:pPr>
        <w:spacing w:line="400" w:lineRule="exact"/>
        <w:ind w:firstLine="420" w:firstLineChars="200"/>
        <w:rPr>
          <w:rFonts w:ascii="Times New Roman" w:hAnsi="Times New Roman"/>
          <w:color w:val="auto"/>
          <w:highlight w:val="none"/>
        </w:rPr>
      </w:pPr>
    </w:p>
    <w:p>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rPr>
        <w:t>招 标  单 位：</w:t>
      </w:r>
      <w:r>
        <w:rPr>
          <w:rFonts w:hint="eastAsia" w:ascii="宋体" w:hAnsi="宋体"/>
          <w:b/>
          <w:color w:val="auto"/>
          <w:sz w:val="32"/>
          <w:szCs w:val="32"/>
          <w:highlight w:val="none"/>
          <w:lang w:val="zh-CN"/>
        </w:rPr>
        <w:t>广州市增城区水务建设管理所</w:t>
      </w:r>
      <w:r>
        <w:rPr>
          <w:rFonts w:hint="eastAsia" w:ascii="宋体" w:hAnsi="宋体"/>
          <w:b/>
          <w:color w:val="auto"/>
          <w:sz w:val="32"/>
          <w:szCs w:val="32"/>
          <w:highlight w:val="none"/>
        </w:rPr>
        <w:t xml:space="preserve"> </w:t>
      </w:r>
    </w:p>
    <w:p>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rPr>
        <w:t>招标代理单位：</w:t>
      </w:r>
      <w:r>
        <w:rPr>
          <w:rFonts w:hint="eastAsia" w:ascii="宋体" w:hAnsi="宋体"/>
          <w:b/>
          <w:color w:val="auto"/>
          <w:sz w:val="32"/>
          <w:szCs w:val="32"/>
          <w:highlight w:val="none"/>
          <w:lang w:val="zh-CN"/>
        </w:rPr>
        <w:t>广州高新工程顾问有限公司</w:t>
      </w:r>
    </w:p>
    <w:p>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rPr>
        <w:t>日        期：二〇二二年</w:t>
      </w:r>
      <w:r>
        <w:rPr>
          <w:rFonts w:hint="eastAsia" w:ascii="宋体" w:hAnsi="宋体"/>
          <w:b/>
          <w:color w:val="auto"/>
          <w:sz w:val="32"/>
          <w:szCs w:val="32"/>
          <w:highlight w:val="none"/>
          <w:u w:val="single"/>
        </w:rPr>
        <w:t xml:space="preserve"> 十</w:t>
      </w:r>
      <w:r>
        <w:rPr>
          <w:rFonts w:hint="eastAsia" w:ascii="宋体" w:hAnsi="宋体"/>
          <w:b/>
          <w:color w:val="auto"/>
          <w:sz w:val="32"/>
          <w:szCs w:val="32"/>
          <w:highlight w:val="none"/>
          <w:u w:val="single"/>
          <w:lang w:val="en-US" w:eastAsia="zh-CN"/>
        </w:rPr>
        <w:t>一</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月</w:t>
      </w:r>
    </w:p>
    <w:p>
      <w:pPr>
        <w:pStyle w:val="2"/>
        <w:ind w:firstLine="420" w:firstLineChars="200"/>
        <w:rPr>
          <w:color w:val="auto"/>
          <w:highlight w:val="none"/>
        </w:rPr>
      </w:pPr>
    </w:p>
    <w:p>
      <w:pPr>
        <w:ind w:firstLine="420" w:firstLineChars="200"/>
        <w:rPr>
          <w:color w:val="auto"/>
          <w:highlight w:val="none"/>
        </w:rPr>
      </w:pPr>
    </w:p>
    <w:p>
      <w:pPr>
        <w:pStyle w:val="29"/>
        <w:keepNext w:val="0"/>
        <w:keepLines w:val="0"/>
        <w:widowControl w:val="0"/>
        <w:spacing w:before="0"/>
        <w:jc w:val="center"/>
        <w:rPr>
          <w:rFonts w:asciiTheme="majorEastAsia" w:hAnsiTheme="majorEastAsia" w:eastAsiaTheme="majorEastAsia"/>
          <w:b w:val="0"/>
          <w:color w:val="auto"/>
          <w:highlight w:val="none"/>
          <w:lang w:val="zh-CN"/>
        </w:rPr>
        <w:sectPr>
          <w:pgSz w:w="12240" w:h="15840"/>
          <w:pgMar w:top="1440" w:right="1800" w:bottom="1440" w:left="1800" w:header="720" w:footer="720" w:gutter="0"/>
          <w:pgNumType w:start="1"/>
          <w:cols w:space="720" w:num="1"/>
          <w:docGrid w:linePitch="285" w:charSpace="0"/>
        </w:sectPr>
      </w:pPr>
      <w:bookmarkStart w:id="0" w:name="_Toc152042287"/>
      <w:bookmarkStart w:id="1" w:name="_Toc152045511"/>
      <w:bookmarkStart w:id="2" w:name="_Toc144974479"/>
    </w:p>
    <w:p>
      <w:pPr>
        <w:pStyle w:val="29"/>
        <w:keepNext w:val="0"/>
        <w:keepLines w:val="0"/>
        <w:widowControl w:val="0"/>
        <w:spacing w:before="0"/>
        <w:jc w:val="center"/>
        <w:rPr>
          <w:rFonts w:asciiTheme="majorEastAsia" w:hAnsiTheme="majorEastAsia" w:eastAsiaTheme="majorEastAsia"/>
          <w:b/>
          <w:bCs/>
          <w:color w:val="auto"/>
          <w:sz w:val="36"/>
          <w:szCs w:val="22"/>
          <w:highlight w:val="none"/>
        </w:rPr>
      </w:pPr>
      <w:r>
        <w:rPr>
          <w:rFonts w:asciiTheme="majorEastAsia" w:hAnsiTheme="majorEastAsia" w:eastAsiaTheme="majorEastAsia"/>
          <w:b/>
          <w:bCs/>
          <w:color w:val="auto"/>
          <w:sz w:val="36"/>
          <w:szCs w:val="22"/>
          <w:highlight w:val="none"/>
          <w:lang w:val="zh-CN"/>
        </w:rPr>
        <w:t>目</w:t>
      </w:r>
      <w:r>
        <w:rPr>
          <w:rFonts w:hint="eastAsia" w:asciiTheme="majorEastAsia" w:hAnsiTheme="majorEastAsia" w:eastAsiaTheme="majorEastAsia"/>
          <w:b/>
          <w:bCs/>
          <w:color w:val="auto"/>
          <w:sz w:val="36"/>
          <w:szCs w:val="22"/>
          <w:highlight w:val="none"/>
          <w:lang w:val="zh-CN"/>
        </w:rPr>
        <w:t xml:space="preserve"> </w:t>
      </w:r>
      <w:r>
        <w:rPr>
          <w:rFonts w:asciiTheme="majorEastAsia" w:hAnsiTheme="majorEastAsia" w:eastAsiaTheme="majorEastAsia"/>
          <w:b/>
          <w:bCs/>
          <w:color w:val="auto"/>
          <w:sz w:val="36"/>
          <w:szCs w:val="22"/>
          <w:highlight w:val="none"/>
          <w:lang w:val="zh-CN"/>
        </w:rPr>
        <w:t>录</w:t>
      </w:r>
    </w:p>
    <w:p>
      <w:pPr>
        <w:pStyle w:val="17"/>
        <w:tabs>
          <w:tab w:val="right" w:leader="dot" w:pos="8630"/>
        </w:tabs>
        <w:ind w:firstLine="420" w:firstLineChars="200"/>
        <w:rPr>
          <w:rFonts w:ascii="Times New Roman" w:hAnsi="Times New Roman"/>
          <w:color w:val="auto"/>
          <w:highlight w:val="none"/>
        </w:rPr>
      </w:pPr>
    </w:p>
    <w:p>
      <w:pPr>
        <w:pStyle w:val="17"/>
        <w:keepNext w:val="0"/>
        <w:keepLines w:val="0"/>
        <w:pageBreakBefore w:val="0"/>
        <w:widowControl w:val="0"/>
        <w:tabs>
          <w:tab w:val="right" w:leader="dot" w:pos="8640"/>
        </w:tabs>
        <w:kinsoku/>
        <w:wordWrap/>
        <w:overflowPunct/>
        <w:topLinePunct w:val="0"/>
        <w:autoSpaceDE/>
        <w:autoSpaceDN/>
        <w:bidi w:val="0"/>
        <w:adjustRightInd/>
        <w:snapToGrid w:val="0"/>
        <w:spacing w:line="360" w:lineRule="auto"/>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_Toc14855 </w:instrText>
      </w:r>
      <w:r>
        <w:rPr>
          <w:rFonts w:hint="eastAsia" w:ascii="宋体" w:hAnsi="宋体" w:eastAsia="宋体" w:cs="宋体"/>
          <w:color w:val="auto"/>
          <w:sz w:val="28"/>
          <w:szCs w:val="28"/>
          <w:highlight w:val="none"/>
        </w:rPr>
        <w:fldChar w:fldCharType="separate"/>
      </w:r>
      <w:r>
        <w:rPr>
          <w:color w:val="auto"/>
          <w:sz w:val="28"/>
          <w:szCs w:val="28"/>
          <w:highlight w:val="none"/>
        </w:rPr>
        <w:t>第一卷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_Toc14855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keepNext w:val="0"/>
        <w:keepLines w:val="0"/>
        <w:pageBreakBefore w:val="0"/>
        <w:widowControl w:val="0"/>
        <w:tabs>
          <w:tab w:val="right" w:leader="dot" w:pos="8640"/>
        </w:tabs>
        <w:kinsoku/>
        <w:wordWrap/>
        <w:overflowPunct/>
        <w:topLinePunct w:val="0"/>
        <w:autoSpaceDE/>
        <w:autoSpaceDN/>
        <w:bidi w:val="0"/>
        <w:adjustRightInd/>
        <w:snapToGrid w:val="0"/>
        <w:spacing w:line="360" w:lineRule="auto"/>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_Toc2267 </w:instrText>
      </w:r>
      <w:r>
        <w:rPr>
          <w:rFonts w:hint="eastAsia" w:ascii="宋体" w:hAnsi="宋体" w:eastAsia="宋体" w:cs="宋体"/>
          <w:color w:val="auto"/>
          <w:sz w:val="28"/>
          <w:szCs w:val="28"/>
          <w:highlight w:val="none"/>
        </w:rPr>
        <w:fldChar w:fldCharType="separate"/>
      </w:r>
      <w:r>
        <w:rPr>
          <w:rFonts w:hint="eastAsia"/>
          <w:color w:val="auto"/>
          <w:sz w:val="28"/>
          <w:szCs w:val="28"/>
          <w:highlight w:val="none"/>
        </w:rPr>
        <w:t xml:space="preserve">第一章 </w:t>
      </w:r>
      <w:r>
        <w:rPr>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_Toc2267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keepNext w:val="0"/>
        <w:keepLines w:val="0"/>
        <w:pageBreakBefore w:val="0"/>
        <w:widowControl w:val="0"/>
        <w:tabs>
          <w:tab w:val="right" w:leader="dot" w:pos="8640"/>
        </w:tabs>
        <w:kinsoku/>
        <w:wordWrap/>
        <w:overflowPunct/>
        <w:topLinePunct w:val="0"/>
        <w:autoSpaceDE/>
        <w:autoSpaceDN/>
        <w:bidi w:val="0"/>
        <w:adjustRightInd/>
        <w:snapToGrid w:val="0"/>
        <w:spacing w:line="360" w:lineRule="auto"/>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_Toc14022 </w:instrText>
      </w:r>
      <w:r>
        <w:rPr>
          <w:rFonts w:hint="eastAsia" w:ascii="宋体" w:hAnsi="宋体" w:eastAsia="宋体" w:cs="宋体"/>
          <w:color w:val="auto"/>
          <w:sz w:val="28"/>
          <w:szCs w:val="28"/>
          <w:highlight w:val="none"/>
        </w:rPr>
        <w:fldChar w:fldCharType="separate"/>
      </w:r>
      <w:r>
        <w:rPr>
          <w:rFonts w:hint="eastAsia"/>
          <w:color w:val="auto"/>
          <w:sz w:val="28"/>
          <w:szCs w:val="28"/>
          <w:highlight w:val="none"/>
        </w:rPr>
        <w:t>第二章投标人须知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_Toc14022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keepNext w:val="0"/>
        <w:keepLines w:val="0"/>
        <w:pageBreakBefore w:val="0"/>
        <w:widowControl w:val="0"/>
        <w:tabs>
          <w:tab w:val="right" w:leader="dot" w:pos="8640"/>
        </w:tabs>
        <w:kinsoku/>
        <w:wordWrap/>
        <w:overflowPunct/>
        <w:topLinePunct w:val="0"/>
        <w:autoSpaceDE/>
        <w:autoSpaceDN/>
        <w:bidi w:val="0"/>
        <w:adjustRightInd/>
        <w:snapToGrid w:val="0"/>
        <w:spacing w:line="360" w:lineRule="auto"/>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_Toc27518 </w:instrText>
      </w:r>
      <w:r>
        <w:rPr>
          <w:rFonts w:hint="eastAsia" w:ascii="宋体" w:hAnsi="宋体" w:eastAsia="宋体" w:cs="宋体"/>
          <w:color w:val="auto"/>
          <w:sz w:val="28"/>
          <w:szCs w:val="28"/>
          <w:highlight w:val="none"/>
        </w:rPr>
        <w:fldChar w:fldCharType="separate"/>
      </w:r>
      <w:r>
        <w:rPr>
          <w:color w:val="auto"/>
          <w:sz w:val="28"/>
          <w:szCs w:val="28"/>
          <w:highlight w:val="none"/>
        </w:rPr>
        <w:t>第三章</w:t>
      </w:r>
      <w:r>
        <w:rPr>
          <w:rFonts w:hint="eastAsia"/>
          <w:color w:val="auto"/>
          <w:sz w:val="28"/>
          <w:szCs w:val="28"/>
          <w:highlight w:val="none"/>
        </w:rPr>
        <w:t xml:space="preserve"> </w:t>
      </w:r>
      <w:r>
        <w:rPr>
          <w:color w:val="auto"/>
          <w:sz w:val="28"/>
          <w:szCs w:val="28"/>
          <w:highlight w:val="none"/>
        </w:rPr>
        <w:t>评标办法（综合评估法）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_Toc27518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keepNext w:val="0"/>
        <w:keepLines w:val="0"/>
        <w:pageBreakBefore w:val="0"/>
        <w:widowControl w:val="0"/>
        <w:tabs>
          <w:tab w:val="right" w:leader="dot" w:pos="8640"/>
        </w:tabs>
        <w:kinsoku/>
        <w:wordWrap/>
        <w:overflowPunct/>
        <w:topLinePunct w:val="0"/>
        <w:autoSpaceDE/>
        <w:autoSpaceDN/>
        <w:bidi w:val="0"/>
        <w:adjustRightInd/>
        <w:snapToGrid w:val="0"/>
        <w:spacing w:line="360" w:lineRule="auto"/>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_Toc10459 </w:instrText>
      </w:r>
      <w:r>
        <w:rPr>
          <w:rFonts w:hint="eastAsia" w:ascii="宋体" w:hAnsi="宋体" w:eastAsia="宋体" w:cs="宋体"/>
          <w:color w:val="auto"/>
          <w:sz w:val="28"/>
          <w:szCs w:val="28"/>
          <w:highlight w:val="none"/>
        </w:rPr>
        <w:fldChar w:fldCharType="separate"/>
      </w:r>
      <w:r>
        <w:rPr>
          <w:color w:val="auto"/>
          <w:sz w:val="28"/>
          <w:szCs w:val="28"/>
          <w:highlight w:val="none"/>
        </w:rPr>
        <w:t>第四章</w:t>
      </w:r>
      <w:r>
        <w:rPr>
          <w:rFonts w:hint="eastAsia"/>
          <w:color w:val="auto"/>
          <w:sz w:val="28"/>
          <w:szCs w:val="28"/>
          <w:highlight w:val="none"/>
        </w:rPr>
        <w:t xml:space="preserve"> </w:t>
      </w:r>
      <w:r>
        <w:rPr>
          <w:color w:val="auto"/>
          <w:sz w:val="28"/>
          <w:szCs w:val="28"/>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_Toc10459 \h </w:instrText>
      </w:r>
      <w:r>
        <w:rPr>
          <w:color w:val="auto"/>
          <w:sz w:val="28"/>
          <w:szCs w:val="28"/>
          <w:highlight w:val="none"/>
        </w:rPr>
        <w:fldChar w:fldCharType="separate"/>
      </w:r>
      <w:r>
        <w:rPr>
          <w:color w:val="auto"/>
          <w:sz w:val="28"/>
          <w:szCs w:val="28"/>
          <w:highlight w:val="none"/>
        </w:rPr>
        <w:t>46</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keepNext w:val="0"/>
        <w:keepLines w:val="0"/>
        <w:pageBreakBefore w:val="0"/>
        <w:widowControl w:val="0"/>
        <w:tabs>
          <w:tab w:val="right" w:leader="dot" w:pos="8640"/>
        </w:tabs>
        <w:kinsoku/>
        <w:wordWrap/>
        <w:overflowPunct/>
        <w:topLinePunct w:val="0"/>
        <w:autoSpaceDE/>
        <w:autoSpaceDN/>
        <w:bidi w:val="0"/>
        <w:adjustRightInd/>
        <w:snapToGrid w:val="0"/>
        <w:spacing w:line="360" w:lineRule="auto"/>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_Toc22886 </w:instrText>
      </w:r>
      <w:r>
        <w:rPr>
          <w:rFonts w:hint="eastAsia" w:ascii="宋体" w:hAnsi="宋体" w:eastAsia="宋体" w:cs="宋体"/>
          <w:color w:val="auto"/>
          <w:sz w:val="28"/>
          <w:szCs w:val="28"/>
          <w:highlight w:val="none"/>
        </w:rPr>
        <w:fldChar w:fldCharType="separate"/>
      </w:r>
      <w:r>
        <w:rPr>
          <w:color w:val="auto"/>
          <w:sz w:val="28"/>
          <w:szCs w:val="28"/>
          <w:highlight w:val="none"/>
        </w:rPr>
        <w:t>第</w:t>
      </w:r>
      <w:r>
        <w:rPr>
          <w:rFonts w:hint="eastAsia"/>
          <w:color w:val="auto"/>
          <w:sz w:val="28"/>
          <w:szCs w:val="28"/>
          <w:highlight w:val="none"/>
        </w:rPr>
        <w:t>二</w:t>
      </w:r>
      <w:r>
        <w:rPr>
          <w:color w:val="auto"/>
          <w:sz w:val="28"/>
          <w:szCs w:val="28"/>
          <w:highlight w:val="none"/>
        </w:rPr>
        <w:t>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_Toc22886 \h </w:instrText>
      </w:r>
      <w:r>
        <w:rPr>
          <w:color w:val="auto"/>
          <w:sz w:val="28"/>
          <w:szCs w:val="28"/>
          <w:highlight w:val="none"/>
        </w:rPr>
        <w:fldChar w:fldCharType="separate"/>
      </w:r>
      <w:r>
        <w:rPr>
          <w:color w:val="auto"/>
          <w:sz w:val="28"/>
          <w:szCs w:val="28"/>
          <w:highlight w:val="none"/>
        </w:rPr>
        <w:t>87</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keepNext w:val="0"/>
        <w:keepLines w:val="0"/>
        <w:pageBreakBefore w:val="0"/>
        <w:widowControl w:val="0"/>
        <w:tabs>
          <w:tab w:val="right" w:leader="dot" w:pos="8640"/>
        </w:tabs>
        <w:kinsoku/>
        <w:wordWrap/>
        <w:overflowPunct/>
        <w:topLinePunct w:val="0"/>
        <w:autoSpaceDE/>
        <w:autoSpaceDN/>
        <w:bidi w:val="0"/>
        <w:adjustRightInd/>
        <w:snapToGrid w:val="0"/>
        <w:spacing w:line="360" w:lineRule="auto"/>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_Toc23634 </w:instrText>
      </w:r>
      <w:r>
        <w:rPr>
          <w:rFonts w:hint="eastAsia" w:ascii="宋体" w:hAnsi="宋体" w:eastAsia="宋体" w:cs="宋体"/>
          <w:color w:val="auto"/>
          <w:sz w:val="28"/>
          <w:szCs w:val="28"/>
          <w:highlight w:val="none"/>
        </w:rPr>
        <w:fldChar w:fldCharType="separate"/>
      </w:r>
      <w:r>
        <w:rPr>
          <w:rFonts w:hint="eastAsia"/>
          <w:color w:val="auto"/>
          <w:sz w:val="28"/>
          <w:szCs w:val="28"/>
          <w:highlight w:val="none"/>
        </w:rPr>
        <w:t>第五章</w:t>
      </w:r>
      <w:r>
        <w:rPr>
          <w:color w:val="auto"/>
          <w:sz w:val="28"/>
          <w:szCs w:val="28"/>
          <w:highlight w:val="none"/>
        </w:rPr>
        <w:t xml:space="preserve"> </w:t>
      </w:r>
      <w:r>
        <w:rPr>
          <w:rFonts w:hint="eastAsia"/>
          <w:color w:val="auto"/>
          <w:sz w:val="28"/>
          <w:szCs w:val="28"/>
          <w:highlight w:val="none"/>
        </w:rPr>
        <w:t>委托人要求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_Toc23634 \h </w:instrText>
      </w:r>
      <w:r>
        <w:rPr>
          <w:color w:val="auto"/>
          <w:sz w:val="28"/>
          <w:szCs w:val="28"/>
          <w:highlight w:val="none"/>
        </w:rPr>
        <w:fldChar w:fldCharType="separate"/>
      </w:r>
      <w:r>
        <w:rPr>
          <w:color w:val="auto"/>
          <w:sz w:val="28"/>
          <w:szCs w:val="28"/>
          <w:highlight w:val="none"/>
        </w:rPr>
        <w:t>88</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keepNext w:val="0"/>
        <w:keepLines w:val="0"/>
        <w:pageBreakBefore w:val="0"/>
        <w:widowControl w:val="0"/>
        <w:tabs>
          <w:tab w:val="right" w:leader="dot" w:pos="8640"/>
        </w:tabs>
        <w:kinsoku/>
        <w:wordWrap/>
        <w:overflowPunct/>
        <w:topLinePunct w:val="0"/>
        <w:autoSpaceDE/>
        <w:autoSpaceDN/>
        <w:bidi w:val="0"/>
        <w:adjustRightInd/>
        <w:snapToGrid w:val="0"/>
        <w:spacing w:line="360" w:lineRule="auto"/>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_Toc27285 </w:instrText>
      </w:r>
      <w:r>
        <w:rPr>
          <w:rFonts w:hint="eastAsia" w:ascii="宋体" w:hAnsi="宋体" w:eastAsia="宋体" w:cs="宋体"/>
          <w:color w:val="auto"/>
          <w:sz w:val="28"/>
          <w:szCs w:val="28"/>
          <w:highlight w:val="none"/>
        </w:rPr>
        <w:fldChar w:fldCharType="separate"/>
      </w:r>
      <w:r>
        <w:rPr>
          <w:color w:val="auto"/>
          <w:sz w:val="28"/>
          <w:szCs w:val="28"/>
          <w:highlight w:val="none"/>
        </w:rPr>
        <w:t>第</w:t>
      </w:r>
      <w:r>
        <w:rPr>
          <w:rFonts w:hint="eastAsia"/>
          <w:color w:val="auto"/>
          <w:sz w:val="28"/>
          <w:szCs w:val="28"/>
          <w:highlight w:val="none"/>
        </w:rPr>
        <w:t>三</w:t>
      </w:r>
      <w:r>
        <w:rPr>
          <w:color w:val="auto"/>
          <w:sz w:val="28"/>
          <w:szCs w:val="28"/>
          <w:highlight w:val="none"/>
        </w:rPr>
        <w:t>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_Toc27285 \h </w:instrText>
      </w:r>
      <w:r>
        <w:rPr>
          <w:color w:val="auto"/>
          <w:sz w:val="28"/>
          <w:szCs w:val="28"/>
          <w:highlight w:val="none"/>
        </w:rPr>
        <w:fldChar w:fldCharType="separate"/>
      </w:r>
      <w:r>
        <w:rPr>
          <w:color w:val="auto"/>
          <w:sz w:val="28"/>
          <w:szCs w:val="28"/>
          <w:highlight w:val="none"/>
        </w:rPr>
        <w:t>97</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keepNext w:val="0"/>
        <w:keepLines w:val="0"/>
        <w:pageBreakBefore w:val="0"/>
        <w:widowControl w:val="0"/>
        <w:tabs>
          <w:tab w:val="right" w:leader="dot" w:pos="8640"/>
        </w:tabs>
        <w:kinsoku/>
        <w:wordWrap/>
        <w:overflowPunct/>
        <w:topLinePunct w:val="0"/>
        <w:autoSpaceDE/>
        <w:autoSpaceDN/>
        <w:bidi w:val="0"/>
        <w:adjustRightInd/>
        <w:snapToGrid w:val="0"/>
        <w:spacing w:line="360" w:lineRule="auto"/>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_Toc15525 </w:instrText>
      </w:r>
      <w:r>
        <w:rPr>
          <w:rFonts w:hint="eastAsia" w:ascii="宋体" w:hAnsi="宋体" w:eastAsia="宋体" w:cs="宋体"/>
          <w:color w:val="auto"/>
          <w:sz w:val="28"/>
          <w:szCs w:val="28"/>
          <w:highlight w:val="none"/>
        </w:rPr>
        <w:fldChar w:fldCharType="separate"/>
      </w:r>
      <w:r>
        <w:rPr>
          <w:color w:val="auto"/>
          <w:sz w:val="28"/>
          <w:szCs w:val="28"/>
          <w:highlight w:val="none"/>
        </w:rPr>
        <w:t>第六章</w:t>
      </w:r>
      <w:r>
        <w:rPr>
          <w:rFonts w:hint="eastAsia"/>
          <w:color w:val="auto"/>
          <w:sz w:val="28"/>
          <w:szCs w:val="28"/>
          <w:highlight w:val="none"/>
        </w:rPr>
        <w:t xml:space="preserve"> </w:t>
      </w:r>
      <w:r>
        <w:rPr>
          <w:color w:val="auto"/>
          <w:sz w:val="28"/>
          <w:szCs w:val="28"/>
          <w:highlight w:val="none"/>
        </w:rPr>
        <w:t>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_Toc15525 \h </w:instrText>
      </w:r>
      <w:r>
        <w:rPr>
          <w:color w:val="auto"/>
          <w:sz w:val="28"/>
          <w:szCs w:val="28"/>
          <w:highlight w:val="none"/>
        </w:rPr>
        <w:fldChar w:fldCharType="separate"/>
      </w:r>
      <w:r>
        <w:rPr>
          <w:color w:val="auto"/>
          <w:sz w:val="28"/>
          <w:szCs w:val="28"/>
          <w:highlight w:val="none"/>
        </w:rPr>
        <w:t>98</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40"/>
          <w:szCs w:val="44"/>
          <w:highlight w:val="none"/>
        </w:rPr>
        <w:sectPr>
          <w:footerReference r:id="rId3" w:type="default"/>
          <w:pgSz w:w="12240" w:h="15840"/>
          <w:pgMar w:top="1440" w:right="1800" w:bottom="1440" w:left="1800" w:header="720" w:footer="720" w:gutter="0"/>
          <w:pgNumType w:fmt="decimal" w:start="1"/>
          <w:cols w:space="720" w:num="1"/>
          <w:docGrid w:linePitch="285" w:charSpace="0"/>
        </w:sectPr>
      </w:pPr>
      <w:r>
        <w:rPr>
          <w:rFonts w:hint="eastAsia" w:ascii="宋体" w:hAnsi="宋体" w:eastAsia="宋体" w:cs="宋体"/>
          <w:color w:val="auto"/>
          <w:sz w:val="28"/>
          <w:szCs w:val="28"/>
          <w:highlight w:val="none"/>
        </w:rPr>
        <w:fldChar w:fldCharType="end"/>
      </w:r>
    </w:p>
    <w:p>
      <w:pPr>
        <w:rPr>
          <w:color w:val="auto"/>
          <w:highlight w:val="none"/>
        </w:rPr>
      </w:pPr>
      <w:bookmarkStart w:id="3" w:name="_Toc511557024"/>
      <w:bookmarkStart w:id="4" w:name="_Toc89870539"/>
    </w:p>
    <w:p>
      <w:pPr>
        <w:ind w:left="181" w:leftChars="86"/>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pStyle w:val="3"/>
        <w:keepNext w:val="0"/>
        <w:keepLines w:val="0"/>
        <w:spacing w:before="0" w:after="0" w:line="240" w:lineRule="auto"/>
        <w:jc w:val="center"/>
        <w:outlineLvl w:val="0"/>
        <w:rPr>
          <w:color w:val="auto"/>
          <w:highlight w:val="none"/>
        </w:rPr>
      </w:pPr>
      <w:bookmarkStart w:id="5" w:name="_Toc12836"/>
      <w:bookmarkStart w:id="6" w:name="_Toc14855"/>
      <w:r>
        <w:rPr>
          <w:color w:val="auto"/>
          <w:highlight w:val="none"/>
        </w:rPr>
        <w:t>第</w:t>
      </w:r>
      <w:bookmarkEnd w:id="0"/>
      <w:bookmarkEnd w:id="1"/>
      <w:bookmarkEnd w:id="2"/>
      <w:bookmarkEnd w:id="3"/>
      <w:r>
        <w:rPr>
          <w:color w:val="auto"/>
          <w:highlight w:val="none"/>
        </w:rPr>
        <w:t>一卷</w:t>
      </w:r>
      <w:bookmarkEnd w:id="4"/>
      <w:bookmarkEnd w:id="5"/>
      <w:bookmarkEnd w:id="6"/>
    </w:p>
    <w:p>
      <w:pPr>
        <w:pStyle w:val="3"/>
        <w:jc w:val="center"/>
        <w:outlineLvl w:val="0"/>
        <w:rPr>
          <w:color w:val="auto"/>
          <w:highlight w:val="none"/>
        </w:rPr>
      </w:pPr>
      <w:bookmarkStart w:id="7" w:name="_Toc2267"/>
      <w:bookmarkStart w:id="8" w:name="_Toc89870540"/>
      <w:bookmarkStart w:id="9" w:name="_Toc25629"/>
      <w:r>
        <w:rPr>
          <w:rFonts w:hint="eastAsia"/>
          <w:color w:val="auto"/>
          <w:highlight w:val="none"/>
        </w:rPr>
        <w:t xml:space="preserve">第一章 </w:t>
      </w:r>
      <w:r>
        <w:rPr>
          <w:color w:val="auto"/>
          <w:highlight w:val="none"/>
        </w:rPr>
        <w:t>招标公告</w:t>
      </w:r>
      <w:bookmarkEnd w:id="7"/>
      <w:bookmarkEnd w:id="8"/>
      <w:bookmarkEnd w:id="9"/>
    </w:p>
    <w:p>
      <w:pPr>
        <w:autoSpaceDE w:val="0"/>
        <w:autoSpaceDN w:val="0"/>
        <w:adjustRightInd w:val="0"/>
        <w:spacing w:line="360" w:lineRule="auto"/>
        <w:jc w:val="center"/>
        <w:rPr>
          <w:rFonts w:hint="eastAsia" w:ascii="宋体" w:hAnsi="宋体" w:cs="宋体"/>
          <w:b/>
          <w:color w:val="auto"/>
          <w:sz w:val="32"/>
          <w:szCs w:val="32"/>
          <w:highlight w:val="none"/>
          <w:u w:val="single"/>
        </w:rPr>
      </w:pPr>
      <w:bookmarkStart w:id="10" w:name="_Toc610"/>
      <w:bookmarkStart w:id="11" w:name="_Toc2170"/>
      <w:bookmarkStart w:id="12" w:name="_Toc7437"/>
      <w:bookmarkStart w:id="13" w:name="_Toc13962"/>
      <w:bookmarkStart w:id="14" w:name="_Toc514170118"/>
      <w:bookmarkStart w:id="15" w:name="_Toc16720"/>
      <w:bookmarkStart w:id="16" w:name="_Toc1036"/>
      <w:r>
        <w:rPr>
          <w:rFonts w:hint="eastAsia" w:ascii="宋体" w:hAnsi="宋体" w:cs="宋体"/>
          <w:b/>
          <w:color w:val="auto"/>
          <w:sz w:val="32"/>
          <w:szCs w:val="32"/>
          <w:highlight w:val="none"/>
          <w:u w:val="single"/>
        </w:rPr>
        <w:br w:type="page"/>
      </w:r>
    </w:p>
    <w:p>
      <w:pPr>
        <w:autoSpaceDE w:val="0"/>
        <w:autoSpaceDN w:val="0"/>
        <w:adjustRightInd w:val="0"/>
        <w:snapToGrid w:val="0"/>
        <w:spacing w:beforeLines="0" w:afterLines="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u w:val="single"/>
        </w:rPr>
        <w:t>增城国家级开发区中新园区基础设施配套中新下沉式再生水厂项目施工监理</w:t>
      </w:r>
      <w:r>
        <w:rPr>
          <w:rFonts w:hint="eastAsia" w:ascii="宋体" w:hAnsi="宋体" w:cs="宋体"/>
          <w:b/>
          <w:color w:val="auto"/>
          <w:sz w:val="32"/>
          <w:szCs w:val="32"/>
          <w:highlight w:val="none"/>
        </w:rPr>
        <w:t>招标公告</w:t>
      </w:r>
    </w:p>
    <w:bookmarkEnd w:id="10"/>
    <w:bookmarkEnd w:id="11"/>
    <w:bookmarkEnd w:id="12"/>
    <w:bookmarkEnd w:id="13"/>
    <w:bookmarkEnd w:id="14"/>
    <w:bookmarkEnd w:id="15"/>
    <w:bookmarkEnd w:id="16"/>
    <w:p>
      <w:pPr>
        <w:snapToGrid w:val="0"/>
        <w:spacing w:beforeLines="0" w:afterLines="0" w:line="348" w:lineRule="auto"/>
        <w:ind w:firstLine="0" w:firstLineChars="0"/>
        <w:outlineLvl w:val="1"/>
        <w:rPr>
          <w:rFonts w:eastAsia="黑体"/>
          <w:b/>
          <w:color w:val="auto"/>
          <w:sz w:val="32"/>
          <w:szCs w:val="24"/>
          <w:highlight w:val="none"/>
        </w:rPr>
      </w:pPr>
      <w:bookmarkStart w:id="17" w:name="_Toc21592"/>
      <w:bookmarkStart w:id="18" w:name="_Toc47694115"/>
      <w:bookmarkStart w:id="19" w:name="_Toc511557025"/>
      <w:bookmarkStart w:id="20" w:name="_Toc47621265"/>
      <w:bookmarkStart w:id="21" w:name="_Toc89870541"/>
      <w:bookmarkStart w:id="22" w:name="_Toc515033010"/>
      <w:bookmarkStart w:id="23" w:name="_Toc7705"/>
      <w:r>
        <w:rPr>
          <w:rFonts w:eastAsia="黑体"/>
          <w:b/>
          <w:color w:val="auto"/>
          <w:sz w:val="32"/>
          <w:szCs w:val="24"/>
          <w:highlight w:val="none"/>
        </w:rPr>
        <w:t xml:space="preserve">1. </w:t>
      </w:r>
      <w:r>
        <w:rPr>
          <w:rFonts w:hint="eastAsia" w:eastAsia="黑体"/>
          <w:b/>
          <w:color w:val="auto"/>
          <w:sz w:val="32"/>
          <w:szCs w:val="24"/>
          <w:highlight w:val="none"/>
        </w:rPr>
        <w:t>招标条件</w:t>
      </w:r>
      <w:bookmarkEnd w:id="17"/>
    </w:p>
    <w:p>
      <w:pPr>
        <w:adjustRightInd w:val="0"/>
        <w:snapToGrid w:val="0"/>
        <w:spacing w:beforeLines="0" w:afterLines="0" w:line="348" w:lineRule="auto"/>
        <w:ind w:firstLine="480" w:firstLineChars="200"/>
        <w:rPr>
          <w:color w:val="auto"/>
          <w:sz w:val="24"/>
          <w:szCs w:val="24"/>
          <w:highlight w:val="none"/>
        </w:rPr>
      </w:pPr>
      <w:r>
        <w:rPr>
          <w:rFonts w:hint="eastAsia"/>
          <w:color w:val="auto"/>
          <w:sz w:val="24"/>
          <w:szCs w:val="24"/>
          <w:highlight w:val="none"/>
        </w:rPr>
        <w:t>本招标项目</w:t>
      </w:r>
      <w:r>
        <w:rPr>
          <w:rFonts w:hint="eastAsia" w:ascii="宋体" w:hAnsi="宋体"/>
          <w:color w:val="auto"/>
          <w:sz w:val="24"/>
          <w:highlight w:val="none"/>
          <w:u w:val="single"/>
        </w:rPr>
        <w:t>增城国家级开发区中新园区基础设施配套中新下沉式再生水厂项目</w:t>
      </w:r>
      <w:r>
        <w:rPr>
          <w:rFonts w:hint="eastAsia"/>
          <w:color w:val="auto"/>
          <w:sz w:val="24"/>
          <w:szCs w:val="24"/>
          <w:highlight w:val="none"/>
        </w:rPr>
        <w:t>已由</w:t>
      </w:r>
      <w:r>
        <w:rPr>
          <w:rFonts w:hint="eastAsia" w:ascii="宋体" w:hAnsi="宋体"/>
          <w:color w:val="auto"/>
          <w:sz w:val="24"/>
          <w:highlight w:val="none"/>
          <w:u w:val="single"/>
        </w:rPr>
        <w:t>广东省企业投资项目备案证（2202-440118-04-01-429658）</w:t>
      </w:r>
      <w:r>
        <w:rPr>
          <w:rFonts w:hint="eastAsia"/>
          <w:color w:val="auto"/>
          <w:sz w:val="24"/>
          <w:szCs w:val="24"/>
          <w:highlight w:val="none"/>
        </w:rPr>
        <w:t>批准建设，</w:t>
      </w:r>
      <w:r>
        <w:rPr>
          <w:rFonts w:hint="eastAsia" w:ascii="宋体" w:hAnsi="宋体"/>
          <w:color w:val="auto"/>
          <w:sz w:val="24"/>
          <w:szCs w:val="24"/>
          <w:highlight w:val="none"/>
        </w:rPr>
        <w:t>建设资金为由</w:t>
      </w:r>
      <w:r>
        <w:rPr>
          <w:rFonts w:hint="eastAsia" w:ascii="宋体" w:hAnsi="宋体"/>
          <w:color w:val="auto"/>
          <w:sz w:val="24"/>
          <w:szCs w:val="24"/>
          <w:highlight w:val="none"/>
          <w:u w:val="single"/>
        </w:rPr>
        <w:t>广州市增城排水有限公司注资</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rPr>
        <w:t>100</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color w:val="auto"/>
          <w:sz w:val="24"/>
          <w:szCs w:val="24"/>
          <w:highlight w:val="none"/>
        </w:rPr>
        <w:t>招标人为</w:t>
      </w:r>
      <w:r>
        <w:rPr>
          <w:rFonts w:hint="eastAsia" w:ascii="宋体" w:hAnsi="宋体"/>
          <w:color w:val="auto"/>
          <w:sz w:val="24"/>
          <w:highlight w:val="none"/>
          <w:u w:val="single"/>
        </w:rPr>
        <w:t>广州市增城区水务建设管理所</w:t>
      </w:r>
      <w:r>
        <w:rPr>
          <w:rFonts w:hint="eastAsia" w:ascii="宋体" w:hAnsi="宋体" w:cs="宋体"/>
          <w:color w:val="auto"/>
          <w:sz w:val="24"/>
          <w:highlight w:val="none"/>
        </w:rPr>
        <w:t>。</w:t>
      </w:r>
      <w:r>
        <w:rPr>
          <w:rFonts w:hint="eastAsia"/>
          <w:color w:val="auto"/>
          <w:sz w:val="24"/>
          <w:szCs w:val="24"/>
          <w:highlight w:val="none"/>
        </w:rPr>
        <w:t>项目已具备招标条件，现对该项目的</w:t>
      </w:r>
      <w:r>
        <w:rPr>
          <w:rFonts w:hint="eastAsia" w:ascii="宋体" w:hAnsi="宋体" w:cs="宋体"/>
          <w:color w:val="auto"/>
          <w:kern w:val="0"/>
          <w:sz w:val="24"/>
          <w:highlight w:val="none"/>
          <w:u w:val="single"/>
        </w:rPr>
        <w:t>施工监理</w:t>
      </w:r>
      <w:r>
        <w:rPr>
          <w:rFonts w:hint="eastAsia"/>
          <w:color w:val="auto"/>
          <w:sz w:val="24"/>
          <w:szCs w:val="24"/>
          <w:highlight w:val="none"/>
        </w:rPr>
        <w:t>进行公开招标。</w:t>
      </w:r>
    </w:p>
    <w:p>
      <w:pPr>
        <w:snapToGrid w:val="0"/>
        <w:spacing w:beforeLines="0" w:afterLines="0" w:line="348" w:lineRule="auto"/>
        <w:ind w:firstLine="0" w:firstLineChars="0"/>
        <w:outlineLvl w:val="1"/>
        <w:rPr>
          <w:rFonts w:eastAsia="黑体"/>
          <w:b/>
          <w:color w:val="auto"/>
          <w:sz w:val="32"/>
          <w:szCs w:val="24"/>
          <w:highlight w:val="none"/>
        </w:rPr>
      </w:pPr>
      <w:bookmarkStart w:id="24" w:name="_Toc5728"/>
      <w:r>
        <w:rPr>
          <w:rFonts w:eastAsia="黑体"/>
          <w:b/>
          <w:color w:val="auto"/>
          <w:sz w:val="32"/>
          <w:szCs w:val="24"/>
          <w:highlight w:val="none"/>
        </w:rPr>
        <w:t xml:space="preserve">2. </w:t>
      </w:r>
      <w:r>
        <w:rPr>
          <w:rFonts w:hint="eastAsia" w:eastAsia="黑体"/>
          <w:b/>
          <w:color w:val="auto"/>
          <w:sz w:val="32"/>
          <w:szCs w:val="24"/>
          <w:highlight w:val="none"/>
        </w:rPr>
        <w:t>项目概况与招标范围</w:t>
      </w:r>
      <w:bookmarkEnd w:id="24"/>
    </w:p>
    <w:p>
      <w:pPr>
        <w:snapToGrid w:val="0"/>
        <w:spacing w:beforeLines="0" w:afterLines="0" w:line="348" w:lineRule="auto"/>
        <w:ind w:firstLine="480" w:firstLineChars="200"/>
        <w:rPr>
          <w:color w:val="auto"/>
          <w:sz w:val="24"/>
          <w:szCs w:val="24"/>
          <w:highlight w:val="none"/>
        </w:rPr>
      </w:pPr>
      <w:r>
        <w:rPr>
          <w:rFonts w:ascii="宋体" w:hAnsi="宋体" w:cs="宋体"/>
          <w:color w:val="auto"/>
          <w:sz w:val="24"/>
          <w:highlight w:val="none"/>
        </w:rPr>
        <w:t>2.1</w:t>
      </w:r>
      <w:r>
        <w:rPr>
          <w:rFonts w:hint="eastAsia"/>
          <w:color w:val="auto"/>
          <w:sz w:val="24"/>
          <w:szCs w:val="24"/>
          <w:highlight w:val="none"/>
        </w:rPr>
        <w:t>招标项目概况</w:t>
      </w:r>
    </w:p>
    <w:p>
      <w:pPr>
        <w:snapToGrid w:val="0"/>
        <w:spacing w:beforeLines="0" w:afterLines="0" w:line="348" w:lineRule="auto"/>
        <w:ind w:firstLine="480" w:firstLineChars="200"/>
        <w:rPr>
          <w:rFonts w:ascii="宋体" w:hAnsi="宋体" w:cs="宋体"/>
          <w:color w:val="auto"/>
          <w:sz w:val="24"/>
          <w:szCs w:val="24"/>
          <w:highlight w:val="none"/>
        </w:rPr>
      </w:pPr>
      <w:r>
        <w:rPr>
          <w:rFonts w:ascii="宋体" w:hAnsi="宋体" w:cs="宋体"/>
          <w:color w:val="auto"/>
          <w:sz w:val="24"/>
          <w:highlight w:val="none"/>
        </w:rPr>
        <w:t>2.1.1</w:t>
      </w:r>
      <w:r>
        <w:rPr>
          <w:rFonts w:hint="eastAsia"/>
          <w:color w:val="auto"/>
          <w:sz w:val="24"/>
          <w:szCs w:val="24"/>
          <w:highlight w:val="none"/>
        </w:rPr>
        <w:t>项目名称：</w:t>
      </w:r>
      <w:r>
        <w:rPr>
          <w:rFonts w:hint="eastAsia" w:ascii="宋体" w:hAnsi="宋体"/>
          <w:color w:val="auto"/>
          <w:sz w:val="24"/>
          <w:highlight w:val="none"/>
          <w:u w:val="single"/>
        </w:rPr>
        <w:t>增城国家级开发区中新园区基础设施配套中新下沉式再生水厂项目</w:t>
      </w:r>
      <w:r>
        <w:rPr>
          <w:rFonts w:hint="eastAsia"/>
          <w:color w:val="auto"/>
          <w:sz w:val="24"/>
          <w:szCs w:val="24"/>
          <w:highlight w:val="none"/>
          <w:u w:val="single"/>
        </w:rPr>
        <w:t>施工监理</w:t>
      </w:r>
      <w:r>
        <w:rPr>
          <w:rFonts w:hint="eastAsia" w:ascii="宋体" w:hAnsi="宋体" w:cs="宋体"/>
          <w:color w:val="auto"/>
          <w:sz w:val="24"/>
          <w:szCs w:val="24"/>
          <w:highlight w:val="none"/>
        </w:rPr>
        <w:t>。</w:t>
      </w:r>
    </w:p>
    <w:p>
      <w:pPr>
        <w:snapToGrid w:val="0"/>
        <w:spacing w:beforeLines="0" w:afterLines="0" w:line="348" w:lineRule="auto"/>
        <w:ind w:firstLine="480" w:firstLineChars="200"/>
        <w:jc w:val="left"/>
        <w:rPr>
          <w:rFonts w:ascii="宋体" w:hAnsi="宋体" w:cs="宋体"/>
          <w:color w:val="auto"/>
          <w:kern w:val="0"/>
          <w:sz w:val="24"/>
          <w:highlight w:val="none"/>
          <w:u w:val="single"/>
        </w:rPr>
      </w:pPr>
      <w:r>
        <w:rPr>
          <w:rFonts w:ascii="宋体" w:hAnsi="宋体" w:cs="宋体"/>
          <w:color w:val="auto"/>
          <w:sz w:val="24"/>
          <w:highlight w:val="none"/>
        </w:rPr>
        <w:t>2.1.2</w:t>
      </w:r>
      <w:r>
        <w:rPr>
          <w:rFonts w:hint="eastAsia"/>
          <w:color w:val="auto"/>
          <w:sz w:val="24"/>
          <w:szCs w:val="24"/>
          <w:highlight w:val="none"/>
        </w:rPr>
        <w:t>建设地点：</w:t>
      </w:r>
      <w:r>
        <w:rPr>
          <w:rFonts w:hint="eastAsia" w:ascii="宋体" w:hAnsi="宋体" w:cs="宋体"/>
          <w:color w:val="auto"/>
          <w:sz w:val="24"/>
          <w:highlight w:val="none"/>
          <w:u w:val="single"/>
        </w:rPr>
        <w:t>项目厂区位于增城区中新镇乌石村，配套泵站位于增城区朱村街。</w:t>
      </w:r>
    </w:p>
    <w:p>
      <w:pPr>
        <w:keepNext w:val="0"/>
        <w:keepLines w:val="0"/>
        <w:widowControl/>
        <w:suppressLineNumbers w:val="0"/>
        <w:snapToGrid w:val="0"/>
        <w:spacing w:beforeLines="0" w:afterLines="0" w:line="348" w:lineRule="auto"/>
        <w:ind w:firstLine="480" w:firstLineChars="200"/>
        <w:jc w:val="left"/>
        <w:rPr>
          <w:rFonts w:hint="eastAsia" w:ascii="宋体" w:hAnsi="宋体"/>
          <w:color w:val="auto"/>
          <w:sz w:val="24"/>
          <w:highlight w:val="none"/>
          <w:u w:val="single"/>
        </w:rPr>
      </w:pPr>
      <w:r>
        <w:rPr>
          <w:rFonts w:ascii="宋体" w:hAnsi="宋体" w:cs="宋体"/>
          <w:color w:val="auto"/>
          <w:sz w:val="24"/>
          <w:highlight w:val="none"/>
        </w:rPr>
        <w:t>2.1.3</w:t>
      </w:r>
      <w:r>
        <w:rPr>
          <w:rFonts w:hint="eastAsia"/>
          <w:color w:val="auto"/>
          <w:sz w:val="24"/>
          <w:szCs w:val="24"/>
          <w:highlight w:val="none"/>
        </w:rPr>
        <w:t>项目规模：</w:t>
      </w:r>
      <w:r>
        <w:rPr>
          <w:rFonts w:hint="eastAsia" w:ascii="宋体" w:hAnsi="宋体" w:eastAsia="宋体" w:cs="Times New Roman"/>
          <w:color w:val="auto"/>
          <w:kern w:val="2"/>
          <w:sz w:val="24"/>
          <w:szCs w:val="22"/>
          <w:highlight w:val="none"/>
          <w:u w:val="single"/>
          <w:lang w:val="en-US" w:eastAsia="zh-CN" w:bidi="ar"/>
        </w:rPr>
        <w:t xml:space="preserve">(一)新建一座下沉式再生水厂,总污水处理规模20万m³/d,其中一期建设规模为10万m³/d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 </w:t>
      </w:r>
    </w:p>
    <w:p>
      <w:pPr>
        <w:snapToGrid w:val="0"/>
        <w:spacing w:beforeLines="0" w:afterLines="0" w:line="348" w:lineRule="auto"/>
        <w:ind w:firstLine="480" w:firstLineChars="200"/>
        <w:rPr>
          <w:rFonts w:ascii="宋体" w:hAnsi="宋体" w:cs="宋体"/>
          <w:color w:val="auto"/>
          <w:sz w:val="24"/>
          <w:highlight w:val="none"/>
          <w:u w:val="single"/>
        </w:rPr>
      </w:pPr>
      <w:r>
        <w:rPr>
          <w:rFonts w:ascii="宋体" w:hAnsi="宋体" w:cs="宋体"/>
          <w:color w:val="auto"/>
          <w:sz w:val="24"/>
          <w:highlight w:val="none"/>
        </w:rPr>
        <w:t>2.1.4</w:t>
      </w:r>
      <w:r>
        <w:rPr>
          <w:rFonts w:hint="eastAsia" w:ascii="宋体" w:hAnsi="宋体" w:cs="宋体"/>
          <w:color w:val="auto"/>
          <w:sz w:val="24"/>
          <w:szCs w:val="24"/>
          <w:highlight w:val="none"/>
          <w:u w:val="single"/>
        </w:rPr>
        <w:t>项目总投资为</w:t>
      </w:r>
      <w:r>
        <w:rPr>
          <w:rFonts w:hint="eastAsia" w:ascii="宋体" w:hAnsi="宋体" w:cs="宋体"/>
          <w:b w:val="0"/>
          <w:bCs w:val="0"/>
          <w:color w:val="auto"/>
          <w:sz w:val="24"/>
          <w:szCs w:val="24"/>
          <w:highlight w:val="none"/>
          <w:u w:val="single"/>
          <w:lang w:eastAsia="zh-CN"/>
        </w:rPr>
        <w:t xml:space="preserve">88800.37 </w:t>
      </w:r>
      <w:r>
        <w:rPr>
          <w:rFonts w:hint="eastAsia" w:ascii="宋体" w:hAnsi="宋体" w:cs="宋体"/>
          <w:color w:val="auto"/>
          <w:sz w:val="24"/>
          <w:szCs w:val="24"/>
          <w:highlight w:val="none"/>
          <w:u w:val="single"/>
        </w:rPr>
        <w:t>万元，其中</w:t>
      </w:r>
      <w:r>
        <w:rPr>
          <w:rFonts w:hint="eastAsia" w:ascii="宋体" w:hAnsi="宋体"/>
          <w:color w:val="auto"/>
          <w:sz w:val="24"/>
          <w:szCs w:val="24"/>
          <w:highlight w:val="none"/>
          <w:u w:val="single"/>
        </w:rPr>
        <w:t>建安费约</w:t>
      </w:r>
      <w:r>
        <w:rPr>
          <w:rFonts w:hint="eastAsia" w:ascii="宋体" w:hAnsi="宋体" w:cs="宋体"/>
          <w:b w:val="0"/>
          <w:bCs w:val="0"/>
          <w:color w:val="auto"/>
          <w:sz w:val="24"/>
          <w:szCs w:val="24"/>
          <w:highlight w:val="none"/>
          <w:u w:val="single"/>
          <w:lang w:eastAsia="zh-CN"/>
        </w:rPr>
        <w:t>63209.72</w:t>
      </w:r>
      <w:r>
        <w:rPr>
          <w:rFonts w:hint="eastAsia" w:ascii="宋体" w:hAnsi="宋体"/>
          <w:color w:val="auto"/>
          <w:sz w:val="24"/>
          <w:szCs w:val="24"/>
          <w:highlight w:val="none"/>
          <w:u w:val="single"/>
        </w:rPr>
        <w:t>万元</w:t>
      </w:r>
      <w:r>
        <w:rPr>
          <w:rFonts w:hint="eastAsia"/>
          <w:color w:val="auto"/>
          <w:sz w:val="24"/>
          <w:szCs w:val="24"/>
          <w:highlight w:val="none"/>
        </w:rPr>
        <w:t>。</w:t>
      </w:r>
    </w:p>
    <w:p>
      <w:pPr>
        <w:snapToGrid w:val="0"/>
        <w:spacing w:beforeLines="0" w:afterLines="0" w:line="348" w:lineRule="auto"/>
        <w:ind w:firstLine="480" w:firstLineChars="200"/>
        <w:rPr>
          <w:color w:val="auto"/>
          <w:sz w:val="24"/>
          <w:szCs w:val="24"/>
          <w:highlight w:val="none"/>
          <w:u w:val="single"/>
        </w:rPr>
      </w:pPr>
      <w:r>
        <w:rPr>
          <w:rFonts w:ascii="宋体" w:hAnsi="宋体" w:cs="宋体"/>
          <w:color w:val="auto"/>
          <w:sz w:val="24"/>
          <w:highlight w:val="none"/>
        </w:rPr>
        <w:t>2.2</w:t>
      </w:r>
      <w:r>
        <w:rPr>
          <w:rFonts w:hint="eastAsia"/>
          <w:color w:val="auto"/>
          <w:sz w:val="24"/>
          <w:szCs w:val="24"/>
          <w:highlight w:val="none"/>
        </w:rPr>
        <w:t>招标范围</w:t>
      </w:r>
    </w:p>
    <w:p>
      <w:pPr>
        <w:snapToGrid w:val="0"/>
        <w:spacing w:beforeLines="0" w:afterLines="0" w:line="348" w:lineRule="auto"/>
        <w:ind w:firstLine="480" w:firstLineChars="200"/>
        <w:rPr>
          <w:color w:val="auto"/>
          <w:sz w:val="24"/>
          <w:szCs w:val="24"/>
          <w:highlight w:val="none"/>
          <w:u w:val="single"/>
        </w:rPr>
      </w:pPr>
      <w:r>
        <w:rPr>
          <w:rFonts w:ascii="宋体" w:hAnsi="宋体" w:cs="宋体"/>
          <w:color w:val="auto"/>
          <w:sz w:val="24"/>
          <w:highlight w:val="none"/>
        </w:rPr>
        <w:t>2.2.1</w:t>
      </w:r>
      <w:r>
        <w:rPr>
          <w:rFonts w:hint="eastAsia" w:ascii="宋体" w:hAnsi="宋体"/>
          <w:color w:val="auto"/>
          <w:sz w:val="24"/>
          <w:szCs w:val="24"/>
          <w:highlight w:val="none"/>
        </w:rPr>
        <w:t>标段划分：本项目设</w:t>
      </w:r>
      <w:r>
        <w:rPr>
          <w:rFonts w:ascii="宋体" w:hAnsi="宋体"/>
          <w:color w:val="auto"/>
          <w:sz w:val="24"/>
          <w:szCs w:val="24"/>
          <w:highlight w:val="none"/>
          <w:u w:val="single"/>
        </w:rPr>
        <w:t>1</w:t>
      </w:r>
      <w:r>
        <w:rPr>
          <w:rFonts w:hint="eastAsia" w:ascii="宋体" w:hAnsi="宋体"/>
          <w:color w:val="auto"/>
          <w:sz w:val="24"/>
          <w:szCs w:val="24"/>
          <w:highlight w:val="none"/>
        </w:rPr>
        <w:t>个标段。</w:t>
      </w:r>
    </w:p>
    <w:p>
      <w:pPr>
        <w:snapToGrid w:val="0"/>
        <w:spacing w:beforeLines="0" w:afterLines="0" w:line="348" w:lineRule="auto"/>
        <w:ind w:firstLine="480" w:firstLineChars="200"/>
        <w:rPr>
          <w:rFonts w:ascii="宋体" w:hAnsi="宋体" w:cs="宋体"/>
          <w:color w:val="auto"/>
          <w:sz w:val="24"/>
          <w:highlight w:val="none"/>
        </w:rPr>
      </w:pPr>
      <w:r>
        <w:rPr>
          <w:rFonts w:ascii="宋体" w:hAnsi="宋体" w:cs="宋体"/>
          <w:color w:val="auto"/>
          <w:sz w:val="24"/>
          <w:highlight w:val="none"/>
        </w:rPr>
        <w:t>2.2.2</w:t>
      </w:r>
      <w:r>
        <w:rPr>
          <w:rFonts w:hint="eastAsia" w:ascii="宋体" w:hAnsi="宋体"/>
          <w:color w:val="auto"/>
          <w:sz w:val="24"/>
          <w:szCs w:val="24"/>
          <w:highlight w:val="none"/>
        </w:rPr>
        <w:t>监理范围：</w:t>
      </w:r>
      <w:r>
        <w:rPr>
          <w:rFonts w:hint="eastAsia"/>
          <w:color w:val="auto"/>
          <w:sz w:val="24"/>
          <w:highlight w:val="none"/>
          <w:u w:val="single"/>
        </w:rPr>
        <w:t>施工准备阶段、施工阶段、工程收尾阶段（包括但不限于竣工验收、整改、工程移交及实物移交等）及工程质量保修阶段的质量控制、职业健康、安全生产及环境监督管理、投资控制、进度控制、合同管理、信息管理、组织协调、协助建设单位进行档案整理、归档及管理等监理工作</w:t>
      </w:r>
      <w:r>
        <w:rPr>
          <w:rFonts w:hint="eastAsia"/>
          <w:color w:val="auto"/>
          <w:sz w:val="24"/>
          <w:highlight w:val="none"/>
        </w:rPr>
        <w:t>。</w:t>
      </w:r>
    </w:p>
    <w:p>
      <w:pPr>
        <w:snapToGrid w:val="0"/>
        <w:spacing w:beforeLines="0" w:afterLines="0" w:line="348" w:lineRule="auto"/>
        <w:ind w:firstLine="480" w:firstLineChars="200"/>
        <w:rPr>
          <w:rFonts w:ascii="宋体" w:hAnsi="宋体"/>
          <w:color w:val="auto"/>
          <w:sz w:val="24"/>
          <w:szCs w:val="24"/>
          <w:highlight w:val="none"/>
        </w:rPr>
      </w:pPr>
      <w:r>
        <w:rPr>
          <w:rFonts w:ascii="宋体" w:hAnsi="宋体" w:cs="宋体"/>
          <w:color w:val="auto"/>
          <w:sz w:val="24"/>
          <w:highlight w:val="none"/>
        </w:rPr>
        <w:t>2.2.3</w:t>
      </w:r>
      <w:r>
        <w:rPr>
          <w:rFonts w:hint="eastAsia" w:ascii="宋体" w:hAnsi="宋体"/>
          <w:color w:val="auto"/>
          <w:sz w:val="24"/>
          <w:szCs w:val="24"/>
          <w:highlight w:val="none"/>
        </w:rPr>
        <w:t>监理服务期限</w:t>
      </w:r>
    </w:p>
    <w:p>
      <w:pPr>
        <w:snapToGrid w:val="0"/>
        <w:spacing w:beforeLines="0" w:afterLines="0" w:line="348"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施工准备阶段：</w:t>
      </w:r>
      <w:r>
        <w:rPr>
          <w:rFonts w:hint="eastAsia" w:ascii="宋体" w:hAnsi="宋体"/>
          <w:color w:val="auto"/>
          <w:sz w:val="24"/>
          <w:szCs w:val="24"/>
          <w:highlight w:val="none"/>
          <w:u w:val="single"/>
        </w:rPr>
        <w:t>从中标通知书发出到工程开工之日</w:t>
      </w:r>
      <w:r>
        <w:rPr>
          <w:rFonts w:hint="eastAsia" w:ascii="宋体" w:hAnsi="宋体"/>
          <w:color w:val="auto"/>
          <w:sz w:val="24"/>
          <w:szCs w:val="24"/>
          <w:highlight w:val="none"/>
        </w:rPr>
        <w:t>；</w:t>
      </w:r>
    </w:p>
    <w:p>
      <w:pPr>
        <w:snapToGrid w:val="0"/>
        <w:spacing w:beforeLines="0" w:afterLines="0" w:line="348"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施工阶段监理服务期：</w:t>
      </w:r>
      <w:r>
        <w:rPr>
          <w:rFonts w:hint="eastAsia" w:ascii="宋体" w:hAnsi="宋体"/>
          <w:color w:val="auto"/>
          <w:sz w:val="24"/>
          <w:szCs w:val="24"/>
          <w:highlight w:val="none"/>
          <w:u w:val="single"/>
        </w:rPr>
        <w:t>从业主下达开工令或开工报告审批之日起至施工项目全部完工并办理竣工验收、竣工结算、备案管理为止</w:t>
      </w:r>
      <w:r>
        <w:rPr>
          <w:rFonts w:hint="eastAsia" w:ascii="宋体" w:hAnsi="宋体"/>
          <w:color w:val="auto"/>
          <w:sz w:val="24"/>
          <w:szCs w:val="24"/>
          <w:highlight w:val="none"/>
        </w:rPr>
        <w:t>；</w:t>
      </w:r>
    </w:p>
    <w:p>
      <w:pPr>
        <w:snapToGrid w:val="0"/>
        <w:spacing w:beforeLines="0" w:afterLines="0" w:line="348"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工程收尾阶段：</w:t>
      </w:r>
      <w:r>
        <w:rPr>
          <w:rFonts w:hint="eastAsia" w:ascii="宋体" w:hAnsi="宋体" w:cs="宋体"/>
          <w:color w:val="auto"/>
          <w:sz w:val="24"/>
          <w:szCs w:val="24"/>
          <w:highlight w:val="none"/>
          <w:u w:val="single"/>
        </w:rPr>
        <w:t>包括竣工收尾、验收、整改、移交、结算、考核评价等方面的监理工作完成为止</w:t>
      </w:r>
      <w:r>
        <w:rPr>
          <w:rFonts w:hint="eastAsia" w:ascii="宋体" w:hAnsi="宋体" w:cs="宋体"/>
          <w:color w:val="auto"/>
          <w:sz w:val="24"/>
          <w:szCs w:val="24"/>
          <w:highlight w:val="none"/>
        </w:rPr>
        <w:t>。</w:t>
      </w:r>
    </w:p>
    <w:p>
      <w:pPr>
        <w:snapToGrid w:val="0"/>
        <w:spacing w:beforeLines="0" w:afterLines="0" w:line="348"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缺陷责任期阶段监理服务期：</w:t>
      </w:r>
      <w:r>
        <w:rPr>
          <w:rFonts w:hint="eastAsia" w:ascii="宋体" w:hAnsi="宋体"/>
          <w:color w:val="auto"/>
          <w:sz w:val="24"/>
          <w:szCs w:val="24"/>
          <w:highlight w:val="none"/>
          <w:u w:val="single"/>
        </w:rPr>
        <w:t>从工程竣工验收合格之日起</w:t>
      </w:r>
      <w:r>
        <w:rPr>
          <w:rFonts w:ascii="宋体" w:hAnsi="宋体"/>
          <w:color w:val="auto"/>
          <w:sz w:val="24"/>
          <w:szCs w:val="24"/>
          <w:highlight w:val="none"/>
          <w:u w:val="single"/>
        </w:rPr>
        <w:t>2年</w:t>
      </w:r>
      <w:r>
        <w:rPr>
          <w:rFonts w:ascii="宋体" w:hAnsi="宋体"/>
          <w:color w:val="auto"/>
          <w:sz w:val="24"/>
          <w:szCs w:val="24"/>
          <w:highlight w:val="none"/>
        </w:rPr>
        <w:t>。</w:t>
      </w:r>
    </w:p>
    <w:p>
      <w:pPr>
        <w:snapToGrid w:val="0"/>
        <w:spacing w:beforeLines="0" w:afterLines="0" w:line="348" w:lineRule="auto"/>
        <w:ind w:firstLine="480" w:firstLineChars="200"/>
        <w:rPr>
          <w:color w:val="auto"/>
          <w:highlight w:val="none"/>
        </w:rPr>
      </w:pPr>
      <w:r>
        <w:rPr>
          <w:rFonts w:ascii="宋体" w:hAnsi="宋体" w:cs="宋体"/>
          <w:color w:val="auto"/>
          <w:sz w:val="24"/>
          <w:highlight w:val="none"/>
        </w:rPr>
        <w:t>2.2.4</w:t>
      </w:r>
      <w:r>
        <w:rPr>
          <w:rFonts w:hint="eastAsia" w:ascii="宋体" w:hAnsi="宋体"/>
          <w:color w:val="auto"/>
          <w:sz w:val="24"/>
          <w:szCs w:val="24"/>
          <w:highlight w:val="none"/>
        </w:rPr>
        <w:t>监理服务最高投标限价：</w:t>
      </w:r>
      <w:r>
        <w:rPr>
          <w:rFonts w:hint="eastAsia" w:ascii="宋体" w:hAnsi="宋体" w:cs="Times New Roman"/>
          <w:b w:val="0"/>
          <w:bCs w:val="0"/>
          <w:i w:val="0"/>
          <w:iCs w:val="0"/>
          <w:caps w:val="0"/>
          <w:color w:val="auto"/>
          <w:spacing w:val="0"/>
          <w:sz w:val="24"/>
          <w:szCs w:val="24"/>
          <w:highlight w:val="none"/>
          <w:u w:val="single"/>
          <w:lang w:eastAsia="zh-CN"/>
        </w:rPr>
        <w:t>10700100.00</w:t>
      </w:r>
      <w:r>
        <w:rPr>
          <w:rFonts w:hint="eastAsia" w:ascii="宋体" w:hAnsi="宋体"/>
          <w:color w:val="auto"/>
          <w:sz w:val="24"/>
          <w:szCs w:val="24"/>
          <w:highlight w:val="none"/>
        </w:rPr>
        <w:t>元。</w:t>
      </w:r>
      <w:r>
        <w:rPr>
          <w:rFonts w:ascii="宋体" w:hAnsi="宋体"/>
          <w:color w:val="auto"/>
          <w:sz w:val="24"/>
          <w:szCs w:val="24"/>
          <w:highlight w:val="none"/>
        </w:rPr>
        <w:t xml:space="preserve">  </w:t>
      </w:r>
    </w:p>
    <w:p>
      <w:pPr>
        <w:numPr>
          <w:ilvl w:val="-1"/>
          <w:numId w:val="0"/>
        </w:numPr>
        <w:snapToGrid w:val="0"/>
        <w:spacing w:beforeLines="0" w:afterLines="0" w:line="348" w:lineRule="auto"/>
        <w:ind w:firstLine="0" w:firstLineChars="0"/>
        <w:outlineLvl w:val="1"/>
        <w:rPr>
          <w:rFonts w:eastAsia="黑体"/>
          <w:b/>
          <w:color w:val="auto"/>
          <w:sz w:val="32"/>
          <w:szCs w:val="24"/>
          <w:highlight w:val="none"/>
        </w:rPr>
      </w:pPr>
      <w:bookmarkStart w:id="25" w:name="_Toc26765"/>
      <w:r>
        <w:rPr>
          <w:rFonts w:hint="default" w:eastAsia="黑体"/>
          <w:b/>
          <w:color w:val="auto"/>
          <w:sz w:val="32"/>
          <w:szCs w:val="24"/>
          <w:highlight w:val="none"/>
          <w:lang w:val="en-US" w:eastAsia="zh-CN"/>
        </w:rPr>
        <w:t>3.</w:t>
      </w:r>
      <w:r>
        <w:rPr>
          <w:rFonts w:hint="eastAsia" w:eastAsia="黑体"/>
          <w:b/>
          <w:color w:val="auto"/>
          <w:sz w:val="32"/>
          <w:szCs w:val="24"/>
          <w:highlight w:val="none"/>
          <w:lang w:val="en-US" w:eastAsia="zh-CN"/>
        </w:rPr>
        <w:t xml:space="preserve"> </w:t>
      </w:r>
      <w:r>
        <w:rPr>
          <w:rFonts w:hint="eastAsia" w:eastAsia="黑体"/>
          <w:b/>
          <w:color w:val="auto"/>
          <w:sz w:val="32"/>
          <w:szCs w:val="24"/>
          <w:highlight w:val="none"/>
        </w:rPr>
        <w:t>投标人资格要求</w:t>
      </w:r>
      <w:bookmarkEnd w:id="25"/>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3.1投标人参加投标的意思表达清楚，投标人代表被授权有效。 </w:t>
      </w:r>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3.2投标人均具有独立法人资格，持有工商行政管理部门核发的法人营业执照，按国家法律经营。</w:t>
      </w:r>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ascii="宋体" w:hAnsi="宋体" w:cs="宋体"/>
          <w:color w:val="auto"/>
          <w:sz w:val="24"/>
          <w:highlight w:val="none"/>
        </w:rPr>
        <w:t>3.3投标人须具备建设行政主管部门颁发的</w:t>
      </w:r>
      <w:r>
        <w:rPr>
          <w:rFonts w:hint="eastAsia" w:ascii="宋体" w:hAnsi="宋体" w:cs="宋体"/>
          <w:color w:val="auto"/>
          <w:sz w:val="24"/>
          <w:highlight w:val="none"/>
          <w:u w:val="single"/>
        </w:rPr>
        <w:t>工程监理综合资质或市政公用工程监理甲级资质</w:t>
      </w:r>
      <w:r>
        <w:rPr>
          <w:rFonts w:hint="eastAsia" w:ascii="宋体" w:hAnsi="宋体" w:cs="宋体"/>
          <w:color w:val="auto"/>
          <w:sz w:val="24"/>
          <w:highlight w:val="none"/>
        </w:rPr>
        <w:t>。</w:t>
      </w:r>
    </w:p>
    <w:p>
      <w:pPr>
        <w:tabs>
          <w:tab w:val="left" w:pos="7513"/>
        </w:tabs>
        <w:adjustRightInd/>
        <w:snapToGrid w:val="0"/>
        <w:spacing w:beforeLines="0" w:afterLines="0"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注：依据《广东省住房和城乡建设厅关于印发香港工程建设咨询企业和专业</w:t>
      </w:r>
      <w:r>
        <w:rPr>
          <w:rFonts w:ascii="宋体" w:hAnsi="宋体" w:cs="宋体"/>
          <w:color w:val="auto"/>
          <w:sz w:val="24"/>
          <w:highlight w:val="none"/>
        </w:rPr>
        <w:t>人士在粤港澳大湾区内地城市开业执业试点管理暂行办法的通知》（粤建规范〔2020〕1号，详见链接：</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"http://zfcxjst.gd.gov.cn/xxgk/wjtz/content/post_3137220.html），" </w:instrText>
      </w:r>
      <w:r>
        <w:rPr>
          <w:rFonts w:ascii="宋体" w:hAnsi="宋体" w:cs="宋体"/>
          <w:color w:val="auto"/>
          <w:sz w:val="24"/>
          <w:highlight w:val="none"/>
        </w:rPr>
        <w:fldChar w:fldCharType="separate"/>
      </w:r>
      <w:r>
        <w:rPr>
          <w:rFonts w:hAnsi="宋体" w:cs="宋体" w:asciiTheme="minorAscii"/>
          <w:color w:val="auto"/>
          <w:sz w:val="24"/>
          <w:highlight w:val="none"/>
        </w:rPr>
        <w:t>http://zfcxjst.gd.gov.cn/xxgk/wjtz/content/post_3137220.html</w:t>
      </w:r>
      <w:r>
        <w:rPr>
          <w:rFonts w:ascii="宋体" w:hAnsi="宋体" w:cs="宋体"/>
          <w:color w:val="auto"/>
          <w:sz w:val="24"/>
          <w:highlight w:val="none"/>
        </w:rPr>
        <w:t>，</w:t>
      </w:r>
      <w:r>
        <w:rPr>
          <w:rFonts w:ascii="宋体" w:hAnsi="宋体" w:cs="宋体"/>
          <w:color w:val="auto"/>
          <w:sz w:val="24"/>
          <w:highlight w:val="none"/>
        </w:rPr>
        <w:fldChar w:fldCharType="end"/>
      </w:r>
      <w:r>
        <w:rPr>
          <w:rFonts w:ascii="宋体" w:hAnsi="宋体" w:cs="宋体"/>
          <w:color w:val="auto"/>
          <w:sz w:val="24"/>
          <w:highlight w:val="none"/>
        </w:rPr>
        <w:t>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adjustRightInd w:val="0"/>
        <w:snapToGrid w:val="0"/>
        <w:spacing w:beforeLines="0" w:afterLines="0"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资质证书有效期按《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延续有关事项的通知》（粤建许函〔2020〕298号）和《广州市住房和城乡建设局关于建设工程企业资质有效期顺延的通知》（穗建审批〔2020〕295号）、《住房和城乡建设部办公厅关于建设工程企业资质统一延续有关事项的通知》（建办市函【2021】510号）、《广东省住房和城乡建设厅关于建设工程企业资质有效期延期的通知》（粤建许函〔2021〕849号）执行。</w:t>
      </w:r>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ascii="宋体" w:hAnsi="宋体" w:cs="宋体"/>
          <w:color w:val="auto"/>
          <w:sz w:val="24"/>
          <w:highlight w:val="none"/>
        </w:rPr>
        <w:t>3.4拟派总监理工程师须具有建设部2006年4月1日后颁发的中华人民共和国注册监理工程师注册执业证书且注册专业为</w:t>
      </w:r>
      <w:r>
        <w:rPr>
          <w:rFonts w:ascii="宋体" w:hAnsi="宋体" w:cs="宋体"/>
          <w:color w:val="auto"/>
          <w:sz w:val="24"/>
          <w:highlight w:val="none"/>
          <w:u w:val="single"/>
        </w:rPr>
        <w:t>市政公用工程</w:t>
      </w:r>
      <w:r>
        <w:rPr>
          <w:rFonts w:ascii="宋体" w:hAnsi="宋体" w:cs="宋体"/>
          <w:color w:val="auto"/>
          <w:sz w:val="24"/>
          <w:highlight w:val="none"/>
        </w:rPr>
        <w:t>，并具备本科或以上学历，注册执业单位</w:t>
      </w:r>
      <w:r>
        <w:rPr>
          <w:rFonts w:hint="eastAsia" w:ascii="宋体" w:hAnsi="宋体" w:cs="宋体"/>
          <w:color w:val="auto"/>
          <w:sz w:val="24"/>
          <w:highlight w:val="none"/>
        </w:rPr>
        <w:t>为本公司</w:t>
      </w:r>
      <w:r>
        <w:rPr>
          <w:rFonts w:ascii="宋体" w:hAnsi="宋体" w:cs="宋体"/>
          <w:color w:val="auto"/>
          <w:sz w:val="24"/>
          <w:highlight w:val="none"/>
        </w:rPr>
        <w:t>。或在广东省住房和城乡建设主管部门备案且备案的业务范围符合本招标项目对总监理工程师要求的香港专业人士。</w:t>
      </w:r>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注：香港专业人士的备案业务范围依据《广东省住房和城乡建设厅关于印发香港工程建设咨询企业和专业人士在粤港澳大湾区内地城市开业执业试点管理暂行办法的通知》（粤建规范〔2020〕1号）确定。</w:t>
      </w:r>
    </w:p>
    <w:p>
      <w:pPr>
        <w:pStyle w:val="30"/>
        <w:snapToGrid w:val="0"/>
        <w:spacing w:before="0" w:beforeLines="0" w:after="0" w:afterLines="0" w:line="348" w:lineRule="auto"/>
        <w:ind w:firstLine="480" w:firstLineChars="200"/>
        <w:jc w:val="both"/>
        <w:rPr>
          <w:color w:val="auto"/>
          <w:highlight w:val="none"/>
        </w:rPr>
      </w:pPr>
      <w:r>
        <w:rPr>
          <w:rFonts w:hint="eastAsia"/>
          <w:color w:val="auto"/>
          <w:highlight w:val="none"/>
        </w:rPr>
        <w:t>3.5投标登记前，投标人已在广州公共资源交易中心办理企业信息登记及拟担任本工程总监理工程师须是本单位在企业库中的在册人员。</w:t>
      </w:r>
    </w:p>
    <w:p>
      <w:pPr>
        <w:pStyle w:val="30"/>
        <w:snapToGrid w:val="0"/>
        <w:spacing w:before="0" w:beforeLines="0" w:after="0" w:afterLines="0" w:line="348" w:lineRule="auto"/>
        <w:ind w:firstLine="480" w:firstLineChars="200"/>
        <w:jc w:val="both"/>
        <w:rPr>
          <w:color w:val="auto"/>
          <w:highlight w:val="none"/>
        </w:rPr>
      </w:pPr>
      <w:r>
        <w:rPr>
          <w:rFonts w:hint="eastAsia"/>
          <w:color w:val="auto"/>
          <w:highlight w:val="none"/>
        </w:rPr>
        <w:t>3.6投标人已按规定格式签名盖章《投标人声明》（格式详见招标公告附件一）。</w:t>
      </w:r>
    </w:p>
    <w:p>
      <w:pPr>
        <w:tabs>
          <w:tab w:val="left" w:pos="7513"/>
        </w:tabs>
        <w:snapToGrid w:val="0"/>
        <w:spacing w:beforeLines="0" w:afterLines="0" w:line="348"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3.7投标人应未被纳入国家、市、区的失信联合惩戒名单且</w:t>
      </w:r>
      <w:r>
        <w:rPr>
          <w:rFonts w:hint="eastAsia" w:ascii="宋体" w:hAnsi="宋体" w:eastAsia="宋体" w:cs="宋体"/>
          <w:color w:val="auto"/>
          <w:sz w:val="24"/>
          <w:highlight w:val="none"/>
          <w:lang w:val="en-US" w:eastAsia="zh-CN"/>
        </w:rPr>
        <w:t>未</w:t>
      </w:r>
      <w:r>
        <w:rPr>
          <w:rFonts w:hint="eastAsia" w:ascii="宋体" w:hAnsi="宋体" w:eastAsia="宋体" w:cs="宋体"/>
          <w:color w:val="auto"/>
          <w:sz w:val="24"/>
          <w:highlight w:val="none"/>
        </w:rPr>
        <w:t>被限制参加建设工程投标的（具体名单以递交投标文件截止时间“信用广州”</w:t>
      </w:r>
      <w:r>
        <w:rPr>
          <w:rFonts w:hint="eastAsia" w:hAnsi="宋体" w:eastAsia="宋体" w:cs="宋体" w:asciiTheme="minorAscii"/>
          <w:color w:val="auto"/>
          <w:sz w:val="24"/>
          <w:szCs w:val="22"/>
          <w:highlight w:val="none"/>
        </w:rPr>
        <w:t>https://credit1.gz.gov.cn/sgs/sgsXkNew</w:t>
      </w:r>
      <w:r>
        <w:rPr>
          <w:rFonts w:hint="eastAsia" w:ascii="宋体" w:hAnsi="宋体" w:eastAsia="宋体" w:cs="宋体"/>
          <w:color w:val="auto"/>
          <w:sz w:val="24"/>
          <w:highlight w:val="none"/>
        </w:rPr>
        <w:t>公布的“失信</w:t>
      </w:r>
      <w:r>
        <w:rPr>
          <w:rFonts w:hint="eastAsia" w:ascii="宋体" w:hAnsi="宋体" w:cs="宋体"/>
          <w:color w:val="auto"/>
          <w:sz w:val="24"/>
          <w:highlight w:val="none"/>
        </w:rPr>
        <w:t>联合惩戒</w:t>
      </w:r>
      <w:r>
        <w:rPr>
          <w:rFonts w:hint="eastAsia" w:ascii="宋体" w:hAnsi="宋体" w:eastAsia="宋体" w:cs="宋体"/>
          <w:color w:val="auto"/>
          <w:sz w:val="24"/>
          <w:highlight w:val="none"/>
        </w:rPr>
        <w:t>黑名单”为准。不包含限制参加财政投资工程或政府投资工程的投标）。</w:t>
      </w:r>
      <w:r>
        <w:rPr>
          <w:rFonts w:hint="eastAsia" w:ascii="宋体" w:hAnsi="宋体" w:eastAsia="宋体" w:cs="宋体"/>
          <w:color w:val="auto"/>
          <w:sz w:val="24"/>
          <w:szCs w:val="22"/>
          <w:highlight w:val="none"/>
        </w:rPr>
        <w:t>注：因联合惩戒措施表述存在细微差别，惩戒措施与上文不完全一致但措施内容相同的，也应属于被限制参与相关项目的投标。</w:t>
      </w:r>
      <w:r>
        <w:rPr>
          <w:rFonts w:hint="eastAsia" w:ascii="宋体" w:hAnsi="宋体" w:eastAsia="宋体" w:cs="宋体"/>
          <w:color w:val="auto"/>
          <w:sz w:val="24"/>
          <w:highlight w:val="none"/>
        </w:rPr>
        <w:t>（按投标人提供的《投标人声明》第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条内容进行评审）。</w:t>
      </w:r>
    </w:p>
    <w:p>
      <w:pPr>
        <w:tabs>
          <w:tab w:val="left" w:pos="7513"/>
        </w:tabs>
        <w:snapToGrid w:val="0"/>
        <w:spacing w:beforeLines="0" w:afterLines="0"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3.8本项目</w:t>
      </w:r>
      <w:r>
        <w:rPr>
          <w:rFonts w:hint="eastAsia" w:ascii="宋体" w:hAnsi="宋体" w:cs="宋体"/>
          <w:color w:val="auto"/>
          <w:sz w:val="24"/>
          <w:highlight w:val="none"/>
          <w:u w:val="single"/>
        </w:rPr>
        <w:t>不接受</w:t>
      </w:r>
      <w:r>
        <w:rPr>
          <w:rFonts w:hint="eastAsia" w:ascii="宋体" w:hAnsi="宋体" w:cs="宋体"/>
          <w:color w:val="auto"/>
          <w:sz w:val="24"/>
          <w:highlight w:val="none"/>
        </w:rPr>
        <w:t>联合体投标。</w:t>
      </w:r>
    </w:p>
    <w:p>
      <w:pPr>
        <w:wordWrap w:val="0"/>
        <w:topLinePunct/>
        <w:adjustRightInd w:val="0"/>
        <w:snapToGrid w:val="0"/>
        <w:spacing w:beforeLines="0" w:afterLines="0" w:line="348" w:lineRule="auto"/>
        <w:ind w:firstLine="480" w:firstLineChars="200"/>
        <w:rPr>
          <w:color w:val="auto"/>
          <w:highlight w:val="none"/>
        </w:rPr>
      </w:pPr>
      <w:r>
        <w:rPr>
          <w:rFonts w:hint="eastAsia" w:ascii="宋体" w:hAnsi="宋体" w:cs="宋体"/>
          <w:color w:val="auto"/>
          <w:sz w:val="24"/>
          <w:highlight w:val="none"/>
        </w:rPr>
        <w:t>注：未在招标公告第三条单列的投标人资格要求条件，不作为资审不合格的依据。</w:t>
      </w:r>
    </w:p>
    <w:p>
      <w:pPr>
        <w:numPr>
          <w:ilvl w:val="-1"/>
          <w:numId w:val="0"/>
        </w:numPr>
        <w:snapToGrid w:val="0"/>
        <w:spacing w:beforeLines="0" w:afterLines="0" w:line="348" w:lineRule="auto"/>
        <w:ind w:firstLine="0" w:firstLineChars="0"/>
        <w:outlineLvl w:val="1"/>
        <w:rPr>
          <w:rFonts w:eastAsia="黑体"/>
          <w:b/>
          <w:color w:val="auto"/>
          <w:sz w:val="32"/>
          <w:szCs w:val="24"/>
          <w:highlight w:val="none"/>
        </w:rPr>
      </w:pPr>
      <w:bookmarkStart w:id="26" w:name="_Toc30697"/>
      <w:r>
        <w:rPr>
          <w:rFonts w:hint="eastAsia" w:eastAsia="黑体"/>
          <w:b/>
          <w:color w:val="auto"/>
          <w:sz w:val="32"/>
          <w:szCs w:val="24"/>
          <w:highlight w:val="none"/>
          <w:lang w:val="en-US" w:eastAsia="zh-CN"/>
        </w:rPr>
        <w:t xml:space="preserve">4. </w:t>
      </w:r>
      <w:r>
        <w:rPr>
          <w:rFonts w:hint="eastAsia" w:eastAsia="黑体"/>
          <w:b/>
          <w:color w:val="auto"/>
          <w:sz w:val="32"/>
          <w:szCs w:val="24"/>
          <w:highlight w:val="none"/>
        </w:rPr>
        <w:t>招标文件的获取</w:t>
      </w:r>
      <w:bookmarkEnd w:id="26"/>
    </w:p>
    <w:p>
      <w:pPr>
        <w:snapToGrid w:val="0"/>
        <w:spacing w:beforeLines="0" w:afterLines="0" w:line="348" w:lineRule="auto"/>
        <w:ind w:firstLine="480" w:firstLineChars="200"/>
        <w:rPr>
          <w:color w:val="auto"/>
          <w:sz w:val="24"/>
          <w:szCs w:val="24"/>
          <w:highlight w:val="none"/>
        </w:rPr>
      </w:pPr>
      <w:r>
        <w:rPr>
          <w:rFonts w:hint="eastAsia" w:ascii="宋体" w:hAnsi="宋体" w:cs="宋体"/>
          <w:color w:val="auto"/>
          <w:sz w:val="24"/>
          <w:highlight w:val="none"/>
        </w:rPr>
        <w:t>4.1</w:t>
      </w:r>
      <w:r>
        <w:rPr>
          <w:rFonts w:hint="eastAsia"/>
          <w:color w:val="auto"/>
          <w:sz w:val="24"/>
          <w:szCs w:val="24"/>
          <w:highlight w:val="none"/>
        </w:rPr>
        <w:t>（B）凡有意参加投标者，请于</w:t>
      </w:r>
      <w:r>
        <w:rPr>
          <w:rFonts w:hint="eastAsia"/>
          <w:color w:val="auto"/>
          <w:sz w:val="24"/>
          <w:szCs w:val="24"/>
          <w:highlight w:val="none"/>
          <w:u w:val="single"/>
          <w:lang w:val="en-US" w:eastAsia="zh-CN"/>
        </w:rPr>
        <w:t>2022</w:t>
      </w:r>
      <w:r>
        <w:rPr>
          <w:rFonts w:hint="eastAsia"/>
          <w:color w:val="auto"/>
          <w:sz w:val="24"/>
          <w:szCs w:val="24"/>
          <w:highlight w:val="none"/>
          <w:u w:val="single"/>
        </w:rPr>
        <w:t>年  月  日  时  分</w:t>
      </w:r>
      <w:r>
        <w:rPr>
          <w:rFonts w:hint="eastAsia"/>
          <w:color w:val="auto"/>
          <w:sz w:val="24"/>
          <w:szCs w:val="24"/>
          <w:highlight w:val="none"/>
        </w:rPr>
        <w:t>至</w:t>
      </w:r>
      <w:r>
        <w:rPr>
          <w:rFonts w:hint="eastAsia"/>
          <w:color w:val="auto"/>
          <w:sz w:val="24"/>
          <w:szCs w:val="24"/>
          <w:highlight w:val="none"/>
          <w:u w:val="single"/>
          <w:lang w:val="en-US" w:eastAsia="zh-CN"/>
        </w:rPr>
        <w:t>2022</w:t>
      </w:r>
      <w:r>
        <w:rPr>
          <w:rFonts w:hint="eastAsia"/>
          <w:color w:val="auto"/>
          <w:sz w:val="24"/>
          <w:szCs w:val="24"/>
          <w:highlight w:val="none"/>
          <w:u w:val="single"/>
        </w:rPr>
        <w:t>年  月  日  时  分</w:t>
      </w:r>
      <w:r>
        <w:rPr>
          <w:rFonts w:hint="eastAsia"/>
          <w:color w:val="auto"/>
          <w:sz w:val="24"/>
          <w:szCs w:val="24"/>
          <w:highlight w:val="none"/>
        </w:rPr>
        <w:t>(北京时间，下同)，登录</w:t>
      </w:r>
      <w:r>
        <w:rPr>
          <w:rFonts w:hint="eastAsia"/>
          <w:color w:val="auto"/>
          <w:sz w:val="24"/>
          <w:szCs w:val="24"/>
          <w:highlight w:val="none"/>
          <w:u w:val="single"/>
        </w:rPr>
        <w:t>广州公共资源交易中心网</w:t>
      </w:r>
      <w:r>
        <w:rPr>
          <w:rFonts w:hint="eastAsia"/>
          <w:color w:val="auto"/>
          <w:sz w:val="24"/>
          <w:szCs w:val="24"/>
          <w:highlight w:val="none"/>
        </w:rPr>
        <w:t>（http</w:t>
      </w:r>
      <w:r>
        <w:rPr>
          <w:rFonts w:hint="eastAsia"/>
          <w:color w:val="auto"/>
          <w:sz w:val="24"/>
          <w:szCs w:val="24"/>
          <w:highlight w:val="none"/>
          <w:lang w:val="en-US" w:eastAsia="zh-CN"/>
        </w:rPr>
        <w:t>:</w:t>
      </w:r>
      <w:r>
        <w:rPr>
          <w:rFonts w:hint="eastAsia"/>
          <w:color w:val="auto"/>
          <w:sz w:val="24"/>
          <w:szCs w:val="24"/>
          <w:highlight w:val="none"/>
        </w:rPr>
        <w:t>//www.gzggzy.cn）下载电子招标文件。</w:t>
      </w:r>
    </w:p>
    <w:p>
      <w:pPr>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w:t>
      </w:r>
      <w:r>
        <w:rPr>
          <w:rFonts w:hint="eastAsia"/>
          <w:color w:val="auto"/>
          <w:sz w:val="24"/>
          <w:szCs w:val="24"/>
          <w:highlight w:val="none"/>
        </w:rPr>
        <w:t xml:space="preserve"> 本项目设立投标登记环节，采取</w:t>
      </w:r>
      <w:r>
        <w:rPr>
          <w:rFonts w:hint="eastAsia"/>
          <w:color w:val="auto"/>
          <w:sz w:val="24"/>
          <w:szCs w:val="24"/>
          <w:highlight w:val="none"/>
          <w:u w:val="single"/>
        </w:rPr>
        <w:t>网上登记</w:t>
      </w:r>
      <w:r>
        <w:rPr>
          <w:rFonts w:hint="eastAsia"/>
          <w:color w:val="auto"/>
          <w:sz w:val="24"/>
          <w:szCs w:val="24"/>
          <w:highlight w:val="none"/>
        </w:rPr>
        <w:t>方式进行投标登记。不接受现场投标登记（参加投标登记之前，投标人应查询本企业在广州公共资源交易中心的信息登记的状态，确保一切信息都是真实的、在有效期内的，以免出现相关信息不能被使用的情况。上述情况有可能导致投标信息无法录入广州公共资源交易中心信息系统。如出现上述情况，投标人有可能失去投标机会，因其可能所引起的一切后果由投标人承担。）。</w:t>
      </w:r>
    </w:p>
    <w:p>
      <w:pPr>
        <w:snapToGrid w:val="0"/>
        <w:spacing w:beforeLines="0" w:afterLines="0" w:line="348" w:lineRule="auto"/>
        <w:ind w:firstLine="480" w:firstLineChars="200"/>
        <w:rPr>
          <w:color w:val="auto"/>
          <w:sz w:val="24"/>
          <w:szCs w:val="24"/>
          <w:highlight w:val="none"/>
        </w:rPr>
      </w:pPr>
      <w:r>
        <w:rPr>
          <w:rFonts w:hint="eastAsia" w:ascii="宋体" w:hAnsi="宋体" w:cs="宋体"/>
          <w:color w:val="auto"/>
          <w:sz w:val="24"/>
          <w:highlight w:val="none"/>
        </w:rPr>
        <w:t>4.2.1</w:t>
      </w:r>
      <w:r>
        <w:rPr>
          <w:rFonts w:hint="eastAsia"/>
          <w:color w:val="auto"/>
          <w:sz w:val="24"/>
          <w:szCs w:val="24"/>
          <w:highlight w:val="none"/>
        </w:rPr>
        <w:t>投标登记时间：</w:t>
      </w:r>
      <w:r>
        <w:rPr>
          <w:rFonts w:hint="eastAsia"/>
          <w:color w:val="auto"/>
          <w:sz w:val="24"/>
          <w:szCs w:val="24"/>
          <w:highlight w:val="none"/>
          <w:u w:val="single"/>
        </w:rPr>
        <w:t>2022年  月  日  时  分</w:t>
      </w:r>
      <w:r>
        <w:rPr>
          <w:rFonts w:hint="eastAsia"/>
          <w:color w:val="auto"/>
          <w:sz w:val="24"/>
          <w:szCs w:val="24"/>
          <w:highlight w:val="none"/>
        </w:rPr>
        <w:t>至</w:t>
      </w:r>
      <w:r>
        <w:rPr>
          <w:rFonts w:hint="eastAsia"/>
          <w:color w:val="auto"/>
          <w:sz w:val="24"/>
          <w:szCs w:val="24"/>
          <w:highlight w:val="none"/>
          <w:u w:val="single"/>
        </w:rPr>
        <w:t xml:space="preserve">  2022年  月  日  时  分</w:t>
      </w:r>
      <w:r>
        <w:rPr>
          <w:rFonts w:hint="eastAsia"/>
          <w:color w:val="auto"/>
          <w:sz w:val="24"/>
          <w:szCs w:val="24"/>
          <w:highlight w:val="none"/>
        </w:rPr>
        <w:t>。</w:t>
      </w:r>
    </w:p>
    <w:p>
      <w:pPr>
        <w:snapToGrid w:val="0"/>
        <w:spacing w:beforeLines="0" w:afterLines="0" w:line="348" w:lineRule="auto"/>
        <w:ind w:firstLine="480" w:firstLineChars="200"/>
        <w:rPr>
          <w:color w:val="auto"/>
          <w:sz w:val="24"/>
          <w:szCs w:val="24"/>
          <w:highlight w:val="none"/>
        </w:rPr>
      </w:pPr>
      <w:r>
        <w:rPr>
          <w:rFonts w:hint="eastAsia" w:ascii="宋体" w:hAnsi="宋体" w:cs="宋体"/>
          <w:color w:val="auto"/>
          <w:sz w:val="24"/>
          <w:highlight w:val="none"/>
        </w:rPr>
        <w:t>4.3</w:t>
      </w:r>
      <w:r>
        <w:rPr>
          <w:rFonts w:hint="eastAsia"/>
          <w:color w:val="auto"/>
          <w:sz w:val="24"/>
          <w:szCs w:val="24"/>
          <w:highlight w:val="none"/>
        </w:rPr>
        <w:t xml:space="preserve"> 本项目采用资格后审方式。</w:t>
      </w:r>
    </w:p>
    <w:p>
      <w:pPr>
        <w:snapToGrid w:val="0"/>
        <w:spacing w:beforeLines="0" w:afterLines="0" w:line="348" w:lineRule="auto"/>
        <w:ind w:firstLine="480" w:firstLineChars="200"/>
        <w:rPr>
          <w:color w:val="auto"/>
          <w:sz w:val="24"/>
          <w:szCs w:val="24"/>
          <w:highlight w:val="none"/>
        </w:rPr>
      </w:pPr>
      <w:r>
        <w:rPr>
          <w:rFonts w:hint="eastAsia"/>
          <w:color w:val="auto"/>
          <w:sz w:val="24"/>
          <w:szCs w:val="24"/>
          <w:highlight w:val="none"/>
        </w:rPr>
        <w:t>注：电子招投标操作流程详见广州公共资源交易中心网站发布的最新版操作指引。</w:t>
      </w:r>
    </w:p>
    <w:p>
      <w:pPr>
        <w:snapToGrid w:val="0"/>
        <w:spacing w:beforeLines="0" w:afterLines="0" w:line="348" w:lineRule="auto"/>
        <w:ind w:firstLine="0" w:firstLineChars="0"/>
        <w:outlineLvl w:val="1"/>
        <w:rPr>
          <w:rFonts w:eastAsia="黑体"/>
          <w:b/>
          <w:color w:val="auto"/>
          <w:sz w:val="32"/>
          <w:szCs w:val="24"/>
          <w:highlight w:val="none"/>
        </w:rPr>
      </w:pPr>
      <w:bookmarkStart w:id="27" w:name="_Toc3096"/>
      <w:r>
        <w:rPr>
          <w:rFonts w:hint="eastAsia" w:eastAsia="黑体"/>
          <w:b/>
          <w:color w:val="auto"/>
          <w:sz w:val="32"/>
          <w:szCs w:val="24"/>
          <w:highlight w:val="none"/>
          <w:lang w:val="en-US" w:eastAsia="zh-CN"/>
        </w:rPr>
        <w:t xml:space="preserve">5. </w:t>
      </w:r>
      <w:r>
        <w:rPr>
          <w:rFonts w:hint="eastAsia" w:eastAsia="黑体"/>
          <w:b/>
          <w:color w:val="auto"/>
          <w:sz w:val="32"/>
          <w:szCs w:val="24"/>
          <w:highlight w:val="none"/>
        </w:rPr>
        <w:t>投标文件的递交</w:t>
      </w:r>
      <w:bookmarkEnd w:id="27"/>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lang w:bidi="ar"/>
        </w:rPr>
        <w:t>5.1发布</w:t>
      </w:r>
      <w:r>
        <w:rPr>
          <w:rFonts w:hint="eastAsia" w:ascii="宋体" w:hAnsi="宋体" w:cs="宋体"/>
          <w:color w:val="auto"/>
          <w:sz w:val="24"/>
          <w:szCs w:val="24"/>
          <w:highlight w:val="none"/>
        </w:rPr>
        <w:t>招标公告时间（含本日）：</w:t>
      </w:r>
      <w:r>
        <w:rPr>
          <w:rFonts w:hint="eastAsia" w:ascii="宋体" w:hAnsi="宋体" w:cs="宋体"/>
          <w:color w:val="auto"/>
          <w:sz w:val="24"/>
          <w:szCs w:val="24"/>
          <w:highlight w:val="none"/>
          <w:u w:val="single"/>
        </w:rPr>
        <w:t>2022</w:t>
      </w:r>
      <w:r>
        <w:rPr>
          <w:rFonts w:hint="eastAsia"/>
          <w:color w:val="auto"/>
          <w:sz w:val="24"/>
          <w:szCs w:val="24"/>
          <w:highlight w:val="none"/>
          <w:u w:val="single"/>
        </w:rPr>
        <w:t>年  月  日  时  分至2022年 月  日 时  分</w:t>
      </w:r>
      <w:r>
        <w:rPr>
          <w:rFonts w:hint="eastAsia" w:ascii="宋体" w:hAnsi="宋体" w:cs="宋体"/>
          <w:color w:val="auto"/>
          <w:sz w:val="24"/>
          <w:szCs w:val="24"/>
          <w:highlight w:val="none"/>
        </w:rPr>
        <w:t>。</w:t>
      </w:r>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pPr>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5.2递</w:t>
      </w:r>
      <w:r>
        <w:rPr>
          <w:rFonts w:hint="eastAsia" w:ascii="宋体" w:hAnsi="宋体" w:cs="宋体"/>
          <w:color w:val="auto"/>
          <w:sz w:val="24"/>
          <w:szCs w:val="24"/>
          <w:highlight w:val="none"/>
        </w:rPr>
        <w:t>交投标文件时间：</w:t>
      </w:r>
      <w:r>
        <w:rPr>
          <w:rFonts w:hint="eastAsia" w:ascii="宋体" w:hAnsi="宋体" w:cs="宋体"/>
          <w:color w:val="auto"/>
          <w:sz w:val="24"/>
          <w:szCs w:val="24"/>
          <w:highlight w:val="none"/>
          <w:u w:val="single"/>
        </w:rPr>
        <w:t>2022</w:t>
      </w:r>
      <w:r>
        <w:rPr>
          <w:rFonts w:hint="eastAsia"/>
          <w:color w:val="auto"/>
          <w:sz w:val="24"/>
          <w:szCs w:val="24"/>
          <w:highlight w:val="none"/>
          <w:u w:val="single"/>
        </w:rPr>
        <w:t>年  月  日  时  分至2022年  月  日  时  分</w:t>
      </w:r>
      <w:r>
        <w:rPr>
          <w:rFonts w:hint="eastAsia" w:ascii="宋体" w:hAnsi="宋体" w:cs="宋体"/>
          <w:color w:val="auto"/>
          <w:sz w:val="24"/>
          <w:szCs w:val="24"/>
          <w:highlight w:val="none"/>
        </w:rPr>
        <w:t>。投标人通过</w:t>
      </w:r>
      <w:r>
        <w:rPr>
          <w:rFonts w:hint="eastAsia" w:ascii="宋体" w:hAnsi="宋体" w:cs="宋体"/>
          <w:color w:val="auto"/>
          <w:sz w:val="24"/>
          <w:szCs w:val="24"/>
          <w:highlight w:val="none"/>
          <w:u w:val="single"/>
        </w:rPr>
        <w:t>广州公共资源交易中心网站（网址：http://www.gzggzy.cn/）</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广州公共资源交易中心网站首页-服务指南。</w:t>
      </w:r>
    </w:p>
    <w:p>
      <w:pPr>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5.3投标文件备用光盘递交时间：</w:t>
      </w:r>
      <w:r>
        <w:rPr>
          <w:rFonts w:hint="eastAsia" w:ascii="宋体" w:hAnsi="宋体" w:cs="宋体"/>
          <w:color w:val="auto"/>
          <w:sz w:val="24"/>
          <w:highlight w:val="none"/>
          <w:u w:val="single"/>
          <w:lang w:bidi="ar"/>
        </w:rPr>
        <w:t>2022</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时</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分至</w:t>
      </w:r>
      <w:r>
        <w:rPr>
          <w:rFonts w:hint="eastAsia" w:ascii="宋体" w:hAnsi="宋体" w:cs="宋体"/>
          <w:color w:val="auto"/>
          <w:sz w:val="24"/>
          <w:highlight w:val="none"/>
          <w:u w:val="single"/>
          <w:lang w:bidi="ar"/>
        </w:rPr>
        <w:t>2022</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时</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分；地点为广州公共资源交易中心增城交易部</w:t>
      </w:r>
      <w:r>
        <w:rPr>
          <w:rFonts w:hint="eastAsia" w:ascii="宋体" w:hAnsi="宋体" w:cs="宋体"/>
          <w:color w:val="auto"/>
          <w:sz w:val="24"/>
          <w:szCs w:val="24"/>
          <w:highlight w:val="none"/>
        </w:rPr>
        <w:t>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w:t>
      </w:r>
      <w:r>
        <w:rPr>
          <w:rFonts w:hint="eastAsia" w:ascii="宋体" w:hAnsi="宋体" w:cs="宋体"/>
          <w:color w:val="auto"/>
          <w:sz w:val="24"/>
          <w:highlight w:val="none"/>
          <w:lang w:bidi="ar"/>
        </w:rPr>
        <w:t>（增城区增城大道2号金河湾3栋108）。</w:t>
      </w:r>
      <w:r>
        <w:rPr>
          <w:rFonts w:hint="eastAsia" w:ascii="Times New Roman" w:hAnsi="Times New Roman" w:cs="宋体"/>
          <w:color w:val="auto"/>
          <w:sz w:val="24"/>
          <w:szCs w:val="24"/>
          <w:highlight w:val="none"/>
          <w:lang w:bidi="ar"/>
        </w:rPr>
        <w:t>（电子光盘需按规定封装。投标人将数据刻录到光盘之后，应在投标前自行检查文件是否可以读取。）</w:t>
      </w:r>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lang w:bidi="ar"/>
        </w:rPr>
        <w:t>5.4</w:t>
      </w:r>
      <w:r>
        <w:rPr>
          <w:rFonts w:hint="eastAsia" w:ascii="宋体" w:hAnsi="宋体" w:cs="宋体"/>
          <w:color w:val="auto"/>
          <w:sz w:val="24"/>
          <w:szCs w:val="24"/>
          <w:highlight w:val="none"/>
        </w:rPr>
        <w:t>逾期送达的投标文件，电子招标投标交易平台将予以拒收。逾期未上传成功的电子投标文件，招标人拒绝接收。逾期或未在指定地点递交投标文件光盘的,招标人拒绝接收其投标文件光盘。</w:t>
      </w:r>
    </w:p>
    <w:p>
      <w:pPr>
        <w:tabs>
          <w:tab w:val="left" w:pos="360"/>
        </w:tabs>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5.5 开标时间：</w:t>
      </w:r>
      <w:r>
        <w:rPr>
          <w:rFonts w:hint="eastAsia" w:ascii="宋体" w:hAnsi="宋体" w:cs="宋体"/>
          <w:color w:val="auto"/>
          <w:sz w:val="24"/>
          <w:szCs w:val="24"/>
          <w:highlight w:val="none"/>
          <w:u w:val="single"/>
        </w:rPr>
        <w:t>2022</w:t>
      </w:r>
      <w:r>
        <w:rPr>
          <w:rFonts w:hint="eastAsia"/>
          <w:color w:val="auto"/>
          <w:sz w:val="24"/>
          <w:szCs w:val="24"/>
          <w:highlight w:val="none"/>
          <w:u w:val="single"/>
        </w:rPr>
        <w:t>年  月  日  时  分</w:t>
      </w:r>
      <w:r>
        <w:rPr>
          <w:rFonts w:hint="eastAsia" w:ascii="宋体" w:hAnsi="宋体" w:cs="宋体"/>
          <w:color w:val="auto"/>
          <w:sz w:val="24"/>
          <w:szCs w:val="24"/>
          <w:highlight w:val="none"/>
        </w:rPr>
        <w:t>。地点：广州公共资源交易中心增城交易部第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w:t>
      </w:r>
    </w:p>
    <w:p>
      <w:pPr>
        <w:tabs>
          <w:tab w:val="left" w:pos="360"/>
        </w:tabs>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5.6</w:t>
      </w:r>
      <w:r>
        <w:rPr>
          <w:rFonts w:hint="eastAsia" w:ascii="宋体" w:hAnsi="宋体" w:cs="宋体"/>
          <w:color w:val="auto"/>
          <w:sz w:val="24"/>
          <w:szCs w:val="24"/>
          <w:highlight w:val="none"/>
          <w:lang w:bidi="ar"/>
        </w:rPr>
        <w:t>投标文件解密：</w:t>
      </w:r>
      <w:r>
        <w:rPr>
          <w:rFonts w:hint="eastAsia" w:ascii="宋体" w:hAnsi="宋体" w:cs="宋体"/>
          <w:color w:val="auto"/>
          <w:sz w:val="24"/>
          <w:szCs w:val="24"/>
          <w:highlight w:val="none"/>
        </w:rPr>
        <w:t>投标人在递交电子投标文件截止时间到达后的</w:t>
      </w:r>
      <w:r>
        <w:rPr>
          <w:rFonts w:hint="eastAsia" w:ascii="宋体" w:hAnsi="宋体" w:cs="宋体"/>
          <w:color w:val="auto"/>
          <w:sz w:val="24"/>
          <w:szCs w:val="24"/>
          <w:highlight w:val="none"/>
          <w:u w:val="single"/>
        </w:rPr>
        <w:t>半个小时内</w:t>
      </w:r>
      <w:r>
        <w:rPr>
          <w:rFonts w:hint="eastAsia" w:ascii="宋体" w:hAnsi="宋体" w:cs="宋体"/>
          <w:color w:val="auto"/>
          <w:sz w:val="24"/>
          <w:szCs w:val="24"/>
          <w:highlight w:val="none"/>
        </w:rPr>
        <w:t>使用制作该电子投标文件的机构业务数字证书对电子投标文件进行解密。逾期未解密或因投标人原因造成电子投标文件解密不成功的，视为投标人未递交电子投标文件。</w:t>
      </w:r>
      <w:r>
        <w:rPr>
          <w:rFonts w:hint="eastAsia" w:ascii="宋体" w:hAnsi="宋体" w:cs="宋体"/>
          <w:color w:val="auto"/>
          <w:kern w:val="0"/>
          <w:sz w:val="24"/>
          <w:szCs w:val="24"/>
          <w:highlight w:val="none"/>
          <w:shd w:val="clear" w:color="auto" w:fill="FFFFFF"/>
          <w:lang w:bidi="ar"/>
        </w:rPr>
        <w:t>因投标人原因造成电子投标文件未解密的不参与投标文件评审</w:t>
      </w:r>
      <w:r>
        <w:rPr>
          <w:rFonts w:hint="eastAsia" w:ascii="宋体" w:hAnsi="宋体" w:cs="宋体"/>
          <w:color w:val="auto"/>
          <w:sz w:val="24"/>
          <w:szCs w:val="24"/>
          <w:highlight w:val="none"/>
        </w:rPr>
        <w:t>。</w:t>
      </w:r>
    </w:p>
    <w:p>
      <w:pPr>
        <w:snapToGrid w:val="0"/>
        <w:spacing w:beforeLines="0" w:afterLines="0" w:line="348" w:lineRule="auto"/>
        <w:ind w:firstLine="0" w:firstLineChars="0"/>
        <w:outlineLvl w:val="1"/>
        <w:rPr>
          <w:rFonts w:ascii="楷体" w:hAnsi="楷体" w:eastAsia="楷体" w:cs="楷体"/>
          <w:b/>
          <w:color w:val="auto"/>
          <w:sz w:val="32"/>
          <w:szCs w:val="24"/>
          <w:highlight w:val="none"/>
        </w:rPr>
      </w:pPr>
      <w:bookmarkStart w:id="28" w:name="_Toc19698"/>
      <w:r>
        <w:rPr>
          <w:rFonts w:hint="eastAsia" w:eastAsia="黑体"/>
          <w:b/>
          <w:color w:val="auto"/>
          <w:sz w:val="32"/>
          <w:szCs w:val="24"/>
          <w:highlight w:val="none"/>
          <w:lang w:val="en-US" w:eastAsia="zh-CN"/>
        </w:rPr>
        <w:t xml:space="preserve">6. </w:t>
      </w:r>
      <w:r>
        <w:rPr>
          <w:rFonts w:hint="eastAsia" w:eastAsia="黑体"/>
          <w:b/>
          <w:color w:val="auto"/>
          <w:sz w:val="32"/>
          <w:szCs w:val="24"/>
          <w:highlight w:val="none"/>
        </w:rPr>
        <w:t>发布公告的媒介</w:t>
      </w:r>
      <w:bookmarkEnd w:id="28"/>
    </w:p>
    <w:p>
      <w:pPr>
        <w:snapToGrid w:val="0"/>
        <w:spacing w:beforeLines="0" w:afterLines="0" w:line="348" w:lineRule="auto"/>
        <w:ind w:firstLine="480" w:firstLineChars="200"/>
        <w:rPr>
          <w:color w:val="auto"/>
          <w:sz w:val="24"/>
          <w:szCs w:val="24"/>
          <w:highlight w:val="none"/>
        </w:rPr>
      </w:pPr>
      <w:r>
        <w:rPr>
          <w:color w:val="auto"/>
          <w:sz w:val="24"/>
          <w:szCs w:val="24"/>
          <w:highlight w:val="none"/>
        </w:rPr>
        <w:t>本次招标公告同时在</w:t>
      </w:r>
      <w:r>
        <w:rPr>
          <w:rFonts w:hint="eastAsia" w:ascii="Times New Roman" w:hAnsi="Times New Roman"/>
          <w:color w:val="auto"/>
          <w:sz w:val="24"/>
          <w:szCs w:val="24"/>
          <w:highlight w:val="none"/>
          <w:u w:val="single"/>
        </w:rPr>
        <w:t>广州公共资源交易中心（网址：</w:t>
      </w:r>
      <w:r>
        <w:rPr>
          <w:rFonts w:ascii="Times New Roman" w:hAnsi="Times New Roman"/>
          <w:color w:val="auto"/>
          <w:sz w:val="24"/>
          <w:szCs w:val="24"/>
          <w:highlight w:val="none"/>
          <w:u w:val="single"/>
        </w:rPr>
        <w:t>http://www.gzggzy.cn/</w:t>
      </w:r>
      <w:r>
        <w:rPr>
          <w:rFonts w:hint="eastAsia" w:ascii="Times New Roman" w:hAnsi="Times New Roman"/>
          <w:color w:val="auto"/>
          <w:sz w:val="24"/>
          <w:szCs w:val="24"/>
          <w:highlight w:val="none"/>
          <w:u w:val="single"/>
        </w:rPr>
        <w:t>）、广东省招标投标监管网（网址：</w:t>
      </w:r>
      <w:r>
        <w:rPr>
          <w:rFonts w:ascii="Times New Roman" w:hAnsi="Times New Roman"/>
          <w:color w:val="auto"/>
          <w:sz w:val="24"/>
          <w:szCs w:val="24"/>
          <w:highlight w:val="none"/>
          <w:u w:val="single"/>
        </w:rPr>
        <w:t>http://zbtb.gd.gov.cn/</w:t>
      </w:r>
      <w:r>
        <w:rPr>
          <w:rFonts w:hint="eastAsia" w:ascii="Times New Roman" w:hAnsi="Times New Roman"/>
          <w:color w:val="auto"/>
          <w:sz w:val="24"/>
          <w:szCs w:val="24"/>
          <w:highlight w:val="none"/>
          <w:u w:val="single"/>
        </w:rPr>
        <w:t>）、中国招标投标公共服务平台（网址：</w:t>
      </w:r>
      <w:r>
        <w:rPr>
          <w:rFonts w:ascii="Times New Roman" w:hAnsi="Times New Roman"/>
          <w:color w:val="auto"/>
          <w:sz w:val="24"/>
          <w:szCs w:val="24"/>
          <w:highlight w:val="none"/>
          <w:u w:val="single"/>
        </w:rPr>
        <w:t>http://www.cebpubservice.com/</w:t>
      </w:r>
      <w:r>
        <w:rPr>
          <w:rFonts w:hint="eastAsia" w:ascii="Times New Roman" w:hAnsi="Times New Roman"/>
          <w:color w:val="auto"/>
          <w:sz w:val="24"/>
          <w:szCs w:val="24"/>
          <w:highlight w:val="none"/>
          <w:u w:val="single"/>
        </w:rPr>
        <w:t>）和广州市增城区人民政府门户网站（网址：</w:t>
      </w:r>
      <w:r>
        <w:rPr>
          <w:rFonts w:ascii="Times New Roman" w:hAnsi="Times New Roman"/>
          <w:color w:val="auto"/>
          <w:sz w:val="24"/>
          <w:szCs w:val="24"/>
          <w:highlight w:val="none"/>
          <w:u w:val="single"/>
        </w:rPr>
        <w:t>http://www.zc.gov.cn/</w:t>
      </w:r>
      <w:r>
        <w:rPr>
          <w:rFonts w:hint="eastAsia" w:ascii="Times New Roman" w:hAnsi="Times New Roman"/>
          <w:color w:val="auto"/>
          <w:sz w:val="24"/>
          <w:szCs w:val="24"/>
          <w:highlight w:val="none"/>
          <w:u w:val="single"/>
        </w:rPr>
        <w:t xml:space="preserve"> “首页</w:t>
      </w:r>
      <w:r>
        <w:rPr>
          <w:rFonts w:ascii="Times New Roman" w:hAnsi="Times New Roman"/>
          <w:color w:val="auto"/>
          <w:sz w:val="24"/>
          <w:szCs w:val="24"/>
          <w:highlight w:val="none"/>
          <w:u w:val="single"/>
        </w:rPr>
        <w:t>&gt;</w:t>
      </w:r>
      <w:r>
        <w:rPr>
          <w:rFonts w:hint="eastAsia" w:ascii="Times New Roman" w:hAnsi="Times New Roman"/>
          <w:color w:val="auto"/>
          <w:sz w:val="24"/>
          <w:szCs w:val="24"/>
          <w:highlight w:val="none"/>
          <w:u w:val="single"/>
        </w:rPr>
        <w:t>公开</w:t>
      </w:r>
      <w:r>
        <w:rPr>
          <w:rFonts w:ascii="Times New Roman" w:hAnsi="Times New Roman"/>
          <w:color w:val="auto"/>
          <w:sz w:val="24"/>
          <w:szCs w:val="24"/>
          <w:highlight w:val="none"/>
          <w:u w:val="single"/>
        </w:rPr>
        <w:t>&gt;</w:t>
      </w:r>
      <w:r>
        <w:rPr>
          <w:rFonts w:hint="eastAsia" w:ascii="Times New Roman" w:hAnsi="Times New Roman"/>
          <w:color w:val="auto"/>
          <w:sz w:val="24"/>
          <w:szCs w:val="24"/>
          <w:highlight w:val="none"/>
          <w:u w:val="single"/>
        </w:rPr>
        <w:t>公共资源配置领域</w:t>
      </w:r>
      <w:r>
        <w:rPr>
          <w:rFonts w:ascii="Times New Roman" w:hAnsi="Times New Roman"/>
          <w:color w:val="auto"/>
          <w:sz w:val="24"/>
          <w:szCs w:val="24"/>
          <w:highlight w:val="none"/>
          <w:u w:val="single"/>
        </w:rPr>
        <w:t>&gt;</w:t>
      </w:r>
      <w:r>
        <w:rPr>
          <w:rFonts w:hint="eastAsia" w:ascii="Times New Roman" w:hAnsi="Times New Roman"/>
          <w:color w:val="auto"/>
          <w:sz w:val="24"/>
          <w:szCs w:val="24"/>
          <w:highlight w:val="none"/>
          <w:u w:val="single"/>
        </w:rPr>
        <w:t>工程建设项目招投标”）</w:t>
      </w:r>
      <w:r>
        <w:rPr>
          <w:rFonts w:hint="eastAsia" w:ascii="Times New Roman" w:hAnsi="Times New Roman"/>
          <w:color w:val="auto"/>
          <w:sz w:val="24"/>
          <w:szCs w:val="24"/>
          <w:highlight w:val="none"/>
        </w:rPr>
        <w:t>栏目发布，</w:t>
      </w:r>
      <w:r>
        <w:rPr>
          <w:rFonts w:hint="eastAsia" w:ascii="宋体" w:hAnsi="宋体" w:cs="宋体"/>
          <w:color w:val="auto"/>
          <w:sz w:val="24"/>
          <w:szCs w:val="24"/>
          <w:highlight w:val="none"/>
        </w:rPr>
        <w:t>本公告的修改、补充，在广州公共资源交易中心网站</w:t>
      </w:r>
      <w:r>
        <w:rPr>
          <w:color w:val="auto"/>
          <w:sz w:val="24"/>
          <w:szCs w:val="24"/>
          <w:highlight w:val="none"/>
        </w:rPr>
        <w:t>上发布。</w:t>
      </w:r>
    </w:p>
    <w:p>
      <w:pPr>
        <w:snapToGrid w:val="0"/>
        <w:spacing w:beforeLines="0" w:afterLines="0" w:line="348" w:lineRule="auto"/>
        <w:ind w:firstLine="0" w:firstLineChars="0"/>
        <w:rPr>
          <w:rFonts w:ascii="宋体" w:hAnsi="宋体"/>
          <w:color w:val="auto"/>
          <w:sz w:val="24"/>
          <w:highlight w:val="none"/>
          <w:u w:val="single"/>
        </w:rPr>
      </w:pPr>
      <w:r>
        <w:rPr>
          <w:rFonts w:hint="eastAsia" w:eastAsia="黑体"/>
          <w:b/>
          <w:color w:val="auto"/>
          <w:sz w:val="32"/>
          <w:szCs w:val="24"/>
          <w:highlight w:val="none"/>
          <w:lang w:val="en-US" w:eastAsia="zh-CN"/>
        </w:rPr>
        <w:t xml:space="preserve">7. </w:t>
      </w:r>
      <w:r>
        <w:rPr>
          <w:rFonts w:hint="eastAsia" w:eastAsia="黑体"/>
          <w:b/>
          <w:color w:val="auto"/>
          <w:sz w:val="32"/>
          <w:szCs w:val="24"/>
          <w:highlight w:val="none"/>
        </w:rPr>
        <w:t>联系方式</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招 标 人：</w:t>
      </w:r>
      <w:r>
        <w:rPr>
          <w:rFonts w:hint="eastAsia" w:ascii="宋体" w:hAnsi="宋体"/>
          <w:color w:val="auto"/>
          <w:sz w:val="24"/>
          <w:highlight w:val="none"/>
          <w:u w:val="single"/>
        </w:rPr>
        <w:t>广州市增城区水务建设管理所</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olor w:val="auto"/>
          <w:sz w:val="24"/>
          <w:highlight w:val="none"/>
          <w:u w:val="single"/>
        </w:rPr>
        <w:t>增城区荔城街园圃路4号</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联 系 人：</w:t>
      </w:r>
      <w:r>
        <w:rPr>
          <w:rFonts w:hint="eastAsia" w:ascii="宋体" w:hAnsi="宋体"/>
          <w:color w:val="auto"/>
          <w:sz w:val="24"/>
          <w:highlight w:val="none"/>
          <w:u w:val="single"/>
        </w:rPr>
        <w:t>屈工</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olor w:val="auto"/>
          <w:sz w:val="24"/>
          <w:highlight w:val="none"/>
          <w:u w:val="single"/>
        </w:rPr>
        <w:t>020-82639382</w:t>
      </w:r>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olor w:val="auto"/>
          <w:sz w:val="24"/>
          <w:highlight w:val="none"/>
          <w:u w:val="single"/>
        </w:rPr>
        <w:t>广州高新工程顾问有限公司</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shd w:val="clear" w:color="auto" w:fill="FFFFFF"/>
          <w:lang w:val="zh-CN" w:bidi="ar"/>
        </w:rPr>
        <w:t>广州市天河区华观路</w:t>
      </w:r>
      <w:r>
        <w:rPr>
          <w:rFonts w:hint="eastAsia" w:ascii="宋体" w:hAnsi="宋体" w:cs="宋体"/>
          <w:color w:val="auto"/>
          <w:sz w:val="24"/>
          <w:szCs w:val="24"/>
          <w:highlight w:val="none"/>
          <w:u w:val="single"/>
          <w:shd w:val="clear" w:color="auto" w:fill="FFFFFF"/>
          <w:lang w:bidi="ar"/>
        </w:rPr>
        <w:t>1933号503-504房</w:t>
      </w:r>
      <w:r>
        <w:rPr>
          <w:rFonts w:hint="eastAsia" w:ascii="宋体" w:hAnsi="宋体" w:cs="宋体"/>
          <w:color w:val="auto"/>
          <w:sz w:val="24"/>
          <w:szCs w:val="24"/>
          <w:highlight w:val="none"/>
        </w:rPr>
        <w:t xml:space="preserve">                   </w:t>
      </w:r>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olor w:val="auto"/>
          <w:sz w:val="24"/>
          <w:highlight w:val="none"/>
          <w:u w:val="single"/>
        </w:rPr>
        <w:t>郑工</w:t>
      </w:r>
    </w:p>
    <w:p>
      <w:pPr>
        <w:pStyle w:val="21"/>
        <w:snapToGrid w:val="0"/>
        <w:spacing w:beforeLines="0" w:after="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13560477267</w:t>
      </w:r>
    </w:p>
    <w:p>
      <w:pPr>
        <w:wordWrap w:val="0"/>
        <w:topLinePunct/>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异议受理部门：</w:t>
      </w:r>
      <w:r>
        <w:rPr>
          <w:rFonts w:hint="eastAsia" w:ascii="宋体" w:hAnsi="宋体"/>
          <w:color w:val="auto"/>
          <w:sz w:val="24"/>
          <w:highlight w:val="none"/>
          <w:u w:val="single"/>
        </w:rPr>
        <w:t>广州市增城区水务建设管理所</w:t>
      </w:r>
    </w:p>
    <w:p>
      <w:pPr>
        <w:wordWrap w:val="0"/>
        <w:topLinePunct/>
        <w:snapToGrid w:val="0"/>
        <w:spacing w:beforeLines="0" w:afterLines="0" w:line="348" w:lineRule="auto"/>
        <w:ind w:firstLine="480" w:firstLineChars="200"/>
        <w:rPr>
          <w:rFonts w:ascii="宋体" w:hAnsi="宋体" w:cs="宋体"/>
          <w:color w:val="auto"/>
          <w:sz w:val="24"/>
          <w:szCs w:val="24"/>
          <w:highlight w:val="none"/>
          <w:u w:val="single"/>
          <w:shd w:val="clear" w:color="auto" w:fill="FFFFFF"/>
        </w:rPr>
      </w:pPr>
      <w:r>
        <w:rPr>
          <w:rFonts w:hint="eastAsia" w:ascii="宋体" w:hAnsi="宋体" w:cs="宋体"/>
          <w:color w:val="auto"/>
          <w:sz w:val="24"/>
          <w:szCs w:val="24"/>
          <w:highlight w:val="none"/>
          <w:shd w:val="clear" w:color="auto" w:fill="FFFFFF"/>
        </w:rPr>
        <w:t>地    址：</w:t>
      </w:r>
      <w:r>
        <w:rPr>
          <w:rFonts w:hint="eastAsia" w:ascii="宋体" w:hAnsi="宋体"/>
          <w:color w:val="auto"/>
          <w:sz w:val="24"/>
          <w:highlight w:val="none"/>
          <w:u w:val="single"/>
        </w:rPr>
        <w:t>增城区荔城街园圃路4号</w:t>
      </w:r>
    </w:p>
    <w:p>
      <w:pPr>
        <w:wordWrap w:val="0"/>
        <w:topLinePunct/>
        <w:snapToGrid w:val="0"/>
        <w:spacing w:beforeLines="0" w:afterLines="0" w:line="348" w:lineRule="auto"/>
        <w:ind w:firstLine="480" w:firstLineChars="200"/>
        <w:rPr>
          <w:rFonts w:ascii="宋体" w:hAnsi="宋体" w:cs="宋体"/>
          <w:color w:val="auto"/>
          <w:sz w:val="24"/>
          <w:szCs w:val="24"/>
          <w:highlight w:val="none"/>
          <w:u w:val="single"/>
          <w:shd w:val="clear" w:color="auto" w:fill="FFFFFF"/>
        </w:rPr>
      </w:pPr>
      <w:r>
        <w:rPr>
          <w:rFonts w:hint="eastAsia" w:ascii="宋体" w:hAnsi="宋体" w:cs="宋体"/>
          <w:color w:val="auto"/>
          <w:sz w:val="24"/>
          <w:szCs w:val="24"/>
          <w:highlight w:val="none"/>
          <w:shd w:val="clear" w:color="auto" w:fill="FFFFFF"/>
        </w:rPr>
        <w:t>联 系 人：</w:t>
      </w:r>
      <w:r>
        <w:rPr>
          <w:rFonts w:hint="eastAsia" w:ascii="宋体" w:hAnsi="宋体"/>
          <w:color w:val="auto"/>
          <w:sz w:val="24"/>
          <w:highlight w:val="none"/>
          <w:u w:val="single"/>
        </w:rPr>
        <w:t>屈工</w:t>
      </w:r>
    </w:p>
    <w:p>
      <w:pPr>
        <w:wordWrap w:val="0"/>
        <w:topLinePunct/>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shd w:val="clear" w:color="auto" w:fill="FFFFFF"/>
        </w:rPr>
        <w:t>电    话：</w:t>
      </w:r>
      <w:r>
        <w:rPr>
          <w:rFonts w:hint="eastAsia" w:ascii="宋体" w:hAnsi="宋体"/>
          <w:color w:val="auto"/>
          <w:sz w:val="24"/>
          <w:highlight w:val="none"/>
          <w:u w:val="single"/>
        </w:rPr>
        <w:t>020-82639382</w:t>
      </w:r>
    </w:p>
    <w:p>
      <w:pPr>
        <w:wordWrap w:val="0"/>
        <w:topLinePunct/>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广州市增城区水务局</w:t>
      </w:r>
    </w:p>
    <w:p>
      <w:pPr>
        <w:wordWrap w:val="0"/>
        <w:topLinePunct/>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地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u w:val="single"/>
        </w:rPr>
        <w:t>广州市增城区荔城街园圃路</w:t>
      </w:r>
      <w:r>
        <w:rPr>
          <w:rFonts w:ascii="宋体" w:hAnsi="宋体" w:cs="宋体"/>
          <w:color w:val="auto"/>
          <w:sz w:val="24"/>
          <w:szCs w:val="24"/>
          <w:highlight w:val="none"/>
          <w:u w:val="single"/>
        </w:rPr>
        <w:t>4号</w:t>
      </w:r>
    </w:p>
    <w:p>
      <w:pPr>
        <w:wordWrap w:val="0"/>
        <w:topLinePunct/>
        <w:snapToGrid w:val="0"/>
        <w:spacing w:beforeLines="0" w:afterLines="0" w:line="348" w:lineRule="auto"/>
        <w:ind w:firstLine="480" w:firstLineChars="200"/>
        <w:rPr>
          <w:color w:val="auto"/>
          <w:highlight w:val="none"/>
        </w:rPr>
      </w:pPr>
      <w:r>
        <w:rPr>
          <w:rFonts w:hint="eastAsia" w:ascii="宋体" w:hAnsi="宋体"/>
          <w:color w:val="auto"/>
          <w:sz w:val="24"/>
          <w:szCs w:val="24"/>
          <w:highlight w:val="none"/>
        </w:rPr>
        <w:t xml:space="preserve">电 </w:t>
      </w:r>
      <w:r>
        <w:rPr>
          <w:rFonts w:ascii="宋体" w:hAnsi="宋体"/>
          <w:color w:val="auto"/>
          <w:sz w:val="24"/>
          <w:szCs w:val="24"/>
          <w:highlight w:val="none"/>
        </w:rPr>
        <w:t xml:space="preserve">   </w:t>
      </w:r>
      <w:r>
        <w:rPr>
          <w:rFonts w:hint="eastAsia" w:ascii="宋体" w:hAnsi="宋体"/>
          <w:color w:val="auto"/>
          <w:sz w:val="24"/>
          <w:szCs w:val="24"/>
          <w:highlight w:val="none"/>
        </w:rPr>
        <w:t>话：</w:t>
      </w:r>
      <w:r>
        <w:rPr>
          <w:rFonts w:ascii="宋体" w:hAnsi="宋体"/>
          <w:color w:val="auto"/>
          <w:sz w:val="24"/>
          <w:szCs w:val="24"/>
          <w:highlight w:val="none"/>
          <w:u w:val="single"/>
        </w:rPr>
        <w:t>020-82639502</w:t>
      </w:r>
    </w:p>
    <w:p>
      <w:pPr>
        <w:topLinePunct/>
        <w:snapToGrid w:val="0"/>
        <w:spacing w:beforeLines="0" w:afterLines="0" w:line="348" w:lineRule="auto"/>
        <w:jc w:val="center"/>
        <w:rPr>
          <w:color w:val="auto"/>
          <w:sz w:val="24"/>
          <w:szCs w:val="24"/>
          <w:highlight w:val="none"/>
        </w:rPr>
      </w:pPr>
      <w:r>
        <w:rPr>
          <w:rFonts w:hint="eastAsia"/>
          <w:color w:val="auto"/>
          <w:sz w:val="24"/>
          <w:szCs w:val="24"/>
          <w:highlight w:val="none"/>
        </w:rPr>
        <w:t xml:space="preserve">                                </w:t>
      </w:r>
    </w:p>
    <w:p>
      <w:pPr>
        <w:topLinePunct/>
        <w:snapToGrid w:val="0"/>
        <w:spacing w:beforeLines="0" w:afterLines="0" w:line="348" w:lineRule="auto"/>
        <w:ind w:firstLine="3998" w:firstLineChars="1666"/>
        <w:jc w:val="both"/>
        <w:rPr>
          <w:rFonts w:ascii="Times New Roman" w:hAnsi="Times New Roman"/>
          <w:color w:val="auto"/>
          <w:sz w:val="24"/>
          <w:szCs w:val="24"/>
          <w:highlight w:val="none"/>
        </w:rPr>
      </w:pPr>
      <w:r>
        <w:rPr>
          <w:rFonts w:hint="eastAsia"/>
          <w:color w:val="auto"/>
          <w:sz w:val="24"/>
          <w:szCs w:val="24"/>
          <w:highlight w:val="none"/>
        </w:rPr>
        <w:t xml:space="preserve">招 标 </w:t>
      </w:r>
      <w:r>
        <w:rPr>
          <w:rFonts w:hint="eastAsia" w:ascii="宋体" w:hAnsi="宋体"/>
          <w:color w:val="auto"/>
          <w:sz w:val="24"/>
          <w:szCs w:val="24"/>
          <w:highlight w:val="none"/>
        </w:rPr>
        <w:t>人：</w:t>
      </w:r>
      <w:r>
        <w:rPr>
          <w:rFonts w:hint="eastAsia" w:ascii="宋体" w:hAnsi="宋体"/>
          <w:color w:val="auto"/>
          <w:sz w:val="24"/>
          <w:highlight w:val="none"/>
        </w:rPr>
        <w:t>广州市增城区水务建设管理所</w:t>
      </w:r>
      <w:r>
        <w:rPr>
          <w:rFonts w:hint="eastAsia" w:ascii="Times New Roman" w:hAnsi="Times New Roman"/>
          <w:color w:val="auto"/>
          <w:sz w:val="24"/>
          <w:szCs w:val="24"/>
          <w:highlight w:val="none"/>
        </w:rPr>
        <w:t xml:space="preserve"> </w:t>
      </w:r>
    </w:p>
    <w:p>
      <w:pPr>
        <w:topLinePunct/>
        <w:snapToGrid w:val="0"/>
        <w:spacing w:beforeLines="0" w:afterLines="0" w:line="348" w:lineRule="auto"/>
        <w:ind w:firstLine="3998" w:firstLineChars="1666"/>
        <w:jc w:val="both"/>
        <w:rPr>
          <w:rFonts w:ascii="宋体" w:hAnsi="宋体"/>
          <w:color w:val="auto"/>
          <w:sz w:val="24"/>
          <w:szCs w:val="24"/>
          <w:highlight w:val="none"/>
        </w:rPr>
      </w:pPr>
      <w:r>
        <w:rPr>
          <w:rFonts w:hint="eastAsia" w:ascii="宋体" w:hAnsi="宋体"/>
          <w:color w:val="auto"/>
          <w:sz w:val="24"/>
          <w:szCs w:val="24"/>
          <w:highlight w:val="none"/>
        </w:rPr>
        <w:t>招标代理机构：</w:t>
      </w:r>
      <w:r>
        <w:rPr>
          <w:rFonts w:hint="eastAsia" w:ascii="宋体" w:hAnsi="宋体"/>
          <w:color w:val="auto"/>
          <w:sz w:val="24"/>
          <w:highlight w:val="none"/>
        </w:rPr>
        <w:t>广州高新工程顾问有限公司</w:t>
      </w:r>
    </w:p>
    <w:p>
      <w:pPr>
        <w:snapToGrid w:val="0"/>
        <w:spacing w:beforeLines="0" w:afterLines="0" w:line="348" w:lineRule="auto"/>
        <w:ind w:firstLine="3998" w:firstLineChars="1666"/>
        <w:jc w:val="left"/>
        <w:rPr>
          <w:rFonts w:ascii="宋体" w:hAnsi="宋体" w:cs="宋体"/>
          <w:color w:val="auto"/>
          <w:kern w:val="0"/>
          <w:sz w:val="24"/>
          <w:highlight w:val="none"/>
        </w:rPr>
      </w:pP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期：   </w:t>
      </w:r>
      <w:r>
        <w:rPr>
          <w:rFonts w:ascii="宋体" w:hAnsi="宋体"/>
          <w:color w:val="auto"/>
          <w:sz w:val="24"/>
          <w:szCs w:val="24"/>
          <w:highlight w:val="none"/>
        </w:rPr>
        <w:t>2022年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hAnsi="宋体"/>
          <w:b/>
          <w:color w:val="auto"/>
          <w:sz w:val="30"/>
          <w:szCs w:val="30"/>
          <w:highlight w:val="none"/>
        </w:rPr>
        <w:t xml:space="preserve"> </w:t>
      </w:r>
      <w:r>
        <w:rPr>
          <w:rFonts w:ascii="Arial" w:hAnsi="宋体" w:eastAsia="黑体"/>
          <w:b/>
          <w:color w:val="auto"/>
          <w:sz w:val="32"/>
          <w:szCs w:val="24"/>
          <w:highlight w:val="none"/>
        </w:rPr>
        <w:br w:type="page"/>
      </w:r>
      <w:r>
        <w:rPr>
          <w:rFonts w:hint="eastAsia" w:ascii="宋体" w:hAnsi="宋体" w:cs="宋体"/>
          <w:color w:val="auto"/>
          <w:kern w:val="0"/>
          <w:sz w:val="24"/>
          <w:highlight w:val="none"/>
        </w:rPr>
        <w:t>附件一：</w:t>
      </w:r>
    </w:p>
    <w:p>
      <w:pPr>
        <w:widowControl/>
        <w:snapToGrid w:val="0"/>
        <w:ind w:firstLine="640" w:firstLineChars="200"/>
        <w:jc w:val="center"/>
        <w:rPr>
          <w:rFonts w:ascii="方正小标宋_GBK" w:hAnsi="宋体" w:eastAsia="方正小标宋_GBK" w:cs="宋体"/>
          <w:color w:val="auto"/>
          <w:kern w:val="0"/>
          <w:sz w:val="32"/>
          <w:szCs w:val="32"/>
          <w:highlight w:val="none"/>
        </w:rPr>
      </w:pPr>
      <w:r>
        <w:rPr>
          <w:rFonts w:hint="eastAsia" w:ascii="方正小标宋_GBK" w:hAnsi="宋体" w:eastAsia="方正小标宋_GBK" w:cs="宋体"/>
          <w:color w:val="auto"/>
          <w:kern w:val="0"/>
          <w:sz w:val="32"/>
          <w:szCs w:val="32"/>
          <w:highlight w:val="none"/>
        </w:rPr>
        <w:t>投标人声明</w:t>
      </w:r>
    </w:p>
    <w:p>
      <w:pPr>
        <w:snapToGrid w:val="0"/>
        <w:spacing w:beforeLines="0" w:afterLines="0" w:line="336"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本招标项目招标人及招标监管机构：</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本公司就参加</w:t>
      </w:r>
      <w:r>
        <w:rPr>
          <w:rFonts w:hint="eastAsia" w:asciiTheme="minorEastAsia" w:hAnsiTheme="minorEastAsia" w:eastAsiaTheme="minorEastAsia" w:cstheme="minorEastAsia"/>
          <w:color w:val="auto"/>
          <w:kern w:val="0"/>
          <w:sz w:val="24"/>
          <w:szCs w:val="24"/>
          <w:highlight w:val="none"/>
          <w:u w:val="single"/>
        </w:rPr>
        <w:t>增城国家级开发区中新园区基础设施配套中新下沉式再生水厂项目施工监理</w:t>
      </w:r>
      <w:r>
        <w:rPr>
          <w:rFonts w:hint="eastAsia" w:asciiTheme="minorEastAsia" w:hAnsiTheme="minorEastAsia" w:eastAsiaTheme="minorEastAsia" w:cstheme="minorEastAsia"/>
          <w:color w:val="auto"/>
          <w:kern w:val="0"/>
          <w:sz w:val="24"/>
          <w:szCs w:val="24"/>
          <w:highlight w:val="none"/>
        </w:rPr>
        <w:t>项目投标工作，作出郑重声明：</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一、本公司保证投标报名材料及其后提供的一切材料都是真实的。如我司成为本项目中标候选人，我司同意并授权招标人将我司投标文件商务部分的人员、业绩、奖项等资料进行公开。</w:t>
      </w:r>
    </w:p>
    <w:p>
      <w:pPr>
        <w:snapToGrid w:val="0"/>
        <w:spacing w:beforeLines="0" w:afterLines="0" w:line="336" w:lineRule="auto"/>
        <w:ind w:firstLine="482" w:firstLineChars="200"/>
        <w:rPr>
          <w:rFonts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三、本公司不存在招标文件第二章投标人须知第1.4.3项所规定的任何一种情形。</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beforeLines="0" w:afterLines="0" w:line="336"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w:t>
      </w:r>
      <w:r>
        <w:rPr>
          <w:rFonts w:hint="eastAsia" w:asciiTheme="minorEastAsia" w:hAnsiTheme="minorEastAsia" w:eastAsiaTheme="minorEastAsia" w:cstheme="minorEastAsia"/>
          <w:color w:val="auto"/>
          <w:kern w:val="0"/>
          <w:sz w:val="24"/>
          <w:szCs w:val="24"/>
          <w:highlight w:val="none"/>
          <w:u w:val="single"/>
        </w:rPr>
        <w:t>本公司承诺，按照招标公告第3点“3.投标人资格要求”中第3.</w:t>
      </w:r>
      <w:r>
        <w:rPr>
          <w:rFonts w:hint="eastAsia" w:asciiTheme="minorEastAsia" w:hAnsiTheme="minorEastAsia" w:eastAsiaTheme="minorEastAsia" w:cstheme="minorEastAsia"/>
          <w:color w:val="auto"/>
          <w:kern w:val="0"/>
          <w:sz w:val="24"/>
          <w:szCs w:val="24"/>
          <w:highlight w:val="none"/>
          <w:u w:val="single"/>
          <w:lang w:val="en-US" w:eastAsia="zh-CN"/>
        </w:rPr>
        <w:t>7</w:t>
      </w:r>
      <w:r>
        <w:rPr>
          <w:rFonts w:hint="eastAsia" w:asciiTheme="minorEastAsia" w:hAnsiTheme="minorEastAsia" w:eastAsiaTheme="minorEastAsia" w:cstheme="minorEastAsia"/>
          <w:color w:val="auto"/>
          <w:kern w:val="0"/>
          <w:sz w:val="24"/>
          <w:szCs w:val="24"/>
          <w:highlight w:val="none"/>
          <w:u w:val="single"/>
        </w:rPr>
        <w:t>条规定，未被列入失信联合惩戒黑名单且</w:t>
      </w:r>
      <w:r>
        <w:rPr>
          <w:rFonts w:hint="eastAsia" w:asciiTheme="minorEastAsia" w:hAnsiTheme="minorEastAsia" w:eastAsiaTheme="minorEastAsia" w:cstheme="minorEastAsia"/>
          <w:color w:val="auto"/>
          <w:kern w:val="0"/>
          <w:sz w:val="24"/>
          <w:szCs w:val="24"/>
          <w:highlight w:val="none"/>
          <w:u w:val="single"/>
          <w:lang w:val="en-US" w:eastAsia="zh-CN"/>
        </w:rPr>
        <w:t>未</w:t>
      </w:r>
      <w:r>
        <w:rPr>
          <w:rFonts w:hint="eastAsia" w:asciiTheme="minorEastAsia" w:hAnsiTheme="minorEastAsia" w:eastAsiaTheme="minorEastAsia" w:cstheme="minorEastAsia"/>
          <w:color w:val="auto"/>
          <w:kern w:val="0"/>
          <w:sz w:val="24"/>
          <w:szCs w:val="24"/>
          <w:highlight w:val="none"/>
          <w:u w:val="single"/>
        </w:rPr>
        <w:t>被限制参与相关项目投标。</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color w:val="auto"/>
          <w:kern w:val="0"/>
          <w:sz w:val="24"/>
          <w:szCs w:val="24"/>
          <w:highlight w:val="none"/>
        </w:rPr>
        <w:t>本公司承诺，中标后严格执行安全生产相关管理规定。</w:t>
      </w:r>
    </w:p>
    <w:p>
      <w:pPr>
        <w:snapToGrid w:val="0"/>
        <w:spacing w:beforeLines="0" w:afterLines="0" w:line="336"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Theme="minorEastAsia" w:hAnsiTheme="minorEastAsia" w:eastAsiaTheme="minorEastAsia" w:cstheme="minorEastAsia"/>
          <w:color w:val="auto"/>
          <w:kern w:val="0"/>
          <w:sz w:val="24"/>
          <w:szCs w:val="24"/>
          <w:highlight w:val="none"/>
        </w:rPr>
        <w:t>承担由此带来的一切后果，并自愿停止参加广州市行政辖区内的招标投标活动三个月。</w:t>
      </w:r>
    </w:p>
    <w:p>
      <w:pPr>
        <w:widowControl/>
        <w:shd w:val="clear" w:color="auto" w:fill="FFFFFF"/>
        <w:snapToGrid w:val="0"/>
        <w:spacing w:beforeLines="0" w:afterLines="0" w:line="336" w:lineRule="auto"/>
        <w:ind w:firstLine="480" w:firstLineChars="200"/>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特此声明。  </w:t>
      </w:r>
    </w:p>
    <w:p>
      <w:pPr>
        <w:pStyle w:val="8"/>
        <w:rPr>
          <w:color w:val="auto"/>
          <w:highlight w:val="none"/>
        </w:rPr>
      </w:pPr>
    </w:p>
    <w:p>
      <w:pPr>
        <w:snapToGrid w:val="0"/>
        <w:spacing w:beforeLines="0" w:afterLines="0" w:line="336" w:lineRule="auto"/>
        <w:ind w:firstLine="480" w:firstLineChars="20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声明企业：            (企业公章)</w:t>
      </w:r>
    </w:p>
    <w:p>
      <w:pPr>
        <w:snapToGrid w:val="0"/>
        <w:spacing w:beforeLines="0" w:afterLines="0" w:line="336" w:lineRule="auto"/>
        <w:ind w:firstLine="480" w:firstLineChars="20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总监理工程师：         （签字）</w:t>
      </w:r>
    </w:p>
    <w:p>
      <w:pPr>
        <w:snapToGrid w:val="0"/>
        <w:spacing w:beforeLines="0" w:afterLines="0" w:line="336"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法定代表人签字：</w:t>
      </w:r>
    </w:p>
    <w:p>
      <w:pPr>
        <w:snapToGrid w:val="0"/>
        <w:spacing w:beforeLines="0" w:afterLines="0" w:line="336" w:lineRule="auto"/>
        <w:ind w:firstLine="6720" w:firstLineChars="28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年   月   日</w:t>
      </w:r>
    </w:p>
    <w:bookmarkEnd w:id="18"/>
    <w:bookmarkEnd w:id="19"/>
    <w:bookmarkEnd w:id="20"/>
    <w:bookmarkEnd w:id="21"/>
    <w:bookmarkEnd w:id="22"/>
    <w:bookmarkEnd w:id="23"/>
    <w:p>
      <w:pPr>
        <w:ind w:firstLine="420" w:firstLineChars="200"/>
        <w:jc w:val="right"/>
        <w:rPr>
          <w:color w:val="auto"/>
          <w:highlight w:val="none"/>
        </w:rPr>
      </w:pPr>
    </w:p>
    <w:p>
      <w:pPr>
        <w:pStyle w:val="3"/>
        <w:keepNext w:val="0"/>
        <w:keepLines w:val="0"/>
        <w:spacing w:before="0" w:after="360" w:afterLines="150" w:line="240" w:lineRule="auto"/>
        <w:jc w:val="center"/>
        <w:rPr>
          <w:color w:val="auto"/>
          <w:highlight w:val="none"/>
        </w:rPr>
      </w:pPr>
      <w:bookmarkStart w:id="29" w:name="_Toc89870548"/>
      <w:bookmarkStart w:id="30" w:name="_Toc14022"/>
      <w:bookmarkStart w:id="31" w:name="_Toc1441"/>
      <w:r>
        <w:rPr>
          <w:rFonts w:hint="eastAsia"/>
          <w:color w:val="auto"/>
          <w:highlight w:val="none"/>
        </w:rPr>
        <w:t>第二章投标人须知</w:t>
      </w:r>
      <w:bookmarkEnd w:id="29"/>
      <w:bookmarkEnd w:id="30"/>
      <w:bookmarkEnd w:id="31"/>
    </w:p>
    <w:p>
      <w:pPr>
        <w:pStyle w:val="4"/>
        <w:keepNext w:val="0"/>
        <w:keepLines w:val="0"/>
        <w:spacing w:before="20" w:after="0" w:line="360" w:lineRule="auto"/>
        <w:jc w:val="center"/>
        <w:rPr>
          <w:rFonts w:ascii="Times New Roman" w:hAnsi="Times New Roman"/>
          <w:color w:val="auto"/>
          <w:highlight w:val="none"/>
        </w:rPr>
      </w:pPr>
      <w:bookmarkStart w:id="32" w:name="_Toc89870549"/>
      <w:bookmarkStart w:id="33" w:name="_Toc20365"/>
      <w:r>
        <w:rPr>
          <w:rFonts w:ascii="Times New Roman" w:hAnsi="Times New Roman"/>
          <w:color w:val="auto"/>
          <w:highlight w:val="none"/>
        </w:rPr>
        <w:t>投标人须知前附表</w:t>
      </w:r>
      <w:bookmarkEnd w:id="32"/>
      <w:bookmarkEnd w:id="33"/>
    </w:p>
    <w:tbl>
      <w:tblPr>
        <w:tblStyle w:val="23"/>
        <w:tblW w:w="976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2"/>
        <w:gridCol w:w="2187"/>
        <w:gridCol w:w="63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5" w:hRule="atLeast"/>
          <w:tblHeader/>
          <w:jc w:val="center"/>
        </w:trPr>
        <w:tc>
          <w:tcPr>
            <w:tcW w:w="1182" w:type="dxa"/>
            <w:vAlign w:val="center"/>
          </w:tcPr>
          <w:p>
            <w:pPr>
              <w:snapToGri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2187" w:type="dxa"/>
            <w:vAlign w:val="center"/>
          </w:tcPr>
          <w:p>
            <w:pPr>
              <w:snapToGri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条款名称</w:t>
            </w:r>
          </w:p>
        </w:tc>
        <w:tc>
          <w:tcPr>
            <w:tcW w:w="6392" w:type="dxa"/>
            <w:vAlign w:val="center"/>
          </w:tcPr>
          <w:p>
            <w:pPr>
              <w:snapToGri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4"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招 标 人：广州市增城区水务建设管理所 </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址：增城区荔城街园圃路4号</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 系 人：屈工</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话：020-82639382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1.1.3</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招标代理机构</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招标代理机构：广州高新工程顾问有限公司</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lang w:val="zh-CN" w:bidi="ar"/>
              </w:rPr>
              <w:t>广州市天河区华观路</w:t>
            </w:r>
            <w:r>
              <w:rPr>
                <w:rFonts w:hint="eastAsia" w:asciiTheme="minorEastAsia" w:hAnsiTheme="minorEastAsia" w:eastAsiaTheme="minorEastAsia" w:cstheme="minorEastAsia"/>
                <w:color w:val="auto"/>
                <w:szCs w:val="21"/>
                <w:highlight w:val="none"/>
                <w:lang w:bidi="ar"/>
              </w:rPr>
              <w:t>1933号503-504房</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联 系 人：郑工 </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话：13560477267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1.1.4</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招标项目名称</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增城国家级开发区中新园区基础设施配套中新下沉式再生水厂项目施工监理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1.1.5</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项目建设地点</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详见本工程招标公告。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1.1.6</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项目建设规模</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详见本工程招标公告。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1.1.7</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工程项目施工预计开工日期和建设周期</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预计开工日期：2022年12月</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建设周期：暂定</w:t>
            </w:r>
            <w:r>
              <w:rPr>
                <w:rFonts w:hint="eastAsia" w:asciiTheme="minorEastAsia" w:hAnsiTheme="minorEastAsia" w:eastAsiaTheme="minorEastAsia" w:cstheme="minorEastAsia"/>
                <w:color w:val="auto"/>
                <w:szCs w:val="21"/>
                <w:highlight w:val="none"/>
                <w:lang w:val="en-US" w:eastAsia="zh-CN"/>
              </w:rPr>
              <w:t>20</w:t>
            </w:r>
            <w:r>
              <w:rPr>
                <w:rFonts w:hint="eastAsia" w:asciiTheme="minorEastAsia" w:hAnsiTheme="minorEastAsia" w:eastAsiaTheme="minorEastAsia" w:cstheme="minorEastAsia"/>
                <w:color w:val="auto"/>
                <w:szCs w:val="21"/>
                <w:highlight w:val="none"/>
              </w:rPr>
              <w:t>个月（具体以实际工期为准）。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1.1.8</w:t>
            </w:r>
          </w:p>
        </w:tc>
        <w:tc>
          <w:tcPr>
            <w:tcW w:w="2187" w:type="dxa"/>
            <w:vAlign w:val="center"/>
          </w:tcPr>
          <w:p>
            <w:pPr>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建筑安装工程费/工程概算</w:t>
            </w:r>
          </w:p>
        </w:tc>
        <w:tc>
          <w:tcPr>
            <w:tcW w:w="6392" w:type="dxa"/>
            <w:vAlign w:val="center"/>
          </w:tcPr>
          <w:p>
            <w:pPr>
              <w:snapToGrid w:val="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详见本工程招标公告。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资金来源及比例</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详见本工程招标公告。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资金落实情况</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招标范围</w:t>
            </w:r>
          </w:p>
        </w:tc>
        <w:tc>
          <w:tcPr>
            <w:tcW w:w="6392" w:type="dxa"/>
            <w:vAlign w:val="center"/>
          </w:tcPr>
          <w:p>
            <w:pPr>
              <w:snapToGrid w:val="0"/>
              <w:ind w:right="1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详见本工程招标公告。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监理服务期限</w:t>
            </w:r>
          </w:p>
        </w:tc>
        <w:tc>
          <w:tcPr>
            <w:tcW w:w="6392" w:type="dxa"/>
            <w:vAlign w:val="center"/>
          </w:tcPr>
          <w:p>
            <w:pPr>
              <w:snapToGrid w:val="0"/>
              <w:ind w:right="1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从业主下达开工令或开工报告审批之日起至施工项目全部完工并办理竣工验收、竣工结算、备案管理为止</w:t>
            </w:r>
            <w:r>
              <w:rPr>
                <w:rFonts w:hint="eastAsia" w:asciiTheme="minorEastAsia" w:hAnsiTheme="minorEastAsia" w:eastAsiaTheme="minorEastAsia" w:cstheme="minorEastAsia"/>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1.3.3</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质量标准</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（1）质量标准及质量目标：执行国家、地方或行业现行的工程建设质量验收标准及规范，须达到合格标准；</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（2）造价控制目标：造价控制在政府批准的工程投资总概算及预算内；</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（3）进度控制目标：施工工期为业主下达开工令或开工报告审批之日起，按施工进度要求控制；</w:t>
            </w:r>
          </w:p>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（4）安全生产文明施工控制目标：确保工程无重大安全事故。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投标人资质条件、能力、信誉</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详见招标公告第3点“投标人资格要求”。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是否接受联合体投标</w:t>
            </w:r>
          </w:p>
        </w:tc>
        <w:tc>
          <w:tcPr>
            <w:tcW w:w="6392" w:type="dxa"/>
            <w:vAlign w:val="center"/>
          </w:tcPr>
          <w:p>
            <w:pPr>
              <w:spacing w:line="2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■不接受 </w:t>
            </w:r>
          </w:p>
          <w:p>
            <w:pPr>
              <w:spacing w:line="2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00A3"/>
            </w:r>
            <w:r>
              <w:rPr>
                <w:rFonts w:hint="eastAsia" w:asciiTheme="minorEastAsia" w:hAnsiTheme="minorEastAsia" w:eastAsiaTheme="minorEastAsia" w:cstheme="minorEastAsia"/>
                <w:color w:val="auto"/>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1.4.3</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投标人不得存在的其他情形</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4"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踏勘现场</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■不组织，由投标人自行现场考察。</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 xml:space="preserve">组织，踏勘时间： / </w:t>
            </w:r>
          </w:p>
          <w:p>
            <w:pPr>
              <w:pStyle w:val="10"/>
              <w:topLinePunct/>
              <w:snapToGrid w:val="0"/>
              <w:ind w:firstLine="840" w:firstLineChars="4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踏勘集中地点：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投标预备会</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■不召开</w:t>
            </w:r>
          </w:p>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00A3"/>
            </w:r>
            <w:r>
              <w:rPr>
                <w:rFonts w:hint="eastAsia" w:asciiTheme="minorEastAsia" w:hAnsiTheme="minorEastAsia" w:eastAsiaTheme="minorEastAsia" w:cstheme="minorEastAsia"/>
                <w:color w:val="auto"/>
                <w:szCs w:val="21"/>
                <w:highlight w:val="none"/>
              </w:rPr>
              <w:t xml:space="preserve">召开，召开时间： / </w:t>
            </w:r>
          </w:p>
          <w:p>
            <w:pPr>
              <w:snapToGrid w:val="0"/>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召开地点：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182" w:type="dxa"/>
            <w:vMerge w:val="restart"/>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1.10.2</w:t>
            </w:r>
          </w:p>
        </w:tc>
        <w:tc>
          <w:tcPr>
            <w:tcW w:w="2187" w:type="dxa"/>
            <w:vMerge w:val="restart"/>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投标人在投标预备会前提出问题</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时间：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182" w:type="dxa"/>
            <w:vMerge w:val="continue"/>
            <w:vAlign w:val="center"/>
          </w:tcPr>
          <w:p>
            <w:pPr>
              <w:snapToGrid w:val="0"/>
              <w:ind w:firstLine="420" w:firstLineChars="200"/>
              <w:rPr>
                <w:rFonts w:hint="eastAsia" w:asciiTheme="minorEastAsia" w:hAnsiTheme="minorEastAsia" w:eastAsiaTheme="minorEastAsia" w:cstheme="minorEastAsia"/>
                <w:color w:val="auto"/>
                <w:szCs w:val="21"/>
                <w:highlight w:val="none"/>
              </w:rPr>
            </w:pPr>
          </w:p>
        </w:tc>
        <w:tc>
          <w:tcPr>
            <w:tcW w:w="2187" w:type="dxa"/>
            <w:vMerge w:val="continue"/>
            <w:vAlign w:val="center"/>
          </w:tcPr>
          <w:p>
            <w:pPr>
              <w:snapToGrid w:val="0"/>
              <w:ind w:firstLine="420" w:firstLineChars="200"/>
              <w:rPr>
                <w:rFonts w:hint="eastAsia" w:asciiTheme="minorEastAsia" w:hAnsiTheme="minorEastAsia" w:eastAsiaTheme="minorEastAsia" w:cstheme="minorEastAsia"/>
                <w:color w:val="auto"/>
                <w:szCs w:val="21"/>
                <w:highlight w:val="none"/>
              </w:rPr>
            </w:pP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形式：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1.10.3</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招标文件澄清发出的形式</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在广州公共资源交易中心网站“招标答疑”专区发布，一经发布，视作已发放给所有投标人。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实质性要求和条件</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详见评标办法前附表中2.1.1、2.1.2、2.1.3的评审标准。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1.12.3</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偏差</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w:t>
            </w:r>
          </w:p>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00A3"/>
            </w:r>
            <w:r>
              <w:rPr>
                <w:rFonts w:hint="eastAsia" w:asciiTheme="minorEastAsia" w:hAnsiTheme="minorEastAsia" w:eastAsiaTheme="minorEastAsia" w:cstheme="minorEastAsia"/>
                <w:color w:val="auto"/>
                <w:szCs w:val="21"/>
                <w:highlight w:val="none"/>
              </w:rPr>
              <w:t xml:space="preserve">允许，偏差范围： / </w:t>
            </w:r>
          </w:p>
          <w:p>
            <w:pPr>
              <w:pStyle w:val="10"/>
              <w:topLinePunct/>
              <w:snapToGrid w:val="0"/>
              <w:ind w:firstLine="840" w:firstLineChars="4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偏差幅度：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构成招标文件的其他资料</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96"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投标人要求澄清招标文件</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时间：在投标截止日期前18日。</w:t>
            </w:r>
          </w:p>
          <w:p>
            <w:pPr>
              <w:pStyle w:val="21"/>
              <w:snapToGrid w:val="0"/>
              <w:spacing w:after="0" w:line="240" w:lineRule="auto"/>
              <w:ind w:firstLine="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形式：1、招标答疑采用网上答疑方式进行。投标人若对招标文件有疑问的，可在规定的时间内通过广州公共资源交易中心网站进入提问区域将问题提交给招标人或招标代理人，提交问题时一律不得署名。</w:t>
            </w:r>
          </w:p>
          <w:p>
            <w:pPr>
              <w:pStyle w:val="21"/>
              <w:snapToGrid w:val="0"/>
              <w:spacing w:after="0" w:line="240" w:lineRule="auto"/>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网上答疑的操作指南为：</w:t>
            </w:r>
            <w:r>
              <w:rPr>
                <w:rFonts w:hint="eastAsia" w:asciiTheme="minorEastAsia" w:hAnsiTheme="minorEastAsia" w:eastAsiaTheme="minorEastAsia" w:cstheme="minorEastAsia"/>
                <w:color w:val="auto"/>
                <w:kern w:val="0"/>
                <w:szCs w:val="21"/>
                <w:highlight w:val="none"/>
              </w:rPr>
              <w:t>登陆广州公共资源交易中心网站→进入“我是投标人”→进入“新建设工程交易平台”→进入“我的投标”→进入“招标答疑提问”→通过项目编号或名称找到所需的项目→在上述的答疑时间内点击“答疑提问”</w:t>
            </w:r>
            <w:r>
              <w:rPr>
                <w:rFonts w:hint="eastAsia" w:asciiTheme="minorEastAsia" w:hAnsiTheme="minorEastAsia" w:eastAsiaTheme="minorEastAsia" w:cstheme="minorEastAsia"/>
                <w:color w:val="auto"/>
                <w:szCs w:val="21"/>
                <w:highlight w:val="none"/>
              </w:rPr>
              <w:t>进入到提问区域→无记名或匿名提出问题。</w:t>
            </w:r>
          </w:p>
          <w:p>
            <w:pPr>
              <w:pStyle w:val="21"/>
              <w:numPr>
                <w:ilvl w:val="0"/>
                <w:numId w:val="1"/>
              </w:numPr>
              <w:snapToGrid w:val="0"/>
              <w:spacing w:after="0" w:line="240" w:lineRule="auto"/>
              <w:ind w:firstLine="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投标人应在投标截止时间18日前停止质疑。招标人应在投标截止时间15日前解答投标人对招标文件提出的疑问，形成答疑纪要，在广州公共资源交易中心网站项目答疑专区发布。</w:t>
            </w:r>
          </w:p>
          <w:p>
            <w:pPr>
              <w:pStyle w:val="21"/>
              <w:spacing w:after="0" w:line="240" w:lineRule="auto"/>
              <w:ind w:firstLine="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3、招标答疑纪要为招标文件的一部分。投标人可在广州公共资源交易中心网站浏览、下载招标答疑纪要。</w:t>
            </w:r>
          </w:p>
          <w:p>
            <w:pPr>
              <w:snapToGrid w:val="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查看项目答疑纪要操作指南为：</w:t>
            </w:r>
          </w:p>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投标人可直接从门户网站“建设工程”-&gt;“项目查询（日程安排、答疑纪要）”专区下载本项目的答疑纪要。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2.2.2</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招标文件澄清发出的形式</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在广州公共资源交易中心网站项目答疑专区发布。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Merge w:val="restart"/>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w:t>
            </w:r>
          </w:p>
        </w:tc>
        <w:tc>
          <w:tcPr>
            <w:tcW w:w="2187" w:type="dxa"/>
            <w:vMerge w:val="restart"/>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投标人确认收到招标文件澄清</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时间：招标文件澄清一经在广州公共资源交易中心网站发布，视作已发放给所有投标人。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182" w:type="dxa"/>
            <w:vMerge w:val="continue"/>
            <w:vAlign w:val="center"/>
          </w:tcPr>
          <w:p>
            <w:pPr>
              <w:snapToGrid w:val="0"/>
              <w:ind w:firstLine="420" w:firstLineChars="200"/>
              <w:rPr>
                <w:rFonts w:hint="eastAsia" w:asciiTheme="minorEastAsia" w:hAnsiTheme="minorEastAsia" w:eastAsiaTheme="minorEastAsia" w:cstheme="minorEastAsia"/>
                <w:color w:val="auto"/>
                <w:szCs w:val="21"/>
                <w:highlight w:val="none"/>
              </w:rPr>
            </w:pPr>
          </w:p>
        </w:tc>
        <w:tc>
          <w:tcPr>
            <w:tcW w:w="2187" w:type="dxa"/>
            <w:vMerge w:val="continue"/>
            <w:vAlign w:val="center"/>
          </w:tcPr>
          <w:p>
            <w:pPr>
              <w:snapToGrid w:val="0"/>
              <w:ind w:firstLine="420" w:firstLineChars="200"/>
              <w:rPr>
                <w:rFonts w:hint="eastAsia" w:asciiTheme="minorEastAsia" w:hAnsiTheme="minorEastAsia" w:eastAsiaTheme="minorEastAsia" w:cstheme="minorEastAsia"/>
                <w:color w:val="auto"/>
                <w:szCs w:val="21"/>
                <w:highlight w:val="none"/>
              </w:rPr>
            </w:pP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形式：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招标文件修改发出的形式</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在广州公共资源交易中心网站项目答疑专区或以补充公告形式发布。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Merge w:val="restart"/>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2.3.2</w:t>
            </w:r>
          </w:p>
        </w:tc>
        <w:tc>
          <w:tcPr>
            <w:tcW w:w="2187" w:type="dxa"/>
            <w:vMerge w:val="restart"/>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投标人确认收到招标文件修改</w:t>
            </w:r>
          </w:p>
        </w:tc>
        <w:tc>
          <w:tcPr>
            <w:tcW w:w="6392" w:type="dxa"/>
            <w:vAlign w:val="center"/>
          </w:tcPr>
          <w:p>
            <w:pPr>
              <w:snapToGrid w:val="0"/>
              <w:ind w:right="-10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时间：招标文件修改一经在广州公共资源交易中心网站发布，视作已发放给所有投标人。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182" w:type="dxa"/>
            <w:vMerge w:val="continue"/>
            <w:vAlign w:val="center"/>
          </w:tcPr>
          <w:p>
            <w:pPr>
              <w:snapToGrid w:val="0"/>
              <w:ind w:firstLine="420" w:firstLineChars="200"/>
              <w:rPr>
                <w:rFonts w:hint="eastAsia" w:asciiTheme="minorEastAsia" w:hAnsiTheme="minorEastAsia" w:eastAsiaTheme="minorEastAsia" w:cstheme="minorEastAsia"/>
                <w:color w:val="auto"/>
                <w:szCs w:val="21"/>
                <w:highlight w:val="none"/>
              </w:rPr>
            </w:pPr>
          </w:p>
        </w:tc>
        <w:tc>
          <w:tcPr>
            <w:tcW w:w="2187" w:type="dxa"/>
            <w:vMerge w:val="continue"/>
            <w:vAlign w:val="center"/>
          </w:tcPr>
          <w:p>
            <w:pPr>
              <w:snapToGrid w:val="0"/>
              <w:ind w:firstLine="420" w:firstLineChars="200"/>
              <w:rPr>
                <w:rFonts w:hint="eastAsia" w:asciiTheme="minorEastAsia" w:hAnsiTheme="minorEastAsia" w:eastAsiaTheme="minorEastAsia" w:cstheme="minorEastAsia"/>
                <w:color w:val="auto"/>
                <w:szCs w:val="21"/>
                <w:highlight w:val="none"/>
              </w:rPr>
            </w:pP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形式：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构成投标文件的其他资料</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增值税税金的计算方法</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3.2.3</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报价方式</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投标人结合招标文件规定自行报价（小数点后保留二位有效数字，第三位小数四舍五入）。投标报价超过最高投标限价的投标文件将被否决</w:t>
            </w:r>
            <w:r>
              <w:rPr>
                <w:rFonts w:hint="eastAsia" w:asciiTheme="minorEastAsia" w:hAnsiTheme="minorEastAsia" w:eastAsiaTheme="minorEastAsia" w:cstheme="minorEastAsia"/>
                <w:color w:val="auto"/>
                <w:szCs w:val="21"/>
                <w:highlight w:val="none"/>
              </w:rPr>
              <w:t>。（如下浮率报价和数值报价不一致时，以下浮率报价为准）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3.2.4</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最高投标限价</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00A3"/>
            </w:r>
            <w:r>
              <w:rPr>
                <w:rFonts w:hint="eastAsia" w:asciiTheme="minorEastAsia" w:hAnsiTheme="minorEastAsia" w:eastAsiaTheme="minorEastAsia" w:cstheme="minorEastAsia"/>
                <w:color w:val="auto"/>
                <w:szCs w:val="21"/>
                <w:highlight w:val="none"/>
              </w:rPr>
              <w:t>无</w:t>
            </w:r>
          </w:p>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■有，最高投标限价：</w:t>
            </w:r>
            <w:r>
              <w:rPr>
                <w:rFonts w:hint="eastAsia" w:asciiTheme="minorEastAsia" w:hAnsiTheme="minorEastAsia" w:eastAsiaTheme="minorEastAsia" w:cstheme="minorEastAsia"/>
                <w:b w:val="0"/>
                <w:bCs w:val="0"/>
                <w:i w:val="0"/>
                <w:iCs w:val="0"/>
                <w:caps w:val="0"/>
                <w:color w:val="auto"/>
                <w:spacing w:val="0"/>
                <w:sz w:val="21"/>
                <w:szCs w:val="21"/>
                <w:highlight w:val="none"/>
                <w:u w:val="single"/>
                <w:lang w:eastAsia="zh-CN"/>
              </w:rPr>
              <w:t>10700100.00</w:t>
            </w:r>
            <w:r>
              <w:rPr>
                <w:rFonts w:hint="eastAsia" w:asciiTheme="minorEastAsia" w:hAnsiTheme="minorEastAsia" w:eastAsiaTheme="minorEastAsia" w:cstheme="minorEastAsia"/>
                <w:color w:val="auto"/>
                <w:szCs w:val="21"/>
                <w:highlight w:val="none"/>
              </w:rPr>
              <w:t>元，投标报价不得超过最高投标限价。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3.2.5</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投标报价的其他要求</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bookmarkStart w:id="34" w:name="_Toc352691470"/>
            <w:bookmarkStart w:id="35" w:name="_Toc1789"/>
            <w:bookmarkStart w:id="36" w:name="_Toc384308207"/>
            <w:bookmarkStart w:id="37" w:name="_Toc300834946"/>
            <w:bookmarkStart w:id="38" w:name="_Toc361508582"/>
            <w:bookmarkStart w:id="39" w:name="_Toc369531512"/>
            <w:r>
              <w:rPr>
                <w:rFonts w:hint="eastAsia" w:asciiTheme="minorEastAsia" w:hAnsiTheme="minorEastAsia" w:eastAsiaTheme="minorEastAsia" w:cstheme="minorEastAsia"/>
                <w:color w:val="auto"/>
                <w:szCs w:val="21"/>
                <w:highlight w:val="none"/>
              </w:rPr>
              <w:t>90日历天（从投标截止之日算起）</w:t>
            </w:r>
          </w:p>
        </w:tc>
      </w:tr>
      <w:bookmarkEnd w:id="34"/>
      <w:bookmarkEnd w:id="35"/>
      <w:bookmarkEnd w:id="36"/>
      <w:bookmarkEnd w:id="37"/>
      <w:bookmarkEnd w:id="38"/>
      <w:bookmarkEnd w:id="39"/>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投标保证金</w:t>
            </w:r>
          </w:p>
        </w:tc>
        <w:tc>
          <w:tcPr>
            <w:tcW w:w="6392" w:type="dxa"/>
            <w:vAlign w:val="center"/>
          </w:tcPr>
          <w:p>
            <w:pPr>
              <w:topLinePunct/>
              <w:snapToGrid w:val="0"/>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w:t>
            </w:r>
          </w:p>
          <w:p>
            <w:pPr>
              <w:topLinePunct/>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不要求</w:t>
            </w:r>
          </w:p>
          <w:p>
            <w:pPr>
              <w:topLinePunct/>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w:t>
            </w:r>
            <w:r>
              <w:rPr>
                <w:rFonts w:hint="eastAsia" w:asciiTheme="minorEastAsia" w:hAnsiTheme="minorEastAsia" w:eastAsiaTheme="minorEastAsia" w:cstheme="minorEastAsia"/>
                <w:b/>
                <w:color w:val="auto"/>
                <w:sz w:val="21"/>
                <w:szCs w:val="21"/>
                <w:highlight w:val="none"/>
              </w:rPr>
              <w:t>投标保证金的形式：投标保证金可采用现金、支票、</w:t>
            </w:r>
            <w:r>
              <w:rPr>
                <w:rFonts w:hint="eastAsia" w:asciiTheme="minorEastAsia" w:hAnsiTheme="minorEastAsia" w:eastAsiaTheme="minorEastAsia" w:cstheme="minorEastAsia"/>
                <w:b/>
                <w:bCs/>
                <w:color w:val="auto"/>
                <w:sz w:val="21"/>
                <w:szCs w:val="21"/>
                <w:highlight w:val="none"/>
              </w:rPr>
              <w:t>银行保函、保证保险、专业工程担保公司担保</w:t>
            </w:r>
            <w:r>
              <w:rPr>
                <w:rFonts w:hint="eastAsia" w:asciiTheme="minorEastAsia" w:hAnsiTheme="minorEastAsia" w:eastAsiaTheme="minorEastAsia" w:cstheme="minorEastAsia"/>
                <w:b/>
                <w:color w:val="auto"/>
                <w:sz w:val="21"/>
                <w:szCs w:val="21"/>
                <w:highlight w:val="none"/>
              </w:rPr>
              <w:t>形式，须在递交投标文件截止时间前完成缴纳。</w:t>
            </w:r>
          </w:p>
          <w:p>
            <w:pPr>
              <w:topLinePunct/>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1、投标担保额度：人民币</w:t>
            </w: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万元。</w:t>
            </w:r>
          </w:p>
          <w:p>
            <w:pPr>
              <w:topLinePunct/>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投标保证金有效期：长于或等于投标有效期。</w:t>
            </w:r>
          </w:p>
          <w:p>
            <w:pPr>
              <w:topLinePunct/>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2、收取方式：</w:t>
            </w:r>
          </w:p>
          <w:p>
            <w:pPr>
              <w:snapToGrid w:val="0"/>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投标人需在交易系统中将汇入投标保证金与投标项目进行绑定，绑定成功后才能被认定为完成缴交投标保证金义务。</w:t>
            </w:r>
          </w:p>
          <w:p>
            <w:pPr>
              <w:snapToGrid w:val="0"/>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采用非电子形式的银行保函、专业工程担保公司担保或保证保险等形式提交投标保证金的，银行保函需开具给招标人，银行保函有效期不少于投标有效期。专业工程担保公司担保或保证保险需开具给招标人（受益人也必须是招标人），有效期不少于投标有效期。在开标前不强制要求投标人提交纸质原件，由中标候选人在中标候选人公示前提交并在网上公示，但投标人应在投标文件中提交保函、担保或保证保险扫描件并加盖投标人电子印章。如投标人选择在开标前提交纸质原件的，可在投标截止时间前15分钟单独密封递交至开标室。</w:t>
            </w:r>
          </w:p>
          <w:p>
            <w:pPr>
              <w:topLinePunct/>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rPr>
              <w:t>（3）如采用电子形式的保函、担保或保证保险提交投标保证金的，详见广州公共资源交易中心相关操作指引。（本条适用于交易中心系统支持采用电子保函方式递交的情形）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3.4.4</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其他可以不予退还投标保证金的情形</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1、投标人在招标文件规定的投标有效期内撤回其投标；中标人在规定期限内未能根据规定签订合同；或者根据规定接受对错误的修正；根据规定提交履约保证金；</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2、投标人采用不正当的手段骗取中标。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资格审查资料的特殊要求</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3.5.2</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近年财务状况的年份要求</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 年至 / 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3.5.3</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近年完成的类似项目情况的时间要求</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 年 / 月 /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3.5.5</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近年发生的诉讼及仲裁情况的时间要求</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 年 /月 / 日至 / 年 / 月 /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是否允许递交备选投标方案</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00A3"/>
            </w:r>
            <w:r>
              <w:rPr>
                <w:rFonts w:hint="eastAsia" w:asciiTheme="minorEastAsia" w:hAnsiTheme="minorEastAsia" w:eastAsiaTheme="minorEastAsia" w:cstheme="minorEastAsia"/>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3.7.3（B）</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投标文件所附证书证件要求</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证书证件需为原件清晰扫描件，按照招标文件要求在相应位置加盖电子印章。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8"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3.7.3（B）</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投标文件签字或盖章要求</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取消在招标文件中采用个人数字证书和加盖个人电子印章要求，投标文件中需个人签字或盖章的，应手签或盖章后扫描上传。投标文件按招标文件要求加盖单位电子印章。具体操作详见广州公共资源交易中心发布的最新版本《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4.1.1（B）</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投标文件加密要求</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网上递交的电子投标文件须进行加密。具体操作详见广州公共资源交易中心发布的最新版本《房屋建筑和市政基础设施工程全流程电子化项目专章》。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8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shd w:val="clear" w:color="FFFFFF" w:fill="D9D9D9"/>
              </w:rPr>
            </w:pPr>
            <w:r>
              <w:rPr>
                <w:rFonts w:hint="eastAsia" w:asciiTheme="minorEastAsia" w:hAnsiTheme="minorEastAsia" w:eastAsiaTheme="minorEastAsia" w:cstheme="minorEastAsia"/>
                <w:color w:val="auto"/>
                <w:szCs w:val="21"/>
                <w:highlight w:val="none"/>
              </w:rPr>
              <w:t>封套上应载明的信息</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如有提交投标文件光盘备用，封套上应注明如下信息：</w:t>
            </w:r>
          </w:p>
          <w:p>
            <w:pPr>
              <w:pStyle w:val="10"/>
              <w:topLinePunct/>
              <w:snapToGrid w:val="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招标人名称：</w:t>
            </w:r>
            <w:r>
              <w:rPr>
                <w:rFonts w:hint="eastAsia" w:asciiTheme="minorEastAsia" w:hAnsiTheme="minorEastAsia" w:eastAsiaTheme="minorEastAsia" w:cstheme="minorEastAsia"/>
                <w:color w:val="auto"/>
                <w:sz w:val="21"/>
                <w:szCs w:val="21"/>
                <w:highlight w:val="none"/>
                <w:u w:val="single"/>
              </w:rPr>
              <w:t>广州市增城区水务建设管理所</w:t>
            </w:r>
          </w:p>
          <w:p>
            <w:pPr>
              <w:pStyle w:val="1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招标人地址：</w:t>
            </w:r>
            <w:r>
              <w:rPr>
                <w:rFonts w:hint="eastAsia" w:asciiTheme="minorEastAsia" w:hAnsiTheme="minorEastAsia" w:eastAsiaTheme="minorEastAsia" w:cstheme="minorEastAsia"/>
                <w:color w:val="auto"/>
                <w:sz w:val="21"/>
                <w:szCs w:val="21"/>
                <w:highlight w:val="none"/>
                <w:u w:val="single"/>
              </w:rPr>
              <w:t>增城区荔城街园圃路4号</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增城国家级开发区中新园区基础设施配套中新下沉式再生水厂项目施工监理</w:t>
            </w:r>
            <w:r>
              <w:rPr>
                <w:rFonts w:hint="eastAsia" w:asciiTheme="minorEastAsia" w:hAnsiTheme="minorEastAsia" w:eastAsiaTheme="minorEastAsia" w:cstheme="minorEastAsia"/>
                <w:color w:val="auto"/>
                <w:sz w:val="21"/>
                <w:szCs w:val="21"/>
                <w:highlight w:val="none"/>
              </w:rPr>
              <w:t>投标文件</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招标项目编号：              </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u w:val="single"/>
              </w:rPr>
              <w:t xml:space="preserve">   年  月  日  时</w:t>
            </w:r>
            <w:r>
              <w:rPr>
                <w:rFonts w:hint="eastAsia" w:asciiTheme="minorEastAsia" w:hAnsiTheme="minorEastAsia" w:eastAsiaTheme="minorEastAsia" w:cstheme="minorEastAsia"/>
                <w:color w:val="auto"/>
                <w:sz w:val="21"/>
                <w:szCs w:val="21"/>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w:t>
            </w:r>
          </w:p>
        </w:tc>
        <w:tc>
          <w:tcPr>
            <w:tcW w:w="6392" w:type="dxa"/>
            <w:vAlign w:val="center"/>
          </w:tcPr>
          <w:p>
            <w:pPr>
              <w:snapToGrid w:val="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val="en-US" w:eastAsia="zh-CN"/>
              </w:rPr>
              <w:t xml:space="preserve">详见招标公告。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4.2.2（A）</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递交投标文件时间和地点</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1.递交方式：网上递交投标文件</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2.文件的递交截止时间：同投标截止时间。</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3.地点：广州公共资源交易中心网站。</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4.2.3</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投标文件是否退还</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■否</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 xml:space="preserve">是，退还时间：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5.1（B）</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开标时间和地点</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开标时间：同投标截止时间</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开标地点：本项目具体的招投标活动日程安排及场地安排以广州市公共资源交易中心网站公布的为准。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5.2（B）</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开标程序</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电子招投标项目开标按下列程序进行：</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5.2.1主持人按下列程序进行开标：</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（1）宣布开标纪律；</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（2）公布在投标截止时间前递交投标文件的投标人名称；</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（3）宣布开标人、唱标人、记录人、监标人等有关人员姓名；</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（4）（B）投标人通过电子招标投标交易平台对已递交的电子投标文件进行解密，公布招标项目名称、投标人名称、投标保证金的递交情况、投标报价、监理服务期限及其他内容，并记录在案；</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（5）（B）投标人代表、招标人代表、监标人、记录人等有关人员在开标记录上签字确认；若有关人员不签字的，不影响开标程序；</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（6）开标结束。</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5.2.2投标截止时间前未完成投标文件传输的或因投标人之外的原因造成投标文件未解密的，视为投标人撤回投标文件。因投标人原因造成投标文件未解密的或未在投标截止时间后半个小时内解密的，视为撤销其投标文件。</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评标委员会的组建</w:t>
            </w:r>
          </w:p>
        </w:tc>
        <w:tc>
          <w:tcPr>
            <w:tcW w:w="6392" w:type="dxa"/>
            <w:vAlign w:val="center"/>
          </w:tcPr>
          <w:p>
            <w:pPr>
              <w:pStyle w:val="31"/>
              <w:spacing w:before="95" w:line="266" w:lineRule="auto"/>
              <w:ind w:left="0" w:right="142"/>
              <w:rPr>
                <w:rFonts w:hint="eastAsia"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Cs w:val="21"/>
                <w:highlight w:val="none"/>
              </w:rPr>
              <w:t>评标委员会构成：</w:t>
            </w:r>
            <w:r>
              <w:rPr>
                <w:rFonts w:hint="eastAsia" w:asciiTheme="minorEastAsia" w:hAnsiTheme="minorEastAsia" w:eastAsiaTheme="minorEastAsia" w:cstheme="minorEastAsia"/>
                <w:color w:val="auto"/>
                <w:szCs w:val="21"/>
                <w:highlight w:val="none"/>
                <w:lang w:val="en-US" w:eastAsia="zh-CN"/>
              </w:rPr>
              <w:t>5</w:t>
            </w:r>
            <w:r>
              <w:rPr>
                <w:rFonts w:asciiTheme="minorEastAsia" w:hAnsiTheme="minorEastAsia" w:eastAsiaTheme="minorEastAsia" w:cstheme="minorEastAsia"/>
                <w:color w:val="auto"/>
                <w:szCs w:val="21"/>
                <w:highlight w:val="none"/>
              </w:rPr>
              <w:t>人</w:t>
            </w:r>
            <w:r>
              <w:rPr>
                <w:rFonts w:hint="eastAsia" w:asciiTheme="minorEastAsia" w:hAnsiTheme="minorEastAsia" w:eastAsiaTheme="minorEastAsia" w:cstheme="minorEastAsia"/>
                <w:color w:val="auto"/>
                <w:sz w:val="21"/>
                <w:szCs w:val="21"/>
                <w:highlight w:val="none"/>
              </w:rPr>
              <w:t>。</w:t>
            </w:r>
          </w:p>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评标专家确定方式： 依法</w:t>
            </w:r>
            <w:r>
              <w:rPr>
                <w:rFonts w:hint="eastAsia" w:asciiTheme="minorEastAsia" w:hAnsiTheme="minorEastAsia" w:eastAsiaTheme="minorEastAsia" w:cstheme="minorEastAsia"/>
                <w:color w:val="auto"/>
                <w:sz w:val="21"/>
                <w:szCs w:val="21"/>
                <w:highlight w:val="none"/>
                <w:lang w:eastAsia="zh-CN"/>
              </w:rPr>
              <w:t>组建</w:t>
            </w:r>
            <w:r>
              <w:rPr>
                <w:rFonts w:hint="eastAsia" w:asciiTheme="minorEastAsia" w:hAnsiTheme="minorEastAsia" w:eastAsiaTheme="minorEastAsia" w:cs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6.3.2</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评标委员会推荐中标候选人的人数</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推荐的中标候选人数：</w:t>
            </w:r>
            <w:r>
              <w:rPr>
                <w:rFonts w:hint="eastAsia" w:asciiTheme="minorEastAsia" w:hAnsiTheme="minorEastAsia" w:eastAsiaTheme="minorEastAsia" w:cstheme="minorEastAsia"/>
                <w:color w:val="auto"/>
                <w:szCs w:val="21"/>
                <w:highlight w:val="none"/>
                <w:u w:val="single"/>
              </w:rPr>
              <w:t xml:space="preserve"> 3 </w:t>
            </w:r>
            <w:r>
              <w:rPr>
                <w:rFonts w:hint="eastAsia" w:asciiTheme="minorEastAsia" w:hAnsiTheme="minorEastAsia" w:eastAsiaTheme="minorEastAsia" w:cstheme="minorEastAsia"/>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中标候选人公示媒介及期限</w:t>
            </w:r>
          </w:p>
        </w:tc>
        <w:tc>
          <w:tcPr>
            <w:tcW w:w="6392" w:type="dxa"/>
            <w:vAlign w:val="center"/>
          </w:tcPr>
          <w:p>
            <w:pPr>
              <w:snapToGrid w:val="0"/>
              <w:ind w:right="1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示媒介：广州公共资源交易中心网站、广东省招标投标监管网、中国招标投标公共服务平台和广州市增城区人民政府门户网站（http://www.zc.gov.cn/的“首页&gt;公开&gt;公共资源配置领域&gt;工程建设项目招投标”栏目）公示。</w:t>
            </w:r>
          </w:p>
          <w:p>
            <w:pPr>
              <w:snapToGrid w:val="0"/>
              <w:ind w:right="1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公示期限：自发布公示之日起3天（最后一天需为工作日，如非工作日则顺延至下个工作日）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是否授权评标委员会确定中标人</w:t>
            </w:r>
          </w:p>
        </w:tc>
        <w:tc>
          <w:tcPr>
            <w:tcW w:w="6392" w:type="dxa"/>
            <w:vAlign w:val="center"/>
          </w:tcPr>
          <w:p>
            <w:pPr>
              <w:snapToGrid w:val="0"/>
              <w:ind w:left="108" w:right="1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00A3"/>
            </w:r>
            <w:r>
              <w:rPr>
                <w:rFonts w:hint="eastAsia" w:asciiTheme="minorEastAsia" w:hAnsiTheme="minorEastAsia" w:eastAsiaTheme="minorEastAsia" w:cstheme="minorEastAsia"/>
                <w:color w:val="auto"/>
                <w:szCs w:val="21"/>
                <w:highlight w:val="none"/>
              </w:rPr>
              <w:t>是</w:t>
            </w:r>
          </w:p>
          <w:p>
            <w:pPr>
              <w:snapToGrid w:val="0"/>
              <w:ind w:left="108" w:right="1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■否</w:t>
            </w:r>
          </w:p>
          <w:p>
            <w:pPr>
              <w:snapToGrid w:val="0"/>
              <w:ind w:left="108" w:right="1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1、招标人依据评标委员会推荐的中标候选人确定中标人。</w:t>
            </w:r>
          </w:p>
          <w:p>
            <w:pPr>
              <w:snapToGrid w:val="0"/>
              <w:ind w:left="108" w:right="1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2、依法必须进行公开招标的项目，招标人确定排名第一的中标候选人为中标人。</w:t>
            </w:r>
          </w:p>
          <w:p>
            <w:pPr>
              <w:snapToGrid w:val="0"/>
              <w:ind w:left="108" w:right="1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排名第一的中标候选人放弃中标、或被取消中标资格，或因不可抗力提出不能履行合同，或者招标文件规定应当提交履约担保而在规定的期限内未能提交的，或经核查发现委派的总监理工程师不符合任职数量规定的，招标人可以按照中标候选人顺序依次上升替补定标，以此类推。</w:t>
            </w:r>
          </w:p>
          <w:p>
            <w:pPr>
              <w:snapToGrid w:val="0"/>
              <w:ind w:left="108" w:right="106"/>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4、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2"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是否要求中标人提交履约保证金：</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■要求：投标人提供的履约保证金额为中标价款（人民币）的10%，以银行保函形式提供。</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是否采用电子招标投标</w:t>
            </w:r>
          </w:p>
        </w:tc>
        <w:tc>
          <w:tcPr>
            <w:tcW w:w="6392" w:type="dxa"/>
            <w:vAlign w:val="center"/>
          </w:tcPr>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否</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■是，具体要求：</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1、具体操作详见广州公共资源交易中心发布的最新版本《房屋建筑和市政基础设施工程全流程电子化项目专章》。</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2、提交投标文件光盘备用</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将按广州公共资源交易中心发布的最新版本《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3、补救方案</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（1）投标文件解密失败的补救方案</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（2）评标时突发情况的补救方案</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若遇不可抗力发生（如：网络瘫痪、服务器损坏、交易系统故障短期无法恢复等因素），由评标委员会开启现场递交的全部投标文件光盘，并按光盘内容进行评审。</w:t>
            </w:r>
          </w:p>
          <w:p>
            <w:pPr>
              <w:pStyle w:val="10"/>
              <w:topLinePunct/>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需要补充的其他内容</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监理费支付</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监理费由招标人支付。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10.2</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其他费用</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交易服务费：根据广州公共资源交易中心相关文件规定缴纳。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潜在投标人或利害关系人对本招标公告及招标文件内容异议的，向招标人书面提出。</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1）异议受理部门：广州市增城区水务建设管理所；</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2）联系电话：020-82639382；</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3）地址：增城区荔城街园圃路4号。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10.4</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招标监督机构</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招标监督机构：广州市增城区水务局</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监管电话：020-82639502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6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资格审查方式</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1）本项目采用资格后审方式，满足资格审查合格条件的投标申请人不足3名时为招标失败。招标人分析招标失败原因，修正招标方案，报有关管理部门核准后，重新组织招标。</w:t>
            </w:r>
          </w:p>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2）招标人因两次或多次招标失败，需申请改变招标方式或不招标的，应按《广东省实施〈中华人民共和国招标投标法〉办法》（省第十届人大常委会第二次会议通过2003.4.2）的第四十条规定执行。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4"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10.6</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特别提示</w:t>
            </w:r>
          </w:p>
        </w:tc>
        <w:tc>
          <w:tcPr>
            <w:tcW w:w="6392" w:type="dxa"/>
            <w:vAlign w:val="center"/>
          </w:tcPr>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（1）《投诉处理决定书》和《行政处理决定书》在广州市住房和城乡建设局网站上公布的，视为送达其他与决定书有关的当事人。</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（2）投标人在本项目招标人的工程项目中存在下列行为的，将被拒绝一年内参与我单位后续工程投标。</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1)将中标工程转包或者违法分包的。</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2)在中标工程中不执行质量、安全生产相关规定的，造成质量或安全事故的。</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3)存在围标或串标情形的。</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10.7</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w:t>
            </w:r>
          </w:p>
        </w:tc>
        <w:tc>
          <w:tcPr>
            <w:tcW w:w="6392" w:type="dxa"/>
            <w:vAlign w:val="center"/>
          </w:tcPr>
          <w:p>
            <w:pPr>
              <w:numPr>
                <w:ilvl w:val="0"/>
                <w:numId w:val="2"/>
              </w:num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在产生中标候选人后，招标人将中标候选人的投标文件商务部分的电子版（报价清单、方案等涉及商业秘密的内容除外）在广州公共资源交易中心网站公开。</w:t>
            </w:r>
          </w:p>
          <w:p>
            <w:pPr>
              <w:numPr>
                <w:ilvl w:val="0"/>
                <w:numId w:val="2"/>
              </w:num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中标单位在发放中标通知书后三日内提供三套与电子投标文件相符的纸质版投标文件给招标人。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1182"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10.8</w:t>
            </w:r>
          </w:p>
        </w:tc>
        <w:tc>
          <w:tcPr>
            <w:tcW w:w="2187" w:type="dxa"/>
            <w:vAlign w:val="center"/>
          </w:tcPr>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监理人员的专业配套要求</w:t>
            </w:r>
          </w:p>
          <w:p>
            <w:pPr>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（据实配备）</w:t>
            </w:r>
          </w:p>
        </w:tc>
        <w:tc>
          <w:tcPr>
            <w:tcW w:w="6392" w:type="dxa"/>
            <w:vAlign w:val="center"/>
          </w:tcPr>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1）项目总监理工程师1名，并具备以下要求：</w:t>
            </w:r>
          </w:p>
          <w:p>
            <w:pPr>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必须具有建设部2006年4月1日后颁发的中华人民共和国注册监理工程师注册执业证书且其注册证书专业为市政公用工程,并具备本科或以上学历，注册执业单位为本公司。或在广东省住房和城乡建设主管部门备案且备案的业务范围符合本招标项目对总监理工程师要求的香港专业人士。</w:t>
            </w:r>
          </w:p>
          <w:p>
            <w:pPr>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②人员名字必须与投标登记时一致。</w:t>
            </w:r>
          </w:p>
          <w:p>
            <w:pPr>
              <w:snapToGrid w:val="0"/>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szCs w:val="21"/>
                <w:highlight w:val="none"/>
              </w:rPr>
              <w:t>2)专业监理人员最低配套岗位要求：要求投标人根据本项目特点，结合本企业的实力和资源情况，配备项目总监一名，其他监理人员配置要求详见下表：</w:t>
            </w:r>
          </w:p>
          <w:tbl>
            <w:tblPr>
              <w:tblStyle w:val="23"/>
              <w:tblW w:w="6369" w:type="dxa"/>
              <w:jc w:val="center"/>
              <w:tblLayout w:type="fixed"/>
              <w:tblCellMar>
                <w:top w:w="0" w:type="dxa"/>
                <w:left w:w="108" w:type="dxa"/>
                <w:bottom w:w="0" w:type="dxa"/>
                <w:right w:w="108" w:type="dxa"/>
              </w:tblCellMar>
            </w:tblPr>
            <w:tblGrid>
              <w:gridCol w:w="569"/>
              <w:gridCol w:w="1555"/>
              <w:gridCol w:w="884"/>
              <w:gridCol w:w="3361"/>
            </w:tblGrid>
            <w:tr>
              <w:tblPrEx>
                <w:tblCellMar>
                  <w:top w:w="0" w:type="dxa"/>
                  <w:left w:w="108" w:type="dxa"/>
                  <w:bottom w:w="0" w:type="dxa"/>
                  <w:right w:w="108" w:type="dxa"/>
                </w:tblCellMar>
              </w:tblPrEx>
              <w:trPr>
                <w:trHeight w:val="275" w:hRule="atLeast"/>
                <w:jc w:val="center"/>
              </w:trPr>
              <w:tc>
                <w:tcPr>
                  <w:tcW w:w="569"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widowControl/>
                    <w:ind w:left="-52"/>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序号</w:t>
                  </w:r>
                </w:p>
              </w:tc>
              <w:tc>
                <w:tcPr>
                  <w:tcW w:w="5800" w:type="dxa"/>
                  <w:gridSpan w:val="3"/>
                  <w:tcBorders>
                    <w:top w:val="single" w:color="auto" w:sz="4" w:space="0"/>
                    <w:left w:val="nil"/>
                    <w:bottom w:val="single" w:color="auto" w:sz="4" w:space="0"/>
                    <w:right w:val="single" w:color="000000" w:sz="4" w:space="0"/>
                  </w:tcBorders>
                  <w:shd w:val="clear" w:color="auto" w:fill="D9D9D9"/>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监理人员要求（项目总监理工程师除外）</w:t>
                  </w:r>
                </w:p>
              </w:tc>
            </w:tr>
            <w:tr>
              <w:tblPrEx>
                <w:tblCellMar>
                  <w:top w:w="0" w:type="dxa"/>
                  <w:left w:w="108" w:type="dxa"/>
                  <w:bottom w:w="0" w:type="dxa"/>
                  <w:right w:w="108" w:type="dxa"/>
                </w:tblCellMar>
              </w:tblPrEx>
              <w:trPr>
                <w:trHeight w:val="112" w:hRule="atLeast"/>
                <w:jc w:val="center"/>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b/>
                      <w:bCs/>
                      <w:color w:val="auto"/>
                      <w:kern w:val="0"/>
                      <w:sz w:val="21"/>
                      <w:szCs w:val="21"/>
                      <w:highlight w:val="none"/>
                    </w:rPr>
                  </w:pPr>
                </w:p>
              </w:tc>
              <w:tc>
                <w:tcPr>
                  <w:tcW w:w="1555" w:type="dxa"/>
                  <w:tcBorders>
                    <w:top w:val="nil"/>
                    <w:left w:val="nil"/>
                    <w:bottom w:val="single" w:color="auto" w:sz="4" w:space="0"/>
                    <w:right w:val="single" w:color="auto" w:sz="4" w:space="0"/>
                  </w:tcBorders>
                  <w:shd w:val="clear" w:color="auto" w:fill="D9D9D9"/>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岗位</w:t>
                  </w:r>
                </w:p>
              </w:tc>
              <w:tc>
                <w:tcPr>
                  <w:tcW w:w="884" w:type="dxa"/>
                  <w:tcBorders>
                    <w:top w:val="nil"/>
                    <w:left w:val="nil"/>
                    <w:bottom w:val="single" w:color="auto" w:sz="4" w:space="0"/>
                    <w:right w:val="single" w:color="auto" w:sz="4" w:space="0"/>
                  </w:tcBorders>
                  <w:shd w:val="clear" w:color="auto" w:fill="D9D9D9"/>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人员数量要求</w:t>
                  </w:r>
                </w:p>
              </w:tc>
              <w:tc>
                <w:tcPr>
                  <w:tcW w:w="3361" w:type="dxa"/>
                  <w:tcBorders>
                    <w:top w:val="nil"/>
                    <w:left w:val="nil"/>
                    <w:bottom w:val="single" w:color="auto" w:sz="4" w:space="0"/>
                    <w:right w:val="single" w:color="auto" w:sz="4" w:space="0"/>
                  </w:tcBorders>
                  <w:shd w:val="clear" w:color="auto" w:fill="D9D9D9"/>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人员资格要求</w:t>
                  </w:r>
                </w:p>
              </w:tc>
            </w:tr>
            <w:tr>
              <w:tblPrEx>
                <w:tblCellMar>
                  <w:top w:w="0" w:type="dxa"/>
                  <w:left w:w="108" w:type="dxa"/>
                  <w:bottom w:w="0" w:type="dxa"/>
                  <w:right w:w="108" w:type="dxa"/>
                </w:tblCellMar>
              </w:tblPrEx>
              <w:trPr>
                <w:trHeight w:val="90" w:hRule="atLeast"/>
                <w:jc w:val="center"/>
              </w:trPr>
              <w:tc>
                <w:tcPr>
                  <w:tcW w:w="569" w:type="dxa"/>
                  <w:tcBorders>
                    <w:top w:val="nil"/>
                    <w:left w:val="single" w:color="auto" w:sz="4" w:space="0"/>
                    <w:bottom w:val="single" w:color="auto" w:sz="4" w:space="0"/>
                    <w:right w:val="single" w:color="auto" w:sz="4" w:space="0"/>
                  </w:tcBorders>
                  <w:vAlign w:val="center"/>
                </w:tcPr>
                <w:p>
                  <w:pPr>
                    <w:widowControl/>
                    <w:ind w:left="-5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55" w:type="dxa"/>
                  <w:tcBorders>
                    <w:top w:val="nil"/>
                    <w:left w:val="nil"/>
                    <w:bottom w:val="single" w:color="auto" w:sz="4" w:space="0"/>
                    <w:right w:val="single" w:color="auto" w:sz="4" w:space="0"/>
                  </w:tcBorders>
                  <w:vAlign w:val="center"/>
                </w:tcPr>
                <w:p>
                  <w:pPr>
                    <w:adjustRightInd w:val="0"/>
                    <w:snapToGrid w:val="0"/>
                    <w:spacing w:line="2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44"/>
                      <w:sz w:val="21"/>
                      <w:szCs w:val="21"/>
                      <w:highlight w:val="none"/>
                    </w:rPr>
                    <w:t>土建专业监理工程师</w:t>
                  </w:r>
                </w:p>
              </w:tc>
              <w:tc>
                <w:tcPr>
                  <w:tcW w:w="884" w:type="dxa"/>
                  <w:tcBorders>
                    <w:top w:val="nil"/>
                    <w:left w:val="nil"/>
                    <w:bottom w:val="single" w:color="auto" w:sz="4" w:space="0"/>
                    <w:right w:val="single" w:color="auto" w:sz="4" w:space="0"/>
                  </w:tcBorders>
                  <w:vAlign w:val="center"/>
                </w:tcPr>
                <w:p>
                  <w:pPr>
                    <w:pStyle w:val="43"/>
                    <w:adjustRightInd w:val="0"/>
                    <w:snapToGrid w:val="0"/>
                    <w:spacing w:line="2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3361" w:type="dxa"/>
                  <w:tcBorders>
                    <w:top w:val="nil"/>
                    <w:left w:val="nil"/>
                    <w:bottom w:val="single" w:color="auto" w:sz="4" w:space="0"/>
                    <w:right w:val="single" w:color="auto" w:sz="4" w:space="0"/>
                  </w:tcBorders>
                  <w:vAlign w:val="center"/>
                </w:tcPr>
                <w:p>
                  <w:pPr>
                    <w:pStyle w:val="43"/>
                    <w:adjustRightInd w:val="0"/>
                    <w:snapToGrid w:val="0"/>
                    <w:spacing w:line="2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44"/>
                      <w:sz w:val="21"/>
                      <w:szCs w:val="21"/>
                      <w:highlight w:val="none"/>
                    </w:rPr>
                    <w:t>具备</w:t>
                  </w:r>
                  <w:r>
                    <w:rPr>
                      <w:rFonts w:hint="eastAsia" w:asciiTheme="minorEastAsia" w:hAnsiTheme="minorEastAsia" w:eastAsiaTheme="minorEastAsia" w:cstheme="minorEastAsia"/>
                      <w:color w:val="auto"/>
                      <w:kern w:val="44"/>
                      <w:sz w:val="21"/>
                      <w:szCs w:val="21"/>
                      <w:highlight w:val="none"/>
                      <w:lang w:val="en-US" w:eastAsia="zh-CN"/>
                    </w:rPr>
                    <w:t>土建相关专业</w:t>
                  </w:r>
                  <w:r>
                    <w:rPr>
                      <w:rFonts w:hint="eastAsia" w:asciiTheme="minorEastAsia" w:hAnsiTheme="minorEastAsia" w:eastAsiaTheme="minorEastAsia" w:cstheme="minorEastAsia"/>
                      <w:color w:val="auto"/>
                      <w:kern w:val="44"/>
                      <w:sz w:val="21"/>
                      <w:szCs w:val="21"/>
                      <w:highlight w:val="none"/>
                    </w:rPr>
                    <w:t>中级（或以上）技术职称</w:t>
                  </w:r>
                </w:p>
              </w:tc>
            </w:tr>
            <w:tr>
              <w:tblPrEx>
                <w:tblCellMar>
                  <w:top w:w="0" w:type="dxa"/>
                  <w:left w:w="108" w:type="dxa"/>
                  <w:bottom w:w="0" w:type="dxa"/>
                  <w:right w:w="108" w:type="dxa"/>
                </w:tblCellMar>
              </w:tblPrEx>
              <w:trPr>
                <w:trHeight w:val="90" w:hRule="atLeast"/>
                <w:jc w:val="center"/>
              </w:trPr>
              <w:tc>
                <w:tcPr>
                  <w:tcW w:w="569" w:type="dxa"/>
                  <w:tcBorders>
                    <w:top w:val="nil"/>
                    <w:left w:val="single" w:color="auto" w:sz="4" w:space="0"/>
                    <w:bottom w:val="single" w:color="auto" w:sz="4" w:space="0"/>
                    <w:right w:val="single" w:color="auto" w:sz="4" w:space="0"/>
                  </w:tcBorders>
                  <w:vAlign w:val="center"/>
                </w:tcPr>
                <w:p>
                  <w:pPr>
                    <w:widowControl/>
                    <w:ind w:left="-5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55" w:type="dxa"/>
                  <w:tcBorders>
                    <w:top w:val="nil"/>
                    <w:left w:val="nil"/>
                    <w:bottom w:val="single" w:color="auto" w:sz="4" w:space="0"/>
                    <w:right w:val="single" w:color="auto" w:sz="4" w:space="0"/>
                  </w:tcBorders>
                  <w:vAlign w:val="center"/>
                </w:tcPr>
                <w:p>
                  <w:pPr>
                    <w:adjustRightInd w:val="0"/>
                    <w:snapToGrid w:val="0"/>
                    <w:spacing w:line="2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44"/>
                      <w:sz w:val="21"/>
                      <w:szCs w:val="21"/>
                      <w:highlight w:val="none"/>
                    </w:rPr>
                    <w:t>市政专业监理工程师</w:t>
                  </w:r>
                </w:p>
              </w:tc>
              <w:tc>
                <w:tcPr>
                  <w:tcW w:w="884" w:type="dxa"/>
                  <w:tcBorders>
                    <w:top w:val="nil"/>
                    <w:left w:val="nil"/>
                    <w:bottom w:val="single" w:color="auto" w:sz="4" w:space="0"/>
                    <w:right w:val="single" w:color="auto" w:sz="4" w:space="0"/>
                  </w:tcBorders>
                  <w:vAlign w:val="center"/>
                </w:tcPr>
                <w:p>
                  <w:pPr>
                    <w:pStyle w:val="43"/>
                    <w:adjustRightInd w:val="0"/>
                    <w:snapToGrid w:val="0"/>
                    <w:spacing w:line="2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44"/>
                      <w:sz w:val="21"/>
                      <w:szCs w:val="21"/>
                      <w:highlight w:val="none"/>
                    </w:rPr>
                    <w:t>1</w:t>
                  </w:r>
                </w:p>
              </w:tc>
              <w:tc>
                <w:tcPr>
                  <w:tcW w:w="3361" w:type="dxa"/>
                  <w:tcBorders>
                    <w:top w:val="nil"/>
                    <w:left w:val="nil"/>
                    <w:bottom w:val="single" w:color="auto" w:sz="4" w:space="0"/>
                    <w:right w:val="single" w:color="auto" w:sz="4" w:space="0"/>
                  </w:tcBorders>
                  <w:vAlign w:val="center"/>
                </w:tcPr>
                <w:p>
                  <w:pPr>
                    <w:pStyle w:val="43"/>
                    <w:adjustRightInd w:val="0"/>
                    <w:snapToGrid w:val="0"/>
                    <w:spacing w:line="2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44"/>
                      <w:sz w:val="21"/>
                      <w:szCs w:val="21"/>
                      <w:highlight w:val="none"/>
                    </w:rPr>
                    <w:t>具备市政相关专业中级（或以上）技术职称</w:t>
                  </w:r>
                </w:p>
              </w:tc>
            </w:tr>
            <w:tr>
              <w:tblPrEx>
                <w:tblCellMar>
                  <w:top w:w="0" w:type="dxa"/>
                  <w:left w:w="108" w:type="dxa"/>
                  <w:bottom w:w="0" w:type="dxa"/>
                  <w:right w:w="108" w:type="dxa"/>
                </w:tblCellMar>
              </w:tblPrEx>
              <w:trPr>
                <w:trHeight w:val="90" w:hRule="atLeast"/>
                <w:jc w:val="center"/>
              </w:trPr>
              <w:tc>
                <w:tcPr>
                  <w:tcW w:w="569" w:type="dxa"/>
                  <w:tcBorders>
                    <w:top w:val="nil"/>
                    <w:left w:val="single" w:color="auto" w:sz="4" w:space="0"/>
                    <w:bottom w:val="single" w:color="auto" w:sz="4" w:space="0"/>
                    <w:right w:val="single" w:color="auto" w:sz="4" w:space="0"/>
                  </w:tcBorders>
                  <w:vAlign w:val="center"/>
                </w:tcPr>
                <w:p>
                  <w:pPr>
                    <w:widowControl/>
                    <w:ind w:left="-5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55" w:type="dxa"/>
                  <w:tcBorders>
                    <w:top w:val="nil"/>
                    <w:left w:val="nil"/>
                    <w:bottom w:val="single" w:color="auto" w:sz="4" w:space="0"/>
                    <w:right w:val="single" w:color="auto" w:sz="4" w:space="0"/>
                  </w:tcBorders>
                  <w:vAlign w:val="center"/>
                </w:tcPr>
                <w:p>
                  <w:pPr>
                    <w:adjustRightInd w:val="0"/>
                    <w:snapToGrid w:val="0"/>
                    <w:spacing w:line="260" w:lineRule="exact"/>
                    <w:jc w:val="center"/>
                    <w:rPr>
                      <w:rFonts w:hint="eastAsia" w:asciiTheme="minorEastAsia" w:hAnsiTheme="minorEastAsia" w:eastAsiaTheme="minorEastAsia" w:cstheme="minorEastAsia"/>
                      <w:bCs/>
                      <w:color w:val="auto"/>
                      <w:kern w:val="44"/>
                      <w:sz w:val="21"/>
                      <w:szCs w:val="21"/>
                      <w:highlight w:val="none"/>
                    </w:rPr>
                  </w:pPr>
                  <w:r>
                    <w:rPr>
                      <w:rFonts w:hint="eastAsia" w:asciiTheme="minorEastAsia" w:hAnsiTheme="minorEastAsia" w:eastAsiaTheme="minorEastAsia" w:cstheme="minorEastAsia"/>
                      <w:bCs/>
                      <w:color w:val="auto"/>
                      <w:kern w:val="44"/>
                      <w:sz w:val="21"/>
                      <w:szCs w:val="21"/>
                      <w:highlight w:val="none"/>
                    </w:rPr>
                    <w:t>给</w:t>
                  </w:r>
                  <w:r>
                    <w:rPr>
                      <w:rFonts w:hint="eastAsia" w:asciiTheme="minorEastAsia" w:hAnsiTheme="minorEastAsia" w:eastAsiaTheme="minorEastAsia" w:cstheme="minorEastAsia"/>
                      <w:bCs/>
                      <w:color w:val="auto"/>
                      <w:kern w:val="44"/>
                      <w:sz w:val="21"/>
                      <w:szCs w:val="21"/>
                      <w:highlight w:val="none"/>
                      <w:lang w:eastAsia="zh-CN"/>
                    </w:rPr>
                    <w:t>水</w:t>
                  </w:r>
                  <w:r>
                    <w:rPr>
                      <w:rFonts w:hint="eastAsia" w:asciiTheme="minorEastAsia" w:hAnsiTheme="minorEastAsia" w:eastAsiaTheme="minorEastAsia" w:cstheme="minorEastAsia"/>
                      <w:bCs/>
                      <w:color w:val="auto"/>
                      <w:kern w:val="44"/>
                      <w:sz w:val="21"/>
                      <w:szCs w:val="21"/>
                      <w:highlight w:val="none"/>
                    </w:rPr>
                    <w:t>排水专业监理工程师</w:t>
                  </w:r>
                </w:p>
              </w:tc>
              <w:tc>
                <w:tcPr>
                  <w:tcW w:w="884" w:type="dxa"/>
                  <w:tcBorders>
                    <w:top w:val="nil"/>
                    <w:left w:val="nil"/>
                    <w:bottom w:val="single" w:color="auto" w:sz="4" w:space="0"/>
                    <w:right w:val="single" w:color="auto" w:sz="4" w:space="0"/>
                  </w:tcBorders>
                  <w:vAlign w:val="center"/>
                </w:tcPr>
                <w:p>
                  <w:pPr>
                    <w:pStyle w:val="43"/>
                    <w:adjustRightInd w:val="0"/>
                    <w:snapToGrid w:val="0"/>
                    <w:spacing w:line="260" w:lineRule="exact"/>
                    <w:jc w:val="center"/>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44"/>
                      <w:sz w:val="21"/>
                      <w:szCs w:val="21"/>
                      <w:highlight w:val="none"/>
                    </w:rPr>
                    <w:t>1</w:t>
                  </w:r>
                </w:p>
              </w:tc>
              <w:tc>
                <w:tcPr>
                  <w:tcW w:w="3361" w:type="dxa"/>
                  <w:tcBorders>
                    <w:top w:val="nil"/>
                    <w:left w:val="nil"/>
                    <w:bottom w:val="single" w:color="auto" w:sz="4" w:space="0"/>
                    <w:right w:val="single" w:color="auto" w:sz="4" w:space="0"/>
                  </w:tcBorders>
                  <w:vAlign w:val="center"/>
                </w:tcPr>
                <w:p>
                  <w:pPr>
                    <w:pStyle w:val="43"/>
                    <w:adjustRightInd w:val="0"/>
                    <w:snapToGrid w:val="0"/>
                    <w:spacing w:line="260" w:lineRule="exact"/>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44"/>
                      <w:sz w:val="21"/>
                      <w:szCs w:val="21"/>
                      <w:highlight w:val="none"/>
                    </w:rPr>
                    <w:t>具备给水排水专业中级（或以上）技术职称</w:t>
                  </w:r>
                </w:p>
              </w:tc>
            </w:tr>
            <w:tr>
              <w:tblPrEx>
                <w:tblCellMar>
                  <w:top w:w="0" w:type="dxa"/>
                  <w:left w:w="108" w:type="dxa"/>
                  <w:bottom w:w="0" w:type="dxa"/>
                  <w:right w:w="108" w:type="dxa"/>
                </w:tblCellMar>
              </w:tblPrEx>
              <w:trPr>
                <w:trHeight w:val="90" w:hRule="atLeast"/>
                <w:jc w:val="center"/>
              </w:trPr>
              <w:tc>
                <w:tcPr>
                  <w:tcW w:w="569" w:type="dxa"/>
                  <w:tcBorders>
                    <w:top w:val="nil"/>
                    <w:left w:val="single" w:color="auto" w:sz="4" w:space="0"/>
                    <w:bottom w:val="single" w:color="auto" w:sz="4" w:space="0"/>
                    <w:right w:val="single" w:color="auto" w:sz="4" w:space="0"/>
                  </w:tcBorders>
                  <w:vAlign w:val="center"/>
                </w:tcPr>
                <w:p>
                  <w:pPr>
                    <w:widowControl/>
                    <w:ind w:left="-5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1555" w:type="dxa"/>
                  <w:tcBorders>
                    <w:top w:val="nil"/>
                    <w:left w:val="nil"/>
                    <w:bottom w:val="single" w:color="auto" w:sz="4" w:space="0"/>
                    <w:right w:val="single" w:color="auto" w:sz="4" w:space="0"/>
                  </w:tcBorders>
                  <w:vAlign w:val="center"/>
                </w:tcPr>
                <w:p>
                  <w:pPr>
                    <w:adjustRightInd w:val="0"/>
                    <w:snapToGrid w:val="0"/>
                    <w:spacing w:line="260" w:lineRule="exact"/>
                    <w:jc w:val="center"/>
                    <w:rPr>
                      <w:rFonts w:hint="eastAsia" w:asciiTheme="minorEastAsia" w:hAnsiTheme="minorEastAsia" w:eastAsiaTheme="minorEastAsia" w:cstheme="minorEastAsia"/>
                      <w:bCs w:val="0"/>
                      <w:color w:val="auto"/>
                      <w:kern w:val="44"/>
                      <w:sz w:val="21"/>
                      <w:szCs w:val="21"/>
                      <w:highlight w:val="none"/>
                    </w:rPr>
                  </w:pPr>
                  <w:r>
                    <w:rPr>
                      <w:rFonts w:hint="eastAsia" w:asciiTheme="minorEastAsia" w:hAnsiTheme="minorEastAsia" w:eastAsiaTheme="minorEastAsia" w:cstheme="minorEastAsia"/>
                      <w:bCs w:val="0"/>
                      <w:color w:val="auto"/>
                      <w:kern w:val="44"/>
                      <w:sz w:val="21"/>
                      <w:szCs w:val="21"/>
                      <w:highlight w:val="none"/>
                      <w:lang w:val="en-US" w:eastAsia="zh-CN"/>
                    </w:rPr>
                    <w:t>水文地质专业监理工程师</w:t>
                  </w:r>
                </w:p>
              </w:tc>
              <w:tc>
                <w:tcPr>
                  <w:tcW w:w="884" w:type="dxa"/>
                  <w:tcBorders>
                    <w:top w:val="nil"/>
                    <w:left w:val="nil"/>
                    <w:bottom w:val="single" w:color="auto" w:sz="4" w:space="0"/>
                    <w:right w:val="single" w:color="auto" w:sz="4" w:space="0"/>
                  </w:tcBorders>
                  <w:vAlign w:val="center"/>
                </w:tcPr>
                <w:p>
                  <w:pPr>
                    <w:pStyle w:val="43"/>
                    <w:adjustRightInd w:val="0"/>
                    <w:snapToGrid w:val="0"/>
                    <w:spacing w:line="260" w:lineRule="exact"/>
                    <w:jc w:val="center"/>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44"/>
                      <w:sz w:val="21"/>
                      <w:szCs w:val="21"/>
                      <w:highlight w:val="none"/>
                      <w:lang w:val="en-US" w:eastAsia="zh-CN"/>
                    </w:rPr>
                    <w:t>1</w:t>
                  </w:r>
                </w:p>
              </w:tc>
              <w:tc>
                <w:tcPr>
                  <w:tcW w:w="3361" w:type="dxa"/>
                  <w:tcBorders>
                    <w:top w:val="nil"/>
                    <w:left w:val="nil"/>
                    <w:bottom w:val="single" w:color="auto" w:sz="4" w:space="0"/>
                    <w:right w:val="single" w:color="auto" w:sz="4" w:space="0"/>
                  </w:tcBorders>
                  <w:vAlign w:val="center"/>
                </w:tcPr>
                <w:p>
                  <w:pPr>
                    <w:pStyle w:val="43"/>
                    <w:adjustRightInd w:val="0"/>
                    <w:snapToGrid w:val="0"/>
                    <w:spacing w:line="260" w:lineRule="exact"/>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44"/>
                      <w:sz w:val="21"/>
                      <w:szCs w:val="21"/>
                      <w:highlight w:val="none"/>
                      <w:lang w:val="en-US" w:eastAsia="zh-CN"/>
                    </w:rPr>
                    <w:t>具备水文地质专业中级（或以上）技术职称</w:t>
                  </w:r>
                </w:p>
              </w:tc>
            </w:tr>
            <w:tr>
              <w:tblPrEx>
                <w:tblCellMar>
                  <w:top w:w="0" w:type="dxa"/>
                  <w:left w:w="108" w:type="dxa"/>
                  <w:bottom w:w="0" w:type="dxa"/>
                  <w:right w:w="108" w:type="dxa"/>
                </w:tblCellMar>
              </w:tblPrEx>
              <w:trPr>
                <w:trHeight w:val="305" w:hRule="atLeast"/>
                <w:jc w:val="center"/>
              </w:trPr>
              <w:tc>
                <w:tcPr>
                  <w:tcW w:w="569" w:type="dxa"/>
                  <w:tcBorders>
                    <w:top w:val="nil"/>
                    <w:left w:val="single" w:color="auto" w:sz="4" w:space="0"/>
                    <w:bottom w:val="single" w:color="auto" w:sz="4" w:space="0"/>
                    <w:right w:val="single" w:color="auto" w:sz="4" w:space="0"/>
                  </w:tcBorders>
                  <w:vAlign w:val="center"/>
                </w:tcPr>
                <w:p>
                  <w:pPr>
                    <w:widowControl/>
                    <w:ind w:left="-5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w:t>
                  </w:r>
                </w:p>
              </w:tc>
              <w:tc>
                <w:tcPr>
                  <w:tcW w:w="1555" w:type="dxa"/>
                  <w:tcBorders>
                    <w:top w:val="nil"/>
                    <w:left w:val="nil"/>
                    <w:bottom w:val="single" w:color="auto" w:sz="4" w:space="0"/>
                    <w:right w:val="single" w:color="auto" w:sz="4" w:space="0"/>
                  </w:tcBorders>
                  <w:vAlign w:val="center"/>
                </w:tcPr>
                <w:p>
                  <w:pPr>
                    <w:adjustRightInd w:val="0"/>
                    <w:snapToGrid w:val="0"/>
                    <w:spacing w:line="2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44"/>
                      <w:sz w:val="21"/>
                      <w:szCs w:val="21"/>
                      <w:highlight w:val="none"/>
                    </w:rPr>
                    <w:t>机电专业监理工程师</w:t>
                  </w:r>
                </w:p>
              </w:tc>
              <w:tc>
                <w:tcPr>
                  <w:tcW w:w="884" w:type="dxa"/>
                  <w:tcBorders>
                    <w:top w:val="nil"/>
                    <w:left w:val="nil"/>
                    <w:bottom w:val="single" w:color="auto" w:sz="4" w:space="0"/>
                    <w:right w:val="single" w:color="auto" w:sz="4" w:space="0"/>
                  </w:tcBorders>
                  <w:vAlign w:val="center"/>
                </w:tcPr>
                <w:p>
                  <w:pPr>
                    <w:pStyle w:val="43"/>
                    <w:adjustRightInd w:val="0"/>
                    <w:snapToGrid w:val="0"/>
                    <w:spacing w:line="2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44"/>
                      <w:sz w:val="21"/>
                      <w:szCs w:val="21"/>
                      <w:highlight w:val="none"/>
                    </w:rPr>
                    <w:t>1</w:t>
                  </w:r>
                </w:p>
              </w:tc>
              <w:tc>
                <w:tcPr>
                  <w:tcW w:w="3361" w:type="dxa"/>
                  <w:tcBorders>
                    <w:top w:val="nil"/>
                    <w:left w:val="nil"/>
                    <w:bottom w:val="single" w:color="auto" w:sz="4" w:space="0"/>
                    <w:right w:val="single" w:color="auto" w:sz="4" w:space="0"/>
                  </w:tcBorders>
                  <w:vAlign w:val="center"/>
                </w:tcPr>
                <w:p>
                  <w:pPr>
                    <w:pStyle w:val="43"/>
                    <w:adjustRightInd w:val="0"/>
                    <w:snapToGrid w:val="0"/>
                    <w:spacing w:line="2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44"/>
                      <w:sz w:val="21"/>
                      <w:szCs w:val="21"/>
                      <w:highlight w:val="none"/>
                    </w:rPr>
                    <w:t>具备机电相关专业中级（或以上）技术职称</w:t>
                  </w:r>
                </w:p>
              </w:tc>
            </w:tr>
            <w:tr>
              <w:tblPrEx>
                <w:tblCellMar>
                  <w:top w:w="0" w:type="dxa"/>
                  <w:left w:w="108" w:type="dxa"/>
                  <w:bottom w:w="0" w:type="dxa"/>
                  <w:right w:w="108" w:type="dxa"/>
                </w:tblCellMar>
              </w:tblPrEx>
              <w:trPr>
                <w:trHeight w:val="355"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ind w:left="-52"/>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1555" w:type="dxa"/>
                  <w:tcBorders>
                    <w:top w:val="single" w:color="auto" w:sz="4" w:space="0"/>
                    <w:left w:val="nil"/>
                    <w:bottom w:val="single" w:color="auto" w:sz="4" w:space="0"/>
                    <w:right w:val="single" w:color="auto" w:sz="4" w:space="0"/>
                  </w:tcBorders>
                  <w:vAlign w:val="center"/>
                </w:tcPr>
                <w:p>
                  <w:pPr>
                    <w:adjustRightInd w:val="0"/>
                    <w:snapToGrid w:val="0"/>
                    <w:spacing w:line="260" w:lineRule="exact"/>
                    <w:jc w:val="center"/>
                    <w:rPr>
                      <w:rFonts w:hint="eastAsia" w:asciiTheme="minorEastAsia" w:hAnsiTheme="minorEastAsia" w:eastAsiaTheme="minorEastAsia" w:cstheme="minorEastAsia"/>
                      <w:bCs/>
                      <w:color w:val="auto"/>
                      <w:kern w:val="44"/>
                      <w:sz w:val="21"/>
                      <w:szCs w:val="21"/>
                      <w:highlight w:val="none"/>
                    </w:rPr>
                  </w:pPr>
                  <w:r>
                    <w:rPr>
                      <w:rFonts w:hint="eastAsia" w:asciiTheme="minorEastAsia" w:hAnsiTheme="minorEastAsia" w:eastAsiaTheme="minorEastAsia" w:cstheme="minorEastAsia"/>
                      <w:bCs/>
                      <w:color w:val="auto"/>
                      <w:kern w:val="44"/>
                      <w:sz w:val="21"/>
                      <w:szCs w:val="21"/>
                      <w:highlight w:val="none"/>
                      <w:lang w:val="en-US" w:eastAsia="zh-CN"/>
                    </w:rPr>
                    <w:t>暖通</w:t>
                  </w:r>
                  <w:r>
                    <w:rPr>
                      <w:rFonts w:hint="eastAsia" w:asciiTheme="minorEastAsia" w:hAnsiTheme="minorEastAsia" w:eastAsiaTheme="minorEastAsia" w:cstheme="minorEastAsia"/>
                      <w:bCs/>
                      <w:color w:val="auto"/>
                      <w:kern w:val="44"/>
                      <w:sz w:val="21"/>
                      <w:szCs w:val="21"/>
                      <w:highlight w:val="none"/>
                      <w:lang w:eastAsia="zh-CN"/>
                    </w:rPr>
                    <w:t>专业监理工程师</w:t>
                  </w:r>
                </w:p>
              </w:tc>
              <w:tc>
                <w:tcPr>
                  <w:tcW w:w="884" w:type="dxa"/>
                  <w:tcBorders>
                    <w:top w:val="single" w:color="auto" w:sz="4" w:space="0"/>
                    <w:left w:val="nil"/>
                    <w:bottom w:val="single" w:color="auto" w:sz="4" w:space="0"/>
                    <w:right w:val="single" w:color="auto" w:sz="4" w:space="0"/>
                  </w:tcBorders>
                  <w:vAlign w:val="center"/>
                </w:tcPr>
                <w:p>
                  <w:pPr>
                    <w:pStyle w:val="43"/>
                    <w:adjustRightInd w:val="0"/>
                    <w:snapToGrid w:val="0"/>
                    <w:spacing w:line="2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44"/>
                      <w:sz w:val="21"/>
                      <w:szCs w:val="21"/>
                      <w:highlight w:val="none"/>
                      <w:lang w:val="en-US" w:eastAsia="zh-CN"/>
                    </w:rPr>
                    <w:t>1</w:t>
                  </w:r>
                </w:p>
              </w:tc>
              <w:tc>
                <w:tcPr>
                  <w:tcW w:w="3361" w:type="dxa"/>
                  <w:tcBorders>
                    <w:top w:val="single" w:color="auto" w:sz="4" w:space="0"/>
                    <w:left w:val="nil"/>
                    <w:bottom w:val="single" w:color="auto" w:sz="4" w:space="0"/>
                    <w:right w:val="single" w:color="auto" w:sz="4" w:space="0"/>
                  </w:tcBorders>
                  <w:vAlign w:val="center"/>
                </w:tcPr>
                <w:p>
                  <w:pPr>
                    <w:pStyle w:val="43"/>
                    <w:adjustRightInd w:val="0"/>
                    <w:snapToGrid w:val="0"/>
                    <w:spacing w:line="260" w:lineRule="exact"/>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44"/>
                      <w:sz w:val="21"/>
                      <w:szCs w:val="21"/>
                      <w:highlight w:val="none"/>
                    </w:rPr>
                    <w:t>具备暖通专业中级（或以上）技术职称</w:t>
                  </w:r>
                </w:p>
              </w:tc>
            </w:tr>
            <w:tr>
              <w:tblPrEx>
                <w:tblCellMar>
                  <w:top w:w="0" w:type="dxa"/>
                  <w:left w:w="108" w:type="dxa"/>
                  <w:bottom w:w="0" w:type="dxa"/>
                  <w:right w:w="108" w:type="dxa"/>
                </w:tblCellMar>
              </w:tblPrEx>
              <w:trPr>
                <w:trHeight w:val="90" w:hRule="atLeast"/>
                <w:jc w:val="center"/>
              </w:trPr>
              <w:tc>
                <w:tcPr>
                  <w:tcW w:w="569" w:type="dxa"/>
                  <w:tcBorders>
                    <w:top w:val="nil"/>
                    <w:left w:val="single" w:color="auto" w:sz="4" w:space="0"/>
                    <w:bottom w:val="single" w:color="auto" w:sz="4" w:space="0"/>
                    <w:right w:val="single" w:color="auto" w:sz="4" w:space="0"/>
                  </w:tcBorders>
                  <w:vAlign w:val="center"/>
                </w:tcPr>
                <w:p>
                  <w:pPr>
                    <w:widowControl/>
                    <w:ind w:left="-52"/>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7</w:t>
                  </w:r>
                </w:p>
              </w:tc>
              <w:tc>
                <w:tcPr>
                  <w:tcW w:w="1555" w:type="dxa"/>
                  <w:tcBorders>
                    <w:top w:val="nil"/>
                    <w:left w:val="nil"/>
                    <w:bottom w:val="single" w:color="auto" w:sz="4" w:space="0"/>
                    <w:right w:val="single" w:color="auto" w:sz="4" w:space="0"/>
                  </w:tcBorders>
                  <w:vAlign w:val="center"/>
                </w:tcPr>
                <w:p>
                  <w:pPr>
                    <w:adjustRightInd w:val="0"/>
                    <w:snapToGrid w:val="0"/>
                    <w:spacing w:line="2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44"/>
                      <w:sz w:val="21"/>
                      <w:szCs w:val="21"/>
                      <w:highlight w:val="none"/>
                    </w:rPr>
                    <w:t>安全监理员</w:t>
                  </w:r>
                </w:p>
              </w:tc>
              <w:tc>
                <w:tcPr>
                  <w:tcW w:w="884" w:type="dxa"/>
                  <w:tcBorders>
                    <w:top w:val="nil"/>
                    <w:left w:val="nil"/>
                    <w:bottom w:val="single" w:color="auto" w:sz="4" w:space="0"/>
                    <w:right w:val="single" w:color="auto" w:sz="4" w:space="0"/>
                  </w:tcBorders>
                  <w:vAlign w:val="center"/>
                </w:tcPr>
                <w:p>
                  <w:pPr>
                    <w:pStyle w:val="43"/>
                    <w:adjustRightInd w:val="0"/>
                    <w:snapToGrid w:val="0"/>
                    <w:spacing w:line="2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3361" w:type="dxa"/>
                  <w:tcBorders>
                    <w:top w:val="nil"/>
                    <w:left w:val="nil"/>
                    <w:bottom w:val="single" w:color="auto" w:sz="4" w:space="0"/>
                    <w:right w:val="single" w:color="auto" w:sz="4" w:space="0"/>
                  </w:tcBorders>
                  <w:vAlign w:val="center"/>
                </w:tcPr>
                <w:p>
                  <w:pPr>
                    <w:pStyle w:val="43"/>
                    <w:adjustRightInd w:val="0"/>
                    <w:snapToGrid w:val="0"/>
                    <w:spacing w:line="260" w:lineRule="exact"/>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44"/>
                      <w:sz w:val="21"/>
                      <w:szCs w:val="21"/>
                      <w:highlight w:val="none"/>
                    </w:rPr>
                    <w:t>具有市政专业安全员培训证或上岗证</w:t>
                  </w:r>
                </w:p>
              </w:tc>
            </w:tr>
            <w:tr>
              <w:tblPrEx>
                <w:tblCellMar>
                  <w:top w:w="0" w:type="dxa"/>
                  <w:left w:w="108" w:type="dxa"/>
                  <w:bottom w:w="0" w:type="dxa"/>
                  <w:right w:w="108" w:type="dxa"/>
                </w:tblCellMar>
              </w:tblPrEx>
              <w:trPr>
                <w:trHeight w:val="90" w:hRule="atLeast"/>
                <w:jc w:val="center"/>
              </w:trPr>
              <w:tc>
                <w:tcPr>
                  <w:tcW w:w="569" w:type="dxa"/>
                  <w:tcBorders>
                    <w:top w:val="nil"/>
                    <w:left w:val="single" w:color="auto" w:sz="4" w:space="0"/>
                    <w:bottom w:val="single" w:color="auto" w:sz="4" w:space="0"/>
                    <w:right w:val="single" w:color="auto" w:sz="4" w:space="0"/>
                  </w:tcBorders>
                  <w:vAlign w:val="center"/>
                </w:tcPr>
                <w:p>
                  <w:pPr>
                    <w:widowControl/>
                    <w:ind w:left="-52"/>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8</w:t>
                  </w:r>
                </w:p>
              </w:tc>
              <w:tc>
                <w:tcPr>
                  <w:tcW w:w="155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旁站监理员</w:t>
                  </w:r>
                </w:p>
              </w:tc>
              <w:tc>
                <w:tcPr>
                  <w:tcW w:w="884" w:type="dxa"/>
                  <w:tcBorders>
                    <w:top w:val="nil"/>
                    <w:left w:val="nil"/>
                    <w:bottom w:val="single" w:color="auto" w:sz="4" w:space="0"/>
                    <w:right w:val="single" w:color="auto" w:sz="4" w:space="0"/>
                  </w:tcBorders>
                  <w:vAlign w:val="center"/>
                </w:tcPr>
                <w:p>
                  <w:pPr>
                    <w:pStyle w:val="43"/>
                    <w:adjustRightInd w:val="0"/>
                    <w:snapToGrid w:val="0"/>
                    <w:spacing w:line="260" w:lineRule="exact"/>
                    <w:jc w:val="center"/>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3361" w:type="dxa"/>
                  <w:tcBorders>
                    <w:top w:val="nil"/>
                    <w:left w:val="nil"/>
                    <w:bottom w:val="single" w:color="auto" w:sz="4" w:space="0"/>
                    <w:right w:val="single" w:color="auto" w:sz="4" w:space="0"/>
                  </w:tcBorders>
                  <w:vAlign w:val="center"/>
                </w:tcPr>
                <w:p>
                  <w:pPr>
                    <w:pStyle w:val="43"/>
                    <w:adjustRightInd w:val="0"/>
                    <w:snapToGrid w:val="0"/>
                    <w:spacing w:line="260" w:lineRule="exact"/>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44"/>
                      <w:sz w:val="21"/>
                      <w:szCs w:val="21"/>
                      <w:highlight w:val="none"/>
                    </w:rPr>
                    <w:t>具有市政专业监理员培训证或上岗证</w:t>
                  </w:r>
                </w:p>
              </w:tc>
            </w:tr>
            <w:tr>
              <w:tblPrEx>
                <w:tblCellMar>
                  <w:top w:w="0" w:type="dxa"/>
                  <w:left w:w="108" w:type="dxa"/>
                  <w:bottom w:w="0" w:type="dxa"/>
                  <w:right w:w="108" w:type="dxa"/>
                </w:tblCellMar>
              </w:tblPrEx>
              <w:trPr>
                <w:trHeight w:val="90" w:hRule="atLeast"/>
                <w:jc w:val="center"/>
              </w:trPr>
              <w:tc>
                <w:tcPr>
                  <w:tcW w:w="569" w:type="dxa"/>
                  <w:tcBorders>
                    <w:top w:val="nil"/>
                    <w:left w:val="single" w:color="auto" w:sz="4" w:space="0"/>
                    <w:bottom w:val="single" w:color="auto" w:sz="4" w:space="0"/>
                    <w:right w:val="single" w:color="auto" w:sz="4" w:space="0"/>
                  </w:tcBorders>
                  <w:vAlign w:val="center"/>
                </w:tcPr>
                <w:p>
                  <w:pPr>
                    <w:widowControl/>
                    <w:ind w:left="-52"/>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w:t>
                  </w:r>
                </w:p>
              </w:tc>
              <w:tc>
                <w:tcPr>
                  <w:tcW w:w="1555" w:type="dxa"/>
                  <w:tcBorders>
                    <w:top w:val="nil"/>
                    <w:left w:val="nil"/>
                    <w:bottom w:val="single" w:color="auto" w:sz="4" w:space="0"/>
                    <w:right w:val="single" w:color="auto" w:sz="4" w:space="0"/>
                  </w:tcBorders>
                  <w:vAlign w:val="center"/>
                </w:tcPr>
                <w:p>
                  <w:pPr>
                    <w:adjustRightInd w:val="0"/>
                    <w:snapToGrid w:val="0"/>
                    <w:spacing w:line="300" w:lineRule="exact"/>
                    <w:jc w:val="center"/>
                    <w:rPr>
                      <w:rFonts w:hint="eastAsia" w:asciiTheme="minorEastAsia" w:hAnsiTheme="minorEastAsia" w:eastAsiaTheme="minorEastAsia" w:cstheme="minorEastAsia"/>
                      <w:bCs/>
                      <w:color w:val="auto"/>
                      <w:kern w:val="44"/>
                      <w:sz w:val="21"/>
                      <w:szCs w:val="21"/>
                      <w:highlight w:val="none"/>
                    </w:rPr>
                  </w:pPr>
                  <w:r>
                    <w:rPr>
                      <w:rFonts w:hint="eastAsia" w:asciiTheme="minorEastAsia" w:hAnsiTheme="minorEastAsia" w:eastAsiaTheme="minorEastAsia" w:cstheme="minorEastAsia"/>
                      <w:bCs/>
                      <w:color w:val="auto"/>
                      <w:kern w:val="44"/>
                      <w:sz w:val="21"/>
                      <w:szCs w:val="21"/>
                      <w:highlight w:val="none"/>
                    </w:rPr>
                    <w:t>造价工程师</w:t>
                  </w:r>
                </w:p>
              </w:tc>
              <w:tc>
                <w:tcPr>
                  <w:tcW w:w="884" w:type="dxa"/>
                  <w:tcBorders>
                    <w:top w:val="nil"/>
                    <w:left w:val="nil"/>
                    <w:bottom w:val="single" w:color="auto" w:sz="4" w:space="0"/>
                    <w:right w:val="single" w:color="auto" w:sz="4" w:space="0"/>
                  </w:tcBorders>
                  <w:vAlign w:val="center"/>
                </w:tcPr>
                <w:p>
                  <w:pPr>
                    <w:pStyle w:val="43"/>
                    <w:adjustRightInd w:val="0"/>
                    <w:snapToGrid w:val="0"/>
                    <w:spacing w:line="260" w:lineRule="exact"/>
                    <w:jc w:val="center"/>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44"/>
                      <w:sz w:val="21"/>
                      <w:szCs w:val="21"/>
                      <w:highlight w:val="none"/>
                    </w:rPr>
                    <w:t>1</w:t>
                  </w:r>
                </w:p>
              </w:tc>
              <w:tc>
                <w:tcPr>
                  <w:tcW w:w="3361" w:type="dxa"/>
                  <w:tcBorders>
                    <w:top w:val="nil"/>
                    <w:left w:val="nil"/>
                    <w:bottom w:val="single" w:color="auto" w:sz="4" w:space="0"/>
                    <w:right w:val="single" w:color="auto" w:sz="4" w:space="0"/>
                  </w:tcBorders>
                  <w:vAlign w:val="center"/>
                </w:tcPr>
                <w:p>
                  <w:pPr>
                    <w:pStyle w:val="43"/>
                    <w:adjustRightInd w:val="0"/>
                    <w:snapToGrid w:val="0"/>
                    <w:spacing w:line="260" w:lineRule="exact"/>
                    <w:rPr>
                      <w:rFonts w:hint="eastAsia" w:asciiTheme="minorEastAsia" w:hAnsiTheme="minorEastAsia" w:eastAsiaTheme="minorEastAsia" w:cstheme="minorEastAsia"/>
                      <w:color w:val="auto"/>
                      <w:kern w:val="44"/>
                      <w:sz w:val="21"/>
                      <w:szCs w:val="21"/>
                      <w:highlight w:val="none"/>
                    </w:rPr>
                  </w:pPr>
                  <w:r>
                    <w:rPr>
                      <w:rFonts w:hint="eastAsia" w:asciiTheme="minorEastAsia" w:hAnsiTheme="minorEastAsia" w:eastAsiaTheme="minorEastAsia" w:cstheme="minorEastAsia"/>
                      <w:color w:val="auto"/>
                      <w:kern w:val="44"/>
                      <w:sz w:val="21"/>
                      <w:szCs w:val="21"/>
                      <w:highlight w:val="none"/>
                    </w:rPr>
                    <w:t>具有注册造价工程师或注册一级造价工程师资格</w:t>
                  </w:r>
                </w:p>
              </w:tc>
            </w:tr>
            <w:tr>
              <w:tblPrEx>
                <w:tblCellMar>
                  <w:top w:w="0" w:type="dxa"/>
                  <w:left w:w="108" w:type="dxa"/>
                  <w:bottom w:w="0" w:type="dxa"/>
                  <w:right w:w="108" w:type="dxa"/>
                </w:tblCellMar>
              </w:tblPrEx>
              <w:trPr>
                <w:trHeight w:val="297" w:hRule="atLeast"/>
                <w:jc w:val="center"/>
              </w:trPr>
              <w:tc>
                <w:tcPr>
                  <w:tcW w:w="569" w:type="dxa"/>
                  <w:tcBorders>
                    <w:top w:val="nil"/>
                    <w:left w:val="single" w:color="auto" w:sz="4" w:space="0"/>
                    <w:bottom w:val="single" w:color="auto" w:sz="4" w:space="0"/>
                    <w:right w:val="single" w:color="auto" w:sz="4" w:space="0"/>
                  </w:tcBorders>
                  <w:vAlign w:val="center"/>
                </w:tcPr>
                <w:p>
                  <w:pPr>
                    <w:widowControl/>
                    <w:ind w:left="-52"/>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155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合计</w:t>
                  </w:r>
                </w:p>
              </w:tc>
              <w:tc>
                <w:tcPr>
                  <w:tcW w:w="884"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w:t>
                  </w:r>
                </w:p>
              </w:tc>
              <w:tc>
                <w:tcPr>
                  <w:tcW w:w="3361" w:type="dxa"/>
                  <w:tcBorders>
                    <w:top w:val="nil"/>
                    <w:left w:val="nil"/>
                    <w:bottom w:val="single" w:color="auto" w:sz="4" w:space="0"/>
                    <w:right w:val="single" w:color="auto" w:sz="4" w:space="0"/>
                  </w:tcBorders>
                  <w:vAlign w:val="center"/>
                </w:tcPr>
                <w:p>
                  <w:pPr>
                    <w:pStyle w:val="43"/>
                    <w:rPr>
                      <w:rFonts w:hint="eastAsia" w:asciiTheme="minorEastAsia" w:hAnsiTheme="minorEastAsia" w:eastAsiaTheme="minorEastAsia" w:cstheme="minorEastAsia"/>
                      <w:color w:val="auto"/>
                      <w:kern w:val="0"/>
                      <w:sz w:val="21"/>
                      <w:szCs w:val="21"/>
                      <w:highlight w:val="none"/>
                    </w:rPr>
                  </w:pPr>
                </w:p>
              </w:tc>
            </w:tr>
          </w:tbl>
          <w:p>
            <w:pP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注：1.上述监理人员</w:t>
            </w:r>
            <w:r>
              <w:rPr>
                <w:rFonts w:hint="eastAsia" w:asciiTheme="minorEastAsia" w:hAnsiTheme="minorEastAsia" w:eastAsiaTheme="minorEastAsia" w:cstheme="minorEastAsia"/>
                <w:b/>
                <w:bCs/>
                <w:color w:val="auto"/>
                <w:szCs w:val="21"/>
                <w:highlight w:val="none"/>
                <w:lang w:val="zh-CN"/>
              </w:rPr>
              <w:t>必须为投标单位人员，以提供的</w:t>
            </w:r>
            <w:r>
              <w:rPr>
                <w:rFonts w:hint="eastAsia" w:asciiTheme="minorEastAsia" w:hAnsiTheme="minorEastAsia" w:eastAsiaTheme="minorEastAsia" w:cstheme="minorEastAsia"/>
                <w:b/>
                <w:bCs/>
                <w:color w:val="auto"/>
                <w:szCs w:val="21"/>
                <w:highlight w:val="none"/>
                <w:lang w:val="en-US" w:eastAsia="zh-CN"/>
              </w:rPr>
              <w:t>2022年5月至</w:t>
            </w:r>
            <w:r>
              <w:rPr>
                <w:rFonts w:hint="eastAsia" w:asciiTheme="minorEastAsia" w:hAnsiTheme="minorEastAsia" w:eastAsiaTheme="minorEastAsia" w:cstheme="minorEastAsia"/>
                <w:b/>
                <w:bCs/>
                <w:color w:val="auto"/>
                <w:szCs w:val="21"/>
                <w:highlight w:val="none"/>
                <w:lang w:val="zh-CN"/>
              </w:rPr>
              <w:t>202</w:t>
            </w:r>
            <w:r>
              <w:rPr>
                <w:rFonts w:hint="eastAsia" w:asciiTheme="minorEastAsia" w:hAnsiTheme="minorEastAsia" w:eastAsiaTheme="minorEastAsia" w:cstheme="minorEastAsia"/>
                <w:b/>
                <w:bCs/>
                <w:color w:val="auto"/>
                <w:szCs w:val="21"/>
                <w:highlight w:val="none"/>
              </w:rPr>
              <w:t>2</w:t>
            </w:r>
            <w:r>
              <w:rPr>
                <w:rFonts w:hint="eastAsia" w:asciiTheme="minorEastAsia" w:hAnsiTheme="minorEastAsia" w:eastAsiaTheme="minorEastAsia" w:cstheme="minorEastAsia"/>
                <w:b/>
                <w:bCs/>
                <w:color w:val="auto"/>
                <w:szCs w:val="21"/>
                <w:highlight w:val="none"/>
                <w:lang w:val="zh-CN"/>
              </w:rPr>
              <w:t>年</w:t>
            </w:r>
            <w:r>
              <w:rPr>
                <w:rFonts w:hint="eastAsia" w:asciiTheme="minorEastAsia" w:hAnsiTheme="minorEastAsia" w:eastAsiaTheme="minorEastAsia" w:cstheme="minorEastAsia"/>
                <w:b/>
                <w:bCs/>
                <w:color w:val="auto"/>
                <w:szCs w:val="21"/>
                <w:highlight w:val="none"/>
                <w:lang w:val="en-US" w:eastAsia="zh-CN"/>
              </w:rPr>
              <w:t>10</w:t>
            </w:r>
            <w:r>
              <w:rPr>
                <w:rFonts w:hint="eastAsia" w:asciiTheme="minorEastAsia" w:hAnsiTheme="minorEastAsia" w:eastAsiaTheme="minorEastAsia" w:cstheme="minorEastAsia"/>
                <w:b/>
                <w:bCs/>
                <w:color w:val="auto"/>
                <w:szCs w:val="21"/>
                <w:highlight w:val="none"/>
                <w:lang w:val="zh-CN"/>
              </w:rPr>
              <w:t>月社保证明为准。</w:t>
            </w:r>
            <w:r>
              <w:rPr>
                <w:rFonts w:hint="eastAsia" w:asciiTheme="minorEastAsia" w:hAnsiTheme="minorEastAsia" w:eastAsiaTheme="minorEastAsia" w:cstheme="minorEastAsia"/>
                <w:b/>
                <w:bCs/>
                <w:color w:val="auto"/>
                <w:szCs w:val="21"/>
                <w:highlight w:val="none"/>
              </w:rPr>
              <w:t>本项目社保缴纳期限包含疫情期，若当地政府部门允许企业在疫情期间缓缴社会保险费且投标人未缴纳的，投标人可提供当地政府部门允许缓缴社保的相关文件作为缴纳社保的证明。</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2.本表不作为形式评审、资格评审、响应性评审的审查依据，只作为综合评分表中“主要人员资历”的评审依据。</w:t>
            </w:r>
          </w:p>
        </w:tc>
      </w:tr>
    </w:tbl>
    <w:p>
      <w:pPr>
        <w:snapToGrid w:val="0"/>
        <w:spacing w:line="360" w:lineRule="auto"/>
        <w:rPr>
          <w:rFonts w:ascii="Times New Roman" w:hAnsi="Times New Roman"/>
          <w:color w:val="auto"/>
          <w:highlight w:val="none"/>
        </w:rPr>
      </w:pPr>
      <w:r>
        <w:rPr>
          <w:rFonts w:hint="eastAsia" w:ascii="宋体" w:hAnsi="宋体"/>
          <w:color w:val="auto"/>
          <w:sz w:val="24"/>
          <w:szCs w:val="24"/>
          <w:highlight w:val="none"/>
        </w:rPr>
        <w:br w:type="page"/>
      </w:r>
      <w:bookmarkStart w:id="40" w:name="_Toc20742"/>
      <w:bookmarkStart w:id="41" w:name="_Toc527028679"/>
      <w:bookmarkStart w:id="42" w:name="_Toc527028850"/>
      <w:bookmarkStart w:id="43" w:name="_Toc520310853"/>
      <w:bookmarkStart w:id="44" w:name="_Toc527028502"/>
      <w:r>
        <w:rPr>
          <w:rFonts w:hint="eastAsia" w:ascii="宋体" w:hAnsi="宋体"/>
          <w:color w:val="auto"/>
          <w:sz w:val="24"/>
          <w:szCs w:val="24"/>
          <w:highlight w:val="none"/>
        </w:rPr>
        <w:t xml:space="preserve">    </w:t>
      </w:r>
      <w:r>
        <w:rPr>
          <w:rFonts w:ascii="Times New Roman" w:hAnsi="Times New Roman"/>
          <w:b/>
          <w:color w:val="auto"/>
          <w:kern w:val="44"/>
          <w:sz w:val="44"/>
          <w:szCs w:val="20"/>
          <w:highlight w:val="none"/>
        </w:rPr>
        <w:t>1. 总则</w:t>
      </w:r>
      <w:bookmarkEnd w:id="40"/>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45" w:name="_Toc89870550"/>
      <w:bookmarkStart w:id="46" w:name="_Toc24358"/>
      <w:bookmarkStart w:id="47" w:name="_Toc9427"/>
      <w:r>
        <w:rPr>
          <w:rFonts w:ascii="Times New Roman" w:hAnsi="Times New Roman"/>
          <w:color w:val="auto"/>
          <w:sz w:val="24"/>
          <w:szCs w:val="24"/>
          <w:highlight w:val="none"/>
        </w:rPr>
        <w:t>1.1 招标项目概况</w:t>
      </w:r>
      <w:bookmarkEnd w:id="45"/>
      <w:bookmarkEnd w:id="46"/>
      <w:bookmarkEnd w:id="47"/>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 招标人：见投标人须知前附表。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1.1.3 招标代理机构：见投标人须知前附表。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1.1.4 招标项目名称：见投标人须知前附表。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1.1.5 项目建设地点：见投标人须知前附表。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1.1.6 项目建设规模：见投标人须知前附表。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1.1.7 </w:t>
      </w:r>
      <w:r>
        <w:rPr>
          <w:rFonts w:hint="eastAsia" w:ascii="Times New Roman" w:hAnsi="Times New Roman"/>
          <w:color w:val="auto"/>
          <w:sz w:val="24"/>
          <w:szCs w:val="24"/>
          <w:highlight w:val="none"/>
        </w:rPr>
        <w:t>工程项目施工预计开工日期和建设周期：见投标人须知前附表。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1.1.8 </w:t>
      </w:r>
      <w:r>
        <w:rPr>
          <w:rFonts w:hint="eastAsia" w:ascii="Times New Roman" w:hAnsi="Times New Roman"/>
          <w:color w:val="auto"/>
          <w:sz w:val="24"/>
          <w:szCs w:val="24"/>
          <w:highlight w:val="none"/>
        </w:rPr>
        <w:t>建筑安装工程费</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工程概算：见投标人须知前附表。</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48" w:name="_Toc89870551"/>
      <w:bookmarkStart w:id="49" w:name="_Toc3884"/>
      <w:bookmarkStart w:id="50" w:name="_Toc7952"/>
      <w:r>
        <w:rPr>
          <w:rFonts w:ascii="Times New Roman" w:hAnsi="Times New Roman"/>
          <w:color w:val="auto"/>
          <w:sz w:val="24"/>
          <w:szCs w:val="24"/>
          <w:highlight w:val="none"/>
        </w:rPr>
        <w:t>1.2 招标项目的资金来源和落实情况</w:t>
      </w:r>
      <w:bookmarkEnd w:id="48"/>
      <w:bookmarkEnd w:id="49"/>
      <w:bookmarkEnd w:id="5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 资金来源及比例：见投标人须知前附表。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1.2.2 资金落实情况：见投标人须知前附表。</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51" w:name="_Toc89870552"/>
      <w:bookmarkStart w:id="52" w:name="_Toc18715"/>
      <w:bookmarkStart w:id="53" w:name="_Toc18590"/>
      <w:r>
        <w:rPr>
          <w:rFonts w:ascii="Times New Roman" w:hAnsi="Times New Roman"/>
          <w:color w:val="auto"/>
          <w:sz w:val="24"/>
          <w:szCs w:val="24"/>
          <w:highlight w:val="none"/>
        </w:rPr>
        <w:t>1.3招标范围、监理服务期限和质量标准</w:t>
      </w:r>
      <w:bookmarkEnd w:id="51"/>
      <w:bookmarkEnd w:id="52"/>
      <w:bookmarkEnd w:id="5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 招标范围：见投标人须知前附表。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1.3.2 监理服务期限：见投标人须知前附表。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1.3.3 质量标准：见投标人须知前附表。</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54" w:name="_Toc12250"/>
      <w:bookmarkStart w:id="55" w:name="_Toc89870553"/>
      <w:bookmarkStart w:id="56" w:name="_Toc29112"/>
      <w:r>
        <w:rPr>
          <w:rFonts w:ascii="Times New Roman" w:hAnsi="Times New Roman"/>
          <w:color w:val="auto"/>
          <w:sz w:val="24"/>
          <w:szCs w:val="24"/>
          <w:highlight w:val="none"/>
        </w:rPr>
        <w:t>1.4投标人资格要求</w:t>
      </w:r>
      <w:bookmarkEnd w:id="54"/>
      <w:bookmarkEnd w:id="55"/>
      <w:bookmarkEnd w:id="56"/>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1.4.1 投标人应具备承担本招标项目资质条件、能力和信誉：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（1）资质要求：见投标人须知前附表；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（2）财务要求：见投标人须知前附表；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（3）业绩要求：见投标人须知前附表；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（4）信誉要求：见投标人须知前附表；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（5）总监理工程师的资格要求：应当具备工程注册监理工程师执业资格</w:t>
      </w:r>
      <w:r>
        <w:rPr>
          <w:rFonts w:hint="eastAsia" w:ascii="Times New Roman" w:hAnsi="Times New Roman"/>
          <w:color w:val="auto"/>
          <w:sz w:val="24"/>
          <w:szCs w:val="24"/>
          <w:highlight w:val="none"/>
        </w:rPr>
        <w:t>（如有）</w:t>
      </w:r>
      <w:r>
        <w:rPr>
          <w:rFonts w:ascii="Times New Roman" w:hAnsi="Times New Roman"/>
          <w:color w:val="auto"/>
          <w:sz w:val="24"/>
          <w:szCs w:val="24"/>
          <w:highlight w:val="none"/>
        </w:rPr>
        <w:t>，具体要求见投标人须知前附表；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（6）其他主要人员要求：见投标人须知前附表</w:t>
      </w:r>
      <w:r>
        <w:rPr>
          <w:rFonts w:hint="eastAsia"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（7）试验检测仪器设备要求：见投标人须知前附表</w:t>
      </w:r>
      <w:r>
        <w:rPr>
          <w:rFonts w:hint="eastAsia"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（8）其他要求：见投标人须知前附表。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需要提交的相关证明材料见本章第3.5款的规定。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w:t>
      </w:r>
      <w:r>
        <w:rPr>
          <w:rFonts w:hint="eastAsia" w:ascii="Times New Roman" w:hAnsi="Times New Roman"/>
          <w:color w:val="auto"/>
          <w:sz w:val="24"/>
          <w:szCs w:val="24"/>
          <w:highlight w:val="none"/>
        </w:rPr>
        <w:t>投标人须知前附表规定接受联合体投标的，联合体除应符合本章第</w:t>
      </w:r>
      <w:r>
        <w:rPr>
          <w:rFonts w:ascii="Times New Roman" w:hAnsi="Times New Roman"/>
          <w:color w:val="auto"/>
          <w:sz w:val="24"/>
          <w:szCs w:val="24"/>
          <w:highlight w:val="none"/>
        </w:rPr>
        <w:t>1.4.1</w:t>
      </w:r>
      <w:r>
        <w:rPr>
          <w:rFonts w:hint="eastAsia" w:ascii="Times New Roman" w:hAnsi="Times New Roman"/>
          <w:color w:val="auto"/>
          <w:sz w:val="24"/>
          <w:szCs w:val="24"/>
          <w:highlight w:val="none"/>
        </w:rPr>
        <w:t>项和投标人须知前附表的要求外，还应遵守以下规定：</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）联合体各方应按招标文件提供的格式签订联合体协议书，明确联合体牵头人和各方权利义务，并承诺就中标项目向招标人承担连带责任；</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2</w:t>
      </w:r>
      <w:r>
        <w:rPr>
          <w:rFonts w:hint="eastAsia" w:ascii="Times New Roman" w:hAnsi="Times New Roman"/>
          <w:color w:val="auto"/>
          <w:sz w:val="24"/>
          <w:szCs w:val="24"/>
          <w:highlight w:val="none"/>
        </w:rPr>
        <w:t>）由同一专业的单位组成的联合体，按照资质等级较低的单位确定资质等级；</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）联合体各方不得再以自己名义单独或参加其他联合体在本招标项目中投标，否则各相关投标均无效。</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 投标人不得存在下列情形之一：</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（1）为招标人不具有独立法人资格的附属机构（单位）；</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（2）与招标人存在利害关系且可能影响招标公正性；</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（3）与本招标项目的其他投标人为同一个单位负责人；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（4）与本招标项目的其他投标人存在控股、管理关系；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（5）为本招标项目的代建人；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（6）为本招标项目的招标代理机构；</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（7）与本招标项目的代建人或招标代理机构同为一个法定代表人；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（8）与本招标项目的代建人或招标代理机构存在控股或参股关系；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w:t>
      </w:r>
      <w:r>
        <w:rPr>
          <w:rFonts w:hint="eastAsia" w:ascii="Times New Roman" w:hAnsi="Times New Roman"/>
          <w:color w:val="auto"/>
          <w:sz w:val="24"/>
          <w:szCs w:val="24"/>
          <w:highlight w:val="none"/>
        </w:rPr>
        <w:t>与</w:t>
      </w:r>
      <w:r>
        <w:rPr>
          <w:rFonts w:ascii="Times New Roman" w:hAnsi="Times New Roman"/>
          <w:color w:val="auto"/>
          <w:sz w:val="24"/>
          <w:szCs w:val="24"/>
          <w:highlight w:val="none"/>
        </w:rPr>
        <w:t>本招标项目</w:t>
      </w:r>
      <w:r>
        <w:rPr>
          <w:rFonts w:hint="eastAsia" w:ascii="Times New Roman" w:hAnsi="Times New Roman"/>
          <w:color w:val="auto"/>
          <w:sz w:val="24"/>
          <w:szCs w:val="24"/>
          <w:highlight w:val="none"/>
        </w:rPr>
        <w:t>的施工承包人以</w:t>
      </w:r>
      <w:r>
        <w:rPr>
          <w:rFonts w:ascii="Times New Roman" w:hAnsi="Times New Roman"/>
          <w:color w:val="auto"/>
          <w:sz w:val="24"/>
          <w:szCs w:val="24"/>
          <w:highlight w:val="none"/>
        </w:rPr>
        <w:t>及建筑材料、建筑构配件和设备供应商有隶属关系或者其他利害关系；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（10）被依法暂停或者取消投标资格；</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（11）被责令停产停业、暂扣或者吊销许可证、暂扣或者吊销执照；</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（12）进入清算程序，或被宣告破产，或其他丧失履约能力的情形；</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（13）在最近三年内发生重大监理质量问题（以相关行业主管部门的行政处罚决定或司法机关出具的有关法律文书为准）；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（14）被工商行政管理机关在全国企业信用信息公示系统中列入严重违法失信企业名单；</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（15）被最高人民法院在</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信用中国</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网站（www.creditchina.gov.cn）或各级信用信息共享平台中列入失信被执行人名单；</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（16） 在近三年内投标人或其法定代表人、拟委任的总监理工程师有行贿犯罪行为的；</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7</w:t>
      </w:r>
      <w:r>
        <w:rPr>
          <w:rFonts w:ascii="Times New Roman" w:hAnsi="Times New Roman"/>
          <w:color w:val="auto"/>
          <w:sz w:val="24"/>
          <w:szCs w:val="24"/>
          <w:highlight w:val="none"/>
        </w:rPr>
        <w:t>）法律法规或投标人须知前附表规定的其他情形。</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57" w:name="_Toc2148"/>
      <w:bookmarkStart w:id="58" w:name="_Toc5975"/>
      <w:bookmarkStart w:id="59" w:name="_Toc89870554"/>
      <w:r>
        <w:rPr>
          <w:rFonts w:ascii="Times New Roman" w:hAnsi="Times New Roman"/>
          <w:color w:val="auto"/>
          <w:sz w:val="24"/>
          <w:szCs w:val="24"/>
          <w:highlight w:val="none"/>
        </w:rPr>
        <w:t xml:space="preserve">1.5 </w:t>
      </w:r>
      <w:r>
        <w:rPr>
          <w:rFonts w:hint="eastAsia" w:ascii="Times New Roman" w:hAnsi="Times New Roman"/>
          <w:color w:val="auto"/>
          <w:sz w:val="24"/>
          <w:szCs w:val="24"/>
          <w:highlight w:val="none"/>
        </w:rPr>
        <w:t>费用承担</w:t>
      </w:r>
      <w:bookmarkEnd w:id="57"/>
      <w:bookmarkEnd w:id="58"/>
      <w:bookmarkEnd w:id="59"/>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投标人准备和参加投标活动发生的费用自理。</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60" w:name="_Toc26168"/>
      <w:bookmarkStart w:id="61" w:name="_Toc89870555"/>
      <w:bookmarkStart w:id="62" w:name="_Toc8200"/>
      <w:r>
        <w:rPr>
          <w:rFonts w:ascii="Times New Roman" w:hAnsi="Times New Roman"/>
          <w:color w:val="auto"/>
          <w:sz w:val="24"/>
          <w:szCs w:val="24"/>
          <w:highlight w:val="none"/>
        </w:rPr>
        <w:t>1.6</w:t>
      </w:r>
      <w:r>
        <w:rPr>
          <w:rFonts w:hint="eastAsia" w:ascii="Times New Roman" w:hAnsi="Times New Roman"/>
          <w:color w:val="auto"/>
          <w:sz w:val="24"/>
          <w:szCs w:val="24"/>
          <w:highlight w:val="none"/>
        </w:rPr>
        <w:t>保密</w:t>
      </w:r>
      <w:bookmarkEnd w:id="60"/>
      <w:bookmarkEnd w:id="61"/>
      <w:bookmarkEnd w:id="62"/>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参与招标投标活动的各方应对招标文件和投标文件中</w:t>
      </w:r>
      <w:bookmarkStart w:id="63" w:name="_Toc369531519"/>
      <w:bookmarkStart w:id="64" w:name="_Toc384308214"/>
      <w:bookmarkStart w:id="65" w:name="_Toc361508589"/>
      <w:bookmarkStart w:id="66" w:name="_Toc5326"/>
      <w:bookmarkStart w:id="67" w:name="_Toc352691477"/>
      <w:r>
        <w:rPr>
          <w:rFonts w:ascii="Times New Roman" w:hAnsi="Times New Roman"/>
          <w:color w:val="auto"/>
          <w:sz w:val="24"/>
          <w:szCs w:val="24"/>
          <w:highlight w:val="none"/>
        </w:rPr>
        <w:t>的商业和技术等秘密保密</w:t>
      </w:r>
      <w:bookmarkEnd w:id="63"/>
      <w:bookmarkEnd w:id="64"/>
      <w:bookmarkEnd w:id="65"/>
      <w:bookmarkEnd w:id="66"/>
      <w:bookmarkEnd w:id="67"/>
      <w:r>
        <w:rPr>
          <w:rFonts w:ascii="Times New Roman" w:hAnsi="Times New Roman"/>
          <w:color w:val="auto"/>
          <w:sz w:val="24"/>
          <w:szCs w:val="24"/>
          <w:highlight w:val="none"/>
        </w:rPr>
        <w:t>，否则应承担相应的法律责任。</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68" w:name="_Toc20852"/>
      <w:bookmarkStart w:id="69" w:name="_Toc89870556"/>
      <w:bookmarkStart w:id="70" w:name="_Toc8146"/>
      <w:r>
        <w:rPr>
          <w:rFonts w:ascii="Times New Roman" w:hAnsi="Times New Roman"/>
          <w:color w:val="auto"/>
          <w:sz w:val="24"/>
          <w:szCs w:val="24"/>
          <w:highlight w:val="none"/>
        </w:rPr>
        <w:t>1.7 语言文字</w:t>
      </w:r>
      <w:bookmarkEnd w:id="68"/>
      <w:bookmarkEnd w:id="69"/>
      <w:bookmarkEnd w:id="7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招标投标文件使用的语言文字为中文。专用术语使用外文的，应附有中文注释。</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71" w:name="_Toc29220"/>
      <w:bookmarkStart w:id="72" w:name="_Toc89870557"/>
      <w:bookmarkStart w:id="73" w:name="_Toc7539"/>
      <w:r>
        <w:rPr>
          <w:rFonts w:ascii="Times New Roman" w:hAnsi="Times New Roman"/>
          <w:color w:val="auto"/>
          <w:sz w:val="24"/>
          <w:szCs w:val="24"/>
          <w:highlight w:val="none"/>
        </w:rPr>
        <w:t>1.8计量单位</w:t>
      </w:r>
      <w:bookmarkEnd w:id="71"/>
      <w:bookmarkEnd w:id="72"/>
      <w:bookmarkEnd w:id="7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所有计量均采用中华人民共和国法定计量单位。</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74" w:name="_Toc370676289"/>
      <w:bookmarkStart w:id="75" w:name="_Toc89870558"/>
      <w:bookmarkStart w:id="76" w:name="_Toc247527563"/>
      <w:bookmarkStart w:id="77" w:name="_Toc144974507"/>
      <w:bookmarkStart w:id="78" w:name="_Toc31279"/>
      <w:bookmarkStart w:id="79" w:name="_Toc391393967"/>
      <w:bookmarkStart w:id="80" w:name="_Toc361508594"/>
      <w:bookmarkStart w:id="81" w:name="_Toc152045539"/>
      <w:bookmarkStart w:id="82" w:name="_Toc27371"/>
      <w:bookmarkStart w:id="83" w:name="_Toc152042315"/>
      <w:bookmarkStart w:id="84" w:name="_Toc247513962"/>
      <w:bookmarkStart w:id="85" w:name="_Toc384308219"/>
      <w:bookmarkStart w:id="86" w:name="_Toc300834959"/>
      <w:bookmarkStart w:id="87" w:name="_Toc482188480"/>
      <w:r>
        <w:rPr>
          <w:rFonts w:ascii="Times New Roman" w:hAnsi="Times New Roman"/>
          <w:color w:val="auto"/>
          <w:sz w:val="24"/>
          <w:szCs w:val="24"/>
          <w:highlight w:val="none"/>
        </w:rPr>
        <w:t xml:space="preserve">1.9 </w:t>
      </w:r>
      <w:r>
        <w:rPr>
          <w:rFonts w:hint="eastAsia" w:ascii="Times New Roman" w:hAnsi="Times New Roman"/>
          <w:color w:val="auto"/>
          <w:sz w:val="24"/>
          <w:szCs w:val="24"/>
          <w:highlight w:val="none"/>
        </w:rPr>
        <w:t>踏勘现场</w:t>
      </w:r>
      <w:bookmarkEnd w:id="74"/>
      <w:bookmarkEnd w:id="75"/>
      <w:bookmarkEnd w:id="76"/>
      <w:bookmarkEnd w:id="77"/>
      <w:bookmarkEnd w:id="78"/>
      <w:bookmarkEnd w:id="79"/>
      <w:bookmarkEnd w:id="80"/>
      <w:bookmarkEnd w:id="81"/>
      <w:bookmarkEnd w:id="82"/>
      <w:bookmarkEnd w:id="83"/>
      <w:bookmarkEnd w:id="84"/>
      <w:bookmarkEnd w:id="85"/>
      <w:bookmarkEnd w:id="86"/>
      <w:bookmarkEnd w:id="87"/>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1.9.2 投标人踏勘现场发生的费用自理。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1.9.3 除招标人的原因外，投标人自行负责在踏勘现场中所发生的人员伤亡和财产损失。</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1.9.4 招标人在踏勘现场中介绍的工程场地和相关的周边环境情况，供投标人在编制投标文件时参考，招标人不对投标人据此作出的判断和决策负责。</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88" w:name="_Toc89870559"/>
      <w:bookmarkStart w:id="89" w:name="_Toc9296"/>
      <w:bookmarkStart w:id="90" w:name="_Toc17151"/>
      <w:r>
        <w:rPr>
          <w:rFonts w:ascii="Times New Roman" w:hAnsi="Times New Roman"/>
          <w:color w:val="auto"/>
          <w:sz w:val="24"/>
          <w:szCs w:val="24"/>
          <w:highlight w:val="none"/>
        </w:rPr>
        <w:t>1.10投标预备会</w:t>
      </w:r>
      <w:bookmarkEnd w:id="88"/>
      <w:bookmarkEnd w:id="89"/>
      <w:bookmarkEnd w:id="9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1.10.1 投标人须知前附表规定召开投标预备会的，招标人按投标人须知前附表规定的时间和地点召开投标预备会，澄清投标人提出的问题。</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1.10.2 投标人应按投标人须知前附表规定的时间和形式将提出的问题送达招标人，以便招标人在会议期间澄清。</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1.10.3 投标预备会后，招标人将对投标人所提问题的澄清，以投标人须知前附表规定的形式通知所有购买招标文件的投标人。该澄清内容为招标文件的组成部分。</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91" w:name="_Toc15034"/>
      <w:bookmarkStart w:id="92" w:name="_Toc89870560"/>
      <w:bookmarkStart w:id="93" w:name="_Toc24929"/>
      <w:r>
        <w:rPr>
          <w:rFonts w:ascii="Times New Roman" w:hAnsi="Times New Roman"/>
          <w:color w:val="auto"/>
          <w:sz w:val="24"/>
          <w:szCs w:val="24"/>
          <w:highlight w:val="none"/>
        </w:rPr>
        <w:t>1.11 分包</w:t>
      </w:r>
      <w:bookmarkEnd w:id="91"/>
      <w:bookmarkEnd w:id="92"/>
      <w:bookmarkEnd w:id="9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本项目严禁分包。</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94" w:name="_Toc89870561"/>
      <w:bookmarkStart w:id="95" w:name="_Toc17028"/>
      <w:bookmarkStart w:id="96" w:name="_Toc15891"/>
      <w:r>
        <w:rPr>
          <w:rFonts w:ascii="Times New Roman" w:hAnsi="Times New Roman"/>
          <w:color w:val="auto"/>
          <w:sz w:val="24"/>
          <w:szCs w:val="24"/>
          <w:highlight w:val="none"/>
        </w:rPr>
        <w:t>1.12响应和偏差</w:t>
      </w:r>
      <w:bookmarkEnd w:id="94"/>
      <w:bookmarkEnd w:id="95"/>
      <w:bookmarkEnd w:id="96"/>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1.12.2 投标人应根据招标文件的要求提供投标监理大纲等内容以对招标文件作出响应。</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1.12.3投标人须知前附表允许投标文件偏离招标文件某些要求的，偏差应当符合招标文件规定的偏差范围和幅度。</w:t>
      </w:r>
    </w:p>
    <w:p>
      <w:pPr>
        <w:pStyle w:val="4"/>
        <w:keepNext w:val="0"/>
        <w:keepLines w:val="0"/>
        <w:spacing w:before="0" w:after="0" w:line="360" w:lineRule="auto"/>
        <w:ind w:firstLine="643" w:firstLineChars="200"/>
        <w:rPr>
          <w:rFonts w:ascii="Times New Roman" w:hAnsi="Times New Roman"/>
          <w:color w:val="auto"/>
          <w:highlight w:val="none"/>
        </w:rPr>
      </w:pPr>
      <w:bookmarkStart w:id="97" w:name="_Toc29981"/>
      <w:bookmarkStart w:id="98" w:name="_Toc13829"/>
      <w:bookmarkStart w:id="99" w:name="_Toc89870562"/>
      <w:r>
        <w:rPr>
          <w:rFonts w:ascii="Times New Roman" w:hAnsi="Times New Roman"/>
          <w:color w:val="auto"/>
          <w:highlight w:val="none"/>
        </w:rPr>
        <w:t>2. 招标文件</w:t>
      </w:r>
      <w:bookmarkEnd w:id="97"/>
      <w:bookmarkEnd w:id="98"/>
      <w:bookmarkEnd w:id="99"/>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100" w:name="_Toc14068"/>
      <w:bookmarkStart w:id="101" w:name="_Toc89870563"/>
      <w:bookmarkStart w:id="102" w:name="_Toc19114"/>
      <w:r>
        <w:rPr>
          <w:rFonts w:ascii="Times New Roman" w:hAnsi="Times New Roman"/>
          <w:color w:val="auto"/>
          <w:sz w:val="24"/>
          <w:szCs w:val="24"/>
          <w:highlight w:val="none"/>
        </w:rPr>
        <w:t>2.1 招标文件的组成</w:t>
      </w:r>
      <w:bookmarkEnd w:id="100"/>
      <w:bookmarkEnd w:id="101"/>
      <w:bookmarkEnd w:id="102"/>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本招标文件包括：</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（1）招标公告（或投标邀请书）；</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（2）投标人须知；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（3）评标办法；</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（4）合同条款及格式；</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（5）委托人要求；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（6）投标文件格式；</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（7）投标人须知前附表规定的其他资料。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根据本章第1.10款、第2.2款和第2.3款对招标文件所作的澄清、修改，构成招标文件的组成部分。</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103" w:name="_Toc323"/>
      <w:bookmarkStart w:id="104" w:name="_Toc24624"/>
      <w:bookmarkStart w:id="105" w:name="_Toc89870564"/>
      <w:r>
        <w:rPr>
          <w:rFonts w:ascii="Times New Roman" w:hAnsi="Times New Roman"/>
          <w:color w:val="auto"/>
          <w:sz w:val="24"/>
          <w:szCs w:val="24"/>
          <w:highlight w:val="none"/>
        </w:rPr>
        <w:t>2.2 招标文件的澄清</w:t>
      </w:r>
      <w:bookmarkEnd w:id="103"/>
      <w:bookmarkEnd w:id="104"/>
      <w:bookmarkEnd w:id="10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2.2.3 除非招标人认为确有必要答复，否则，招标人有权拒绝回复投标人在</w:t>
      </w:r>
      <w:r>
        <w:rPr>
          <w:rFonts w:hint="eastAsia" w:ascii="Times New Roman" w:hAnsi="Times New Roman"/>
          <w:color w:val="auto"/>
          <w:sz w:val="24"/>
          <w:szCs w:val="24"/>
          <w:highlight w:val="none"/>
        </w:rPr>
        <w:t>本章第2.2.1项</w:t>
      </w:r>
      <w:r>
        <w:rPr>
          <w:rFonts w:ascii="Times New Roman" w:hAnsi="Times New Roman"/>
          <w:color w:val="auto"/>
          <w:sz w:val="24"/>
          <w:szCs w:val="24"/>
          <w:highlight w:val="none"/>
        </w:rPr>
        <w:t>规定的时间后的任何澄清要求。</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106" w:name="_Toc2698"/>
      <w:bookmarkStart w:id="107" w:name="_Toc23729"/>
      <w:bookmarkStart w:id="108" w:name="_Toc89870565"/>
      <w:bookmarkStart w:id="109" w:name="_Toc352691479"/>
      <w:r>
        <w:rPr>
          <w:rFonts w:ascii="Times New Roman" w:hAnsi="Times New Roman"/>
          <w:color w:val="auto"/>
          <w:sz w:val="24"/>
          <w:szCs w:val="24"/>
          <w:highlight w:val="none"/>
        </w:rPr>
        <w:t>2.3 招标文件的修</w:t>
      </w:r>
      <w:bookmarkStart w:id="110" w:name="_Toc369531521"/>
      <w:bookmarkStart w:id="111" w:name="_Toc16514"/>
      <w:r>
        <w:rPr>
          <w:rFonts w:ascii="Times New Roman" w:hAnsi="Times New Roman"/>
          <w:color w:val="auto"/>
          <w:sz w:val="24"/>
          <w:szCs w:val="24"/>
          <w:highlight w:val="none"/>
        </w:rPr>
        <w:t>改</w:t>
      </w:r>
      <w:bookmarkEnd w:id="106"/>
      <w:bookmarkEnd w:id="107"/>
      <w:bookmarkEnd w:id="108"/>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2.3.1招标人以投标人须知前附表规定的形式修改招标文件，并由潜在投标人自行下载。修改招标文件的时间距本章第4.2.1项规定的投标截止时间不足15日的，并且修改内容可能影响投标文件编制的，将相应延长投标截止时间。</w:t>
      </w:r>
    </w:p>
    <w:bookmarkEnd w:id="109"/>
    <w:bookmarkEnd w:id="110"/>
    <w:bookmarkEnd w:id="111"/>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2.3.2 投标人收到修改内容</w:t>
      </w:r>
      <w:bookmarkStart w:id="112" w:name="_Toc369531524"/>
      <w:bookmarkStart w:id="113" w:name="_Toc300834958"/>
      <w:bookmarkStart w:id="114" w:name="_Toc24632"/>
      <w:bookmarkStart w:id="115" w:name="_Toc352691482"/>
      <w:bookmarkStart w:id="116" w:name="_Toc247513961"/>
      <w:bookmarkStart w:id="117" w:name="_Toc152042314"/>
      <w:bookmarkStart w:id="118" w:name="_Toc361508593"/>
      <w:bookmarkStart w:id="119" w:name="_Toc152045538"/>
      <w:bookmarkStart w:id="120" w:name="_Toc144974506"/>
      <w:bookmarkStart w:id="121" w:name="_Toc247527562"/>
      <w:bookmarkStart w:id="122" w:name="_Toc384308218"/>
      <w:r>
        <w:rPr>
          <w:rFonts w:ascii="Times New Roman" w:hAnsi="Times New Roman"/>
          <w:color w:val="auto"/>
          <w:sz w:val="24"/>
          <w:szCs w:val="24"/>
          <w:highlight w:val="none"/>
        </w:rPr>
        <w:t>后，</w:t>
      </w:r>
      <w:bookmarkEnd w:id="112"/>
      <w:bookmarkEnd w:id="113"/>
      <w:bookmarkEnd w:id="114"/>
      <w:bookmarkEnd w:id="115"/>
      <w:bookmarkEnd w:id="116"/>
      <w:bookmarkEnd w:id="117"/>
      <w:bookmarkEnd w:id="118"/>
      <w:bookmarkEnd w:id="119"/>
      <w:bookmarkEnd w:id="120"/>
      <w:bookmarkEnd w:id="121"/>
      <w:bookmarkEnd w:id="122"/>
      <w:bookmarkStart w:id="123" w:name="_Toc16623"/>
      <w:bookmarkStart w:id="124" w:name="_Toc352691484"/>
      <w:bookmarkStart w:id="125" w:name="_Toc384308220"/>
      <w:bookmarkStart w:id="126" w:name="_Toc361508595"/>
      <w:bookmarkStart w:id="127" w:name="_Toc300834960"/>
      <w:bookmarkStart w:id="128" w:name="_Toc152045540"/>
      <w:bookmarkStart w:id="129" w:name="_Toc144974508"/>
      <w:bookmarkStart w:id="130" w:name="_Toc247527564"/>
      <w:bookmarkStart w:id="131" w:name="_Toc247513963"/>
      <w:bookmarkStart w:id="132" w:name="_Toc152042316"/>
      <w:bookmarkStart w:id="133" w:name="_Toc369531526"/>
      <w:r>
        <w:rPr>
          <w:rFonts w:ascii="Times New Roman" w:hAnsi="Times New Roman"/>
          <w:color w:val="auto"/>
          <w:sz w:val="24"/>
          <w:szCs w:val="24"/>
          <w:highlight w:val="none"/>
        </w:rPr>
        <w:t>应按投标人须知前附表规定的时间和形式通知招标人，确认已收到该修改。</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134" w:name="_Toc622"/>
      <w:bookmarkStart w:id="135" w:name="_Toc30280"/>
      <w:bookmarkStart w:id="136" w:name="_Toc89870566"/>
      <w:r>
        <w:rPr>
          <w:rFonts w:ascii="Times New Roman" w:hAnsi="Times New Roman"/>
          <w:color w:val="auto"/>
          <w:sz w:val="24"/>
          <w:szCs w:val="24"/>
          <w:highlight w:val="none"/>
        </w:rPr>
        <w:t>2.</w:t>
      </w:r>
      <w:bookmarkEnd w:id="123"/>
      <w:bookmarkEnd w:id="124"/>
      <w:bookmarkEnd w:id="125"/>
      <w:bookmarkEnd w:id="126"/>
      <w:bookmarkEnd w:id="127"/>
      <w:bookmarkEnd w:id="128"/>
      <w:bookmarkEnd w:id="129"/>
      <w:bookmarkEnd w:id="130"/>
      <w:bookmarkEnd w:id="131"/>
      <w:bookmarkEnd w:id="132"/>
      <w:bookmarkEnd w:id="133"/>
      <w:r>
        <w:rPr>
          <w:rFonts w:ascii="Times New Roman" w:hAnsi="Times New Roman"/>
          <w:color w:val="auto"/>
          <w:sz w:val="24"/>
          <w:szCs w:val="24"/>
          <w:highlight w:val="none"/>
        </w:rPr>
        <w:t>4 招标文件的异议</w:t>
      </w:r>
      <w:bookmarkEnd w:id="134"/>
      <w:bookmarkEnd w:id="135"/>
      <w:bookmarkEnd w:id="136"/>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pPr>
        <w:pStyle w:val="4"/>
        <w:keepNext w:val="0"/>
        <w:keepLines w:val="0"/>
        <w:spacing w:before="0" w:after="0" w:line="360" w:lineRule="auto"/>
        <w:ind w:firstLine="643" w:firstLineChars="200"/>
        <w:rPr>
          <w:rFonts w:ascii="Times New Roman" w:hAnsi="Times New Roman"/>
          <w:color w:val="auto"/>
          <w:highlight w:val="none"/>
        </w:rPr>
      </w:pPr>
      <w:bookmarkStart w:id="137" w:name="_Toc20188"/>
      <w:bookmarkStart w:id="138" w:name="_Toc21775"/>
      <w:bookmarkStart w:id="139" w:name="_Toc89870567"/>
      <w:r>
        <w:rPr>
          <w:rFonts w:ascii="Times New Roman" w:hAnsi="Times New Roman"/>
          <w:color w:val="auto"/>
          <w:highlight w:val="none"/>
        </w:rPr>
        <w:t>3. 投标文件</w:t>
      </w:r>
      <w:bookmarkEnd w:id="137"/>
      <w:bookmarkEnd w:id="138"/>
      <w:bookmarkEnd w:id="139"/>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140" w:name="_Toc17006"/>
      <w:bookmarkStart w:id="141" w:name="_Toc26764"/>
      <w:bookmarkStart w:id="142" w:name="_Toc89870568"/>
      <w:r>
        <w:rPr>
          <w:rFonts w:ascii="Times New Roman" w:hAnsi="Times New Roman"/>
          <w:color w:val="auto"/>
          <w:sz w:val="24"/>
          <w:szCs w:val="24"/>
          <w:highlight w:val="none"/>
        </w:rPr>
        <w:t>3.1 投标文件的组成</w:t>
      </w:r>
      <w:bookmarkEnd w:id="140"/>
      <w:bookmarkEnd w:id="141"/>
      <w:bookmarkEnd w:id="142"/>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3.1.1 投标文件应包括下列内容：</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（1）投标函及投标函附录；</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（2）法定代表人身份证明或授权委托书；</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）联合体协议书</w:t>
      </w:r>
      <w:r>
        <w:rPr>
          <w:rFonts w:ascii="Times New Roman" w:hAnsi="Times New Roman"/>
          <w:color w:val="auto"/>
          <w:sz w:val="24"/>
          <w:szCs w:val="24"/>
          <w:highlight w:val="none"/>
        </w:rPr>
        <w:t>（本项目不接受联合体投标，无需提供）；</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）投标保证金；</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5</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广州建设工程监理投标书</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6</w:t>
      </w:r>
      <w:r>
        <w:rPr>
          <w:rFonts w:ascii="Times New Roman" w:hAnsi="Times New Roman"/>
          <w:color w:val="auto"/>
          <w:sz w:val="24"/>
          <w:szCs w:val="24"/>
          <w:highlight w:val="none"/>
        </w:rPr>
        <w:t>）资格审查资料；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7</w:t>
      </w:r>
      <w:r>
        <w:rPr>
          <w:rFonts w:ascii="Times New Roman" w:hAnsi="Times New Roman"/>
          <w:color w:val="auto"/>
          <w:sz w:val="24"/>
          <w:szCs w:val="24"/>
          <w:highlight w:val="none"/>
        </w:rPr>
        <w:t>）监理大纲；</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8</w:t>
      </w:r>
      <w:r>
        <w:rPr>
          <w:rFonts w:ascii="Times New Roman" w:hAnsi="Times New Roman"/>
          <w:color w:val="auto"/>
          <w:sz w:val="24"/>
          <w:szCs w:val="24"/>
          <w:highlight w:val="none"/>
        </w:rPr>
        <w:t>）投标人须知前附表规定的其他资料。</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（9）投标人自评分表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投标人在评标过程中作出的符合法律法规和招标文件规定的澄清确认，构成投标文件的组成部分。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 投标人须知前附表规定不接受联合体投标的，或投标人没有组成联合体的，投标文件不包括本章第3.1.1（3）目所指的联合体协议书。</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3.1.3 投标人须知前附表未要求提交投标保证金的，投标文件不包括本章第3.1.1（4）目所指的投标保证金。</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143" w:name="_Toc18253"/>
      <w:bookmarkStart w:id="144" w:name="_Toc15761"/>
      <w:bookmarkStart w:id="145" w:name="_Toc89870569"/>
      <w:r>
        <w:rPr>
          <w:rFonts w:ascii="Times New Roman" w:hAnsi="Times New Roman"/>
          <w:color w:val="auto"/>
          <w:sz w:val="24"/>
          <w:szCs w:val="24"/>
          <w:highlight w:val="none"/>
        </w:rPr>
        <w:t>3.2 投标报价</w:t>
      </w:r>
      <w:bookmarkEnd w:id="143"/>
      <w:bookmarkEnd w:id="144"/>
      <w:bookmarkEnd w:id="14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3.2.1</w:t>
      </w:r>
      <w:r>
        <w:rPr>
          <w:rFonts w:hint="eastAsia" w:ascii="Times New Roman" w:hAnsi="Times New Roman"/>
          <w:color w:val="auto"/>
          <w:sz w:val="24"/>
          <w:szCs w:val="24"/>
          <w:highlight w:val="none"/>
        </w:rPr>
        <w:t>投标报价应包括国家规定的增值税税金，除投标人须知前附表另有规定外，增值税税金按一般计税方法计算。投标人应按第六章“投标文件格式”的要求在投标函及投标函附录中进行报价</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3.2.2 投标人应充分了解该项目的总体情况以及影响投标报价的其他要素。</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3.2.3</w:t>
      </w:r>
      <w:bookmarkStart w:id="146" w:name="_Toc361508599"/>
      <w:bookmarkEnd w:id="146"/>
      <w:bookmarkStart w:id="147" w:name="_Toc152045543"/>
      <w:bookmarkEnd w:id="147"/>
      <w:bookmarkStart w:id="148" w:name="_Toc369531530"/>
      <w:bookmarkEnd w:id="148"/>
      <w:bookmarkStart w:id="149" w:name="_Toc384308224"/>
      <w:bookmarkEnd w:id="149"/>
      <w:bookmarkStart w:id="150" w:name="_Toc144974511"/>
      <w:bookmarkEnd w:id="150"/>
      <w:bookmarkStart w:id="151" w:name="_Toc300834964"/>
      <w:bookmarkEnd w:id="151"/>
      <w:bookmarkStart w:id="152" w:name="_Toc15242"/>
      <w:bookmarkEnd w:id="152"/>
      <w:bookmarkStart w:id="153" w:name="_Toc247513967"/>
      <w:bookmarkEnd w:id="153"/>
      <w:bookmarkStart w:id="154" w:name="_Toc152042319"/>
      <w:bookmarkEnd w:id="154"/>
      <w:bookmarkStart w:id="155" w:name="_Toc352691487"/>
      <w:bookmarkEnd w:id="155"/>
      <w:bookmarkStart w:id="156" w:name="_Toc247527568"/>
      <w:bookmarkEnd w:id="156"/>
      <w:r>
        <w:rPr>
          <w:rFonts w:hint="eastAsia" w:ascii="Times New Roman" w:hAnsi="Times New Roman"/>
          <w:color w:val="auto"/>
          <w:sz w:val="24"/>
          <w:szCs w:val="24"/>
          <w:highlight w:val="none"/>
        </w:rPr>
        <w:t xml:space="preserve"> </w:t>
      </w:r>
      <w:r>
        <w:rPr>
          <w:rFonts w:hint="eastAsia" w:ascii="宋体" w:hAnsi="宋体" w:cs="宋体"/>
          <w:color w:val="auto"/>
          <w:kern w:val="0"/>
          <w:sz w:val="24"/>
          <w:szCs w:val="24"/>
          <w:highlight w:val="none"/>
        </w:rPr>
        <w:t>本项目的报价方式见投标人须知前附表。投标人在投标截止时间前修改投标函中的投标报价总额须符合本章第4.3款的有关要求</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3.2.4 招标人设有最高投标限价的，投标人的投标报价不得超过最高投标限价，最高投标限价在投标</w:t>
      </w:r>
      <w:bookmarkStart w:id="157" w:name="_Toc300834965"/>
      <w:bookmarkStart w:id="158" w:name="_Toc384308225"/>
      <w:bookmarkStart w:id="159" w:name="_Toc247527569"/>
      <w:bookmarkStart w:id="160" w:name="_Toc152042320"/>
      <w:bookmarkStart w:id="161" w:name="_Toc152045544"/>
      <w:bookmarkStart w:id="162" w:name="_Toc361508600"/>
      <w:bookmarkStart w:id="163" w:name="_Toc352691488"/>
      <w:bookmarkStart w:id="164" w:name="_Toc10429"/>
      <w:bookmarkStart w:id="165" w:name="_Toc247513968"/>
      <w:bookmarkStart w:id="166" w:name="_Toc369531531"/>
      <w:bookmarkStart w:id="167" w:name="_Toc144974512"/>
      <w:r>
        <w:rPr>
          <w:rFonts w:ascii="Times New Roman" w:hAnsi="Times New Roman"/>
          <w:color w:val="auto"/>
          <w:sz w:val="24"/>
          <w:szCs w:val="24"/>
          <w:highlight w:val="none"/>
        </w:rPr>
        <w:t>人须知前附表中载明。</w:t>
      </w:r>
      <w:bookmarkEnd w:id="157"/>
      <w:bookmarkEnd w:id="158"/>
      <w:bookmarkEnd w:id="159"/>
      <w:bookmarkEnd w:id="160"/>
      <w:bookmarkEnd w:id="161"/>
      <w:bookmarkEnd w:id="162"/>
      <w:bookmarkEnd w:id="163"/>
      <w:bookmarkEnd w:id="164"/>
      <w:bookmarkEnd w:id="165"/>
      <w:bookmarkEnd w:id="166"/>
      <w:bookmarkEnd w:id="167"/>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3.2.5 投标报价的其他要求见投标人须知前附表。</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168" w:name="_Toc9551"/>
      <w:bookmarkStart w:id="169" w:name="_Toc26962"/>
      <w:bookmarkStart w:id="170" w:name="_Toc89870570"/>
      <w:r>
        <w:rPr>
          <w:rFonts w:ascii="Times New Roman" w:hAnsi="Times New Roman"/>
          <w:color w:val="auto"/>
          <w:sz w:val="24"/>
          <w:szCs w:val="24"/>
          <w:highlight w:val="none"/>
        </w:rPr>
        <w:t>3.3 投标有效期</w:t>
      </w:r>
      <w:bookmarkEnd w:id="168"/>
      <w:bookmarkEnd w:id="169"/>
      <w:bookmarkEnd w:id="17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3.3.1 除投标人须知前附表另有规定外，投标有效期为</w:t>
      </w:r>
      <w:r>
        <w:rPr>
          <w:rFonts w:hint="eastAsia" w:ascii="Times New Roman" w:hAnsi="Times New Roman"/>
          <w:color w:val="auto"/>
          <w:sz w:val="24"/>
          <w:szCs w:val="24"/>
          <w:highlight w:val="none"/>
        </w:rPr>
        <w:t>90</w:t>
      </w:r>
      <w:r>
        <w:rPr>
          <w:rFonts w:ascii="Times New Roman" w:hAnsi="Times New Roman"/>
          <w:color w:val="auto"/>
          <w:sz w:val="24"/>
          <w:szCs w:val="24"/>
          <w:highlight w:val="none"/>
        </w:rPr>
        <w:t>天。</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3.3.2 在投标有效期内，投标人撤销投标文件的，应承担招标文件和法律规定的责任。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171" w:name="_Toc29318"/>
      <w:bookmarkStart w:id="172" w:name="_Toc89870571"/>
      <w:bookmarkStart w:id="173" w:name="_Toc2728"/>
      <w:r>
        <w:rPr>
          <w:rFonts w:ascii="Times New Roman" w:hAnsi="Times New Roman"/>
          <w:color w:val="auto"/>
          <w:sz w:val="24"/>
          <w:szCs w:val="24"/>
          <w:highlight w:val="none"/>
        </w:rPr>
        <w:t>3.4 投标保证金</w:t>
      </w:r>
      <w:bookmarkEnd w:id="171"/>
      <w:bookmarkEnd w:id="172"/>
      <w:bookmarkEnd w:id="17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3.4.1 投标人在递交投标文件的同时，应按投标人须知前附表规定的金额</w:t>
      </w:r>
      <w:bookmarkStart w:id="174" w:name="_Toc384308226"/>
      <w:bookmarkStart w:id="175" w:name="_Toc4592"/>
      <w:bookmarkStart w:id="176" w:name="_Toc152042321"/>
      <w:bookmarkStart w:id="177" w:name="_Toc300834966"/>
      <w:bookmarkStart w:id="178" w:name="_Toc247513969"/>
      <w:bookmarkStart w:id="179" w:name="_Toc369531532"/>
      <w:bookmarkStart w:id="180" w:name="_Toc152045545"/>
      <w:bookmarkStart w:id="181" w:name="_Toc144974513"/>
      <w:bookmarkStart w:id="182" w:name="_Toc352691489"/>
      <w:bookmarkStart w:id="183" w:name="_Toc361508601"/>
      <w:bookmarkStart w:id="184" w:name="_Toc247527570"/>
      <w:r>
        <w:rPr>
          <w:rFonts w:ascii="Times New Roman" w:hAnsi="Times New Roman"/>
          <w:color w:val="auto"/>
          <w:sz w:val="24"/>
          <w:szCs w:val="24"/>
          <w:highlight w:val="none"/>
        </w:rPr>
        <w:t>、形式和第六章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投标文</w:t>
      </w:r>
      <w:bookmarkEnd w:id="174"/>
      <w:bookmarkEnd w:id="175"/>
      <w:bookmarkEnd w:id="176"/>
      <w:bookmarkEnd w:id="177"/>
      <w:bookmarkEnd w:id="178"/>
      <w:bookmarkEnd w:id="179"/>
      <w:bookmarkEnd w:id="180"/>
      <w:bookmarkEnd w:id="181"/>
      <w:bookmarkEnd w:id="182"/>
      <w:bookmarkEnd w:id="183"/>
      <w:bookmarkEnd w:id="184"/>
      <w:r>
        <w:rPr>
          <w:rFonts w:ascii="Times New Roman" w:hAnsi="Times New Roman"/>
          <w:color w:val="auto"/>
          <w:sz w:val="24"/>
          <w:szCs w:val="24"/>
          <w:highlight w:val="none"/>
        </w:rPr>
        <w:t>件格式</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3.4.2 投标人不按本章第3.4.1项</w:t>
      </w:r>
      <w:bookmarkStart w:id="185" w:name="_Toc352691490"/>
      <w:bookmarkStart w:id="186" w:name="_Toc361508602"/>
      <w:bookmarkStart w:id="187" w:name="_Toc29025"/>
      <w:bookmarkStart w:id="188" w:name="_Toc384308227"/>
      <w:bookmarkStart w:id="189" w:name="_Toc369531533"/>
      <w:r>
        <w:rPr>
          <w:rFonts w:ascii="Times New Roman" w:hAnsi="Times New Roman"/>
          <w:color w:val="auto"/>
          <w:sz w:val="24"/>
          <w:szCs w:val="24"/>
          <w:highlight w:val="none"/>
        </w:rPr>
        <w:t>要求提交投标保证金的，</w:t>
      </w:r>
      <w:bookmarkEnd w:id="185"/>
      <w:bookmarkEnd w:id="186"/>
      <w:bookmarkEnd w:id="187"/>
      <w:bookmarkEnd w:id="188"/>
      <w:bookmarkEnd w:id="189"/>
      <w:r>
        <w:rPr>
          <w:rFonts w:ascii="Times New Roman" w:hAnsi="Times New Roman"/>
          <w:color w:val="auto"/>
          <w:sz w:val="24"/>
          <w:szCs w:val="24"/>
          <w:highlight w:val="none"/>
        </w:rPr>
        <w:t>评标委员会将否决其投标。</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3.4.3 招标人最迟将在与中标人</w:t>
      </w:r>
      <w:bookmarkStart w:id="190" w:name="_Toc369531534"/>
      <w:bookmarkStart w:id="191" w:name="_Toc14751"/>
      <w:bookmarkStart w:id="192" w:name="_Toc247527571"/>
      <w:bookmarkStart w:id="193" w:name="_Toc247513970"/>
      <w:bookmarkStart w:id="194" w:name="_Toc300834967"/>
      <w:bookmarkStart w:id="195" w:name="_Toc152042322"/>
      <w:bookmarkStart w:id="196" w:name="_Toc384308228"/>
      <w:bookmarkStart w:id="197" w:name="_Toc361508603"/>
      <w:bookmarkStart w:id="198" w:name="_Toc152045546"/>
      <w:bookmarkStart w:id="199" w:name="_Toc352691491"/>
      <w:bookmarkStart w:id="200" w:name="_Toc144974514"/>
      <w:r>
        <w:rPr>
          <w:rFonts w:ascii="Times New Roman" w:hAnsi="Times New Roman"/>
          <w:color w:val="auto"/>
          <w:sz w:val="24"/>
          <w:szCs w:val="24"/>
          <w:highlight w:val="none"/>
        </w:rPr>
        <w:t>签订合同后5日</w:t>
      </w:r>
      <w:bookmarkEnd w:id="190"/>
      <w:bookmarkEnd w:id="191"/>
      <w:bookmarkEnd w:id="192"/>
      <w:bookmarkEnd w:id="193"/>
      <w:bookmarkEnd w:id="194"/>
      <w:bookmarkEnd w:id="195"/>
      <w:bookmarkEnd w:id="196"/>
      <w:bookmarkEnd w:id="197"/>
      <w:bookmarkEnd w:id="198"/>
      <w:bookmarkEnd w:id="199"/>
      <w:bookmarkEnd w:id="200"/>
      <w:r>
        <w:rPr>
          <w:rFonts w:ascii="Times New Roman" w:hAnsi="Times New Roman"/>
          <w:color w:val="auto"/>
          <w:sz w:val="24"/>
          <w:szCs w:val="24"/>
          <w:highlight w:val="none"/>
        </w:rPr>
        <w:t>内</w:t>
      </w:r>
      <w:bookmarkStart w:id="201" w:name="_Toc152045547"/>
      <w:bookmarkStart w:id="202" w:name="_Toc361508604"/>
      <w:bookmarkStart w:id="203" w:name="_Toc352691492"/>
      <w:bookmarkStart w:id="204" w:name="_Toc144974515"/>
      <w:bookmarkStart w:id="205" w:name="_Toc384308229"/>
      <w:bookmarkStart w:id="206" w:name="_Toc17952"/>
      <w:bookmarkStart w:id="207" w:name="_Toc247527572"/>
      <w:bookmarkStart w:id="208" w:name="_Toc369531535"/>
      <w:bookmarkStart w:id="209" w:name="_Toc247513971"/>
      <w:bookmarkStart w:id="210" w:name="_Toc152042323"/>
      <w:bookmarkStart w:id="211" w:name="_Toc300834968"/>
      <w:r>
        <w:rPr>
          <w:rFonts w:ascii="Times New Roman" w:hAnsi="Times New Roman"/>
          <w:color w:val="auto"/>
          <w:sz w:val="24"/>
          <w:szCs w:val="24"/>
          <w:highlight w:val="none"/>
        </w:rPr>
        <w:t>，向未中标的投标人和中</w:t>
      </w:r>
      <w:bookmarkEnd w:id="201"/>
      <w:bookmarkEnd w:id="202"/>
      <w:bookmarkEnd w:id="203"/>
      <w:bookmarkEnd w:id="204"/>
      <w:bookmarkEnd w:id="205"/>
      <w:bookmarkEnd w:id="206"/>
      <w:bookmarkEnd w:id="207"/>
      <w:bookmarkEnd w:id="208"/>
      <w:bookmarkEnd w:id="209"/>
      <w:bookmarkEnd w:id="210"/>
      <w:bookmarkEnd w:id="211"/>
      <w:r>
        <w:rPr>
          <w:rFonts w:ascii="Times New Roman" w:hAnsi="Times New Roman"/>
          <w:color w:val="auto"/>
          <w:sz w:val="24"/>
          <w:szCs w:val="24"/>
          <w:highlight w:val="none"/>
        </w:rPr>
        <w:t>标人退还投标保证金。投标保证金以现金或者支票形式递交的，还应退还银行同期存款利息。</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3.4.4 有下列情形之一的，投标保证金将不予退还：</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（1）投标人在投标有效期内撤销投标文件；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（2）中标人在收到中标通知书后，无正当理由不与招标人订立合同，在签订合同时向招标人提出附加条件，或者不按照招标文件要求提交履约保证金；</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（3）发生投标人须知前附表规定的其他可以不予退还投标保证金的情形。</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212" w:name="_Toc20976"/>
      <w:bookmarkStart w:id="213" w:name="_Toc89870572"/>
      <w:bookmarkStart w:id="214" w:name="_Toc17845"/>
      <w:r>
        <w:rPr>
          <w:rFonts w:ascii="Times New Roman" w:hAnsi="Times New Roman"/>
          <w:color w:val="auto"/>
          <w:sz w:val="24"/>
          <w:szCs w:val="24"/>
          <w:highlight w:val="none"/>
        </w:rPr>
        <w:t>3.5 资格审查资料（适用于未进行资格预审的）</w:t>
      </w:r>
      <w:bookmarkEnd w:id="212"/>
      <w:bookmarkEnd w:id="213"/>
      <w:bookmarkEnd w:id="214"/>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除投标人须知前附表另有规定外，投标人应按下列规定提供资格审查资料，以证明其满足本章第1.4款规定的资质、财务、业绩、信誉等要求。</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3.5.1</w:t>
      </w:r>
      <w:r>
        <w:rPr>
          <w:rFonts w:hint="eastAsia" w:ascii="宋体" w:hAnsi="宋体" w:cs="宋体"/>
          <w:color w:val="auto"/>
          <w:sz w:val="24"/>
          <w:highlight w:val="none"/>
        </w:rPr>
        <w:t>投标人参加投标的意思表达清楚，投标人代表被授权有效。</w:t>
      </w:r>
      <w:r>
        <w:rPr>
          <w:rFonts w:hint="eastAsia" w:ascii="Times New Roman" w:hAnsi="Times New Roman"/>
          <w:color w:val="auto"/>
          <w:sz w:val="24"/>
          <w:szCs w:val="24"/>
          <w:highlight w:val="none"/>
        </w:rPr>
        <w:t xml:space="preserve"> </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3.5.2</w:t>
      </w:r>
      <w:r>
        <w:rPr>
          <w:rFonts w:hint="eastAsia" w:ascii="宋体" w:hAnsi="宋体" w:cs="宋体"/>
          <w:color w:val="auto"/>
          <w:sz w:val="24"/>
          <w:highlight w:val="none"/>
        </w:rPr>
        <w:t>投标人均具有独立法人资格，持有工商行政管理部门核发的法人营业执照，按国家法律经营。</w:t>
      </w:r>
    </w:p>
    <w:p>
      <w:pPr>
        <w:tabs>
          <w:tab w:val="left" w:pos="7513"/>
        </w:tabs>
        <w:spacing w:line="360" w:lineRule="auto"/>
        <w:ind w:firstLine="480" w:firstLineChars="200"/>
        <w:rPr>
          <w:rFonts w:ascii="宋体" w:hAnsi="宋体" w:cs="宋体"/>
          <w:color w:val="auto"/>
          <w:sz w:val="24"/>
          <w:highlight w:val="none"/>
        </w:rPr>
      </w:pPr>
      <w:r>
        <w:rPr>
          <w:rFonts w:hint="eastAsia" w:ascii="Times New Roman" w:hAnsi="Times New Roman"/>
          <w:color w:val="auto"/>
          <w:sz w:val="24"/>
          <w:szCs w:val="24"/>
          <w:highlight w:val="none"/>
        </w:rPr>
        <w:t>3.5.3</w:t>
      </w:r>
      <w:r>
        <w:rPr>
          <w:rFonts w:ascii="宋体" w:hAnsi="宋体" w:cs="宋体"/>
          <w:color w:val="auto"/>
          <w:sz w:val="24"/>
          <w:highlight w:val="none"/>
        </w:rPr>
        <w:t>投标人须具备建设行政主管部门颁发的</w:t>
      </w:r>
      <w:r>
        <w:rPr>
          <w:rFonts w:hint="eastAsia" w:ascii="宋体" w:hAnsi="宋体" w:cs="宋体"/>
          <w:color w:val="auto"/>
          <w:sz w:val="24"/>
          <w:highlight w:val="none"/>
        </w:rPr>
        <w:t>工程监理综合资质或市政公用工程监理甲级资质。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2020〕1号，详见链接：</w:t>
      </w:r>
      <w:r>
        <w:rPr>
          <w:color w:val="auto"/>
          <w:highlight w:val="none"/>
        </w:rPr>
        <w:fldChar w:fldCharType="begin"/>
      </w:r>
      <w:r>
        <w:rPr>
          <w:color w:val="auto"/>
          <w:highlight w:val="none"/>
        </w:rPr>
        <w:instrText xml:space="preserve"> HYPERLINK "http://zfcxjst.gd.gov.cn/xxgk/wjtz/content/post_3137220.html），" </w:instrText>
      </w:r>
      <w:r>
        <w:rPr>
          <w:color w:val="auto"/>
          <w:highlight w:val="none"/>
        </w:rPr>
        <w:fldChar w:fldCharType="separate"/>
      </w:r>
      <w:r>
        <w:rPr>
          <w:rFonts w:ascii="Times New Roman" w:hAnsi="Times New Roman"/>
          <w:color w:val="auto"/>
          <w:sz w:val="24"/>
          <w:highlight w:val="none"/>
        </w:rPr>
        <w:t>http://zfcxjst.gd.gov.cn/xxgk/wjtz/content/post_3137220.html），</w:t>
      </w:r>
      <w:r>
        <w:rPr>
          <w:rFonts w:ascii="Times New Roman" w:hAnsi="Times New Roman"/>
          <w:color w:val="auto"/>
          <w:sz w:val="24"/>
          <w:highlight w:val="none"/>
        </w:rPr>
        <w:fldChar w:fldCharType="end"/>
      </w:r>
      <w:r>
        <w:rPr>
          <w:rFonts w:hint="eastAsia" w:ascii="宋体" w:hAnsi="宋体" w:cs="宋体"/>
          <w:color w:val="auto"/>
          <w:sz w:val="24"/>
          <w:highlight w:val="none"/>
        </w:rPr>
        <w:t>自</w:t>
      </w:r>
      <w:r>
        <w:rPr>
          <w:rFonts w:ascii="宋体" w:hAnsi="宋体" w:cs="宋体"/>
          <w:color w:val="auto"/>
          <w:sz w:val="24"/>
          <w:highlight w:val="none"/>
        </w:rPr>
        <w:t>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adjustRightInd w:val="0"/>
        <w:snapToGrid w:val="0"/>
        <w:spacing w:line="360" w:lineRule="auto"/>
        <w:ind w:firstLine="420" w:firstLineChars="200"/>
        <w:rPr>
          <w:color w:val="auto"/>
          <w:highlight w:val="none"/>
        </w:rPr>
      </w:pPr>
      <w:r>
        <w:rPr>
          <w:rFonts w:hint="eastAsia"/>
          <w:color w:val="auto"/>
          <w:highlight w:val="none"/>
        </w:rPr>
        <w:t>资质证书有效期按《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延续有关事项的通知》（粤建许函〔2020〕298号）和《广州市住房和城乡建设局关于建设工程企业资质有效期顺延的通知》（穗建审批〔2020〕295号）、《住房和城乡建设部办公厅关于建设工程企业资质统一延续有关事项的通知》（建办市函【2021】510号）、《广东省住房和城乡建设厅关于建设工程企业资质有效期延期的通知》（粤建许函〔2021〕849号）执行。</w:t>
      </w:r>
    </w:p>
    <w:p>
      <w:pPr>
        <w:adjustRightInd w:val="0"/>
        <w:snapToGrid w:val="0"/>
        <w:spacing w:line="360" w:lineRule="auto"/>
        <w:ind w:firstLine="480" w:firstLineChars="200"/>
        <w:rPr>
          <w:rFonts w:ascii="宋体" w:hAnsi="宋体" w:cs="宋体"/>
          <w:color w:val="auto"/>
          <w:sz w:val="24"/>
          <w:highlight w:val="none"/>
          <w:u w:val="single"/>
        </w:rPr>
      </w:pPr>
      <w:r>
        <w:rPr>
          <w:rFonts w:ascii="Times New Roman" w:hAnsi="Times New Roman"/>
          <w:color w:val="auto"/>
          <w:sz w:val="24"/>
          <w:szCs w:val="24"/>
          <w:highlight w:val="none"/>
          <w:u w:val="single"/>
        </w:rPr>
        <w:t>3.5.4</w:t>
      </w:r>
      <w:r>
        <w:rPr>
          <w:rFonts w:hint="eastAsia" w:ascii="宋体" w:hAnsi="宋体" w:cs="宋体"/>
          <w:color w:val="auto"/>
          <w:sz w:val="24"/>
          <w:highlight w:val="none"/>
          <w:u w:val="single"/>
        </w:rPr>
        <w:t>项目总监理工程师须具有建设部</w:t>
      </w:r>
      <w:r>
        <w:rPr>
          <w:rFonts w:ascii="宋体" w:hAnsi="宋体" w:cs="宋体"/>
          <w:color w:val="auto"/>
          <w:sz w:val="24"/>
          <w:highlight w:val="none"/>
          <w:u w:val="single"/>
        </w:rPr>
        <w:t>2006年4月1日后颁发的中华人民共和国注册监理工程师注册执业证书</w:t>
      </w:r>
      <w:r>
        <w:rPr>
          <w:rFonts w:hint="eastAsia" w:ascii="宋体" w:hAnsi="宋体" w:cs="宋体"/>
          <w:color w:val="auto"/>
          <w:sz w:val="24"/>
          <w:highlight w:val="none"/>
          <w:u w:val="single"/>
        </w:rPr>
        <w:t>且其注册证书专业为市政公用工程，并具备本科或以上学历，注册执业单位为本公司，或在广东省住房和城乡建设主管部门备案且备案的业务范围符合本招标项目对总监理工程师要求的香港专业人士。</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注：香港专业人士的备案业务范围依据《广东省住房和城乡建设厅关于印发香港工程建设咨询企业和专业人士在粤港澳大湾区内地城市开业执业试点管理暂行办法的通知》（粤建规范〔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u w:val="single"/>
        </w:rPr>
        <w:t>2020〕1号）确定。</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3.5.5投标登记前，投标人已在广州公共资源交易中心办理企业信息登记及拟担任本工程总监理工程师须是本单位在企业库中的在册人员。</w:t>
      </w:r>
    </w:p>
    <w:p>
      <w:pPr>
        <w:spacing w:line="360" w:lineRule="auto"/>
        <w:ind w:firstLine="480" w:firstLineChars="200"/>
        <w:rPr>
          <w:rFonts w:ascii="宋体" w:hAnsi="宋体" w:cs="宋体"/>
          <w:color w:val="auto"/>
          <w:sz w:val="24"/>
          <w:highlight w:val="none"/>
        </w:rPr>
      </w:pPr>
      <w:r>
        <w:rPr>
          <w:rFonts w:hint="eastAsia" w:ascii="Times New Roman" w:hAnsi="Times New Roman"/>
          <w:color w:val="auto"/>
          <w:sz w:val="24"/>
          <w:szCs w:val="24"/>
          <w:highlight w:val="none"/>
        </w:rPr>
        <w:t>3.5.6</w:t>
      </w:r>
      <w:r>
        <w:rPr>
          <w:rFonts w:hint="eastAsia" w:ascii="宋体" w:hAnsi="宋体" w:cs="宋体"/>
          <w:color w:val="auto"/>
          <w:sz w:val="24"/>
          <w:highlight w:val="none"/>
        </w:rPr>
        <w:t xml:space="preserve"> 投标人已按规定格式签名盖章《投标人声明》（格式详见招标公告附件一）。</w:t>
      </w:r>
    </w:p>
    <w:p>
      <w:pPr>
        <w:spacing w:line="360" w:lineRule="auto"/>
        <w:ind w:firstLine="480" w:firstLineChars="200"/>
        <w:rPr>
          <w:rFonts w:ascii="宋体" w:hAnsi="宋体" w:cs="宋体"/>
          <w:color w:val="auto"/>
          <w:sz w:val="24"/>
          <w:highlight w:val="none"/>
          <w:u w:val="single"/>
        </w:rPr>
      </w:pPr>
      <w:r>
        <w:rPr>
          <w:rFonts w:hint="eastAsia" w:ascii="Times New Roman" w:hAnsi="Times New Roman"/>
          <w:color w:val="auto"/>
          <w:sz w:val="24"/>
          <w:szCs w:val="24"/>
          <w:highlight w:val="none"/>
        </w:rPr>
        <w:t>3.5.7</w:t>
      </w:r>
      <w:r>
        <w:rPr>
          <w:rFonts w:hint="eastAsia" w:ascii="宋体" w:hAnsi="宋体" w:cs="宋体"/>
          <w:color w:val="auto"/>
          <w:sz w:val="24"/>
          <w:highlight w:val="none"/>
          <w:u w:val="single"/>
          <w:lang w:eastAsia="zh-CN"/>
        </w:rPr>
        <w:t>未被纳入国家、市、区的失信联合惩戒名单且</w:t>
      </w:r>
      <w:r>
        <w:rPr>
          <w:rFonts w:hint="eastAsia" w:ascii="宋体" w:hAnsi="宋体" w:cs="宋体"/>
          <w:color w:val="auto"/>
          <w:sz w:val="24"/>
          <w:highlight w:val="none"/>
          <w:u w:val="single"/>
          <w:lang w:val="en-US" w:eastAsia="zh-CN"/>
        </w:rPr>
        <w:t>未</w:t>
      </w:r>
      <w:r>
        <w:rPr>
          <w:rFonts w:hint="eastAsia" w:ascii="宋体" w:hAnsi="宋体" w:cs="宋体"/>
          <w:color w:val="auto"/>
          <w:sz w:val="24"/>
          <w:highlight w:val="none"/>
          <w:u w:val="single"/>
          <w:lang w:eastAsia="zh-CN"/>
        </w:rPr>
        <w:t>被限制参加建设工程投标的（具体名单以递交投标文件截止时间“信用广州”https://credit1.gz.gov.cn/sgs/sgsXkNew公布的“失信</w:t>
      </w:r>
      <w:r>
        <w:rPr>
          <w:rFonts w:hint="eastAsia" w:ascii="宋体" w:hAnsi="宋体" w:cs="宋体"/>
          <w:color w:val="auto"/>
          <w:sz w:val="24"/>
          <w:highlight w:val="none"/>
        </w:rPr>
        <w:t>联合惩戒</w:t>
      </w:r>
      <w:r>
        <w:rPr>
          <w:rFonts w:hint="eastAsia" w:ascii="宋体" w:hAnsi="宋体" w:cs="宋体"/>
          <w:color w:val="auto"/>
          <w:sz w:val="24"/>
          <w:highlight w:val="none"/>
          <w:u w:val="single"/>
          <w:lang w:eastAsia="zh-CN"/>
        </w:rPr>
        <w:t>黑名单”为准。不包含限制参加财政投资工程或政府投资工程的投标）。注：因联合惩戒措施表述存在细微差别，惩戒措施与上文不完全一致但措施内容相同的，也应属于被限制参与相关项目的投标。（按投标人提供的《投标人声明》第五条内容进行评审）。</w:t>
      </w:r>
    </w:p>
    <w:p>
      <w:pPr>
        <w:spacing w:line="360" w:lineRule="auto"/>
        <w:ind w:firstLine="480" w:firstLineChars="200"/>
        <w:rPr>
          <w:rFonts w:ascii="宋体" w:hAnsi="宋体" w:cs="宋体"/>
          <w:color w:val="auto"/>
          <w:sz w:val="24"/>
          <w:highlight w:val="none"/>
        </w:rPr>
      </w:pPr>
      <w:r>
        <w:rPr>
          <w:rFonts w:hint="eastAsia" w:ascii="Times New Roman" w:hAnsi="Times New Roman"/>
          <w:color w:val="auto"/>
          <w:sz w:val="24"/>
          <w:szCs w:val="24"/>
          <w:highlight w:val="none"/>
        </w:rPr>
        <w:t>3.5.8</w:t>
      </w:r>
      <w:r>
        <w:rPr>
          <w:rFonts w:hint="eastAsia" w:ascii="宋体" w:hAnsi="宋体" w:cs="宋体"/>
          <w:color w:val="auto"/>
          <w:sz w:val="24"/>
          <w:highlight w:val="none"/>
        </w:rPr>
        <w:t>本项目</w:t>
      </w:r>
      <w:r>
        <w:rPr>
          <w:rFonts w:hint="eastAsia" w:ascii="宋体" w:hAnsi="宋体" w:cs="宋体"/>
          <w:color w:val="auto"/>
          <w:sz w:val="24"/>
          <w:highlight w:val="none"/>
          <w:u w:val="single"/>
        </w:rPr>
        <w:t>不接受</w:t>
      </w:r>
      <w:r>
        <w:rPr>
          <w:rFonts w:hint="eastAsia" w:ascii="宋体" w:hAnsi="宋体" w:cs="宋体"/>
          <w:color w:val="auto"/>
          <w:sz w:val="24"/>
          <w:highlight w:val="none"/>
        </w:rPr>
        <w:t>联合体投标。</w:t>
      </w:r>
    </w:p>
    <w:p>
      <w:pPr>
        <w:wordWrap w:val="0"/>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注：未在招标公告第三条单列的投标人资格要求条件，不作为资审不合格的依据。</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215" w:name="_Toc824"/>
      <w:bookmarkStart w:id="216" w:name="_Toc30157"/>
      <w:bookmarkStart w:id="217" w:name="_Toc89870573"/>
      <w:r>
        <w:rPr>
          <w:rFonts w:ascii="Times New Roman" w:hAnsi="Times New Roman"/>
          <w:color w:val="auto"/>
          <w:sz w:val="24"/>
          <w:szCs w:val="24"/>
          <w:highlight w:val="none"/>
        </w:rPr>
        <w:t>3.6 备选投标方案</w:t>
      </w:r>
      <w:bookmarkEnd w:id="215"/>
      <w:bookmarkEnd w:id="216"/>
      <w:bookmarkEnd w:id="217"/>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 除投标人须知前附表规定允许外，投标人不得递交备选投标方案，否则其投标将被否决。</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 投标人提供两个或两个以上投标报价，或者在投标文件中提供一个报价，但同时提供两个或两个以上</w:t>
      </w:r>
      <w:bookmarkStart w:id="218" w:name="_Toc29902"/>
      <w:bookmarkStart w:id="219" w:name="_Toc152042326"/>
      <w:bookmarkStart w:id="220" w:name="_Toc369531538"/>
      <w:bookmarkStart w:id="221" w:name="_Toc352691495"/>
      <w:bookmarkStart w:id="222" w:name="_Toc247513974"/>
      <w:bookmarkStart w:id="223" w:name="_Toc144974518"/>
      <w:bookmarkStart w:id="224" w:name="_Toc384308232"/>
      <w:bookmarkStart w:id="225" w:name="_Toc300834971"/>
      <w:bookmarkStart w:id="226" w:name="_Toc247527575"/>
      <w:bookmarkStart w:id="227" w:name="_Toc152045550"/>
      <w:bookmarkStart w:id="228" w:name="_Toc361508607"/>
      <w:r>
        <w:rPr>
          <w:rFonts w:ascii="Times New Roman" w:hAnsi="Times New Roman"/>
          <w:color w:val="auto"/>
          <w:sz w:val="24"/>
          <w:szCs w:val="24"/>
          <w:highlight w:val="none"/>
        </w:rPr>
        <w:t>监理方案的</w:t>
      </w:r>
      <w:bookmarkEnd w:id="218"/>
      <w:bookmarkEnd w:id="219"/>
      <w:bookmarkEnd w:id="220"/>
      <w:bookmarkEnd w:id="221"/>
      <w:bookmarkEnd w:id="222"/>
      <w:bookmarkEnd w:id="223"/>
      <w:bookmarkEnd w:id="224"/>
      <w:bookmarkEnd w:id="225"/>
      <w:bookmarkEnd w:id="226"/>
      <w:bookmarkEnd w:id="227"/>
      <w:bookmarkEnd w:id="228"/>
      <w:r>
        <w:rPr>
          <w:rFonts w:ascii="Times New Roman" w:hAnsi="Times New Roman"/>
          <w:color w:val="auto"/>
          <w:sz w:val="24"/>
          <w:szCs w:val="24"/>
          <w:highlight w:val="none"/>
        </w:rPr>
        <w:t>，视为提供备选方案。</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229" w:name="_Toc15883"/>
      <w:bookmarkStart w:id="230" w:name="_Toc23337"/>
      <w:bookmarkStart w:id="231" w:name="_Toc89870574"/>
      <w:r>
        <w:rPr>
          <w:rFonts w:ascii="Times New Roman" w:hAnsi="Times New Roman"/>
          <w:color w:val="auto"/>
          <w:sz w:val="24"/>
          <w:szCs w:val="24"/>
          <w:highlight w:val="none"/>
        </w:rPr>
        <w:t>3.7 投标文件的编制</w:t>
      </w:r>
      <w:bookmarkEnd w:id="229"/>
      <w:bookmarkEnd w:id="230"/>
      <w:bookmarkEnd w:id="231"/>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 投标文件应按第六章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投标文件格式</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3.7.2 投标文件应当对招标文件有关监理服务期限、投标有效期、委托人要求、招标范围等实质性内容作出响应。</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3.7.3（A）（1）投标文件应用不褪色的材料书写或打印，投标函</w:t>
      </w:r>
      <w:r>
        <w:rPr>
          <w:rFonts w:hint="eastAsia" w:ascii="Times New Roman" w:hAnsi="Times New Roman"/>
          <w:strike/>
          <w:color w:val="auto"/>
          <w:sz w:val="24"/>
          <w:szCs w:val="24"/>
          <w:highlight w:val="none"/>
        </w:rPr>
        <w:t>、投标函附录</w:t>
      </w:r>
      <w:r>
        <w:rPr>
          <w:rFonts w:ascii="Times New Roman" w:hAnsi="Times New Roman"/>
          <w:strike/>
          <w:color w:val="auto"/>
          <w:sz w:val="24"/>
          <w:szCs w:val="24"/>
          <w:highlight w:val="none"/>
        </w:rPr>
        <w:t>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投标文件格式</w:t>
      </w: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的要求。投标文件应尽量避免涂改、行间插字或删除。如果出现上述情况，改动之处应由投标人的法定代表人或其授权的代理人签字或盖单位章。</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（2）投标文件正本一份，副本份数见投标人须知前附表。正本和副本的封面</w:t>
      </w:r>
      <w:r>
        <w:rPr>
          <w:rStyle w:val="27"/>
          <w:rFonts w:ascii="Times New Roman" w:hAnsi="Times New Roman"/>
          <w:strike/>
          <w:color w:val="auto"/>
          <w:kern w:val="0"/>
          <w:sz w:val="24"/>
          <w:szCs w:val="24"/>
          <w:highlight w:val="none"/>
        </w:rPr>
        <w:t>右上角</w:t>
      </w:r>
      <w:r>
        <w:rPr>
          <w:rFonts w:ascii="Times New Roman" w:hAnsi="Times New Roman"/>
          <w:strike/>
          <w:color w:val="auto"/>
          <w:sz w:val="24"/>
          <w:szCs w:val="24"/>
          <w:highlight w:val="none"/>
        </w:rPr>
        <w:t>上应清楚地标记</w:t>
      </w: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正本</w:t>
      </w: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或</w:t>
      </w: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副本</w:t>
      </w: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的字样。投标人应根据投标人须知前附表要求提供电子版文件。当副本和正本不一致或电子版文件和纸质正本文件不一致时，以纸质正本文件为准。</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（3）投标文件的正本与副本应分别装订，并编制目录，投标文件需分册装订的，具体分册装订要求见投标人须知前附表规定。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3.7.3（B）投标文件全部采用电子文档，除投标人须知前附表另有规定外，投标文件所附证书证件均为</w:t>
      </w:r>
      <w:r>
        <w:rPr>
          <w:rFonts w:hint="eastAsia" w:ascii="Times New Roman" w:hAnsi="Times New Roman"/>
          <w:b/>
          <w:color w:val="auto"/>
          <w:sz w:val="24"/>
          <w:szCs w:val="24"/>
          <w:highlight w:val="none"/>
        </w:rPr>
        <w:t>原件清晰扫描件</w:t>
      </w:r>
      <w:r>
        <w:rPr>
          <w:rFonts w:ascii="Times New Roman" w:hAnsi="Times New Roman"/>
          <w:color w:val="auto"/>
          <w:sz w:val="24"/>
          <w:szCs w:val="24"/>
          <w:highlight w:val="none"/>
        </w:rPr>
        <w:t>，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4"/>
        <w:keepNext w:val="0"/>
        <w:keepLines w:val="0"/>
        <w:spacing w:before="0" w:after="0" w:line="360" w:lineRule="auto"/>
        <w:ind w:firstLine="643" w:firstLineChars="200"/>
        <w:rPr>
          <w:rFonts w:ascii="Times New Roman" w:hAnsi="Times New Roman"/>
          <w:color w:val="auto"/>
          <w:highlight w:val="none"/>
        </w:rPr>
      </w:pPr>
      <w:bookmarkStart w:id="232" w:name="_Toc9983"/>
      <w:bookmarkStart w:id="233" w:name="_Toc89870575"/>
      <w:bookmarkStart w:id="234" w:name="_Toc16599"/>
      <w:r>
        <w:rPr>
          <w:rFonts w:ascii="Times New Roman" w:hAnsi="Times New Roman"/>
          <w:color w:val="auto"/>
          <w:highlight w:val="none"/>
        </w:rPr>
        <w:t>4. 投标</w:t>
      </w:r>
      <w:bookmarkEnd w:id="232"/>
      <w:bookmarkEnd w:id="233"/>
      <w:bookmarkEnd w:id="234"/>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235" w:name="_Toc10880"/>
      <w:bookmarkStart w:id="236" w:name="_Toc89870576"/>
      <w:bookmarkStart w:id="237" w:name="_Toc20358"/>
      <w:r>
        <w:rPr>
          <w:rFonts w:ascii="Times New Roman" w:hAnsi="Times New Roman"/>
          <w:color w:val="auto"/>
          <w:sz w:val="24"/>
          <w:szCs w:val="24"/>
          <w:highlight w:val="none"/>
        </w:rPr>
        <w:t>4.1 投标文件的密封和标记</w:t>
      </w:r>
      <w:bookmarkEnd w:id="235"/>
      <w:bookmarkEnd w:id="236"/>
      <w:bookmarkEnd w:id="237"/>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4.1.1 （A）投标文件应密封包装，并在封套的封口处加盖投标人单位章或由投标人的法定代表人或其授权的代理人签字。</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4.1.1 （B）投标人应当按照招标文件和电子招标投标交易平台的要求加密投标文件，具体要求见投标人须知前附表。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4.1.2 投标文件封套上应写明的内容见投标人须知前附表。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4.1.3 未按本章第4.1.1项要求密封的投标文件，招标人将予以拒收。</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238" w:name="_Toc89870577"/>
      <w:bookmarkStart w:id="239" w:name="_Toc29308"/>
      <w:bookmarkStart w:id="240" w:name="_Toc13276"/>
      <w:r>
        <w:rPr>
          <w:rFonts w:ascii="Times New Roman" w:hAnsi="Times New Roman"/>
          <w:color w:val="auto"/>
          <w:sz w:val="24"/>
          <w:szCs w:val="24"/>
          <w:highlight w:val="none"/>
        </w:rPr>
        <w:t>4.2 投标文件的递交</w:t>
      </w:r>
      <w:bookmarkEnd w:id="238"/>
      <w:bookmarkEnd w:id="239"/>
      <w:bookmarkEnd w:id="24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4.2.1 投标人应在投标人须知前附表规定的投标截止时间前递交投标文件。</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4.2.2 （A）投标人递交投标文件的地点：见投标人须知前附表。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4.2.2 （B）</w:t>
      </w:r>
      <w:r>
        <w:rPr>
          <w:rFonts w:ascii="Times New Roman" w:hAnsi="Times New Roman"/>
          <w:bCs/>
          <w:iCs/>
          <w:color w:val="auto"/>
          <w:sz w:val="24"/>
          <w:szCs w:val="24"/>
          <w:highlight w:val="none"/>
        </w:rPr>
        <w:t>投标人通过下载招标文件的电子招标投标交易平台递交电子投标文件。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4.2.3 除投标人须知前附表另有规定外，投标人所递交的投标文件不予退还。</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4.2.4 （A）招标人收到投标文件后，向投标人出具签收凭证。</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4.2.4 （B）投标人完成电子投标文件上传后，</w:t>
      </w:r>
      <w:r>
        <w:rPr>
          <w:rFonts w:ascii="Times New Roman" w:hAnsi="Times New Roman"/>
          <w:bCs/>
          <w:iCs/>
          <w:color w:val="auto"/>
          <w:sz w:val="24"/>
          <w:szCs w:val="24"/>
          <w:highlight w:val="none"/>
        </w:rPr>
        <w:t>电子招标投标交易平台</w:t>
      </w:r>
      <w:r>
        <w:rPr>
          <w:rFonts w:ascii="Times New Roman" w:hAnsi="Times New Roman"/>
          <w:color w:val="auto"/>
          <w:sz w:val="24"/>
          <w:szCs w:val="24"/>
          <w:highlight w:val="none"/>
        </w:rPr>
        <w:t>即时向投标人发出递交回执通知。递交时间以递交回执通知载明的传输完成时间为准。</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4.2.5 （A）逾期送达的投标文件，招标人将予以拒收。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4.2.5 （B）逾期送达的投标文件，电子招标投标交易平台将予以拒收。</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241" w:name="_Toc89870578"/>
      <w:bookmarkStart w:id="242" w:name="_Toc8171"/>
      <w:bookmarkStart w:id="243" w:name="_Toc16752"/>
      <w:r>
        <w:rPr>
          <w:rFonts w:ascii="Times New Roman" w:hAnsi="Times New Roman"/>
          <w:color w:val="auto"/>
          <w:sz w:val="24"/>
          <w:szCs w:val="24"/>
          <w:highlight w:val="none"/>
        </w:rPr>
        <w:t>4.3 投标文件的修改与撤回</w:t>
      </w:r>
      <w:bookmarkEnd w:id="241"/>
      <w:bookmarkEnd w:id="242"/>
      <w:bookmarkEnd w:id="24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4.3.1 在本章第4.2.1项规定的投标截止时间前，投标人可以修改或撤回已递交的投标文件，但应以书面形式通知招标人。</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4.3.2 （A）投标人修改或撤回已递交投标文件的书面通知应按照本章第3.7.3（A）项的要求签字或盖章。招标人收到书面通知后，向投标人出具签收凭证。</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4.3.2 （B）投标人修改或撤回已递交投标文件的通知，应按照本章第3.7.3（B）项的要求加盖电子印章。</w:t>
      </w:r>
      <w:r>
        <w:rPr>
          <w:rFonts w:ascii="Times New Roman" w:hAnsi="Times New Roman"/>
          <w:bCs/>
          <w:iCs/>
          <w:color w:val="auto"/>
          <w:sz w:val="24"/>
          <w:szCs w:val="24"/>
          <w:highlight w:val="none"/>
        </w:rPr>
        <w:t>电子招标投标交易平台收到通知后，</w:t>
      </w:r>
      <w:r>
        <w:rPr>
          <w:rFonts w:ascii="Times New Roman" w:hAnsi="Times New Roman"/>
          <w:color w:val="auto"/>
          <w:sz w:val="24"/>
          <w:szCs w:val="24"/>
          <w:highlight w:val="none"/>
        </w:rPr>
        <w:t>即时向投标人发出确认回执通知。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4.3.3 投标人撤回投标文件的，招标人自收到投标人书面撤回通知之日起5日内退还已收取的投标保证金。</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w:t>
      </w:r>
      <w:bookmarkStart w:id="244" w:name="_Toc352691497"/>
      <w:bookmarkStart w:id="245" w:name="_Toc384308235"/>
      <w:bookmarkStart w:id="246" w:name="_Toc152045553"/>
      <w:bookmarkStart w:id="247" w:name="_Toc369531541"/>
      <w:bookmarkStart w:id="248" w:name="_Toc19203"/>
      <w:bookmarkStart w:id="249" w:name="_Toc361508610"/>
      <w:bookmarkStart w:id="250" w:name="_Toc247513977"/>
      <w:bookmarkStart w:id="251" w:name="_Toc247527578"/>
      <w:bookmarkStart w:id="252" w:name="_Toc152042329"/>
      <w:bookmarkStart w:id="253" w:name="_Toc300834974"/>
      <w:bookmarkStart w:id="254" w:name="_Toc144974521"/>
      <w:r>
        <w:rPr>
          <w:rFonts w:ascii="Times New Roman" w:hAnsi="Times New Roman"/>
          <w:color w:val="auto"/>
          <w:sz w:val="24"/>
          <w:szCs w:val="24"/>
          <w:highlight w:val="none"/>
        </w:rPr>
        <w:t>4 修改的内容为投标</w:t>
      </w:r>
      <w:bookmarkEnd w:id="244"/>
      <w:bookmarkEnd w:id="245"/>
      <w:bookmarkEnd w:id="246"/>
      <w:bookmarkEnd w:id="247"/>
      <w:bookmarkEnd w:id="248"/>
      <w:bookmarkEnd w:id="249"/>
      <w:bookmarkEnd w:id="250"/>
      <w:bookmarkEnd w:id="251"/>
      <w:bookmarkEnd w:id="252"/>
      <w:bookmarkEnd w:id="253"/>
      <w:bookmarkEnd w:id="254"/>
      <w:r>
        <w:rPr>
          <w:rFonts w:ascii="Times New Roman" w:hAnsi="Times New Roman"/>
          <w:color w:val="auto"/>
          <w:sz w:val="24"/>
          <w:szCs w:val="24"/>
          <w:highlight w:val="none"/>
        </w:rPr>
        <w:t>文件的组成部分。修改的投标文件应按照本章第3条、第4条的规定进行编制、密封、标记和递交，并标明</w:t>
      </w:r>
      <w:r>
        <w:rPr>
          <w:rFonts w:hint="eastAsia" w:ascii="Times New Roman" w:hAnsi="Times New Roman"/>
          <w:color w:val="auto"/>
          <w:sz w:val="24"/>
          <w:szCs w:val="24"/>
          <w:highlight w:val="none"/>
        </w:rPr>
        <w:t>“修</w:t>
      </w:r>
      <w:r>
        <w:rPr>
          <w:rFonts w:ascii="Times New Roman" w:hAnsi="Times New Roman"/>
          <w:color w:val="auto"/>
          <w:sz w:val="24"/>
          <w:szCs w:val="24"/>
          <w:highlight w:val="none"/>
        </w:rPr>
        <w:t>改</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字样。</w:t>
      </w:r>
    </w:p>
    <w:p>
      <w:pPr>
        <w:pStyle w:val="4"/>
        <w:keepNext w:val="0"/>
        <w:keepLines w:val="0"/>
        <w:spacing w:before="0" w:after="0" w:line="360" w:lineRule="auto"/>
        <w:ind w:firstLine="643" w:firstLineChars="200"/>
        <w:rPr>
          <w:rFonts w:ascii="Times New Roman" w:hAnsi="Times New Roman"/>
          <w:color w:val="auto"/>
          <w:highlight w:val="none"/>
        </w:rPr>
      </w:pPr>
      <w:bookmarkStart w:id="255" w:name="_Toc26023"/>
      <w:bookmarkStart w:id="256" w:name="_Toc20697"/>
      <w:bookmarkStart w:id="257" w:name="_Toc89870579"/>
      <w:r>
        <w:rPr>
          <w:rFonts w:ascii="Times New Roman" w:hAnsi="Times New Roman"/>
          <w:color w:val="auto"/>
          <w:highlight w:val="none"/>
        </w:rPr>
        <w:t>5. 开标</w:t>
      </w:r>
      <w:bookmarkEnd w:id="255"/>
      <w:bookmarkEnd w:id="256"/>
      <w:bookmarkEnd w:id="257"/>
    </w:p>
    <w:p>
      <w:pPr>
        <w:pStyle w:val="5"/>
        <w:keepNext w:val="0"/>
        <w:keepLines w:val="0"/>
        <w:spacing w:before="0" w:after="0" w:line="490" w:lineRule="exact"/>
        <w:ind w:firstLine="480" w:firstLineChars="200"/>
        <w:rPr>
          <w:rFonts w:ascii="Times New Roman" w:hAnsi="Times New Roman"/>
          <w:strike/>
          <w:color w:val="auto"/>
          <w:sz w:val="24"/>
          <w:szCs w:val="24"/>
          <w:highlight w:val="none"/>
        </w:rPr>
      </w:pPr>
      <w:bookmarkStart w:id="258" w:name="_Toc89870580"/>
      <w:bookmarkStart w:id="259" w:name="_Toc24012"/>
      <w:bookmarkStart w:id="260" w:name="_Toc29787"/>
      <w:r>
        <w:rPr>
          <w:rFonts w:ascii="Times New Roman" w:hAnsi="Times New Roman"/>
          <w:strike/>
          <w:color w:val="auto"/>
          <w:sz w:val="24"/>
          <w:szCs w:val="24"/>
          <w:highlight w:val="none"/>
        </w:rPr>
        <w:t>5.1 开标时间和地点（A）</w:t>
      </w:r>
      <w:bookmarkEnd w:id="258"/>
      <w:bookmarkEnd w:id="259"/>
      <w:bookmarkEnd w:id="260"/>
    </w:p>
    <w:p>
      <w:pPr>
        <w:spacing w:line="490" w:lineRule="exact"/>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招标人在本章第4.2.1项规定的投标截止时间（开标时间）和投标人须知前附表规定的地点公开开标，并邀请所有投标人的法定代表人或其委托代理人准时参加。</w:t>
      </w:r>
    </w:p>
    <w:p>
      <w:pPr>
        <w:pStyle w:val="5"/>
        <w:keepNext w:val="0"/>
        <w:keepLines w:val="0"/>
        <w:spacing w:before="0" w:after="0" w:line="490" w:lineRule="exact"/>
        <w:ind w:firstLine="480" w:firstLineChars="200"/>
        <w:rPr>
          <w:rFonts w:ascii="Times New Roman" w:hAnsi="Times New Roman"/>
          <w:color w:val="auto"/>
          <w:sz w:val="24"/>
          <w:szCs w:val="24"/>
          <w:highlight w:val="none"/>
        </w:rPr>
      </w:pPr>
      <w:bookmarkStart w:id="261" w:name="_Toc89870581"/>
      <w:bookmarkStart w:id="262" w:name="_Toc13680"/>
      <w:bookmarkStart w:id="263" w:name="_Toc28583"/>
      <w:r>
        <w:rPr>
          <w:rFonts w:ascii="Times New Roman" w:hAnsi="Times New Roman"/>
          <w:color w:val="auto"/>
          <w:sz w:val="24"/>
          <w:szCs w:val="24"/>
          <w:highlight w:val="none"/>
        </w:rPr>
        <w:t>5.1 开标时间和地点（B）</w:t>
      </w:r>
      <w:bookmarkEnd w:id="261"/>
      <w:bookmarkEnd w:id="262"/>
      <w:bookmarkEnd w:id="263"/>
    </w:p>
    <w:p>
      <w:pPr>
        <w:pStyle w:val="2"/>
        <w:spacing w:line="490" w:lineRule="exact"/>
        <w:rPr>
          <w:color w:val="auto"/>
          <w:highlight w:val="none"/>
        </w:rPr>
      </w:pPr>
      <w:r>
        <w:rPr>
          <w:rFonts w:ascii="Times New Roman" w:hAnsi="Times New Roman"/>
          <w:color w:val="auto"/>
          <w:sz w:val="24"/>
          <w:szCs w:val="24"/>
          <w:highlight w:val="none"/>
        </w:rPr>
        <w:t>招标人在本章第4.2.1项规定的投标截止时间（开标时间）</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通过电子招标投标交易平台公开开标，所有投标人的法定代表人或其委托代理人应当准时参加。如未按规定时间参加的，视为默认其开标结果。</w:t>
      </w:r>
    </w:p>
    <w:p>
      <w:pPr>
        <w:pStyle w:val="5"/>
        <w:keepNext w:val="0"/>
        <w:keepLines w:val="0"/>
        <w:spacing w:before="0" w:after="0" w:line="490" w:lineRule="exact"/>
        <w:ind w:firstLine="480" w:firstLineChars="200"/>
        <w:rPr>
          <w:rFonts w:ascii="Times New Roman" w:hAnsi="Times New Roman"/>
          <w:color w:val="auto"/>
          <w:sz w:val="24"/>
          <w:szCs w:val="24"/>
          <w:highlight w:val="none"/>
        </w:rPr>
      </w:pPr>
      <w:bookmarkStart w:id="264" w:name="_Toc23038"/>
      <w:bookmarkStart w:id="265" w:name="_Toc31545"/>
      <w:bookmarkStart w:id="266" w:name="_Toc89870582"/>
      <w:r>
        <w:rPr>
          <w:rFonts w:ascii="Times New Roman" w:hAnsi="Times New Roman"/>
          <w:color w:val="auto"/>
          <w:sz w:val="24"/>
          <w:szCs w:val="24"/>
          <w:highlight w:val="none"/>
        </w:rPr>
        <w:t>5.2 开标程序</w:t>
      </w:r>
      <w:bookmarkEnd w:id="264"/>
      <w:bookmarkEnd w:id="265"/>
      <w:bookmarkEnd w:id="266"/>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主持人按下列程序进行开标：</w:t>
      </w:r>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（1）宣布开标纪律；</w:t>
      </w:r>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（2）公布在投标截止时间前递交投标文件的投标人名称；</w:t>
      </w:r>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（3）宣布</w:t>
      </w:r>
      <w:bookmarkStart w:id="267" w:name="_Toc152042330"/>
      <w:bookmarkStart w:id="268" w:name="_Toc352691498"/>
      <w:bookmarkStart w:id="269" w:name="_Toc369531542"/>
      <w:bookmarkStart w:id="270" w:name="_Toc384308236"/>
      <w:bookmarkStart w:id="271" w:name="_Toc144974522"/>
      <w:bookmarkStart w:id="272" w:name="_Toc247513978"/>
      <w:bookmarkStart w:id="273" w:name="_Toc152045554"/>
      <w:bookmarkStart w:id="274" w:name="_Toc361508611"/>
      <w:bookmarkStart w:id="275" w:name="_Toc22119"/>
      <w:bookmarkStart w:id="276" w:name="_Toc300834975"/>
      <w:bookmarkStart w:id="277" w:name="_Toc247527579"/>
      <w:r>
        <w:rPr>
          <w:rFonts w:ascii="Times New Roman" w:hAnsi="Times New Roman"/>
          <w:color w:val="auto"/>
          <w:sz w:val="24"/>
          <w:szCs w:val="24"/>
          <w:highlight w:val="none"/>
        </w:rPr>
        <w:t>开标人、唱标人、记录人</w:t>
      </w:r>
      <w:bookmarkEnd w:id="267"/>
      <w:bookmarkEnd w:id="268"/>
      <w:bookmarkEnd w:id="269"/>
      <w:bookmarkEnd w:id="270"/>
      <w:bookmarkEnd w:id="271"/>
      <w:bookmarkEnd w:id="272"/>
      <w:bookmarkEnd w:id="273"/>
      <w:bookmarkEnd w:id="274"/>
      <w:bookmarkEnd w:id="275"/>
      <w:bookmarkEnd w:id="276"/>
      <w:bookmarkEnd w:id="277"/>
      <w:r>
        <w:rPr>
          <w:rFonts w:ascii="Times New Roman" w:hAnsi="Times New Roman"/>
          <w:color w:val="auto"/>
          <w:sz w:val="24"/>
          <w:szCs w:val="24"/>
          <w:highlight w:val="none"/>
        </w:rPr>
        <w:t>、监标人等有关人员姓名；</w:t>
      </w:r>
    </w:p>
    <w:p>
      <w:pPr>
        <w:spacing w:line="490" w:lineRule="exact"/>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（4）（A）检查投标文件的密封情况，按照投标人须知前附表规定的开标顺序当众开标，公布招标项目名称、投标人名称、投标保证金的递交情况、投标报价、监理服务期限及其他内容，并记录在案；</w:t>
      </w:r>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（4）（B）投标人通过电子招标投标交易平台对已递交的电子投标文件进行解密，公布招标项目名称、投标人名称、投标保证金的递交情况、投标报价、监理服务期限及其他内容，并记录在案；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（5）（A）投标人代表、招标人代表、监标人、记录人等有关人员在开标记录上签字确认；</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（5）（B）投标人代表、招标人代表、监标人、记录人等有关人员使用本人的电子印章在开标记录上签字确认；</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（6）开标结束。</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278" w:name="_Toc13592"/>
      <w:bookmarkStart w:id="279" w:name="_Toc17685"/>
      <w:bookmarkStart w:id="280" w:name="_Toc89870583"/>
      <w:r>
        <w:rPr>
          <w:rFonts w:ascii="Times New Roman" w:hAnsi="Times New Roman"/>
          <w:color w:val="auto"/>
          <w:sz w:val="24"/>
          <w:szCs w:val="24"/>
          <w:highlight w:val="none"/>
        </w:rPr>
        <w:t>5.3 开标异议</w:t>
      </w:r>
      <w:bookmarkEnd w:id="278"/>
      <w:bookmarkEnd w:id="279"/>
      <w:bookmarkEnd w:id="28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投标人对开标有异议的，应当在开标现场提出，招标人当场作出答复，并制作记录。</w:t>
      </w:r>
    </w:p>
    <w:p>
      <w:pPr>
        <w:pStyle w:val="4"/>
        <w:keepNext w:val="0"/>
        <w:keepLines w:val="0"/>
        <w:spacing w:before="0" w:after="0" w:line="360" w:lineRule="auto"/>
        <w:ind w:firstLine="643" w:firstLineChars="200"/>
        <w:rPr>
          <w:rFonts w:ascii="Times New Roman" w:hAnsi="Times New Roman"/>
          <w:color w:val="auto"/>
          <w:highlight w:val="none"/>
        </w:rPr>
      </w:pPr>
      <w:bookmarkStart w:id="281" w:name="_Toc13048"/>
      <w:bookmarkStart w:id="282" w:name="_Toc10220"/>
      <w:bookmarkStart w:id="283" w:name="_Toc89870584"/>
      <w:r>
        <w:rPr>
          <w:rFonts w:ascii="Times New Roman" w:hAnsi="Times New Roman"/>
          <w:color w:val="auto"/>
          <w:highlight w:val="none"/>
        </w:rPr>
        <w:t>6. 评标</w:t>
      </w:r>
      <w:bookmarkEnd w:id="281"/>
      <w:bookmarkEnd w:id="282"/>
      <w:bookmarkEnd w:id="283"/>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284" w:name="_Toc4950"/>
      <w:bookmarkStart w:id="285" w:name="_Toc26556"/>
      <w:bookmarkStart w:id="286" w:name="_Toc89870585"/>
      <w:r>
        <w:rPr>
          <w:rFonts w:ascii="Times New Roman" w:hAnsi="Times New Roman"/>
          <w:color w:val="auto"/>
          <w:sz w:val="24"/>
          <w:szCs w:val="24"/>
          <w:highlight w:val="none"/>
        </w:rPr>
        <w:t>6.1 评标委员会</w:t>
      </w:r>
      <w:bookmarkEnd w:id="284"/>
      <w:bookmarkEnd w:id="285"/>
      <w:bookmarkEnd w:id="286"/>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6.1.2 评标委员会成员有下列情形之一的，应当回避：</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（1）投标人或投标人主要负责人的近亲属；</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（2）项目主管部门或者行政监督部门的人员；</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（3）与投标人有经济利益关系，可能影响对投标公正评审的；</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（4）曾因在招标、评</w:t>
      </w:r>
      <w:bookmarkStart w:id="287" w:name="_Toc152045555"/>
      <w:bookmarkStart w:id="288" w:name="_Toc6230"/>
      <w:bookmarkStart w:id="289" w:name="_Toc369531543"/>
      <w:bookmarkStart w:id="290" w:name="_Toc361508612"/>
      <w:bookmarkStart w:id="291" w:name="_Toc247527580"/>
      <w:bookmarkStart w:id="292" w:name="_Toc152042331"/>
      <w:bookmarkStart w:id="293" w:name="_Toc352691499"/>
      <w:bookmarkStart w:id="294" w:name="_Toc144974523"/>
      <w:bookmarkStart w:id="295" w:name="_Toc384308237"/>
      <w:bookmarkStart w:id="296" w:name="_Toc300834976"/>
      <w:bookmarkStart w:id="297" w:name="_Toc247513979"/>
      <w:r>
        <w:rPr>
          <w:rFonts w:ascii="Times New Roman" w:hAnsi="Times New Roman"/>
          <w:color w:val="auto"/>
          <w:sz w:val="24"/>
          <w:szCs w:val="24"/>
          <w:highlight w:val="none"/>
        </w:rPr>
        <w:t>标以及其他</w:t>
      </w:r>
      <w:bookmarkEnd w:id="287"/>
      <w:bookmarkEnd w:id="288"/>
      <w:bookmarkEnd w:id="289"/>
      <w:bookmarkEnd w:id="290"/>
      <w:bookmarkEnd w:id="291"/>
      <w:bookmarkEnd w:id="292"/>
      <w:bookmarkEnd w:id="293"/>
      <w:bookmarkEnd w:id="294"/>
      <w:bookmarkEnd w:id="295"/>
      <w:bookmarkEnd w:id="296"/>
      <w:bookmarkEnd w:id="297"/>
      <w:r>
        <w:rPr>
          <w:rFonts w:ascii="Times New Roman" w:hAnsi="Times New Roman"/>
          <w:color w:val="auto"/>
          <w:sz w:val="24"/>
          <w:szCs w:val="24"/>
          <w:highlight w:val="none"/>
        </w:rPr>
        <w:t>与</w:t>
      </w:r>
      <w:bookmarkStart w:id="298" w:name="_Toc247513980"/>
      <w:bookmarkStart w:id="299" w:name="_Toc361508613"/>
      <w:bookmarkStart w:id="300" w:name="_Toc384308238"/>
      <w:bookmarkStart w:id="301" w:name="_Toc352691500"/>
      <w:bookmarkStart w:id="302" w:name="_Toc152042332"/>
      <w:bookmarkStart w:id="303" w:name="_Toc152045556"/>
      <w:bookmarkStart w:id="304" w:name="_Toc144974524"/>
      <w:bookmarkStart w:id="305" w:name="_Toc247527581"/>
      <w:bookmarkStart w:id="306" w:name="_Toc17703"/>
      <w:bookmarkStart w:id="307" w:name="_Toc300834977"/>
      <w:bookmarkStart w:id="308" w:name="_Toc369531544"/>
      <w:r>
        <w:rPr>
          <w:rFonts w:ascii="Times New Roman" w:hAnsi="Times New Roman"/>
          <w:color w:val="auto"/>
          <w:sz w:val="24"/>
          <w:szCs w:val="24"/>
          <w:highlight w:val="none"/>
        </w:rPr>
        <w:t>招标投标有关活动中从事违法行</w:t>
      </w:r>
      <w:bookmarkEnd w:id="298"/>
      <w:bookmarkEnd w:id="299"/>
      <w:bookmarkEnd w:id="300"/>
      <w:bookmarkEnd w:id="301"/>
      <w:bookmarkEnd w:id="302"/>
      <w:bookmarkEnd w:id="303"/>
      <w:bookmarkEnd w:id="304"/>
      <w:bookmarkEnd w:id="305"/>
      <w:bookmarkEnd w:id="306"/>
      <w:bookmarkEnd w:id="307"/>
      <w:bookmarkEnd w:id="308"/>
      <w:r>
        <w:rPr>
          <w:rFonts w:ascii="Times New Roman" w:hAnsi="Times New Roman"/>
          <w:color w:val="auto"/>
          <w:sz w:val="24"/>
          <w:szCs w:val="24"/>
          <w:highlight w:val="none"/>
        </w:rPr>
        <w:t>为而受过行政处罚或刑事处罚的；</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（5）与投标人有其他利害关系。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309" w:name="_Toc3800"/>
      <w:bookmarkStart w:id="310" w:name="_Toc12632"/>
      <w:bookmarkStart w:id="311" w:name="_Toc89870586"/>
      <w:r>
        <w:rPr>
          <w:rFonts w:ascii="Times New Roman" w:hAnsi="Times New Roman"/>
          <w:color w:val="auto"/>
          <w:sz w:val="24"/>
          <w:szCs w:val="24"/>
          <w:highlight w:val="none"/>
        </w:rPr>
        <w:t>6.2 评标原则</w:t>
      </w:r>
      <w:bookmarkEnd w:id="309"/>
      <w:bookmarkEnd w:id="310"/>
      <w:bookmarkEnd w:id="311"/>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评标活动遵循公平、公正、科学和择优的原</w:t>
      </w:r>
      <w:bookmarkStart w:id="312" w:name="_Toc361508614"/>
      <w:bookmarkStart w:id="313" w:name="_Toc369531545"/>
      <w:bookmarkStart w:id="314" w:name="_Toc247513981"/>
      <w:bookmarkStart w:id="315" w:name="_Toc18949"/>
      <w:bookmarkStart w:id="316" w:name="_Toc352691501"/>
      <w:bookmarkStart w:id="317" w:name="_Toc384308239"/>
      <w:bookmarkStart w:id="318" w:name="_Toc152042333"/>
      <w:bookmarkStart w:id="319" w:name="_Toc247527582"/>
      <w:bookmarkStart w:id="320" w:name="_Toc144974525"/>
      <w:bookmarkStart w:id="321" w:name="_Toc300834978"/>
      <w:bookmarkStart w:id="322" w:name="_Toc152045557"/>
      <w:r>
        <w:rPr>
          <w:rFonts w:ascii="Times New Roman" w:hAnsi="Times New Roman"/>
          <w:color w:val="auto"/>
          <w:sz w:val="24"/>
          <w:szCs w:val="24"/>
          <w:highlight w:val="none"/>
        </w:rPr>
        <w:t>则。</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323" w:name="_Toc89870587"/>
      <w:bookmarkStart w:id="324" w:name="_Toc13935"/>
      <w:bookmarkStart w:id="325" w:name="_Toc910"/>
      <w:r>
        <w:rPr>
          <w:rFonts w:ascii="Times New Roman" w:hAnsi="Times New Roman"/>
          <w:color w:val="auto"/>
          <w:sz w:val="24"/>
          <w:szCs w:val="24"/>
          <w:highlight w:val="none"/>
        </w:rPr>
        <w:t>6.3 评标</w:t>
      </w:r>
      <w:bookmarkEnd w:id="323"/>
      <w:bookmarkEnd w:id="324"/>
      <w:bookmarkEnd w:id="32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w:t>
      </w:r>
      <w:bookmarkEnd w:id="312"/>
      <w:bookmarkEnd w:id="313"/>
      <w:bookmarkEnd w:id="314"/>
      <w:bookmarkEnd w:id="315"/>
      <w:bookmarkEnd w:id="316"/>
      <w:bookmarkEnd w:id="317"/>
      <w:bookmarkEnd w:id="318"/>
      <w:bookmarkEnd w:id="319"/>
      <w:bookmarkEnd w:id="320"/>
      <w:bookmarkEnd w:id="321"/>
      <w:bookmarkEnd w:id="322"/>
      <w:r>
        <w:rPr>
          <w:rFonts w:ascii="Times New Roman" w:hAnsi="Times New Roman"/>
          <w:color w:val="auto"/>
          <w:sz w:val="24"/>
          <w:szCs w:val="24"/>
          <w:highlight w:val="none"/>
        </w:rPr>
        <w:t>.3.1评标委员会按照第三章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评标办法</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规定的方法、评审因素、标准和程序对投标文件进行评审。第三章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评标办法</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没有规定的方法、评审因素和标准，不作为评标依据。</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6.3.2评标完成后，评标委员会应当向招标人提交书面评标报告和中标候选人名单。评标委员会推荐中标</w:t>
      </w:r>
      <w:bookmarkStart w:id="326" w:name="_Toc369531546"/>
      <w:bookmarkStart w:id="327" w:name="_Toc247527583"/>
      <w:bookmarkStart w:id="328" w:name="_Toc144974526"/>
      <w:bookmarkStart w:id="329" w:name="_Toc361508615"/>
      <w:bookmarkStart w:id="330" w:name="_Toc12259"/>
      <w:bookmarkStart w:id="331" w:name="_Toc152042334"/>
      <w:bookmarkStart w:id="332" w:name="_Toc352691502"/>
      <w:bookmarkStart w:id="333" w:name="_Toc300834979"/>
      <w:bookmarkStart w:id="334" w:name="_Toc384308240"/>
      <w:bookmarkStart w:id="335" w:name="_Toc152045558"/>
      <w:bookmarkStart w:id="336" w:name="_Toc247513982"/>
      <w:r>
        <w:rPr>
          <w:rFonts w:ascii="Times New Roman" w:hAnsi="Times New Roman"/>
          <w:color w:val="auto"/>
          <w:sz w:val="24"/>
          <w:szCs w:val="24"/>
          <w:highlight w:val="none"/>
        </w:rPr>
        <w:t>候选人的人数见投标人须知前附</w:t>
      </w:r>
      <w:bookmarkEnd w:id="326"/>
      <w:bookmarkEnd w:id="327"/>
      <w:bookmarkEnd w:id="328"/>
      <w:bookmarkEnd w:id="329"/>
      <w:bookmarkEnd w:id="330"/>
      <w:bookmarkEnd w:id="331"/>
      <w:bookmarkEnd w:id="332"/>
      <w:bookmarkEnd w:id="333"/>
      <w:bookmarkEnd w:id="334"/>
      <w:bookmarkEnd w:id="335"/>
      <w:bookmarkEnd w:id="336"/>
      <w:r>
        <w:rPr>
          <w:rFonts w:ascii="Times New Roman" w:hAnsi="Times New Roman"/>
          <w:color w:val="auto"/>
          <w:sz w:val="24"/>
          <w:szCs w:val="24"/>
          <w:highlight w:val="none"/>
        </w:rPr>
        <w:t>表。</w:t>
      </w:r>
    </w:p>
    <w:p>
      <w:pPr>
        <w:pStyle w:val="4"/>
        <w:keepNext w:val="0"/>
        <w:keepLines w:val="0"/>
        <w:spacing w:before="0" w:after="0" w:line="360" w:lineRule="auto"/>
        <w:ind w:firstLine="643" w:firstLineChars="200"/>
        <w:rPr>
          <w:rFonts w:ascii="Times New Roman" w:hAnsi="Times New Roman"/>
          <w:color w:val="auto"/>
          <w:highlight w:val="none"/>
        </w:rPr>
      </w:pPr>
      <w:bookmarkStart w:id="337" w:name="_Toc89870588"/>
      <w:bookmarkStart w:id="338" w:name="_Toc24960"/>
      <w:bookmarkStart w:id="339" w:name="_Toc24893"/>
      <w:r>
        <w:rPr>
          <w:rFonts w:ascii="Times New Roman" w:hAnsi="Times New Roman"/>
          <w:color w:val="auto"/>
          <w:highlight w:val="none"/>
        </w:rPr>
        <w:t>7. 合同授予</w:t>
      </w:r>
      <w:bookmarkEnd w:id="337"/>
      <w:bookmarkEnd w:id="338"/>
      <w:bookmarkEnd w:id="339"/>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340" w:name="_Toc26343"/>
      <w:bookmarkStart w:id="341" w:name="_Toc89870589"/>
      <w:bookmarkStart w:id="342" w:name="_Toc27199"/>
      <w:r>
        <w:rPr>
          <w:rFonts w:ascii="Times New Roman" w:hAnsi="Times New Roman"/>
          <w:color w:val="auto"/>
          <w:sz w:val="24"/>
          <w:szCs w:val="24"/>
          <w:highlight w:val="none"/>
        </w:rPr>
        <w:t>7.1 中标候选人公示</w:t>
      </w:r>
      <w:bookmarkEnd w:id="340"/>
      <w:bookmarkEnd w:id="341"/>
      <w:bookmarkEnd w:id="342"/>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招标人在收到评标报告之日起3日内，按照投标人须知前附表规定的公示媒介和期限公示中标候选人，公示期3天</w:t>
      </w:r>
      <w:r>
        <w:rPr>
          <w:rFonts w:hint="eastAsia" w:ascii="Times New Roman" w:hAnsi="Times New Roman"/>
          <w:color w:val="auto"/>
          <w:sz w:val="24"/>
          <w:szCs w:val="24"/>
          <w:highlight w:val="none"/>
        </w:rPr>
        <w:t>（最后一天为工作日）</w:t>
      </w:r>
      <w:r>
        <w:rPr>
          <w:rFonts w:ascii="Times New Roman" w:hAnsi="Times New Roman"/>
          <w:color w:val="auto"/>
          <w:sz w:val="24"/>
          <w:szCs w:val="24"/>
          <w:highlight w:val="none"/>
        </w:rPr>
        <w:t>。</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343" w:name="_Toc89870590"/>
      <w:bookmarkStart w:id="344" w:name="_Toc9184"/>
      <w:bookmarkStart w:id="345" w:name="_Toc26294"/>
      <w:r>
        <w:rPr>
          <w:rFonts w:ascii="Times New Roman" w:hAnsi="Times New Roman"/>
          <w:color w:val="auto"/>
          <w:sz w:val="24"/>
          <w:szCs w:val="24"/>
          <w:highlight w:val="none"/>
        </w:rPr>
        <w:t>7.2 评标结果异议</w:t>
      </w:r>
      <w:bookmarkEnd w:id="343"/>
      <w:bookmarkEnd w:id="344"/>
      <w:bookmarkEnd w:id="34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投标人或者其他利</w:t>
      </w:r>
      <w:bookmarkStart w:id="346" w:name="_Toc369531549"/>
      <w:bookmarkStart w:id="347" w:name="_Toc152042337"/>
      <w:bookmarkStart w:id="348" w:name="_Toc300834982"/>
      <w:bookmarkStart w:id="349" w:name="_Toc144974529"/>
      <w:bookmarkStart w:id="350" w:name="_Toc384308243"/>
      <w:bookmarkStart w:id="351" w:name="_Toc152045561"/>
      <w:bookmarkStart w:id="352" w:name="_Toc361508618"/>
      <w:bookmarkStart w:id="353" w:name="_Toc247527586"/>
      <w:bookmarkStart w:id="354" w:name="_Toc30095"/>
      <w:bookmarkStart w:id="355" w:name="_Toc247513985"/>
      <w:bookmarkStart w:id="356" w:name="_Toc352691505"/>
      <w:r>
        <w:rPr>
          <w:rFonts w:ascii="Times New Roman" w:hAnsi="Times New Roman"/>
          <w:color w:val="auto"/>
          <w:sz w:val="24"/>
          <w:szCs w:val="24"/>
          <w:highlight w:val="none"/>
        </w:rPr>
        <w:t>害关系人对评标结</w:t>
      </w:r>
      <w:bookmarkEnd w:id="346"/>
      <w:bookmarkEnd w:id="347"/>
      <w:bookmarkEnd w:id="348"/>
      <w:bookmarkEnd w:id="349"/>
      <w:bookmarkEnd w:id="350"/>
      <w:bookmarkEnd w:id="351"/>
      <w:bookmarkEnd w:id="352"/>
      <w:bookmarkEnd w:id="353"/>
      <w:bookmarkEnd w:id="354"/>
      <w:bookmarkEnd w:id="355"/>
      <w:bookmarkEnd w:id="356"/>
      <w:r>
        <w:rPr>
          <w:rFonts w:ascii="Times New Roman" w:hAnsi="Times New Roman"/>
          <w:color w:val="auto"/>
          <w:sz w:val="24"/>
          <w:szCs w:val="24"/>
          <w:highlight w:val="none"/>
        </w:rPr>
        <w:t>果有异议的，应当在中标候选人公示期间提出。招标人将在收到异议之日起3日内作出答复；作出答复前，将暂停招标投标活动。</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357" w:name="_Toc26195"/>
      <w:bookmarkStart w:id="358" w:name="_Toc89870591"/>
      <w:bookmarkStart w:id="359" w:name="_Toc11795"/>
      <w:r>
        <w:rPr>
          <w:rFonts w:ascii="Times New Roman" w:hAnsi="Times New Roman"/>
          <w:color w:val="auto"/>
          <w:sz w:val="24"/>
          <w:szCs w:val="24"/>
          <w:highlight w:val="none"/>
        </w:rPr>
        <w:t>7.3 中标候选人履约能力审查</w:t>
      </w:r>
      <w:bookmarkEnd w:id="357"/>
      <w:bookmarkEnd w:id="358"/>
      <w:bookmarkEnd w:id="359"/>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360" w:name="_Toc89870592"/>
      <w:bookmarkStart w:id="361" w:name="_Toc20519"/>
      <w:bookmarkStart w:id="362" w:name="_Toc22541"/>
      <w:r>
        <w:rPr>
          <w:rFonts w:ascii="Times New Roman" w:hAnsi="Times New Roman"/>
          <w:color w:val="auto"/>
          <w:sz w:val="24"/>
          <w:szCs w:val="24"/>
          <w:highlight w:val="none"/>
        </w:rPr>
        <w:t>7.4 定标</w:t>
      </w:r>
      <w:bookmarkEnd w:id="360"/>
      <w:bookmarkEnd w:id="361"/>
      <w:bookmarkEnd w:id="362"/>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按照投标人须知前附表的规定，招标人或招标人授权的评标委员会依法确定中标人。</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363" w:name="_Toc7325"/>
      <w:bookmarkStart w:id="364" w:name="_Toc16786"/>
      <w:bookmarkStart w:id="365" w:name="_Toc89870593"/>
      <w:r>
        <w:rPr>
          <w:rFonts w:ascii="Times New Roman" w:hAnsi="Times New Roman"/>
          <w:color w:val="auto"/>
          <w:sz w:val="24"/>
          <w:szCs w:val="24"/>
          <w:highlight w:val="none"/>
        </w:rPr>
        <w:t>7.5 中标通知</w:t>
      </w:r>
      <w:bookmarkEnd w:id="363"/>
      <w:bookmarkEnd w:id="364"/>
      <w:bookmarkEnd w:id="36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在本章第3.3款规定的投标有效期内，招标人以书面形式向中标人发出中标</w:t>
      </w:r>
      <w:bookmarkStart w:id="366" w:name="_Toc361508619"/>
      <w:bookmarkStart w:id="367" w:name="_Toc369531550"/>
      <w:bookmarkStart w:id="368" w:name="_Toc384308244"/>
      <w:bookmarkStart w:id="369" w:name="_Toc300834983"/>
      <w:bookmarkStart w:id="370" w:name="_Toc352691506"/>
      <w:bookmarkStart w:id="371" w:name="_Toc5668"/>
      <w:r>
        <w:rPr>
          <w:rFonts w:ascii="Times New Roman" w:hAnsi="Times New Roman"/>
          <w:color w:val="auto"/>
          <w:sz w:val="24"/>
          <w:szCs w:val="24"/>
          <w:highlight w:val="none"/>
        </w:rPr>
        <w:t>通知书，同时将中</w:t>
      </w:r>
      <w:bookmarkEnd w:id="366"/>
      <w:bookmarkEnd w:id="367"/>
      <w:bookmarkEnd w:id="368"/>
      <w:bookmarkEnd w:id="369"/>
      <w:bookmarkEnd w:id="370"/>
      <w:bookmarkEnd w:id="371"/>
      <w:r>
        <w:rPr>
          <w:rFonts w:ascii="Times New Roman" w:hAnsi="Times New Roman"/>
          <w:color w:val="auto"/>
          <w:sz w:val="24"/>
          <w:szCs w:val="24"/>
          <w:highlight w:val="none"/>
        </w:rPr>
        <w:t>标结果通知未中标的投标人。</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372" w:name="_Toc89870594"/>
      <w:bookmarkStart w:id="373" w:name="_Toc22862"/>
      <w:bookmarkStart w:id="374" w:name="_Toc32613"/>
      <w:r>
        <w:rPr>
          <w:rFonts w:ascii="Times New Roman" w:hAnsi="Times New Roman"/>
          <w:color w:val="auto"/>
          <w:sz w:val="24"/>
          <w:szCs w:val="24"/>
          <w:highlight w:val="none"/>
        </w:rPr>
        <w:t>7.6 履约保证金</w:t>
      </w:r>
      <w:bookmarkEnd w:id="372"/>
      <w:bookmarkEnd w:id="373"/>
      <w:bookmarkEnd w:id="374"/>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7.6.1 </w:t>
      </w:r>
      <w:r>
        <w:rPr>
          <w:rFonts w:hint="eastAsia" w:ascii="Times New Roman" w:hAnsi="Times New Roman"/>
          <w:color w:val="auto"/>
          <w:sz w:val="24"/>
          <w:szCs w:val="24"/>
          <w:highlight w:val="none"/>
        </w:rPr>
        <w:t>在签订合同前，</w:t>
      </w:r>
      <w:r>
        <w:rPr>
          <w:rFonts w:ascii="Times New Roman" w:hAnsi="Times New Roman"/>
          <w:color w:val="auto"/>
          <w:sz w:val="24"/>
          <w:szCs w:val="24"/>
          <w:highlight w:val="none"/>
        </w:rPr>
        <w:t>中标人应按投标人须知前附表规定的形式、金额和招标文件第四章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合同条款及格式</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80" w:firstLineChars="200"/>
        <w:rPr>
          <w:rFonts w:ascii="Times New Roman" w:hAnsi="Times New Roman"/>
          <w:color w:val="auto"/>
          <w:szCs w:val="21"/>
          <w:highlight w:val="none"/>
        </w:rPr>
      </w:pPr>
      <w:r>
        <w:rPr>
          <w:rFonts w:ascii="Times New Roman" w:hAnsi="Times New Roman"/>
          <w:color w:val="auto"/>
          <w:sz w:val="24"/>
          <w:szCs w:val="24"/>
          <w:highlight w:val="none"/>
        </w:rPr>
        <w:t>7.6.2 中标人不能按本章第7.6.1项要求提交履约保证金的，视为放弃中标，其投标保证金不予退还，给招标人造成的损失超过投标保证金数额的，中标人还应当对超过部分予以赔偿。</w:t>
      </w:r>
    </w:p>
    <w:p>
      <w:pPr>
        <w:pStyle w:val="5"/>
        <w:keepNext w:val="0"/>
        <w:keepLines w:val="0"/>
        <w:spacing w:before="0" w:after="0" w:line="360" w:lineRule="auto"/>
        <w:ind w:firstLine="480" w:firstLineChars="200"/>
        <w:rPr>
          <w:rFonts w:ascii="Times New Roman" w:hAnsi="Times New Roman"/>
          <w:color w:val="auto"/>
          <w:sz w:val="24"/>
          <w:szCs w:val="24"/>
          <w:highlight w:val="none"/>
        </w:rPr>
      </w:pPr>
      <w:bookmarkStart w:id="375" w:name="_Toc89870595"/>
      <w:bookmarkStart w:id="376" w:name="_Toc7637"/>
      <w:bookmarkStart w:id="377" w:name="_Toc9236"/>
      <w:r>
        <w:rPr>
          <w:rFonts w:ascii="Times New Roman" w:hAnsi="Times New Roman"/>
          <w:color w:val="auto"/>
          <w:sz w:val="24"/>
          <w:szCs w:val="24"/>
          <w:highlight w:val="none"/>
        </w:rPr>
        <w:t>7.7 签订合同</w:t>
      </w:r>
      <w:bookmarkEnd w:id="375"/>
      <w:bookmarkEnd w:id="376"/>
      <w:bookmarkEnd w:id="377"/>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7.7.1 招标人和中标人应当在中标通知书发出之日起30日内，根据招标文件和中标人的投标文件订立书面合同。中标人</w:t>
      </w:r>
      <w:r>
        <w:rPr>
          <w:color w:val="auto"/>
          <w:sz w:val="24"/>
          <w:szCs w:val="24"/>
          <w:highlight w:val="none"/>
        </w:rPr>
        <w:t>无正当理由</w:t>
      </w:r>
      <w:r>
        <w:rPr>
          <w:rFonts w:hint="eastAsia"/>
          <w:color w:val="auto"/>
          <w:sz w:val="24"/>
          <w:szCs w:val="24"/>
          <w:highlight w:val="none"/>
        </w:rPr>
        <w:t>拒签</w:t>
      </w:r>
      <w:r>
        <w:rPr>
          <w:color w:val="auto"/>
          <w:sz w:val="24"/>
          <w:szCs w:val="24"/>
          <w:highlight w:val="none"/>
        </w:rPr>
        <w:t>合同，在签订合同时向招标人提出附加条件，或者不按照招标文件要求提交履约保证金的</w:t>
      </w:r>
      <w:r>
        <w:rPr>
          <w:rFonts w:ascii="Times New Roman" w:hAnsi="Times New Roman"/>
          <w:color w:val="auto"/>
          <w:sz w:val="24"/>
          <w:szCs w:val="24"/>
          <w:highlight w:val="none"/>
        </w:rPr>
        <w:t>，招标人有权取消其中标资格，其投标保证金不予退还；给招标人造成的损失超过投标保证金数额的，中标人还应当对超过部分予以赔偿。</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7.7.2 发出中标通知书后，招标人无正当理由拒签合同，或者</w:t>
      </w:r>
      <w:r>
        <w:rPr>
          <w:color w:val="auto"/>
          <w:sz w:val="24"/>
          <w:szCs w:val="24"/>
          <w:highlight w:val="none"/>
        </w:rPr>
        <w:t>在签订合同时</w:t>
      </w:r>
      <w:r>
        <w:rPr>
          <w:rFonts w:hint="eastAsia"/>
          <w:color w:val="auto"/>
          <w:sz w:val="24"/>
          <w:szCs w:val="24"/>
          <w:highlight w:val="none"/>
        </w:rPr>
        <w:t>向中标人</w:t>
      </w:r>
      <w:r>
        <w:rPr>
          <w:rFonts w:ascii="Times New Roman" w:hAnsi="Times New Roman"/>
          <w:color w:val="auto"/>
          <w:sz w:val="24"/>
          <w:szCs w:val="24"/>
          <w:highlight w:val="none"/>
        </w:rPr>
        <w:t>提出附加条件的，招标人向中标人退还投标保证金；给中标人造成损失的，还应当赔偿损失。</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7.7.3 联合体中标的，联合体各方应当共同与招标人签订合同，就中标项目向招标人承担连带责任。</w:t>
      </w:r>
    </w:p>
    <w:p>
      <w:pPr>
        <w:pStyle w:val="4"/>
        <w:keepNext w:val="0"/>
        <w:keepLines w:val="0"/>
        <w:spacing w:before="0" w:after="0" w:line="460" w:lineRule="exact"/>
        <w:ind w:firstLine="643" w:firstLineChars="200"/>
        <w:rPr>
          <w:rFonts w:ascii="Times New Roman" w:hAnsi="Times New Roman"/>
          <w:color w:val="auto"/>
          <w:highlight w:val="none"/>
        </w:rPr>
      </w:pPr>
      <w:bookmarkStart w:id="378" w:name="_Toc384308252"/>
      <w:bookmarkStart w:id="379" w:name="_Toc24067"/>
      <w:bookmarkStart w:id="380" w:name="_Toc361508627"/>
      <w:bookmarkStart w:id="381" w:name="_Toc19459"/>
      <w:bookmarkStart w:id="382" w:name="_Toc9630"/>
      <w:bookmarkStart w:id="383" w:name="_Toc89870596"/>
      <w:bookmarkStart w:id="384" w:name="_Toc247513992"/>
      <w:bookmarkStart w:id="385" w:name="_Toc247527593"/>
      <w:bookmarkStart w:id="386" w:name="_Toc144974536"/>
      <w:bookmarkStart w:id="387" w:name="_Toc300834991"/>
      <w:bookmarkStart w:id="388" w:name="_Toc152042344"/>
      <w:bookmarkStart w:id="389" w:name="_Toc152045568"/>
      <w:r>
        <w:rPr>
          <w:rFonts w:ascii="Times New Roman" w:hAnsi="Times New Roman"/>
          <w:color w:val="auto"/>
          <w:highlight w:val="none"/>
        </w:rPr>
        <w:t>8.</w:t>
      </w:r>
      <w:bookmarkEnd w:id="378"/>
      <w:bookmarkEnd w:id="379"/>
      <w:bookmarkEnd w:id="380"/>
      <w:r>
        <w:rPr>
          <w:rFonts w:ascii="Times New Roman" w:hAnsi="Times New Roman"/>
          <w:color w:val="auto"/>
          <w:highlight w:val="none"/>
        </w:rPr>
        <w:t>纪律和监督</w:t>
      </w:r>
      <w:bookmarkEnd w:id="381"/>
      <w:bookmarkEnd w:id="382"/>
      <w:bookmarkEnd w:id="383"/>
    </w:p>
    <w:p>
      <w:pPr>
        <w:pStyle w:val="5"/>
        <w:keepNext w:val="0"/>
        <w:keepLines w:val="0"/>
        <w:spacing w:before="0" w:after="0" w:line="460" w:lineRule="exact"/>
        <w:ind w:firstLine="480" w:firstLineChars="200"/>
        <w:rPr>
          <w:rFonts w:ascii="Times New Roman" w:hAnsi="Times New Roman"/>
          <w:color w:val="auto"/>
          <w:sz w:val="24"/>
          <w:szCs w:val="24"/>
          <w:highlight w:val="none"/>
        </w:rPr>
      </w:pPr>
      <w:bookmarkStart w:id="390" w:name="_Toc16607"/>
      <w:bookmarkStart w:id="391" w:name="_Toc89870597"/>
      <w:bookmarkStart w:id="392" w:name="_Toc32421"/>
      <w:r>
        <w:rPr>
          <w:rFonts w:ascii="Times New Roman" w:hAnsi="Times New Roman"/>
          <w:color w:val="auto"/>
          <w:sz w:val="24"/>
          <w:szCs w:val="24"/>
          <w:highlight w:val="none"/>
        </w:rPr>
        <w:t>8.1 对招标人的纪律要求</w:t>
      </w:r>
      <w:bookmarkEnd w:id="390"/>
      <w:bookmarkEnd w:id="391"/>
      <w:bookmarkEnd w:id="392"/>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招标人不得泄露招标投标活动中应当保密的情况和资料，不得与投标人串通损害国家利益、社会公共利益或者他人合法权益。</w:t>
      </w:r>
    </w:p>
    <w:p>
      <w:pPr>
        <w:pStyle w:val="5"/>
        <w:keepNext w:val="0"/>
        <w:keepLines w:val="0"/>
        <w:spacing w:before="0" w:after="0" w:line="460" w:lineRule="exact"/>
        <w:ind w:firstLine="480" w:firstLineChars="200"/>
        <w:rPr>
          <w:rFonts w:ascii="Times New Roman" w:hAnsi="Times New Roman"/>
          <w:color w:val="auto"/>
          <w:sz w:val="24"/>
          <w:szCs w:val="24"/>
          <w:highlight w:val="none"/>
        </w:rPr>
      </w:pPr>
      <w:bookmarkStart w:id="393" w:name="_Toc5471"/>
      <w:bookmarkStart w:id="394" w:name="_Toc7775"/>
      <w:bookmarkStart w:id="395" w:name="_Toc89870598"/>
      <w:r>
        <w:rPr>
          <w:rFonts w:ascii="Times New Roman" w:hAnsi="Times New Roman"/>
          <w:color w:val="auto"/>
          <w:sz w:val="24"/>
          <w:szCs w:val="24"/>
          <w:highlight w:val="none"/>
        </w:rPr>
        <w:t>8.2 对投标人的纪律要求</w:t>
      </w:r>
      <w:bookmarkEnd w:id="393"/>
      <w:bookmarkEnd w:id="394"/>
      <w:bookmarkEnd w:id="395"/>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val="0"/>
        <w:keepLines w:val="0"/>
        <w:spacing w:before="0" w:after="0" w:line="460" w:lineRule="exact"/>
        <w:ind w:firstLine="480" w:firstLineChars="200"/>
        <w:rPr>
          <w:rFonts w:ascii="Times New Roman" w:hAnsi="Times New Roman"/>
          <w:color w:val="auto"/>
          <w:sz w:val="24"/>
          <w:szCs w:val="24"/>
          <w:highlight w:val="none"/>
        </w:rPr>
      </w:pPr>
      <w:bookmarkStart w:id="396" w:name="_Toc89870599"/>
      <w:bookmarkStart w:id="397" w:name="_Toc21232"/>
      <w:bookmarkStart w:id="398" w:name="_Toc31006"/>
      <w:r>
        <w:rPr>
          <w:rFonts w:ascii="Times New Roman" w:hAnsi="Times New Roman"/>
          <w:color w:val="auto"/>
          <w:sz w:val="24"/>
          <w:szCs w:val="24"/>
          <w:highlight w:val="none"/>
        </w:rPr>
        <w:t>8.3 对评标委员会成员的纪律要求</w:t>
      </w:r>
      <w:bookmarkEnd w:id="396"/>
      <w:bookmarkEnd w:id="397"/>
      <w:bookmarkEnd w:id="398"/>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评标委员会成员不得收受他人的财物或者其他好处，不得向他人透露对投标文件的评审</w:t>
      </w:r>
      <w:bookmarkStart w:id="399" w:name="_Toc13644"/>
      <w:bookmarkStart w:id="400" w:name="_Toc361508628"/>
      <w:bookmarkStart w:id="401" w:name="_Toc352691515"/>
      <w:bookmarkStart w:id="402" w:name="_Toc384308253"/>
      <w:bookmarkStart w:id="403" w:name="_Toc369531559"/>
      <w:r>
        <w:rPr>
          <w:rFonts w:ascii="Times New Roman" w:hAnsi="Times New Roman"/>
          <w:color w:val="auto"/>
          <w:sz w:val="24"/>
          <w:szCs w:val="24"/>
          <w:highlight w:val="none"/>
        </w:rPr>
        <w:t>和比较、中标候选人</w:t>
      </w:r>
      <w:bookmarkEnd w:id="384"/>
      <w:bookmarkEnd w:id="385"/>
      <w:bookmarkEnd w:id="386"/>
      <w:bookmarkEnd w:id="387"/>
      <w:bookmarkEnd w:id="388"/>
      <w:bookmarkEnd w:id="389"/>
      <w:bookmarkEnd w:id="399"/>
      <w:bookmarkEnd w:id="400"/>
      <w:bookmarkEnd w:id="401"/>
      <w:bookmarkEnd w:id="402"/>
      <w:bookmarkEnd w:id="403"/>
      <w:r>
        <w:rPr>
          <w:rFonts w:ascii="Times New Roman" w:hAnsi="Times New Roman"/>
          <w:color w:val="auto"/>
          <w:sz w:val="24"/>
          <w:szCs w:val="24"/>
          <w:highlight w:val="none"/>
        </w:rPr>
        <w:t>的推荐情况以及评标有关的其他情况。在评标活动中，评标委员会成员应当客观、公正地履行职责，遵守职业道德，不得擅离职守，影响评标程序正常进行，不得使用第三章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评标办法</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没有规定的评审因素和标准进行评标。</w:t>
      </w:r>
    </w:p>
    <w:p>
      <w:pPr>
        <w:pStyle w:val="5"/>
        <w:keepNext w:val="0"/>
        <w:keepLines w:val="0"/>
        <w:spacing w:before="0" w:after="0" w:line="460" w:lineRule="exact"/>
        <w:ind w:firstLine="480" w:firstLineChars="200"/>
        <w:rPr>
          <w:rFonts w:ascii="Times New Roman" w:hAnsi="Times New Roman"/>
          <w:color w:val="auto"/>
          <w:sz w:val="24"/>
          <w:szCs w:val="24"/>
          <w:highlight w:val="none"/>
        </w:rPr>
      </w:pPr>
      <w:bookmarkStart w:id="404" w:name="_Toc89870600"/>
      <w:bookmarkStart w:id="405" w:name="_Toc8046"/>
      <w:bookmarkStart w:id="406" w:name="_Toc11224"/>
      <w:r>
        <w:rPr>
          <w:rFonts w:ascii="Times New Roman" w:hAnsi="Times New Roman"/>
          <w:color w:val="auto"/>
          <w:sz w:val="24"/>
          <w:szCs w:val="24"/>
          <w:highlight w:val="none"/>
        </w:rPr>
        <w:t>8.4 对与评标活动有关的工作人员的纪律要求</w:t>
      </w:r>
      <w:bookmarkEnd w:id="404"/>
      <w:bookmarkEnd w:id="405"/>
      <w:bookmarkEnd w:id="406"/>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与评标活动有关的工作人员不得收受他人的财物或者其他好处，不得向他人透露对投标文件</w:t>
      </w:r>
      <w:bookmarkStart w:id="407" w:name="_Toc300834992"/>
      <w:bookmarkStart w:id="408" w:name="_Toc152045569"/>
      <w:bookmarkStart w:id="409" w:name="_Toc144974537"/>
      <w:bookmarkStart w:id="410" w:name="_Toc247513993"/>
      <w:bookmarkStart w:id="411" w:name="_Toc152042345"/>
      <w:bookmarkStart w:id="412" w:name="_Toc19429"/>
      <w:bookmarkStart w:id="413" w:name="_Toc369531560"/>
      <w:bookmarkStart w:id="414" w:name="_Toc384308254"/>
      <w:bookmarkStart w:id="415" w:name="_Toc361508629"/>
      <w:bookmarkStart w:id="416" w:name="_Toc247527594"/>
      <w:bookmarkStart w:id="417" w:name="_Toc352691516"/>
      <w:r>
        <w:rPr>
          <w:rFonts w:ascii="Times New Roman" w:hAnsi="Times New Roman"/>
          <w:color w:val="auto"/>
          <w:sz w:val="24"/>
          <w:szCs w:val="24"/>
          <w:highlight w:val="none"/>
        </w:rPr>
        <w:t>的评审和比较、中标</w:t>
      </w:r>
      <w:bookmarkEnd w:id="407"/>
      <w:bookmarkEnd w:id="408"/>
      <w:bookmarkEnd w:id="409"/>
      <w:bookmarkEnd w:id="410"/>
      <w:bookmarkEnd w:id="411"/>
      <w:bookmarkEnd w:id="412"/>
      <w:bookmarkEnd w:id="413"/>
      <w:bookmarkEnd w:id="414"/>
      <w:bookmarkEnd w:id="415"/>
      <w:bookmarkEnd w:id="416"/>
      <w:bookmarkEnd w:id="417"/>
      <w:r>
        <w:rPr>
          <w:rFonts w:ascii="Times New Roman" w:hAnsi="Times New Roman"/>
          <w:color w:val="auto"/>
          <w:sz w:val="24"/>
          <w:szCs w:val="24"/>
          <w:highlight w:val="none"/>
        </w:rPr>
        <w:t>候选人的推荐情况以及评标有关的其他情况。在评标活动中，与评标活动有关的工作人员不得擅离职守，影响评标程序正常进行。</w:t>
      </w:r>
    </w:p>
    <w:p>
      <w:pPr>
        <w:pStyle w:val="5"/>
        <w:keepNext w:val="0"/>
        <w:keepLines w:val="0"/>
        <w:spacing w:before="0" w:after="0" w:line="460" w:lineRule="exact"/>
        <w:ind w:firstLine="480" w:firstLineChars="200"/>
        <w:rPr>
          <w:rFonts w:ascii="Times New Roman" w:hAnsi="Times New Roman"/>
          <w:color w:val="auto"/>
          <w:sz w:val="24"/>
          <w:szCs w:val="24"/>
          <w:highlight w:val="none"/>
        </w:rPr>
      </w:pPr>
      <w:bookmarkStart w:id="418" w:name="_Toc24952"/>
      <w:bookmarkStart w:id="419" w:name="_Toc89870601"/>
      <w:bookmarkStart w:id="420" w:name="_Toc19219"/>
      <w:r>
        <w:rPr>
          <w:rFonts w:ascii="Times New Roman" w:hAnsi="Times New Roman"/>
          <w:color w:val="auto"/>
          <w:sz w:val="24"/>
          <w:szCs w:val="24"/>
          <w:highlight w:val="none"/>
        </w:rPr>
        <w:t>8.5 投诉</w:t>
      </w:r>
      <w:bookmarkEnd w:id="418"/>
      <w:bookmarkEnd w:id="419"/>
      <w:bookmarkEnd w:id="420"/>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8.5.2 投标人或者其他利害关系人对招标文件、开标和评标结果提出投诉的，应当按照投标人须知第2.4款、第5.3款和第7.2款的规定先向招标人提出异议。异议答复期间</w:t>
      </w:r>
      <w:bookmarkStart w:id="421" w:name="_Toc384308255"/>
      <w:bookmarkStart w:id="422" w:name="_Toc369531561"/>
      <w:bookmarkStart w:id="423" w:name="_Toc152042346"/>
      <w:bookmarkStart w:id="424" w:name="_Toc247513994"/>
      <w:bookmarkStart w:id="425" w:name="_Toc247527595"/>
      <w:bookmarkStart w:id="426" w:name="_Toc12776"/>
      <w:bookmarkStart w:id="427" w:name="_Toc352691517"/>
      <w:bookmarkStart w:id="428" w:name="_Toc361508630"/>
      <w:bookmarkStart w:id="429" w:name="_Toc144974538"/>
      <w:bookmarkStart w:id="430" w:name="_Toc300834993"/>
      <w:bookmarkStart w:id="431" w:name="_Toc152045570"/>
      <w:r>
        <w:rPr>
          <w:rFonts w:ascii="Times New Roman" w:hAnsi="Times New Roman"/>
          <w:color w:val="auto"/>
          <w:sz w:val="24"/>
          <w:szCs w:val="24"/>
          <w:highlight w:val="none"/>
        </w:rPr>
        <w:t>不计算在第8.5.</w:t>
      </w:r>
      <w:bookmarkEnd w:id="421"/>
      <w:bookmarkEnd w:id="422"/>
      <w:bookmarkEnd w:id="423"/>
      <w:bookmarkEnd w:id="424"/>
      <w:bookmarkEnd w:id="425"/>
      <w:bookmarkEnd w:id="426"/>
      <w:bookmarkEnd w:id="427"/>
      <w:bookmarkEnd w:id="428"/>
      <w:bookmarkEnd w:id="429"/>
      <w:bookmarkEnd w:id="430"/>
      <w:bookmarkEnd w:id="431"/>
      <w:r>
        <w:rPr>
          <w:rFonts w:ascii="Times New Roman" w:hAnsi="Times New Roman"/>
          <w:color w:val="auto"/>
          <w:sz w:val="24"/>
          <w:szCs w:val="24"/>
          <w:highlight w:val="none"/>
        </w:rPr>
        <w:t>1项规定的期限内。</w:t>
      </w:r>
    </w:p>
    <w:p>
      <w:pPr>
        <w:pStyle w:val="4"/>
        <w:keepNext w:val="0"/>
        <w:keepLines w:val="0"/>
        <w:spacing w:before="0" w:after="120" w:afterLines="50" w:line="460" w:lineRule="exact"/>
        <w:ind w:firstLine="643" w:firstLineChars="200"/>
        <w:rPr>
          <w:rFonts w:ascii="Times New Roman" w:hAnsi="Times New Roman"/>
          <w:color w:val="auto"/>
          <w:highlight w:val="none"/>
        </w:rPr>
      </w:pPr>
      <w:bookmarkStart w:id="432" w:name="_Toc29368"/>
      <w:bookmarkStart w:id="433" w:name="_Toc477134992"/>
      <w:bookmarkStart w:id="434" w:name="_Toc21279"/>
      <w:bookmarkStart w:id="435" w:name="_Toc89870602"/>
      <w:r>
        <w:rPr>
          <w:rFonts w:ascii="Times New Roman" w:hAnsi="Times New Roman"/>
          <w:color w:val="auto"/>
          <w:highlight w:val="none"/>
        </w:rPr>
        <w:t>9. 是否采用电子招标投标</w:t>
      </w:r>
      <w:bookmarkEnd w:id="432"/>
      <w:bookmarkEnd w:id="433"/>
      <w:bookmarkEnd w:id="434"/>
      <w:bookmarkEnd w:id="43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本招标项目是否采用电子招标投标方式，见投标人须知前附表。</w:t>
      </w:r>
    </w:p>
    <w:p>
      <w:pPr>
        <w:pStyle w:val="4"/>
        <w:keepNext w:val="0"/>
        <w:keepLines w:val="0"/>
        <w:spacing w:before="0" w:after="0" w:line="460" w:lineRule="exact"/>
        <w:ind w:firstLine="643" w:firstLineChars="200"/>
        <w:rPr>
          <w:rFonts w:ascii="Times New Roman" w:hAnsi="Times New Roman"/>
          <w:color w:val="auto"/>
          <w:highlight w:val="none"/>
        </w:rPr>
      </w:pPr>
      <w:bookmarkStart w:id="436" w:name="_Toc8767"/>
      <w:bookmarkStart w:id="437" w:name="_Toc4810"/>
      <w:bookmarkStart w:id="438" w:name="_Toc89870603"/>
      <w:r>
        <w:rPr>
          <w:rFonts w:ascii="Times New Roman" w:hAnsi="Times New Roman"/>
          <w:color w:val="auto"/>
          <w:highlight w:val="none"/>
        </w:rPr>
        <w:t>10. 需要补充的其他内容</w:t>
      </w:r>
      <w:bookmarkEnd w:id="436"/>
      <w:bookmarkEnd w:id="437"/>
      <w:bookmarkEnd w:id="438"/>
    </w:p>
    <w:bookmarkEnd w:id="41"/>
    <w:bookmarkEnd w:id="42"/>
    <w:bookmarkEnd w:id="43"/>
    <w:bookmarkEnd w:id="44"/>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需要补充的其他内容：见投标人须知前附表。</w:t>
      </w:r>
    </w:p>
    <w:p>
      <w:pPr>
        <w:ind w:firstLine="420" w:firstLineChars="200"/>
        <w:rPr>
          <w:rFonts w:ascii="Times New Roman" w:hAnsi="Times New Roman"/>
          <w:color w:val="auto"/>
          <w:highlight w:val="none"/>
        </w:rPr>
      </w:pPr>
    </w:p>
    <w:p>
      <w:pPr>
        <w:rPr>
          <w:rFonts w:ascii="Times New Roman" w:hAnsi="Times New Roman"/>
          <w:color w:val="auto"/>
          <w:highlight w:val="none"/>
        </w:rPr>
      </w:pPr>
      <w:bookmarkStart w:id="439" w:name="_Toc89870604"/>
      <w:bookmarkStart w:id="440" w:name="_Toc527028503"/>
      <w:r>
        <w:rPr>
          <w:rFonts w:ascii="Times New Roman" w:hAnsi="Times New Roman"/>
          <w:color w:val="auto"/>
          <w:highlight w:val="none"/>
        </w:rPr>
        <w:br w:type="page"/>
      </w:r>
    </w:p>
    <w:p>
      <w:pPr>
        <w:pStyle w:val="5"/>
        <w:keepNext w:val="0"/>
        <w:keepLines w:val="0"/>
        <w:spacing w:before="0" w:after="0"/>
        <w:ind w:firstLine="560" w:firstLineChars="200"/>
        <w:rPr>
          <w:rFonts w:ascii="Times New Roman" w:hAnsi="Times New Roman"/>
          <w:color w:val="auto"/>
          <w:highlight w:val="none"/>
        </w:rPr>
      </w:pPr>
      <w:bookmarkStart w:id="441" w:name="_Toc28091"/>
      <w:r>
        <w:rPr>
          <w:rFonts w:ascii="Times New Roman" w:hAnsi="Times New Roman"/>
          <w:color w:val="auto"/>
          <w:highlight w:val="none"/>
        </w:rPr>
        <w:t>附件一：开标记录表</w:t>
      </w:r>
      <w:bookmarkEnd w:id="439"/>
      <w:bookmarkEnd w:id="440"/>
      <w:bookmarkEnd w:id="441"/>
    </w:p>
    <w:p>
      <w:pPr>
        <w:spacing w:line="440" w:lineRule="exact"/>
        <w:ind w:firstLine="560" w:firstLineChars="200"/>
        <w:jc w:val="center"/>
        <w:rPr>
          <w:rFonts w:ascii="Times New Roman" w:hAnsi="Times New Roman" w:eastAsia="黑体"/>
          <w:color w:val="auto"/>
          <w:sz w:val="28"/>
          <w:highlight w:val="none"/>
        </w:rPr>
      </w:pPr>
      <w:r>
        <w:rPr>
          <w:rFonts w:ascii="Times New Roman" w:hAnsi="Times New Roman" w:eastAsia="黑体"/>
          <w:color w:val="auto"/>
          <w:sz w:val="28"/>
          <w:highlight w:val="none"/>
        </w:rPr>
        <w:t>开标记录表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开标时间：</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w:t>
      </w:r>
      <w:r>
        <w:rPr>
          <w:rFonts w:ascii="Times New Roman" w:hAnsi="Times New Roman"/>
          <w:color w:val="auto"/>
          <w:highlight w:val="none"/>
          <w:u w:val="single"/>
        </w:rPr>
        <w:t xml:space="preserve">         </w:t>
      </w:r>
      <w:r>
        <w:rPr>
          <w:rFonts w:ascii="Times New Roman" w:hAnsi="Times New Roman"/>
          <w:color w:val="auto"/>
          <w:highlight w:val="none"/>
        </w:rPr>
        <w:t>分</w:t>
      </w:r>
    </w:p>
    <w:tbl>
      <w:tblPr>
        <w:tblStyle w:val="23"/>
        <w:tblW w:w="8850" w:type="dxa"/>
        <w:tblInd w:w="0" w:type="dxa"/>
        <w:tblLayout w:type="fixed"/>
        <w:tblCellMar>
          <w:top w:w="0" w:type="dxa"/>
          <w:left w:w="108" w:type="dxa"/>
          <w:bottom w:w="0" w:type="dxa"/>
          <w:right w:w="108" w:type="dxa"/>
        </w:tblCellMar>
      </w:tblPr>
      <w:tblGrid>
        <w:gridCol w:w="494"/>
        <w:gridCol w:w="777"/>
        <w:gridCol w:w="756"/>
        <w:gridCol w:w="816"/>
        <w:gridCol w:w="913"/>
        <w:gridCol w:w="933"/>
        <w:gridCol w:w="793"/>
        <w:gridCol w:w="885"/>
        <w:gridCol w:w="915"/>
        <w:gridCol w:w="653"/>
        <w:gridCol w:w="915"/>
      </w:tblGrid>
      <w:tr>
        <w:tblPrEx>
          <w:tblCellMar>
            <w:top w:w="0" w:type="dxa"/>
            <w:left w:w="108" w:type="dxa"/>
            <w:bottom w:w="0" w:type="dxa"/>
            <w:right w:w="108" w:type="dxa"/>
          </w:tblCellMar>
        </w:tblPrEx>
        <w:trPr>
          <w:trHeight w:val="1019" w:hRule="atLeast"/>
        </w:trPr>
        <w:tc>
          <w:tcPr>
            <w:tcW w:w="4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200"/>
              <w:jc w:val="center"/>
              <w:rPr>
                <w:rFonts w:ascii="Times New Roman" w:hAnsi="Times New Roman"/>
                <w:color w:val="auto"/>
                <w:sz w:val="18"/>
                <w:highlight w:val="none"/>
              </w:rPr>
            </w:pPr>
            <w:r>
              <w:rPr>
                <w:rFonts w:ascii="Times New Roman" w:hAnsi="Times New Roman"/>
                <w:color w:val="auto"/>
                <w:sz w:val="18"/>
                <w:highlight w:val="none"/>
              </w:rPr>
              <w:t>序</w:t>
            </w:r>
            <w:r>
              <w:rPr>
                <w:rFonts w:hint="eastAsia" w:ascii="Times New Roman" w:hAnsi="Times New Roman"/>
                <w:color w:val="auto"/>
                <w:sz w:val="18"/>
                <w:highlight w:val="none"/>
              </w:rPr>
              <w:t>序</w:t>
            </w:r>
            <w:r>
              <w:rPr>
                <w:rFonts w:ascii="Times New Roman" w:hAnsi="Times New Roman"/>
                <w:color w:val="auto"/>
                <w:sz w:val="18"/>
                <w:highlight w:val="none"/>
              </w:rPr>
              <w:t>号</w:t>
            </w:r>
          </w:p>
        </w:tc>
        <w:tc>
          <w:tcPr>
            <w:tcW w:w="7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投标人</w:t>
            </w:r>
          </w:p>
        </w:tc>
        <w:tc>
          <w:tcPr>
            <w:tcW w:w="7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密封情况</w:t>
            </w:r>
          </w:p>
        </w:tc>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投标保证金</w:t>
            </w:r>
          </w:p>
        </w:tc>
        <w:tc>
          <w:tcPr>
            <w:tcW w:w="9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投标报价（元）</w:t>
            </w:r>
          </w:p>
        </w:tc>
        <w:tc>
          <w:tcPr>
            <w:tcW w:w="9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总监理工程师</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监理服务期限</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投标文件递交情况</w:t>
            </w: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投标文件解密情况</w:t>
            </w:r>
          </w:p>
        </w:tc>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备注</w:t>
            </w: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投标人代表签名</w:t>
            </w: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6"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bookmarkStart w:id="442" w:name="_Toc17638"/>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bookmarkEnd w:id="442"/>
      <w:tr>
        <w:tblPrEx>
          <w:tblCellMar>
            <w:top w:w="0" w:type="dxa"/>
            <w:left w:w="108" w:type="dxa"/>
            <w:bottom w:w="0" w:type="dxa"/>
            <w:right w:w="108" w:type="dxa"/>
          </w:tblCellMar>
        </w:tblPrEx>
        <w:trPr>
          <w:trHeight w:val="517" w:hRule="atLeast"/>
        </w:trPr>
        <w:tc>
          <w:tcPr>
            <w:tcW w:w="8850" w:type="dxa"/>
            <w:gridSpan w:val="11"/>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最高投标限价：</w:t>
            </w:r>
          </w:p>
        </w:tc>
      </w:tr>
    </w:tbl>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620" w:lineRule="exact"/>
        <w:ind w:firstLine="420" w:firstLineChars="200"/>
        <w:rPr>
          <w:rFonts w:ascii="Times New Roman" w:hAnsi="Times New Roman"/>
          <w:color w:val="auto"/>
          <w:highlight w:val="none"/>
        </w:rPr>
      </w:pPr>
      <w:r>
        <w:rPr>
          <w:rFonts w:ascii="Times New Roman" w:hAnsi="Times New Roman"/>
          <w:color w:val="auto"/>
          <w:highlight w:val="none"/>
        </w:rPr>
        <w:t>招标人代表：</w:t>
      </w:r>
      <w:r>
        <w:rPr>
          <w:rFonts w:ascii="Times New Roman" w:hAnsi="Times New Roman"/>
          <w:color w:val="auto"/>
          <w:highlight w:val="none"/>
          <w:u w:val="single"/>
        </w:rPr>
        <w:t xml:space="preserve">       </w:t>
      </w:r>
      <w:r>
        <w:rPr>
          <w:rFonts w:ascii="Times New Roman" w:hAnsi="Times New Roman"/>
          <w:color w:val="auto"/>
          <w:highlight w:val="none"/>
        </w:rPr>
        <w:t xml:space="preserve">        记录人：</w:t>
      </w:r>
      <w:r>
        <w:rPr>
          <w:rFonts w:ascii="Times New Roman" w:hAnsi="Times New Roman"/>
          <w:color w:val="auto"/>
          <w:highlight w:val="none"/>
          <w:u w:val="single"/>
        </w:rPr>
        <w:t xml:space="preserve">       </w:t>
      </w:r>
      <w:r>
        <w:rPr>
          <w:rFonts w:ascii="Times New Roman" w:hAnsi="Times New Roman"/>
          <w:color w:val="auto"/>
          <w:highlight w:val="none"/>
        </w:rPr>
        <w:t xml:space="preserve">       监标人：</w:t>
      </w:r>
      <w:r>
        <w:rPr>
          <w:rFonts w:ascii="Times New Roman" w:hAnsi="Times New Roman"/>
          <w:color w:val="auto"/>
          <w:highlight w:val="none"/>
          <w:u w:val="single"/>
        </w:rPr>
        <w:t xml:space="preserve">       </w:t>
      </w:r>
    </w:p>
    <w:p>
      <w:pPr>
        <w:spacing w:line="620" w:lineRule="exact"/>
        <w:ind w:firstLine="420" w:firstLineChars="200"/>
        <w:rPr>
          <w:rFonts w:ascii="Times New Roman" w:hAnsi="Times New Roman"/>
          <w:color w:val="auto"/>
          <w:sz w:val="20"/>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widowControl/>
        <w:jc w:val="left"/>
        <w:rPr>
          <w:rFonts w:ascii="Times New Roman" w:hAnsi="Times New Roman" w:eastAsia="黑体"/>
          <w:color w:val="auto"/>
          <w:sz w:val="28"/>
          <w:szCs w:val="20"/>
          <w:highlight w:val="none"/>
        </w:rPr>
      </w:pPr>
      <w:bookmarkStart w:id="443" w:name="_Toc89870605"/>
      <w:bookmarkStart w:id="444" w:name="_Toc527028504"/>
      <w:r>
        <w:rPr>
          <w:rFonts w:ascii="Times New Roman" w:hAnsi="Times New Roman"/>
          <w:color w:val="auto"/>
          <w:highlight w:val="none"/>
        </w:rPr>
        <w:br w:type="page"/>
      </w:r>
    </w:p>
    <w:p>
      <w:pPr>
        <w:pStyle w:val="5"/>
        <w:keepNext w:val="0"/>
        <w:keepLines w:val="0"/>
        <w:spacing w:before="0" w:after="0" w:line="413" w:lineRule="auto"/>
        <w:ind w:firstLine="560" w:firstLineChars="200"/>
        <w:rPr>
          <w:rFonts w:ascii="Times New Roman" w:hAnsi="Times New Roman"/>
          <w:color w:val="auto"/>
          <w:highlight w:val="none"/>
        </w:rPr>
      </w:pPr>
      <w:bookmarkStart w:id="445" w:name="_Toc21695"/>
      <w:r>
        <w:rPr>
          <w:rFonts w:ascii="Times New Roman" w:hAnsi="Times New Roman"/>
          <w:color w:val="auto"/>
          <w:highlight w:val="none"/>
        </w:rPr>
        <w:t>附件二：问题澄清通知</w:t>
      </w:r>
      <w:bookmarkEnd w:id="443"/>
      <w:bookmarkEnd w:id="444"/>
      <w:bookmarkEnd w:id="445"/>
    </w:p>
    <w:p>
      <w:pPr>
        <w:spacing w:line="440" w:lineRule="exact"/>
        <w:ind w:firstLine="420" w:firstLineChars="200"/>
        <w:rPr>
          <w:rFonts w:ascii="Times New Roman" w:hAnsi="Times New Roman"/>
          <w:color w:val="auto"/>
          <w:highlight w:val="none"/>
        </w:rPr>
      </w:pPr>
    </w:p>
    <w:p>
      <w:pPr>
        <w:spacing w:line="440" w:lineRule="exact"/>
        <w:ind w:firstLine="560" w:firstLineChars="200"/>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（投标人名称）：</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评标委员会对你方的投标文件进行了仔细的审查，现需你方对下列问题以书</w:t>
      </w:r>
      <w:bookmarkStart w:id="446" w:name="_Toc144974544"/>
      <w:bookmarkStart w:id="447" w:name="_Toc152042352"/>
      <w:bookmarkStart w:id="448" w:name="_Toc369531565"/>
      <w:bookmarkStart w:id="449" w:name="_Toc384308260"/>
      <w:bookmarkStart w:id="450" w:name="_Toc352691521"/>
      <w:bookmarkStart w:id="451" w:name="_Toc300834996"/>
      <w:bookmarkStart w:id="452" w:name="_Toc361508634"/>
      <w:bookmarkStart w:id="453" w:name="_Toc247527601"/>
      <w:bookmarkStart w:id="454" w:name="_Toc247514000"/>
      <w:bookmarkStart w:id="455" w:name="_Toc23050"/>
      <w:bookmarkStart w:id="456" w:name="_Toc152045576"/>
      <w:r>
        <w:rPr>
          <w:rFonts w:ascii="Times New Roman" w:hAnsi="Times New Roman"/>
          <w:color w:val="auto"/>
          <w:highlight w:val="none"/>
        </w:rPr>
        <w:t>面形式予以澄清、说明或补正：</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bookmarkEnd w:id="446"/>
    <w:bookmarkEnd w:id="447"/>
    <w:bookmarkEnd w:id="448"/>
    <w:bookmarkEnd w:id="449"/>
    <w:bookmarkEnd w:id="450"/>
    <w:bookmarkEnd w:id="451"/>
    <w:bookmarkEnd w:id="452"/>
    <w:bookmarkEnd w:id="453"/>
    <w:bookmarkEnd w:id="454"/>
    <w:bookmarkEnd w:id="455"/>
    <w:bookmarkEnd w:id="456"/>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xml:space="preserve">    1.</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xml:space="preserve">    2.</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xml:space="preserve">     ......   </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请将上述问题的澄清、说明或补正于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时前递交至</w:t>
      </w:r>
      <w:bookmarkStart w:id="457" w:name="_Toc152042353"/>
      <w:bookmarkStart w:id="458" w:name="_Toc361508635"/>
      <w:bookmarkStart w:id="459" w:name="_Toc247527602"/>
      <w:bookmarkStart w:id="460" w:name="_Toc352691522"/>
      <w:bookmarkStart w:id="461" w:name="_Toc144974545"/>
      <w:bookmarkStart w:id="462" w:name="_Toc369531566"/>
      <w:bookmarkStart w:id="463" w:name="_Toc384308261"/>
      <w:bookmarkStart w:id="464" w:name="_Toc152045577"/>
      <w:bookmarkStart w:id="465" w:name="_Toc247514001"/>
      <w:bookmarkStart w:id="466" w:name="_Toc28385"/>
      <w:bookmarkStart w:id="467" w:name="_Toc300834997"/>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（详细地址）或传真至</w:t>
      </w:r>
      <w:bookmarkEnd w:id="457"/>
      <w:bookmarkEnd w:id="458"/>
      <w:bookmarkEnd w:id="459"/>
      <w:bookmarkEnd w:id="460"/>
      <w:bookmarkEnd w:id="461"/>
      <w:bookmarkEnd w:id="462"/>
      <w:bookmarkEnd w:id="463"/>
      <w:bookmarkEnd w:id="464"/>
      <w:bookmarkEnd w:id="465"/>
      <w:bookmarkEnd w:id="466"/>
      <w:bookmarkEnd w:id="467"/>
      <w:r>
        <w:rPr>
          <w:rFonts w:ascii="Times New Roman" w:hAnsi="Times New Roman"/>
          <w:color w:val="auto"/>
          <w:highlight w:val="none"/>
          <w:u w:val="single"/>
        </w:rPr>
        <w:t xml:space="preserve">                     </w:t>
      </w:r>
      <w:r>
        <w:rPr>
          <w:rFonts w:ascii="Times New Roman" w:hAnsi="Times New Roman"/>
          <w:color w:val="auto"/>
          <w:highlight w:val="none"/>
        </w:rPr>
        <w:t>（传真号码）或通过下载招标文件的电子招标交易平台上传。采用传真方式的，应在</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时前将原件递交至</w:t>
      </w:r>
      <w:r>
        <w:rPr>
          <w:rFonts w:ascii="Times New Roman" w:hAnsi="Times New Roman"/>
          <w:color w:val="auto"/>
          <w:highlight w:val="none"/>
          <w:u w:val="single"/>
        </w:rPr>
        <w:t xml:space="preserve">                     </w:t>
      </w:r>
      <w:r>
        <w:rPr>
          <w:rFonts w:ascii="Times New Roman" w:hAnsi="Times New Roman"/>
          <w:color w:val="auto"/>
          <w:highlight w:val="none"/>
        </w:rPr>
        <w:t>（详细地址）。</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spacing w:line="440" w:lineRule="exact"/>
        <w:ind w:firstLine="420" w:firstLineChars="200"/>
        <w:jc w:val="right"/>
        <w:rPr>
          <w:rFonts w:ascii="Times New Roman" w:hAnsi="Times New Roman"/>
          <w:color w:val="auto"/>
          <w:highlight w:val="none"/>
        </w:rPr>
      </w:pPr>
      <w:r>
        <w:rPr>
          <w:rFonts w:ascii="Times New Roman" w:hAnsi="Times New Roman"/>
          <w:color w:val="auto"/>
          <w:highlight w:val="none"/>
        </w:rPr>
        <w:t>评标委员会授权的招标人或招标代理机构：</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（签字或盖章）</w:t>
      </w:r>
      <w:bookmarkStart w:id="468" w:name="_Toc384308262"/>
      <w:bookmarkStart w:id="469" w:name="_Toc6580"/>
      <w:bookmarkStart w:id="470" w:name="_Toc247514002"/>
      <w:bookmarkStart w:id="471" w:name="_Toc152045578"/>
      <w:bookmarkStart w:id="472" w:name="_Toc361508636"/>
      <w:bookmarkStart w:id="473" w:name="_Toc352691523"/>
      <w:bookmarkStart w:id="474" w:name="_Toc247527603"/>
      <w:bookmarkStart w:id="475" w:name="_Toc152042354"/>
      <w:bookmarkStart w:id="476" w:name="_Toc300834998"/>
      <w:bookmarkStart w:id="477" w:name="_Toc369531567"/>
      <w:bookmarkStart w:id="478" w:name="_Toc144974546"/>
    </w:p>
    <w:bookmarkEnd w:id="468"/>
    <w:bookmarkEnd w:id="469"/>
    <w:bookmarkEnd w:id="470"/>
    <w:bookmarkEnd w:id="471"/>
    <w:bookmarkEnd w:id="472"/>
    <w:bookmarkEnd w:id="473"/>
    <w:bookmarkEnd w:id="474"/>
    <w:bookmarkEnd w:id="475"/>
    <w:bookmarkEnd w:id="476"/>
    <w:bookmarkEnd w:id="477"/>
    <w:p>
      <w:pPr>
        <w:spacing w:line="440" w:lineRule="exact"/>
        <w:ind w:firstLine="420" w:firstLineChars="200"/>
        <w:rPr>
          <w:rFonts w:ascii="Times New Roman" w:hAnsi="Times New Roman"/>
          <w:color w:val="auto"/>
          <w:highlight w:val="none"/>
        </w:rPr>
      </w:pPr>
      <w:bookmarkStart w:id="479" w:name="_Toc152042355"/>
    </w:p>
    <w:p>
      <w:pPr>
        <w:spacing w:line="440" w:lineRule="exact"/>
        <w:ind w:firstLine="420" w:firstLineChars="20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rPr>
          <w:rFonts w:ascii="Times New Roman" w:hAnsi="Times New Roman"/>
          <w:color w:val="auto"/>
          <w:highlight w:val="none"/>
        </w:rPr>
      </w:pPr>
      <w:bookmarkStart w:id="480" w:name="_Toc527028505"/>
      <w:bookmarkStart w:id="481" w:name="_Toc89870606"/>
      <w:r>
        <w:rPr>
          <w:rFonts w:ascii="Times New Roman" w:hAnsi="Times New Roman"/>
          <w:color w:val="auto"/>
          <w:highlight w:val="none"/>
        </w:rPr>
        <w:br w:type="page"/>
      </w:r>
    </w:p>
    <w:p>
      <w:pPr>
        <w:pStyle w:val="5"/>
        <w:keepNext w:val="0"/>
        <w:keepLines w:val="0"/>
        <w:spacing w:before="0" w:after="0" w:line="413" w:lineRule="auto"/>
        <w:ind w:firstLine="560" w:firstLineChars="200"/>
        <w:rPr>
          <w:rFonts w:ascii="Times New Roman" w:hAnsi="Times New Roman"/>
          <w:color w:val="auto"/>
          <w:highlight w:val="none"/>
        </w:rPr>
      </w:pPr>
      <w:bookmarkStart w:id="482" w:name="_Toc31800"/>
      <w:r>
        <w:rPr>
          <w:rFonts w:ascii="Times New Roman" w:hAnsi="Times New Roman"/>
          <w:color w:val="auto"/>
          <w:highlight w:val="none"/>
        </w:rPr>
        <w:t>附件三：问题的澄清</w:t>
      </w:r>
      <w:bookmarkEnd w:id="480"/>
      <w:bookmarkEnd w:id="481"/>
      <w:bookmarkEnd w:id="482"/>
    </w:p>
    <w:p>
      <w:pPr>
        <w:spacing w:line="400" w:lineRule="exact"/>
        <w:ind w:firstLine="560" w:firstLineChars="200"/>
        <w:rPr>
          <w:rFonts w:ascii="Times New Roman" w:hAnsi="Times New Roman" w:eastAsia="黑体"/>
          <w:color w:val="auto"/>
          <w:sz w:val="28"/>
          <w:highlight w:val="none"/>
        </w:rPr>
      </w:pPr>
    </w:p>
    <w:p>
      <w:pPr>
        <w:spacing w:line="400" w:lineRule="exact"/>
        <w:ind w:firstLine="560" w:firstLineChars="200"/>
        <w:jc w:val="center"/>
        <w:rPr>
          <w:rFonts w:ascii="Times New Roman" w:hAnsi="Times New Roman" w:eastAsia="黑体"/>
          <w:color w:val="auto"/>
          <w:sz w:val="28"/>
          <w:highlight w:val="none"/>
        </w:rPr>
      </w:pPr>
      <w:r>
        <w:rPr>
          <w:rFonts w:ascii="Times New Roman" w:hAnsi="Times New Roman" w:eastAsia="黑体"/>
          <w:color w:val="auto"/>
          <w:sz w:val="28"/>
          <w:highlight w:val="none"/>
        </w:rPr>
        <w:t>问</w:t>
      </w:r>
      <w:bookmarkEnd w:id="479"/>
      <w:r>
        <w:rPr>
          <w:rFonts w:ascii="Times New Roman" w:hAnsi="Times New Roman" w:eastAsia="黑体"/>
          <w:color w:val="auto"/>
          <w:sz w:val="28"/>
          <w:highlight w:val="none"/>
        </w:rPr>
        <w:t>题</w:t>
      </w:r>
      <w:bookmarkStart w:id="483" w:name="_Toc3622"/>
      <w:bookmarkStart w:id="484" w:name="_Toc247527604"/>
      <w:bookmarkStart w:id="485" w:name="_Toc300834999"/>
      <w:bookmarkStart w:id="486" w:name="_Toc152045579"/>
      <w:bookmarkStart w:id="487" w:name="_Toc247514003"/>
      <w:bookmarkStart w:id="488" w:name="_Toc352691524"/>
      <w:bookmarkStart w:id="489" w:name="_Toc369531568"/>
      <w:bookmarkStart w:id="490" w:name="_Toc152042356"/>
      <w:bookmarkStart w:id="491" w:name="_Toc361508637"/>
      <w:bookmarkStart w:id="492" w:name="_Toc384308263"/>
      <w:r>
        <w:rPr>
          <w:rFonts w:ascii="Times New Roman" w:hAnsi="Times New Roman" w:eastAsia="黑体"/>
          <w:color w:val="auto"/>
          <w:sz w:val="28"/>
          <w:highlight w:val="none"/>
        </w:rPr>
        <w:t>的澄清</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（编号</w:t>
      </w:r>
      <w:bookmarkEnd w:id="478"/>
      <w:bookmarkEnd w:id="483"/>
      <w:bookmarkEnd w:id="484"/>
      <w:bookmarkEnd w:id="485"/>
      <w:bookmarkEnd w:id="486"/>
      <w:bookmarkEnd w:id="487"/>
      <w:bookmarkEnd w:id="488"/>
      <w:bookmarkEnd w:id="489"/>
      <w:bookmarkEnd w:id="490"/>
      <w:bookmarkEnd w:id="491"/>
      <w:bookmarkEnd w:id="492"/>
      <w:r>
        <w:rPr>
          <w:rFonts w:ascii="Times New Roman" w:hAnsi="Times New Roman"/>
          <w:color w:val="auto"/>
          <w:highlight w:val="none"/>
        </w:rPr>
        <w:t>：</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评标委员会：</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问题澄清通知（编号：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）已收悉，现澄清、说明或补正如下：</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1.</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2.</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上述问题澄清、说明或补正，不改变我方投标文件的实质性内容，构成我方投标文件的组成部分。</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spacing w:line="480" w:lineRule="auto"/>
        <w:ind w:firstLine="420" w:firstLineChars="200"/>
        <w:rPr>
          <w:rFonts w:ascii="Times New Roman" w:hAnsi="Times New Roman"/>
          <w:color w:val="auto"/>
          <w:highlight w:val="none"/>
        </w:rPr>
      </w:pPr>
      <w:r>
        <w:rPr>
          <w:rFonts w:ascii="Times New Roman" w:hAnsi="Times New Roman"/>
          <w:color w:val="auto"/>
          <w:highlight w:val="none"/>
        </w:rPr>
        <w:t>　　　　　　　　　　　　　　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pPr>
        <w:spacing w:line="480" w:lineRule="auto"/>
        <w:ind w:firstLine="420" w:firstLineChars="200"/>
        <w:jc w:val="right"/>
        <w:rPr>
          <w:rFonts w:ascii="Times New Roman" w:hAnsi="Times New Roman"/>
          <w:color w:val="auto"/>
          <w:highlight w:val="none"/>
        </w:rPr>
      </w:pPr>
      <w:r>
        <w:rPr>
          <w:rFonts w:hint="eastAsia" w:ascii="Times New Roman" w:hAnsi="Times New Roman"/>
          <w:color w:val="auto"/>
          <w:highlight w:val="none"/>
        </w:rPr>
        <w:t xml:space="preserve"> </w:t>
      </w:r>
      <w:r>
        <w:rPr>
          <w:rFonts w:ascii="Times New Roman" w:hAnsi="Times New Roman"/>
          <w:color w:val="auto"/>
          <w:highlight w:val="none"/>
        </w:rPr>
        <w:t>法定代表人或其委托代理人：</w:t>
      </w:r>
      <w:r>
        <w:rPr>
          <w:rFonts w:ascii="Times New Roman" w:hAnsi="Times New Roman"/>
          <w:color w:val="auto"/>
          <w:highlight w:val="none"/>
          <w:u w:val="single"/>
        </w:rPr>
        <w:t xml:space="preserve">        </w:t>
      </w:r>
      <w:r>
        <w:rPr>
          <w:rFonts w:ascii="Times New Roman" w:hAnsi="Times New Roman"/>
          <w:color w:val="auto"/>
          <w:highlight w:val="none"/>
        </w:rPr>
        <w:t>（签字）</w:t>
      </w:r>
    </w:p>
    <w:p>
      <w:pPr>
        <w:spacing w:line="440" w:lineRule="exact"/>
        <w:ind w:firstLine="420" w:firstLineChars="200"/>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bookmarkStart w:id="493" w:name="_Toc300835002"/>
      <w:bookmarkStart w:id="494" w:name="_Toc352691527"/>
      <w:bookmarkStart w:id="495" w:name="_Toc15139"/>
      <w:bookmarkStart w:id="496" w:name="_Toc152042358"/>
      <w:bookmarkStart w:id="497" w:name="_Toc144974548"/>
      <w:bookmarkStart w:id="498" w:name="_Toc152045581"/>
      <w:bookmarkStart w:id="499" w:name="_Toc247514005"/>
      <w:bookmarkStart w:id="500" w:name="_Toc384308266"/>
      <w:bookmarkStart w:id="501" w:name="_Toc369531571"/>
      <w:bookmarkStart w:id="502" w:name="_Toc361508640"/>
      <w:bookmarkStart w:id="503" w:name="_Toc247527606"/>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bookmarkEnd w:id="493"/>
    <w:bookmarkEnd w:id="494"/>
    <w:bookmarkEnd w:id="495"/>
    <w:bookmarkEnd w:id="496"/>
    <w:bookmarkEnd w:id="497"/>
    <w:bookmarkEnd w:id="498"/>
    <w:bookmarkEnd w:id="499"/>
    <w:bookmarkEnd w:id="500"/>
    <w:bookmarkEnd w:id="501"/>
    <w:bookmarkEnd w:id="502"/>
    <w:bookmarkEnd w:id="503"/>
    <w:p>
      <w:pPr>
        <w:spacing w:line="400" w:lineRule="exact"/>
        <w:ind w:firstLine="420" w:firstLineChars="200"/>
        <w:rPr>
          <w:rFonts w:ascii="Times New Roman" w:hAnsi="Times New Roman"/>
          <w:color w:val="auto"/>
          <w:highlight w:val="none"/>
        </w:rPr>
      </w:pPr>
    </w:p>
    <w:p>
      <w:pPr>
        <w:pStyle w:val="5"/>
        <w:keepNext w:val="0"/>
        <w:keepLines w:val="0"/>
        <w:spacing w:before="0" w:after="0" w:line="413" w:lineRule="auto"/>
        <w:ind w:firstLine="560" w:firstLineChars="200"/>
        <w:rPr>
          <w:rFonts w:ascii="Times New Roman" w:hAnsi="Times New Roman"/>
          <w:color w:val="auto"/>
          <w:highlight w:val="none"/>
        </w:rPr>
      </w:pPr>
      <w:r>
        <w:rPr>
          <w:rFonts w:ascii="Times New Roman" w:hAnsi="Times New Roman"/>
          <w:color w:val="auto"/>
          <w:highlight w:val="none"/>
        </w:rPr>
        <w:br w:type="page"/>
      </w:r>
      <w:bookmarkStart w:id="504" w:name="_Toc89870607"/>
      <w:bookmarkStart w:id="505" w:name="_Toc1393"/>
      <w:bookmarkStart w:id="506" w:name="_Toc527028506"/>
      <w:r>
        <w:rPr>
          <w:rFonts w:ascii="Times New Roman" w:hAnsi="Times New Roman"/>
          <w:color w:val="auto"/>
          <w:highlight w:val="none"/>
        </w:rPr>
        <w:t>附件</w:t>
      </w:r>
      <w:r>
        <w:rPr>
          <w:rFonts w:hint="eastAsia" w:ascii="Times New Roman" w:hAnsi="Times New Roman"/>
          <w:color w:val="auto"/>
          <w:highlight w:val="none"/>
        </w:rPr>
        <w:t>四</w:t>
      </w:r>
      <w:r>
        <w:rPr>
          <w:rFonts w:ascii="Times New Roman" w:hAnsi="Times New Roman"/>
          <w:color w:val="auto"/>
          <w:highlight w:val="none"/>
        </w:rPr>
        <w:t>：确认通知</w:t>
      </w:r>
      <w:bookmarkEnd w:id="504"/>
      <w:bookmarkEnd w:id="505"/>
      <w:bookmarkEnd w:id="506"/>
    </w:p>
    <w:p>
      <w:pPr>
        <w:spacing w:line="400" w:lineRule="exact"/>
        <w:ind w:firstLine="420" w:firstLineChars="200"/>
        <w:rPr>
          <w:rFonts w:ascii="Times New Roman" w:hAnsi="Times New Roman"/>
          <w:color w:val="auto"/>
          <w:highlight w:val="none"/>
        </w:rPr>
      </w:pPr>
    </w:p>
    <w:p>
      <w:pPr>
        <w:spacing w:line="400" w:lineRule="exact"/>
        <w:ind w:firstLine="560" w:firstLineChars="200"/>
        <w:jc w:val="center"/>
        <w:rPr>
          <w:rFonts w:ascii="Times New Roman" w:hAnsi="Times New Roman" w:eastAsia="黑体"/>
          <w:color w:val="auto"/>
          <w:sz w:val="28"/>
          <w:highlight w:val="none"/>
        </w:rPr>
      </w:pPr>
      <w:r>
        <w:rPr>
          <w:rFonts w:ascii="Times New Roman" w:hAnsi="Times New Roman" w:eastAsia="黑体"/>
          <w:color w:val="auto"/>
          <w:sz w:val="28"/>
          <w:highlight w:val="none"/>
        </w:rPr>
        <w:t>确认通知</w:t>
      </w:r>
    </w:p>
    <w:p>
      <w:pPr>
        <w:spacing w:line="40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（招标人名称）：</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你方于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日发出的</w:t>
      </w:r>
      <w:r>
        <w:rPr>
          <w:rFonts w:ascii="Times New Roman" w:hAnsi="Times New Roman"/>
          <w:color w:val="auto"/>
          <w:highlight w:val="none"/>
          <w:u w:val="single"/>
        </w:rPr>
        <w:t xml:space="preserve">         </w:t>
      </w:r>
      <w:r>
        <w:rPr>
          <w:rFonts w:hint="eastAsia" w:ascii="Times New Roman" w:hAnsi="Times New Roman"/>
          <w:color w:val="auto"/>
          <w:highlight w:val="none"/>
        </w:rPr>
        <w:t>（项目名称）</w:t>
      </w:r>
      <w:r>
        <w:rPr>
          <w:rFonts w:ascii="Times New Roman" w:hAnsi="Times New Roman"/>
          <w:color w:val="auto"/>
          <w:highlight w:val="none"/>
        </w:rPr>
        <w:t>招标关于</w:t>
      </w:r>
      <w:r>
        <w:rPr>
          <w:rFonts w:ascii="Times New Roman" w:hAnsi="Times New Roman"/>
          <w:color w:val="auto"/>
          <w:highlight w:val="none"/>
          <w:u w:val="single"/>
        </w:rPr>
        <w:t>招标文件的澄清/修改</w:t>
      </w:r>
      <w:r>
        <w:rPr>
          <w:rFonts w:ascii="Times New Roman" w:hAnsi="Times New Roman"/>
          <w:color w:val="auto"/>
          <w:highlight w:val="none"/>
        </w:rPr>
        <w:t>的通知，我方已于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日收到。</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特此确认。</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spacing w:line="480" w:lineRule="auto"/>
        <w:ind w:firstLine="420" w:firstLineChars="200"/>
        <w:jc w:val="right"/>
        <w:rPr>
          <w:rFonts w:ascii="Times New Roman" w:hAnsi="Times New Roman"/>
          <w:color w:val="auto"/>
          <w:highlight w:val="none"/>
        </w:rPr>
      </w:pPr>
      <w:r>
        <w:rPr>
          <w:rFonts w:ascii="Times New Roman" w:hAnsi="Times New Roman"/>
          <w:color w:val="auto"/>
          <w:highlight w:val="none"/>
        </w:rPr>
        <w:t>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pPr>
        <w:spacing w:line="480" w:lineRule="auto"/>
        <w:ind w:firstLine="420" w:firstLineChars="200"/>
        <w:jc w:val="right"/>
        <w:rPr>
          <w:rFonts w:ascii="Times New Roman" w:hAnsi="Times New Roman"/>
          <w:color w:val="auto"/>
          <w:highlight w:val="none"/>
        </w:rPr>
      </w:pPr>
      <w:r>
        <w:rPr>
          <w:rFonts w:ascii="Times New Roman" w:hAnsi="Times New Roman"/>
          <w:color w:val="auto"/>
          <w:highlight w:val="none"/>
        </w:rPr>
        <w:t>法定代表人或委托代理人：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w:t>
      </w:r>
    </w:p>
    <w:p>
      <w:pPr>
        <w:spacing w:line="440" w:lineRule="exact"/>
        <w:ind w:firstLine="420" w:firstLineChars="20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ind w:firstLine="420" w:firstLineChars="200"/>
        <w:rPr>
          <w:rFonts w:ascii="Times New Roman" w:hAnsi="Times New Roman"/>
          <w:color w:val="auto"/>
          <w:highlight w:val="none"/>
        </w:rPr>
      </w:pPr>
    </w:p>
    <w:p>
      <w:pPr>
        <w:ind w:firstLine="420" w:firstLineChars="200"/>
        <w:rPr>
          <w:color w:val="auto"/>
          <w:highlight w:val="none"/>
        </w:rPr>
      </w:pPr>
    </w:p>
    <w:p>
      <w:pPr>
        <w:ind w:firstLine="420" w:firstLineChars="200"/>
        <w:rPr>
          <w:color w:val="auto"/>
          <w:highlight w:val="none"/>
        </w:rPr>
      </w:pPr>
    </w:p>
    <w:p>
      <w:pPr>
        <w:pStyle w:val="3"/>
        <w:keepNext w:val="0"/>
        <w:keepLines w:val="0"/>
        <w:spacing w:before="100" w:after="100" w:line="360" w:lineRule="auto"/>
        <w:jc w:val="center"/>
        <w:outlineLvl w:val="0"/>
        <w:rPr>
          <w:color w:val="auto"/>
          <w:highlight w:val="none"/>
        </w:rPr>
      </w:pPr>
      <w:r>
        <w:rPr>
          <w:color w:val="auto"/>
          <w:highlight w:val="none"/>
        </w:rPr>
        <w:br w:type="page"/>
      </w:r>
      <w:bookmarkStart w:id="507" w:name="_Toc89870608"/>
      <w:bookmarkStart w:id="508" w:name="_Toc27463"/>
      <w:bookmarkStart w:id="509" w:name="_Toc27518"/>
      <w:r>
        <w:rPr>
          <w:color w:val="auto"/>
          <w:highlight w:val="none"/>
        </w:rPr>
        <w:t>第三章</w:t>
      </w:r>
      <w:r>
        <w:rPr>
          <w:rFonts w:hint="eastAsia"/>
          <w:color w:val="auto"/>
          <w:highlight w:val="none"/>
        </w:rPr>
        <w:t xml:space="preserve"> </w:t>
      </w:r>
      <w:r>
        <w:rPr>
          <w:color w:val="auto"/>
          <w:highlight w:val="none"/>
        </w:rPr>
        <w:t>评标办法（综合评估法）</w:t>
      </w:r>
      <w:bookmarkEnd w:id="507"/>
      <w:bookmarkEnd w:id="508"/>
      <w:bookmarkEnd w:id="509"/>
    </w:p>
    <w:p>
      <w:pPr>
        <w:pStyle w:val="4"/>
        <w:keepNext w:val="0"/>
        <w:keepLines w:val="0"/>
        <w:spacing w:line="460" w:lineRule="exact"/>
        <w:jc w:val="center"/>
        <w:outlineLvl w:val="1"/>
        <w:rPr>
          <w:color w:val="auto"/>
          <w:highlight w:val="none"/>
        </w:rPr>
      </w:pPr>
      <w:bookmarkStart w:id="510" w:name="_Toc11298"/>
      <w:bookmarkStart w:id="511" w:name="_Toc29685"/>
      <w:bookmarkStart w:id="512" w:name="_Toc89870609"/>
      <w:r>
        <w:rPr>
          <w:color w:val="auto"/>
          <w:sz w:val="36"/>
          <w:szCs w:val="36"/>
          <w:highlight w:val="none"/>
        </w:rPr>
        <w:t>评标办法前附表</w:t>
      </w:r>
      <w:bookmarkEnd w:id="510"/>
      <w:bookmarkEnd w:id="511"/>
    </w:p>
    <w:tbl>
      <w:tblPr>
        <w:tblStyle w:val="23"/>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97"/>
        <w:gridCol w:w="1098"/>
        <w:gridCol w:w="1066"/>
        <w:gridCol w:w="1066"/>
        <w:gridCol w:w="5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78" w:type="dxa"/>
            <w:gridSpan w:val="3"/>
            <w:vAlign w:val="center"/>
          </w:tcPr>
          <w:p>
            <w:pPr>
              <w:snapToGrid w:val="0"/>
              <w:spacing w:beforeLines="0" w:afterLines="0" w:line="336" w:lineRule="auto"/>
              <w:jc w:val="center"/>
              <w:rPr>
                <w:rFonts w:ascii="宋体" w:hAnsi="宋体"/>
                <w:b/>
                <w:color w:val="auto"/>
                <w:szCs w:val="21"/>
                <w:highlight w:val="none"/>
              </w:rPr>
            </w:pPr>
            <w:r>
              <w:rPr>
                <w:rFonts w:ascii="宋体" w:hAnsi="宋体"/>
                <w:b/>
                <w:color w:val="auto"/>
                <w:szCs w:val="21"/>
                <w:highlight w:val="none"/>
              </w:rPr>
              <w:t>条款号</w:t>
            </w:r>
          </w:p>
        </w:tc>
        <w:tc>
          <w:tcPr>
            <w:tcW w:w="2132" w:type="dxa"/>
            <w:gridSpan w:val="2"/>
            <w:vAlign w:val="center"/>
          </w:tcPr>
          <w:p>
            <w:pPr>
              <w:snapToGrid w:val="0"/>
              <w:spacing w:beforeLines="0" w:afterLines="0" w:line="336" w:lineRule="auto"/>
              <w:jc w:val="center"/>
              <w:rPr>
                <w:rFonts w:ascii="宋体" w:hAnsi="宋体"/>
                <w:b/>
                <w:color w:val="auto"/>
                <w:szCs w:val="21"/>
                <w:highlight w:val="none"/>
              </w:rPr>
            </w:pPr>
            <w:r>
              <w:rPr>
                <w:rFonts w:ascii="宋体" w:hAnsi="宋体"/>
                <w:b/>
                <w:color w:val="auto"/>
                <w:szCs w:val="21"/>
                <w:highlight w:val="none"/>
              </w:rPr>
              <w:t>评审因素</w:t>
            </w:r>
          </w:p>
        </w:tc>
        <w:tc>
          <w:tcPr>
            <w:tcW w:w="5252" w:type="dxa"/>
            <w:vAlign w:val="center"/>
          </w:tcPr>
          <w:p>
            <w:pPr>
              <w:snapToGrid w:val="0"/>
              <w:spacing w:beforeLines="0" w:afterLines="0" w:line="336" w:lineRule="auto"/>
              <w:jc w:val="center"/>
              <w:rPr>
                <w:rFonts w:ascii="宋体" w:hAnsi="宋体"/>
                <w:b/>
                <w:color w:val="auto"/>
                <w:szCs w:val="21"/>
                <w:highlight w:val="none"/>
              </w:rPr>
            </w:pPr>
            <w:r>
              <w:rPr>
                <w:rFonts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880" w:type="dxa"/>
            <w:gridSpan w:val="2"/>
            <w:vAlign w:val="center"/>
          </w:tcPr>
          <w:p>
            <w:pPr>
              <w:snapToGrid w:val="0"/>
              <w:spacing w:beforeLines="0" w:afterLines="0" w:line="336" w:lineRule="auto"/>
              <w:jc w:val="center"/>
              <w:rPr>
                <w:rFonts w:ascii="Times New Roman" w:hAnsi="Times New Roman"/>
                <w:color w:val="auto"/>
                <w:highlight w:val="none"/>
              </w:rPr>
            </w:pPr>
            <w:r>
              <w:rPr>
                <w:rFonts w:ascii="Times New Roman" w:hAnsi="Times New Roman"/>
                <w:color w:val="auto"/>
                <w:highlight w:val="none"/>
              </w:rPr>
              <w:t>1</w:t>
            </w:r>
          </w:p>
        </w:tc>
        <w:tc>
          <w:tcPr>
            <w:tcW w:w="1098" w:type="dxa"/>
            <w:vAlign w:val="center"/>
          </w:tcPr>
          <w:p>
            <w:pPr>
              <w:snapToGrid w:val="0"/>
              <w:spacing w:beforeLines="0" w:afterLines="0" w:line="336" w:lineRule="auto"/>
              <w:rPr>
                <w:rFonts w:ascii="宋体" w:hAnsi="宋体"/>
                <w:color w:val="auto"/>
                <w:szCs w:val="21"/>
                <w:highlight w:val="none"/>
              </w:rPr>
            </w:pPr>
            <w:r>
              <w:rPr>
                <w:rFonts w:ascii="宋体" w:hAnsi="宋体"/>
                <w:color w:val="auto"/>
                <w:szCs w:val="21"/>
                <w:highlight w:val="none"/>
              </w:rPr>
              <w:t>评标方法</w:t>
            </w:r>
          </w:p>
        </w:tc>
        <w:tc>
          <w:tcPr>
            <w:tcW w:w="2132" w:type="dxa"/>
            <w:gridSpan w:val="2"/>
            <w:vAlign w:val="center"/>
          </w:tcPr>
          <w:p>
            <w:pPr>
              <w:snapToGrid w:val="0"/>
              <w:spacing w:beforeLines="0" w:afterLines="0" w:line="336" w:lineRule="auto"/>
              <w:rPr>
                <w:rFonts w:ascii="宋体" w:hAnsi="宋体"/>
                <w:color w:val="auto"/>
                <w:szCs w:val="21"/>
                <w:highlight w:val="none"/>
              </w:rPr>
            </w:pPr>
            <w:r>
              <w:rPr>
                <w:rFonts w:ascii="宋体" w:hAnsi="宋体"/>
                <w:color w:val="auto"/>
                <w:szCs w:val="21"/>
                <w:highlight w:val="none"/>
              </w:rPr>
              <w:t>中标候选人排序方法</w:t>
            </w:r>
          </w:p>
        </w:tc>
        <w:tc>
          <w:tcPr>
            <w:tcW w:w="5252" w:type="dxa"/>
            <w:vAlign w:val="center"/>
          </w:tcPr>
          <w:p>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招标文件规定的评分标准进行打分，投标人综合评分由高到低排序前3名作为第一、第二、第三中标候选人，综合评分相等时，以投标报价低的优先； 投标报价也相等的，以监理大纲得分高的优先；监理大纲得分也相等的，以资信业绩得分高的优先；如果仍存在相同情况，由评标委员会采用记名投票方式，以得票多的优先。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880" w:type="dxa"/>
            <w:gridSpan w:val="2"/>
            <w:vMerge w:val="restart"/>
            <w:vAlign w:val="center"/>
          </w:tcPr>
          <w:p>
            <w:pPr>
              <w:snapToGrid w:val="0"/>
              <w:spacing w:beforeLines="0" w:afterLines="0" w:line="336" w:lineRule="auto"/>
              <w:jc w:val="center"/>
              <w:rPr>
                <w:rFonts w:ascii="Times New Roman" w:hAnsi="Times New Roman"/>
                <w:color w:val="auto"/>
                <w:highlight w:val="none"/>
              </w:rPr>
            </w:pPr>
            <w:r>
              <w:rPr>
                <w:rFonts w:ascii="Times New Roman" w:hAnsi="Times New Roman"/>
                <w:color w:val="auto"/>
                <w:highlight w:val="none"/>
              </w:rPr>
              <w:t>2.1.1</w:t>
            </w:r>
          </w:p>
        </w:tc>
        <w:tc>
          <w:tcPr>
            <w:tcW w:w="1098" w:type="dxa"/>
            <w:vMerge w:val="restart"/>
            <w:vAlign w:val="center"/>
          </w:tcPr>
          <w:p>
            <w:pPr>
              <w:snapToGrid w:val="0"/>
              <w:spacing w:beforeLines="0" w:afterLines="0" w:line="336" w:lineRule="auto"/>
              <w:rPr>
                <w:rFonts w:ascii="宋体" w:hAnsi="宋体"/>
                <w:color w:val="auto"/>
                <w:szCs w:val="21"/>
                <w:highlight w:val="none"/>
              </w:rPr>
            </w:pPr>
            <w:r>
              <w:rPr>
                <w:rFonts w:ascii="宋体" w:hAnsi="宋体"/>
                <w:color w:val="auto"/>
                <w:szCs w:val="21"/>
                <w:highlight w:val="none"/>
              </w:rPr>
              <w:t>形式评审标准</w:t>
            </w: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投标人名称</w:t>
            </w:r>
          </w:p>
        </w:tc>
        <w:tc>
          <w:tcPr>
            <w:tcW w:w="5252" w:type="dxa"/>
            <w:vAlign w:val="center"/>
          </w:tcPr>
          <w:p>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与营业执照（或事业单位法人证书）、资质证书一致，香港企业独立参加投标的，须与在广东省住房和城乡建设主管部门备案且备案的业务范围满足招标文件要求的证明扫描件一致。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宋体" w:hAnsi="宋体"/>
                <w:color w:val="auto"/>
                <w:szCs w:val="21"/>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及投标函附录</w:t>
            </w:r>
            <w:r>
              <w:rPr>
                <w:rFonts w:hint="eastAsia"/>
                <w:color w:val="auto"/>
                <w:highlight w:val="none"/>
              </w:rPr>
              <w:t>签署</w:t>
            </w:r>
            <w:r>
              <w:rPr>
                <w:rFonts w:ascii="宋体" w:hAnsi="宋体"/>
                <w:color w:val="auto"/>
                <w:szCs w:val="21"/>
                <w:highlight w:val="none"/>
              </w:rPr>
              <w:t>盖章</w:t>
            </w:r>
          </w:p>
        </w:tc>
        <w:tc>
          <w:tcPr>
            <w:tcW w:w="5252" w:type="dxa"/>
            <w:vAlign w:val="center"/>
          </w:tcPr>
          <w:p>
            <w:pPr>
              <w:snapToGrid w:val="0"/>
              <w:spacing w:beforeLines="0" w:afterLines="0" w:line="336" w:lineRule="auto"/>
              <w:rPr>
                <w:rFonts w:ascii="宋体" w:hAnsi="宋体"/>
                <w:color w:val="auto"/>
                <w:szCs w:val="21"/>
                <w:highlight w:val="none"/>
              </w:rPr>
            </w:pPr>
            <w:r>
              <w:rPr>
                <w:rFonts w:ascii="宋体" w:hAnsi="宋体"/>
                <w:color w:val="auto"/>
                <w:szCs w:val="21"/>
                <w:highlight w:val="none"/>
              </w:rPr>
              <w:t>有法定代表人或其委托代理人</w:t>
            </w:r>
            <w:r>
              <w:rPr>
                <w:rFonts w:hint="eastAsia"/>
                <w:color w:val="auto"/>
                <w:highlight w:val="none"/>
              </w:rPr>
              <w:t>签署</w:t>
            </w:r>
            <w:r>
              <w:rPr>
                <w:rFonts w:ascii="宋体" w:hAnsi="宋体"/>
                <w:color w:val="auto"/>
                <w:szCs w:val="21"/>
                <w:highlight w:val="none"/>
              </w:rPr>
              <w:t>或加盖单位章。由法定代表人</w:t>
            </w:r>
            <w:r>
              <w:rPr>
                <w:rFonts w:hint="eastAsia"/>
                <w:color w:val="auto"/>
                <w:highlight w:val="none"/>
              </w:rPr>
              <w:t>签署</w:t>
            </w:r>
            <w:r>
              <w:rPr>
                <w:rFonts w:ascii="宋体" w:hAnsi="宋体"/>
                <w:color w:val="auto"/>
                <w:szCs w:val="21"/>
                <w:highlight w:val="none"/>
              </w:rPr>
              <w:t>的，应附法定代表人身份证明，由代理人</w:t>
            </w:r>
            <w:r>
              <w:rPr>
                <w:rFonts w:hint="eastAsia"/>
                <w:color w:val="auto"/>
                <w:highlight w:val="none"/>
              </w:rPr>
              <w:t>签署</w:t>
            </w:r>
            <w:r>
              <w:rPr>
                <w:rFonts w:ascii="宋体" w:hAnsi="宋体"/>
                <w:color w:val="auto"/>
                <w:szCs w:val="21"/>
                <w:highlight w:val="none"/>
              </w:rPr>
              <w:t>的，应附授权委托书，身份证明或授权委托书应符合第六章“投标文件格式”的规定</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宋体" w:hAnsi="宋体"/>
                <w:color w:val="auto"/>
                <w:szCs w:val="21"/>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投标文件格式</w:t>
            </w:r>
          </w:p>
        </w:tc>
        <w:tc>
          <w:tcPr>
            <w:tcW w:w="5252" w:type="dxa"/>
            <w:vAlign w:val="center"/>
          </w:tcPr>
          <w:p>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符合第六章“投标文件格式《投标函及投标函附录》”的规定。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宋体" w:hAnsi="宋体"/>
                <w:color w:val="auto"/>
                <w:szCs w:val="21"/>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color w:val="auto"/>
                <w:highlight w:val="none"/>
              </w:rPr>
              <w:t>联合体投标人</w:t>
            </w:r>
          </w:p>
        </w:tc>
        <w:tc>
          <w:tcPr>
            <w:tcW w:w="5252" w:type="dxa"/>
            <w:vAlign w:val="center"/>
          </w:tcPr>
          <w:p>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宋体" w:hAnsi="宋体"/>
                <w:color w:val="auto"/>
                <w:szCs w:val="21"/>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投标人机器码</w:t>
            </w:r>
          </w:p>
        </w:tc>
        <w:tc>
          <w:tcPr>
            <w:tcW w:w="5252" w:type="dxa"/>
            <w:vAlign w:val="center"/>
          </w:tcPr>
          <w:p>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投标人与其他投标人加密打包投标文件电脑机器特征码一致的(以广州公共资源交易中心评标系统的检索信息为准),其投标将被否决。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宋体" w:hAnsi="宋体"/>
                <w:color w:val="auto"/>
                <w:szCs w:val="21"/>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备选投标方案</w:t>
            </w:r>
          </w:p>
        </w:tc>
        <w:tc>
          <w:tcPr>
            <w:tcW w:w="5252" w:type="dxa"/>
            <w:vAlign w:val="center"/>
          </w:tcPr>
          <w:p>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880" w:type="dxa"/>
            <w:gridSpan w:val="2"/>
            <w:vMerge w:val="restart"/>
            <w:vAlign w:val="center"/>
          </w:tcPr>
          <w:p>
            <w:pPr>
              <w:snapToGrid w:val="0"/>
              <w:spacing w:beforeLines="0" w:afterLines="0" w:line="336" w:lineRule="auto"/>
              <w:jc w:val="center"/>
              <w:rPr>
                <w:rFonts w:ascii="Times New Roman" w:hAnsi="Times New Roman"/>
                <w:color w:val="auto"/>
                <w:highlight w:val="none"/>
              </w:rPr>
            </w:pPr>
            <w:r>
              <w:rPr>
                <w:rFonts w:ascii="Times New Roman" w:hAnsi="Times New Roman"/>
                <w:color w:val="auto"/>
                <w:highlight w:val="none"/>
              </w:rPr>
              <w:t>2.1.2</w:t>
            </w:r>
          </w:p>
        </w:tc>
        <w:tc>
          <w:tcPr>
            <w:tcW w:w="1098" w:type="dxa"/>
            <w:vMerge w:val="restart"/>
            <w:vAlign w:val="center"/>
          </w:tcPr>
          <w:p>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 xml:space="preserve">资格评审标准  </w:t>
            </w: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营业执照和组织机构代码证</w:t>
            </w:r>
          </w:p>
        </w:tc>
        <w:tc>
          <w:tcPr>
            <w:tcW w:w="5252" w:type="dxa"/>
            <w:vAlign w:val="center"/>
          </w:tcPr>
          <w:p>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符合第二章“投标人须知”第3.5.2项规定，具备有效的营业执照或事业单位法人证书。香港企业独立参加投标的，须与在广东省住房和城乡建设主管部门备案且备案的业务范围满足招标文件要求的证明扫描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宋体" w:hAnsi="宋体"/>
                <w:color w:val="auto"/>
                <w:szCs w:val="21"/>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资质要求</w:t>
            </w:r>
          </w:p>
        </w:tc>
        <w:tc>
          <w:tcPr>
            <w:tcW w:w="5252" w:type="dxa"/>
            <w:vAlign w:val="center"/>
          </w:tcPr>
          <w:p>
            <w:pPr>
              <w:snapToGrid w:val="0"/>
              <w:spacing w:beforeLines="0" w:afterLines="0" w:line="336" w:lineRule="auto"/>
              <w:rPr>
                <w:rFonts w:ascii="宋体" w:hAnsi="宋体"/>
                <w:color w:val="auto"/>
                <w:szCs w:val="21"/>
                <w:highlight w:val="none"/>
              </w:rPr>
            </w:pPr>
            <w:r>
              <w:rPr>
                <w:rFonts w:ascii="宋体" w:hAnsi="宋体"/>
                <w:color w:val="auto"/>
                <w:szCs w:val="21"/>
                <w:highlight w:val="none"/>
              </w:rPr>
              <w:t>符合第二章“投标人须知”第1.4.1项规定</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宋体" w:hAnsi="宋体"/>
                <w:color w:val="auto"/>
                <w:szCs w:val="21"/>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总监理工程师</w:t>
            </w:r>
          </w:p>
        </w:tc>
        <w:tc>
          <w:tcPr>
            <w:tcW w:w="5252" w:type="dxa"/>
            <w:vAlign w:val="center"/>
          </w:tcPr>
          <w:p>
            <w:pPr>
              <w:snapToGrid w:val="0"/>
              <w:spacing w:beforeLines="0" w:afterLines="0" w:line="336" w:lineRule="auto"/>
              <w:rPr>
                <w:rFonts w:ascii="宋体" w:hAnsi="宋体"/>
                <w:color w:val="auto"/>
                <w:szCs w:val="21"/>
                <w:highlight w:val="none"/>
              </w:rPr>
            </w:pPr>
            <w:r>
              <w:rPr>
                <w:rFonts w:ascii="宋体" w:hAnsi="宋体"/>
                <w:color w:val="auto"/>
                <w:szCs w:val="21"/>
                <w:highlight w:val="none"/>
              </w:rPr>
              <w:t>符合第二章“投标人须知”第1.4.1项规定</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宋体" w:hAnsi="宋体"/>
                <w:color w:val="auto"/>
                <w:szCs w:val="21"/>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其他要求</w:t>
            </w:r>
          </w:p>
        </w:tc>
        <w:tc>
          <w:tcPr>
            <w:tcW w:w="5252" w:type="dxa"/>
            <w:vAlign w:val="center"/>
          </w:tcPr>
          <w:p>
            <w:pPr>
              <w:snapToGrid w:val="0"/>
              <w:spacing w:beforeLines="0" w:afterLines="0" w:line="336" w:lineRule="auto"/>
              <w:rPr>
                <w:color w:val="auto"/>
                <w:highlight w:val="none"/>
              </w:rPr>
            </w:pPr>
            <w:r>
              <w:rPr>
                <w:rFonts w:hint="eastAsia"/>
                <w:color w:val="auto"/>
                <w:highlight w:val="none"/>
              </w:rPr>
              <w:t>1)投标人已按照招标公告附件一要求的内容签署盖章的《投标人声明》。</w:t>
            </w:r>
          </w:p>
          <w:p>
            <w:pPr>
              <w:snapToGrid w:val="0"/>
              <w:spacing w:beforeLines="0" w:afterLines="0" w:line="336" w:lineRule="auto"/>
              <w:rPr>
                <w:color w:val="auto"/>
                <w:highlight w:val="none"/>
              </w:rPr>
            </w:pPr>
            <w:r>
              <w:rPr>
                <w:rFonts w:hint="eastAsia"/>
                <w:color w:val="auto"/>
                <w:highlight w:val="none"/>
              </w:rPr>
              <w:t>2）资格审查前，投标人须在广州公共资源交易中心办理企业信息登记及拟担任本工程项目总监理工程师须是本企业信息登记信息中的在册人员。</w:t>
            </w:r>
          </w:p>
          <w:p>
            <w:pPr>
              <w:snapToGrid w:val="0"/>
              <w:spacing w:beforeLines="0" w:afterLines="0" w:line="336" w:lineRule="auto"/>
              <w:jc w:val="left"/>
              <w:rPr>
                <w:color w:val="auto"/>
                <w:highlight w:val="none"/>
              </w:rPr>
            </w:pPr>
            <w:r>
              <w:rPr>
                <w:rFonts w:hint="eastAsia"/>
                <w:color w:val="auto"/>
                <w:highlight w:val="none"/>
              </w:rPr>
              <w:t>3）</w:t>
            </w:r>
            <w:r>
              <w:rPr>
                <w:rFonts w:hint="eastAsia" w:ascii="宋体" w:hAnsi="宋体" w:cs="宋体"/>
                <w:color w:val="auto"/>
                <w:sz w:val="21"/>
                <w:szCs w:val="21"/>
                <w:highlight w:val="none"/>
              </w:rPr>
              <w:t>未</w:t>
            </w:r>
            <w:r>
              <w:rPr>
                <w:rFonts w:hint="eastAsia" w:ascii="宋体" w:hAnsi="宋体" w:eastAsia="宋体" w:cs="宋体"/>
                <w:color w:val="auto"/>
                <w:sz w:val="21"/>
                <w:szCs w:val="21"/>
                <w:highlight w:val="none"/>
              </w:rPr>
              <w:t>被纳入国家、市、区的失信联合惩戒名单且</w:t>
            </w:r>
            <w:r>
              <w:rPr>
                <w:rFonts w:hint="eastAsia" w:ascii="宋体" w:hAnsi="宋体" w:cs="宋体"/>
                <w:color w:val="auto"/>
                <w:sz w:val="21"/>
                <w:szCs w:val="21"/>
                <w:highlight w:val="none"/>
                <w:lang w:val="en-US" w:eastAsia="zh-CN"/>
              </w:rPr>
              <w:t>未</w:t>
            </w:r>
            <w:r>
              <w:rPr>
                <w:rFonts w:hint="eastAsia" w:ascii="宋体" w:hAnsi="宋体" w:eastAsia="宋体" w:cs="宋体"/>
                <w:color w:val="auto"/>
                <w:sz w:val="21"/>
                <w:szCs w:val="21"/>
                <w:highlight w:val="none"/>
              </w:rPr>
              <w:t>被限制参加建设工程投标的（具体名单以递交投标文件截止时间“信用广州”</w:t>
            </w:r>
            <w:r>
              <w:rPr>
                <w:rFonts w:hint="eastAsia" w:hAnsi="宋体" w:eastAsia="宋体" w:cs="宋体" w:asciiTheme="minorAscii"/>
                <w:color w:val="auto"/>
                <w:sz w:val="21"/>
                <w:szCs w:val="21"/>
                <w:highlight w:val="none"/>
              </w:rPr>
              <w:t>https://credit1.gz.gov.cn/sgs/sgsXkNew</w:t>
            </w:r>
            <w:r>
              <w:rPr>
                <w:rFonts w:hint="eastAsia" w:ascii="宋体" w:hAnsi="宋体" w:eastAsia="宋体" w:cs="宋体"/>
                <w:color w:val="auto"/>
                <w:sz w:val="21"/>
                <w:szCs w:val="21"/>
                <w:highlight w:val="none"/>
              </w:rPr>
              <w:t>公布的“失信</w:t>
            </w:r>
            <w:r>
              <w:rPr>
                <w:rFonts w:hint="eastAsia" w:ascii="宋体" w:hAnsi="宋体" w:cs="宋体"/>
                <w:color w:val="auto"/>
                <w:sz w:val="24"/>
                <w:highlight w:val="none"/>
              </w:rPr>
              <w:t>联合惩戒</w:t>
            </w:r>
            <w:r>
              <w:rPr>
                <w:rFonts w:hint="eastAsia" w:ascii="宋体" w:hAnsi="宋体" w:eastAsia="宋体" w:cs="宋体"/>
                <w:color w:val="auto"/>
                <w:sz w:val="21"/>
                <w:szCs w:val="21"/>
                <w:highlight w:val="none"/>
              </w:rPr>
              <w:t>黑名单”为准。不包含限制参加财政投资工程或政府投资工程的投标）。注：因联合惩戒措施表述存在细微差别，惩戒措施与上文不完全一致但措施内容相同的，也应属于被限制参与相关项目的投标。（按投标人提供的《投标人声明》第</w:t>
            </w:r>
            <w:r>
              <w:rPr>
                <w:rFonts w:hint="eastAsia" w:ascii="宋体" w:hAnsi="宋体" w:cs="宋体"/>
                <w:color w:val="auto"/>
                <w:sz w:val="21"/>
                <w:szCs w:val="21"/>
                <w:highlight w:val="none"/>
                <w:lang w:eastAsia="zh-CN"/>
              </w:rPr>
              <w:t>五</w:t>
            </w:r>
            <w:r>
              <w:rPr>
                <w:rFonts w:hint="eastAsia" w:ascii="宋体" w:hAnsi="宋体" w:eastAsia="宋体" w:cs="宋体"/>
                <w:color w:val="auto"/>
                <w:sz w:val="21"/>
                <w:szCs w:val="21"/>
                <w:highlight w:val="none"/>
              </w:rPr>
              <w:t>条内容进行评审）</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宋体" w:hAnsi="宋体"/>
                <w:color w:val="auto"/>
                <w:szCs w:val="21"/>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联合体投标人</w:t>
            </w:r>
          </w:p>
        </w:tc>
        <w:tc>
          <w:tcPr>
            <w:tcW w:w="5252" w:type="dxa"/>
            <w:vAlign w:val="center"/>
          </w:tcPr>
          <w:p>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Times New Roman" w:hAnsi="Times New Roman"/>
                <w:color w:val="auto"/>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不存在禁止投标的情形</w:t>
            </w:r>
          </w:p>
        </w:tc>
        <w:tc>
          <w:tcPr>
            <w:tcW w:w="5252" w:type="dxa"/>
            <w:vAlign w:val="center"/>
          </w:tcPr>
          <w:p>
            <w:pPr>
              <w:snapToGrid w:val="0"/>
              <w:spacing w:beforeLines="0" w:afterLines="0" w:line="336" w:lineRule="auto"/>
              <w:rPr>
                <w:rFonts w:ascii="宋体" w:hAnsi="宋体"/>
                <w:color w:val="auto"/>
                <w:szCs w:val="21"/>
                <w:highlight w:val="none"/>
              </w:rPr>
            </w:pPr>
            <w:r>
              <w:rPr>
                <w:rFonts w:ascii="宋体" w:hAnsi="宋体"/>
                <w:color w:val="auto"/>
                <w:szCs w:val="21"/>
                <w:highlight w:val="none"/>
              </w:rPr>
              <w:t>不存在第二章“投标人须知”第1.4.3项规定的任何一种情形</w:t>
            </w:r>
            <w:r>
              <w:rPr>
                <w:rFonts w:hint="eastAsia" w:ascii="宋体" w:hAnsi="宋体" w:cs="宋体"/>
                <w:color w:val="auto"/>
                <w:highlight w:val="none"/>
              </w:rPr>
              <w:t>（以</w:t>
            </w:r>
            <w:r>
              <w:rPr>
                <w:rFonts w:hint="eastAsia"/>
                <w:color w:val="auto"/>
                <w:highlight w:val="none"/>
              </w:rPr>
              <w:t>招标公告的</w:t>
            </w:r>
            <w:r>
              <w:rPr>
                <w:rFonts w:hint="eastAsia" w:ascii="宋体" w:hAnsi="宋体" w:cs="宋体"/>
                <w:color w:val="auto"/>
                <w:highlight w:val="none"/>
              </w:rPr>
              <w:t>《投标人声明》为准）</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restart"/>
            <w:vAlign w:val="center"/>
          </w:tcPr>
          <w:p>
            <w:pPr>
              <w:snapToGrid w:val="0"/>
              <w:spacing w:beforeLines="0" w:afterLines="0" w:line="336" w:lineRule="auto"/>
              <w:jc w:val="center"/>
              <w:rPr>
                <w:rFonts w:ascii="Times New Roman" w:hAnsi="Times New Roman"/>
                <w:color w:val="auto"/>
                <w:highlight w:val="none"/>
              </w:rPr>
            </w:pPr>
            <w:r>
              <w:rPr>
                <w:rFonts w:ascii="Times New Roman" w:hAnsi="Times New Roman"/>
                <w:color w:val="auto"/>
                <w:highlight w:val="none"/>
              </w:rPr>
              <w:t>2.1.3</w:t>
            </w:r>
          </w:p>
        </w:tc>
        <w:tc>
          <w:tcPr>
            <w:tcW w:w="1098" w:type="dxa"/>
            <w:vMerge w:val="restart"/>
            <w:vAlign w:val="center"/>
          </w:tcPr>
          <w:p>
            <w:pPr>
              <w:snapToGrid w:val="0"/>
              <w:spacing w:beforeLines="0" w:afterLines="0" w:line="336" w:lineRule="auto"/>
              <w:jc w:val="center"/>
              <w:rPr>
                <w:rFonts w:ascii="Times New Roman" w:hAnsi="Times New Roman"/>
                <w:color w:val="auto"/>
                <w:highlight w:val="none"/>
              </w:rPr>
            </w:pPr>
            <w:r>
              <w:rPr>
                <w:rFonts w:ascii="Times New Roman" w:hAnsi="Times New Roman"/>
                <w:color w:val="auto"/>
                <w:highlight w:val="none"/>
              </w:rPr>
              <w:t>响应性评审标准</w:t>
            </w: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投标报价</w:t>
            </w:r>
          </w:p>
        </w:tc>
        <w:tc>
          <w:tcPr>
            <w:tcW w:w="5252" w:type="dxa"/>
            <w:vAlign w:val="center"/>
          </w:tcPr>
          <w:p>
            <w:pPr>
              <w:snapToGrid w:val="0"/>
              <w:spacing w:beforeLines="0" w:afterLines="0" w:line="336" w:lineRule="auto"/>
              <w:rPr>
                <w:rFonts w:ascii="宋体" w:hAnsi="宋体"/>
                <w:color w:val="auto"/>
                <w:szCs w:val="21"/>
                <w:highlight w:val="none"/>
              </w:rPr>
            </w:pPr>
            <w:r>
              <w:rPr>
                <w:rFonts w:ascii="宋体" w:hAnsi="宋体"/>
                <w:color w:val="auto"/>
                <w:szCs w:val="21"/>
                <w:highlight w:val="none"/>
              </w:rPr>
              <w:t>符合第二章“投标人须知”第3.2款规定</w:t>
            </w:r>
            <w:r>
              <w:rPr>
                <w:rFonts w:hint="eastAsia" w:ascii="宋体" w:hAnsi="宋体"/>
                <w:color w:val="auto"/>
                <w:szCs w:val="21"/>
                <w:highlight w:val="none"/>
              </w:rPr>
              <w:t>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continue"/>
            <w:vAlign w:val="center"/>
          </w:tcPr>
          <w:p>
            <w:pPr>
              <w:snapToGrid w:val="0"/>
              <w:spacing w:beforeLines="0" w:afterLines="0" w:line="336" w:lineRule="auto"/>
              <w:jc w:val="center"/>
              <w:rPr>
                <w:rFonts w:ascii="Times New Roman" w:hAnsi="Times New Roman"/>
                <w:color w:val="auto"/>
                <w:highlight w:val="none"/>
              </w:rPr>
            </w:pPr>
          </w:p>
        </w:tc>
        <w:tc>
          <w:tcPr>
            <w:tcW w:w="1098" w:type="dxa"/>
            <w:vMerge w:val="continue"/>
            <w:vAlign w:val="center"/>
          </w:tcPr>
          <w:p>
            <w:pPr>
              <w:snapToGrid w:val="0"/>
              <w:spacing w:beforeLines="0" w:afterLines="0" w:line="336" w:lineRule="auto"/>
              <w:jc w:val="center"/>
              <w:rPr>
                <w:rFonts w:ascii="Times New Roman" w:hAnsi="Times New Roman"/>
                <w:color w:val="auto"/>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投标内容</w:t>
            </w:r>
          </w:p>
        </w:tc>
        <w:tc>
          <w:tcPr>
            <w:tcW w:w="5252" w:type="dxa"/>
            <w:vAlign w:val="center"/>
          </w:tcPr>
          <w:p>
            <w:pPr>
              <w:snapToGrid w:val="0"/>
              <w:spacing w:beforeLines="0" w:afterLines="0" w:line="336" w:lineRule="auto"/>
              <w:jc w:val="left"/>
              <w:rPr>
                <w:rFonts w:ascii="宋体" w:hAnsi="宋体"/>
                <w:color w:val="auto"/>
                <w:szCs w:val="21"/>
                <w:highlight w:val="none"/>
              </w:rPr>
            </w:pPr>
            <w:r>
              <w:rPr>
                <w:rFonts w:hint="eastAsia" w:ascii="宋体" w:hAnsi="宋体"/>
                <w:color w:val="auto"/>
                <w:szCs w:val="21"/>
                <w:highlight w:val="none"/>
              </w:rPr>
              <w:t>符合第二章“投标人须知”第 1.3.1 项规定；投标文件按规定的格式填写，内容齐全或关键字迹清晰、容易辩认。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continue"/>
            <w:vAlign w:val="center"/>
          </w:tcPr>
          <w:p>
            <w:pPr>
              <w:snapToGrid w:val="0"/>
              <w:spacing w:beforeLines="0" w:afterLines="0" w:line="336" w:lineRule="auto"/>
              <w:jc w:val="center"/>
              <w:rPr>
                <w:rFonts w:ascii="Times New Roman" w:hAnsi="Times New Roman"/>
                <w:color w:val="auto"/>
                <w:highlight w:val="none"/>
              </w:rPr>
            </w:pPr>
          </w:p>
        </w:tc>
        <w:tc>
          <w:tcPr>
            <w:tcW w:w="1098" w:type="dxa"/>
            <w:vMerge w:val="continue"/>
            <w:vAlign w:val="center"/>
          </w:tcPr>
          <w:p>
            <w:pPr>
              <w:snapToGrid w:val="0"/>
              <w:spacing w:beforeLines="0" w:afterLines="0" w:line="336" w:lineRule="auto"/>
              <w:jc w:val="center"/>
              <w:rPr>
                <w:rFonts w:ascii="Times New Roman" w:hAnsi="Times New Roman"/>
                <w:color w:val="auto"/>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监理服务期限</w:t>
            </w:r>
          </w:p>
        </w:tc>
        <w:tc>
          <w:tcPr>
            <w:tcW w:w="5252" w:type="dxa"/>
            <w:vAlign w:val="center"/>
          </w:tcPr>
          <w:p>
            <w:pPr>
              <w:snapToGrid w:val="0"/>
              <w:spacing w:beforeLines="0" w:afterLines="0" w:line="336" w:lineRule="auto"/>
              <w:jc w:val="left"/>
              <w:rPr>
                <w:rFonts w:ascii="宋体" w:hAnsi="宋体"/>
                <w:color w:val="auto"/>
                <w:szCs w:val="21"/>
                <w:highlight w:val="none"/>
              </w:rPr>
            </w:pPr>
            <w:r>
              <w:rPr>
                <w:rFonts w:ascii="宋体" w:hAnsi="宋体"/>
                <w:color w:val="auto"/>
                <w:szCs w:val="21"/>
                <w:highlight w:val="none"/>
              </w:rPr>
              <w:t>符合第二章“投标人须知”第1.3.2项规定</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continue"/>
            <w:vAlign w:val="center"/>
          </w:tcPr>
          <w:p>
            <w:pPr>
              <w:snapToGrid w:val="0"/>
              <w:spacing w:beforeLines="0" w:afterLines="0" w:line="336" w:lineRule="auto"/>
              <w:jc w:val="center"/>
              <w:rPr>
                <w:rFonts w:ascii="Times New Roman" w:hAnsi="Times New Roman"/>
                <w:color w:val="auto"/>
                <w:highlight w:val="none"/>
              </w:rPr>
            </w:pPr>
          </w:p>
        </w:tc>
        <w:tc>
          <w:tcPr>
            <w:tcW w:w="1098" w:type="dxa"/>
            <w:vMerge w:val="continue"/>
            <w:vAlign w:val="center"/>
          </w:tcPr>
          <w:p>
            <w:pPr>
              <w:snapToGrid w:val="0"/>
              <w:spacing w:beforeLines="0" w:afterLines="0" w:line="336" w:lineRule="auto"/>
              <w:jc w:val="center"/>
              <w:rPr>
                <w:rFonts w:ascii="Times New Roman" w:hAnsi="Times New Roman"/>
                <w:color w:val="auto"/>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5252" w:type="dxa"/>
            <w:vAlign w:val="center"/>
          </w:tcPr>
          <w:p>
            <w:pPr>
              <w:snapToGrid w:val="0"/>
              <w:spacing w:beforeLines="0" w:afterLines="0" w:line="336" w:lineRule="auto"/>
              <w:jc w:val="left"/>
              <w:rPr>
                <w:rFonts w:ascii="宋体" w:hAnsi="宋体"/>
                <w:color w:val="auto"/>
                <w:szCs w:val="21"/>
                <w:highlight w:val="none"/>
              </w:rPr>
            </w:pPr>
            <w:r>
              <w:rPr>
                <w:rFonts w:hint="eastAsia" w:ascii="宋体" w:hAnsi="宋体"/>
                <w:color w:val="auto"/>
                <w:szCs w:val="21"/>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continue"/>
            <w:vAlign w:val="center"/>
          </w:tcPr>
          <w:p>
            <w:pPr>
              <w:snapToGrid w:val="0"/>
              <w:spacing w:beforeLines="0" w:afterLines="0" w:line="336" w:lineRule="auto"/>
              <w:jc w:val="center"/>
              <w:rPr>
                <w:rFonts w:ascii="Times New Roman" w:hAnsi="Times New Roman"/>
                <w:color w:val="auto"/>
                <w:highlight w:val="none"/>
              </w:rPr>
            </w:pPr>
          </w:p>
        </w:tc>
        <w:tc>
          <w:tcPr>
            <w:tcW w:w="1098" w:type="dxa"/>
            <w:vMerge w:val="continue"/>
            <w:vAlign w:val="center"/>
          </w:tcPr>
          <w:p>
            <w:pPr>
              <w:snapToGrid w:val="0"/>
              <w:spacing w:beforeLines="0" w:afterLines="0" w:line="336" w:lineRule="auto"/>
              <w:jc w:val="center"/>
              <w:rPr>
                <w:rFonts w:ascii="Times New Roman" w:hAnsi="Times New Roman"/>
                <w:color w:val="auto"/>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投标有效期</w:t>
            </w:r>
          </w:p>
        </w:tc>
        <w:tc>
          <w:tcPr>
            <w:tcW w:w="5252" w:type="dxa"/>
          </w:tcPr>
          <w:p>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Times New Roman" w:hAnsi="Times New Roman"/>
                <w:color w:val="auto"/>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ascii="宋体" w:hAnsi="宋体"/>
                <w:color w:val="auto"/>
                <w:szCs w:val="21"/>
                <w:highlight w:val="none"/>
              </w:rPr>
              <w:t>投标保证金</w:t>
            </w:r>
          </w:p>
        </w:tc>
        <w:tc>
          <w:tcPr>
            <w:tcW w:w="5252" w:type="dxa"/>
          </w:tcPr>
          <w:p>
            <w:pPr>
              <w:snapToGrid w:val="0"/>
              <w:spacing w:beforeLines="0" w:afterLines="0" w:line="336" w:lineRule="auto"/>
              <w:jc w:val="left"/>
              <w:rPr>
                <w:rFonts w:ascii="宋体" w:hAnsi="宋体"/>
                <w:color w:val="auto"/>
                <w:szCs w:val="21"/>
                <w:highlight w:val="none"/>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 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 w:type="dxa"/>
            <w:gridSpan w:val="2"/>
            <w:vMerge w:val="continue"/>
            <w:vAlign w:val="center"/>
          </w:tcPr>
          <w:p>
            <w:pPr>
              <w:snapToGrid w:val="0"/>
              <w:spacing w:beforeLines="0" w:afterLines="0" w:line="336" w:lineRule="auto"/>
              <w:rPr>
                <w:rFonts w:ascii="Times New Roman" w:hAnsi="Times New Roman"/>
                <w:color w:val="auto"/>
                <w:highlight w:val="none"/>
              </w:rPr>
            </w:pPr>
          </w:p>
        </w:tc>
        <w:tc>
          <w:tcPr>
            <w:tcW w:w="1098" w:type="dxa"/>
            <w:vMerge w:val="continue"/>
            <w:vAlign w:val="center"/>
          </w:tcPr>
          <w:p>
            <w:pPr>
              <w:snapToGrid w:val="0"/>
              <w:spacing w:beforeLines="0" w:afterLines="0" w:line="336" w:lineRule="auto"/>
              <w:rPr>
                <w:rFonts w:ascii="Times New Roman" w:hAnsi="Times New Roman"/>
                <w:color w:val="auto"/>
                <w:highlight w:val="none"/>
              </w:rPr>
            </w:pPr>
          </w:p>
        </w:tc>
        <w:tc>
          <w:tcPr>
            <w:tcW w:w="2132" w:type="dxa"/>
            <w:gridSpan w:val="2"/>
            <w:vAlign w:val="center"/>
          </w:tcPr>
          <w:p>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串通投标情形</w:t>
            </w:r>
          </w:p>
        </w:tc>
        <w:tc>
          <w:tcPr>
            <w:tcW w:w="5252" w:type="dxa"/>
          </w:tcPr>
          <w:p>
            <w:pPr>
              <w:snapToGrid w:val="0"/>
              <w:spacing w:beforeLines="0" w:afterLines="0" w:line="336" w:lineRule="auto"/>
              <w:jc w:val="left"/>
              <w:rPr>
                <w:rFonts w:ascii="宋体" w:hAnsi="宋体"/>
                <w:color w:val="auto"/>
                <w:szCs w:val="21"/>
                <w:highlight w:val="none"/>
              </w:rPr>
            </w:pPr>
            <w:r>
              <w:rPr>
                <w:rFonts w:hint="eastAsia" w:ascii="宋体" w:hAnsi="宋体"/>
                <w:color w:val="auto"/>
                <w:szCs w:val="21"/>
                <w:highlight w:val="none"/>
              </w:rPr>
              <w:t>不存在串通投标情形（串通投标情形以《中华人民共和国招标投标法实施条例》的规定为准）</w:t>
            </w:r>
            <w:r>
              <w:rPr>
                <w:rFonts w:hint="eastAsia" w:ascii="宋体" w:hAnsi="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978" w:type="dxa"/>
            <w:gridSpan w:val="3"/>
            <w:vAlign w:val="center"/>
          </w:tcPr>
          <w:p>
            <w:pPr>
              <w:snapToGrid w:val="0"/>
              <w:spacing w:beforeLines="0" w:afterLines="0" w:line="336" w:lineRule="auto"/>
              <w:jc w:val="center"/>
              <w:rPr>
                <w:rFonts w:ascii="宋体" w:hAnsi="宋体"/>
                <w:b/>
                <w:color w:val="auto"/>
                <w:szCs w:val="21"/>
                <w:highlight w:val="none"/>
              </w:rPr>
            </w:pPr>
            <w:r>
              <w:rPr>
                <w:rFonts w:ascii="宋体" w:hAnsi="宋体"/>
                <w:b/>
                <w:color w:val="auto"/>
                <w:szCs w:val="21"/>
                <w:highlight w:val="none"/>
              </w:rPr>
              <w:t>条款号</w:t>
            </w:r>
          </w:p>
        </w:tc>
        <w:tc>
          <w:tcPr>
            <w:tcW w:w="2132" w:type="dxa"/>
            <w:gridSpan w:val="2"/>
            <w:vAlign w:val="center"/>
          </w:tcPr>
          <w:p>
            <w:pPr>
              <w:snapToGrid w:val="0"/>
              <w:spacing w:beforeLines="0" w:afterLines="0" w:line="336" w:lineRule="auto"/>
              <w:jc w:val="center"/>
              <w:rPr>
                <w:rFonts w:ascii="宋体" w:hAnsi="宋体"/>
                <w:b/>
                <w:color w:val="auto"/>
                <w:szCs w:val="21"/>
                <w:highlight w:val="none"/>
              </w:rPr>
            </w:pPr>
            <w:r>
              <w:rPr>
                <w:rFonts w:ascii="宋体" w:hAnsi="宋体"/>
                <w:b/>
                <w:color w:val="auto"/>
                <w:szCs w:val="21"/>
                <w:highlight w:val="none"/>
              </w:rPr>
              <w:t>条款内容</w:t>
            </w:r>
          </w:p>
        </w:tc>
        <w:tc>
          <w:tcPr>
            <w:tcW w:w="5252" w:type="dxa"/>
            <w:vAlign w:val="center"/>
          </w:tcPr>
          <w:p>
            <w:pPr>
              <w:snapToGrid w:val="0"/>
              <w:spacing w:beforeLines="0" w:afterLines="0" w:line="336" w:lineRule="auto"/>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978" w:type="dxa"/>
            <w:gridSpan w:val="3"/>
            <w:vAlign w:val="center"/>
          </w:tcPr>
          <w:p>
            <w:pPr>
              <w:snapToGrid w:val="0"/>
              <w:spacing w:beforeLines="0" w:afterLines="0" w:line="336" w:lineRule="auto"/>
              <w:jc w:val="center"/>
              <w:rPr>
                <w:rFonts w:ascii="Times New Roman" w:hAnsi="Times New Roman"/>
                <w:color w:val="auto"/>
                <w:highlight w:val="none"/>
              </w:rPr>
            </w:pPr>
            <w:r>
              <w:rPr>
                <w:rFonts w:ascii="Times New Roman" w:hAnsi="Times New Roman"/>
                <w:color w:val="auto"/>
                <w:highlight w:val="none"/>
              </w:rPr>
              <w:t>2.2.1</w:t>
            </w:r>
          </w:p>
        </w:tc>
        <w:tc>
          <w:tcPr>
            <w:tcW w:w="2132" w:type="dxa"/>
            <w:gridSpan w:val="2"/>
            <w:vAlign w:val="center"/>
          </w:tcPr>
          <w:p>
            <w:pPr>
              <w:snapToGrid w:val="0"/>
              <w:spacing w:beforeLines="0" w:afterLines="0" w:line="336" w:lineRule="auto"/>
              <w:jc w:val="left"/>
              <w:rPr>
                <w:rFonts w:ascii="宋体" w:hAnsi="宋体"/>
                <w:color w:val="auto"/>
                <w:szCs w:val="21"/>
                <w:highlight w:val="none"/>
              </w:rPr>
            </w:pPr>
            <w:r>
              <w:rPr>
                <w:rFonts w:ascii="宋体" w:hAnsi="宋体"/>
                <w:color w:val="auto"/>
                <w:szCs w:val="21"/>
                <w:highlight w:val="none"/>
              </w:rPr>
              <w:t>分值构成</w:t>
            </w:r>
          </w:p>
          <w:p>
            <w:pPr>
              <w:snapToGrid w:val="0"/>
              <w:spacing w:beforeLines="0" w:afterLines="0" w:line="336" w:lineRule="auto"/>
              <w:jc w:val="left"/>
              <w:rPr>
                <w:rFonts w:ascii="宋体" w:hAnsi="宋体"/>
                <w:color w:val="auto"/>
                <w:szCs w:val="21"/>
                <w:highlight w:val="none"/>
              </w:rPr>
            </w:pPr>
            <w:r>
              <w:rPr>
                <w:rFonts w:ascii="宋体" w:hAnsi="宋体"/>
                <w:color w:val="auto"/>
                <w:szCs w:val="21"/>
                <w:highlight w:val="none"/>
              </w:rPr>
              <w:t>(总分100分)</w:t>
            </w:r>
          </w:p>
        </w:tc>
        <w:tc>
          <w:tcPr>
            <w:tcW w:w="5252" w:type="dxa"/>
            <w:vAlign w:val="center"/>
          </w:tcPr>
          <w:p>
            <w:pPr>
              <w:snapToGrid w:val="0"/>
              <w:spacing w:beforeLines="0" w:afterLines="0" w:line="336" w:lineRule="auto"/>
              <w:jc w:val="left"/>
              <w:rPr>
                <w:color w:val="auto"/>
                <w:highlight w:val="none"/>
              </w:rPr>
            </w:pPr>
            <w:r>
              <w:rPr>
                <w:rFonts w:hint="eastAsia"/>
                <w:color w:val="auto"/>
                <w:highlight w:val="none"/>
              </w:rPr>
              <w:t>A、</w:t>
            </w:r>
            <w:r>
              <w:rPr>
                <w:color w:val="auto"/>
                <w:highlight w:val="none"/>
              </w:rPr>
              <w:t>资信业绩部分：</w:t>
            </w:r>
            <w:r>
              <w:rPr>
                <w:rFonts w:hint="eastAsia"/>
                <w:color w:val="auto"/>
                <w:highlight w:val="none"/>
              </w:rPr>
              <w:t>45</w:t>
            </w:r>
            <w:r>
              <w:rPr>
                <w:color w:val="auto"/>
                <w:highlight w:val="none"/>
              </w:rPr>
              <w:t>分</w:t>
            </w:r>
          </w:p>
          <w:p>
            <w:pPr>
              <w:snapToGrid w:val="0"/>
              <w:spacing w:beforeLines="0" w:afterLines="0" w:line="336" w:lineRule="auto"/>
              <w:jc w:val="left"/>
              <w:rPr>
                <w:color w:val="auto"/>
                <w:highlight w:val="none"/>
              </w:rPr>
            </w:pPr>
            <w:r>
              <w:rPr>
                <w:rFonts w:hint="eastAsia"/>
                <w:color w:val="auto"/>
                <w:highlight w:val="none"/>
              </w:rPr>
              <w:t>B</w:t>
            </w:r>
            <w:r>
              <w:rPr>
                <w:color w:val="auto"/>
                <w:highlight w:val="none"/>
              </w:rPr>
              <w:t>、监理大纲部分：</w:t>
            </w:r>
            <w:r>
              <w:rPr>
                <w:rFonts w:hint="eastAsia"/>
                <w:color w:val="auto"/>
                <w:highlight w:val="none"/>
              </w:rPr>
              <w:t>35</w:t>
            </w:r>
            <w:r>
              <w:rPr>
                <w:color w:val="auto"/>
                <w:highlight w:val="none"/>
              </w:rPr>
              <w:t>分</w:t>
            </w:r>
          </w:p>
          <w:p>
            <w:pPr>
              <w:snapToGrid w:val="0"/>
              <w:spacing w:beforeLines="0" w:afterLines="0" w:line="336" w:lineRule="auto"/>
              <w:jc w:val="left"/>
              <w:rPr>
                <w:color w:val="auto"/>
                <w:highlight w:val="none"/>
              </w:rPr>
            </w:pPr>
            <w:r>
              <w:rPr>
                <w:rFonts w:hint="eastAsia"/>
                <w:color w:val="auto"/>
                <w:highlight w:val="none"/>
              </w:rPr>
              <w:t>C</w:t>
            </w:r>
            <w:r>
              <w:rPr>
                <w:color w:val="auto"/>
                <w:highlight w:val="none"/>
              </w:rPr>
              <w:t>、投标报价：10分</w:t>
            </w:r>
          </w:p>
          <w:p>
            <w:pPr>
              <w:snapToGrid w:val="0"/>
              <w:spacing w:beforeLines="0" w:afterLines="0" w:line="336" w:lineRule="auto"/>
              <w:jc w:val="left"/>
              <w:rPr>
                <w:color w:val="auto"/>
                <w:highlight w:val="none"/>
              </w:rPr>
            </w:pPr>
            <w:r>
              <w:rPr>
                <w:rFonts w:hint="eastAsia"/>
                <w:color w:val="auto"/>
                <w:highlight w:val="none"/>
              </w:rPr>
              <w:t>D</w:t>
            </w:r>
            <w:r>
              <w:rPr>
                <w:color w:val="auto"/>
                <w:highlight w:val="none"/>
              </w:rPr>
              <w:t>、其他评分因素：</w:t>
            </w:r>
            <w:r>
              <w:rPr>
                <w:rFonts w:hint="eastAsia"/>
                <w:color w:val="auto"/>
                <w:highlight w:val="none"/>
              </w:rPr>
              <w:t>10分</w:t>
            </w:r>
            <w:r>
              <w:rPr>
                <w:rFonts w:hint="eastAsia" w:ascii="宋体" w:hAnsi="宋体" w:cs="宋体"/>
                <w:color w:val="auto"/>
                <w:szCs w:val="21"/>
                <w:highlight w:val="none"/>
              </w:rPr>
              <w:t>（诚信综合评价得分）</w:t>
            </w:r>
          </w:p>
          <w:p>
            <w:pPr>
              <w:snapToGrid w:val="0"/>
              <w:spacing w:beforeLines="0" w:afterLines="0" w:line="336" w:lineRule="auto"/>
              <w:jc w:val="left"/>
              <w:rPr>
                <w:color w:val="auto"/>
                <w:highlight w:val="none"/>
              </w:rPr>
            </w:pPr>
            <w:r>
              <w:rPr>
                <w:rFonts w:hint="eastAsia"/>
                <w:color w:val="auto"/>
                <w:highlight w:val="none"/>
              </w:rPr>
              <w:t>注：</w:t>
            </w:r>
          </w:p>
          <w:p>
            <w:pPr>
              <w:numPr>
                <w:ilvl w:val="255"/>
                <w:numId w:val="0"/>
              </w:numPr>
              <w:snapToGrid w:val="0"/>
              <w:spacing w:beforeLines="0" w:afterLines="0" w:line="336" w:lineRule="auto"/>
              <w:jc w:val="left"/>
              <w:rPr>
                <w:color w:val="auto"/>
                <w:highlight w:val="none"/>
              </w:rPr>
            </w:pPr>
            <w:r>
              <w:rPr>
                <w:rFonts w:hint="eastAsia"/>
                <w:color w:val="auto"/>
                <w:highlight w:val="none"/>
              </w:rPr>
              <w:t>1）</w:t>
            </w:r>
            <w:r>
              <w:rPr>
                <w:color w:val="auto"/>
                <w:highlight w:val="none"/>
              </w:rPr>
              <w:t>投标人总得分=A+B+C</w:t>
            </w:r>
            <w:r>
              <w:rPr>
                <w:rFonts w:hint="eastAsia"/>
                <w:color w:val="auto"/>
                <w:highlight w:val="none"/>
              </w:rPr>
              <w:t>+D</w:t>
            </w:r>
            <w:r>
              <w:rPr>
                <w:color w:val="auto"/>
                <w:highlight w:val="none"/>
              </w:rPr>
              <w:t>（分数出现小数点时，保留小数点后二位，第三位小数四舍五入）。</w:t>
            </w:r>
          </w:p>
          <w:p>
            <w:pPr>
              <w:numPr>
                <w:ilvl w:val="255"/>
                <w:numId w:val="0"/>
              </w:numPr>
              <w:snapToGrid w:val="0"/>
              <w:spacing w:beforeLines="0" w:afterLines="0" w:line="336" w:lineRule="auto"/>
              <w:jc w:val="left"/>
              <w:rPr>
                <w:color w:val="auto"/>
                <w:highlight w:val="none"/>
              </w:rPr>
            </w:pPr>
            <w:r>
              <w:rPr>
                <w:rFonts w:hint="eastAsia" w:ascii="宋体" w:hAnsi="宋体" w:cs="宋体"/>
                <w:color w:val="auto"/>
                <w:szCs w:val="21"/>
                <w:highlight w:val="none"/>
              </w:rPr>
              <w:t>2）</w:t>
            </w:r>
            <w:r>
              <w:rPr>
                <w:rFonts w:hint="eastAsia" w:asciiTheme="minorEastAsia" w:hAnsiTheme="minorEastAsia" w:eastAsiaTheme="minorEastAsia"/>
                <w:color w:val="auto"/>
                <w:highlight w:val="none"/>
              </w:rPr>
              <w:t>诚信综合评价得分</w:t>
            </w:r>
            <w:r>
              <w:rPr>
                <w:rFonts w:hint="eastAsia" w:ascii="宋体" w:hAnsi="宋体" w:cs="宋体"/>
                <w:color w:val="auto"/>
                <w:szCs w:val="21"/>
                <w:highlight w:val="none"/>
              </w:rPr>
              <w:t>=投标人诚信综合评价排名得分</w:t>
            </w:r>
            <w:r>
              <w:rPr>
                <w:rFonts w:hint="eastAsia" w:asciiTheme="minorEastAsia" w:hAnsiTheme="minorEastAsia" w:eastAsiaTheme="minorEastAsia"/>
                <w:color w:val="auto"/>
                <w:highlight w:val="none"/>
              </w:rPr>
              <w:t>×10%</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gridSpan w:val="3"/>
            <w:vAlign w:val="center"/>
          </w:tcPr>
          <w:p>
            <w:pPr>
              <w:snapToGrid w:val="0"/>
              <w:spacing w:beforeLines="0" w:afterLines="0" w:line="336" w:lineRule="auto"/>
              <w:jc w:val="center"/>
              <w:rPr>
                <w:rFonts w:ascii="Times New Roman" w:hAnsi="Times New Roman"/>
                <w:color w:val="auto"/>
                <w:highlight w:val="none"/>
              </w:rPr>
            </w:pPr>
            <w:r>
              <w:rPr>
                <w:rFonts w:ascii="Times New Roman" w:hAnsi="Times New Roman"/>
                <w:color w:val="auto"/>
                <w:highlight w:val="none"/>
              </w:rPr>
              <w:t>2.2.2</w:t>
            </w:r>
          </w:p>
        </w:tc>
        <w:tc>
          <w:tcPr>
            <w:tcW w:w="2132" w:type="dxa"/>
            <w:gridSpan w:val="2"/>
            <w:vAlign w:val="center"/>
          </w:tcPr>
          <w:p>
            <w:pPr>
              <w:snapToGrid w:val="0"/>
              <w:spacing w:beforeLines="0" w:afterLines="0" w:line="336" w:lineRule="auto"/>
              <w:jc w:val="left"/>
              <w:rPr>
                <w:rFonts w:ascii="宋体" w:hAnsi="宋体"/>
                <w:color w:val="auto"/>
                <w:szCs w:val="21"/>
                <w:highlight w:val="none"/>
              </w:rPr>
            </w:pPr>
            <w:r>
              <w:rPr>
                <w:rFonts w:ascii="宋体" w:hAnsi="宋体"/>
                <w:color w:val="auto"/>
                <w:szCs w:val="21"/>
                <w:highlight w:val="none"/>
              </w:rPr>
              <w:t>评标基准价计算方法</w:t>
            </w:r>
          </w:p>
        </w:tc>
        <w:tc>
          <w:tcPr>
            <w:tcW w:w="5252" w:type="dxa"/>
            <w:vAlign w:val="center"/>
          </w:tcPr>
          <w:p>
            <w:pPr>
              <w:pStyle w:val="8"/>
              <w:snapToGrid w:val="0"/>
              <w:spacing w:beforeLines="0" w:afterLines="0" w:line="336" w:lineRule="auto"/>
              <w:ind w:firstLine="0"/>
              <w:rPr>
                <w:color w:val="auto"/>
                <w:highlight w:val="none"/>
              </w:rPr>
            </w:pPr>
            <w:r>
              <w:rPr>
                <w:rFonts w:hint="eastAsia" w:ascii="宋体" w:hAnsi="Times New Roman" w:cs="宋体"/>
                <w:color w:val="auto"/>
                <w:sz w:val="21"/>
                <w:szCs w:val="21"/>
                <w:highlight w:val="none"/>
              </w:rPr>
              <w:t>当通过形式评审、资格评审、响应性评审的有效投标人大于或等于</w:t>
            </w:r>
            <w:r>
              <w:rPr>
                <w:rFonts w:ascii="宋体" w:hAnsi="Times New Roman" w:cs="宋体"/>
                <w:color w:val="auto"/>
                <w:sz w:val="21"/>
                <w:szCs w:val="21"/>
                <w:highlight w:val="none"/>
              </w:rPr>
              <w:t xml:space="preserve">5 </w:t>
            </w:r>
            <w:r>
              <w:rPr>
                <w:rFonts w:hint="eastAsia" w:ascii="宋体" w:hAnsi="Times New Roman" w:cs="宋体"/>
                <w:color w:val="auto"/>
                <w:sz w:val="21"/>
                <w:szCs w:val="21"/>
                <w:highlight w:val="none"/>
              </w:rPr>
              <w:t>名且投标报价为有效投标价时，去掉一个最高价和一个最低价，取余下有效投标价的算术平均值作为评标基准价。当通过形式评审、资格评审、响应性评审的有效投标人小于</w:t>
            </w:r>
            <w:r>
              <w:rPr>
                <w:rFonts w:ascii="宋体" w:hAnsi="Times New Roman" w:cs="宋体"/>
                <w:color w:val="auto"/>
                <w:sz w:val="21"/>
                <w:szCs w:val="21"/>
                <w:highlight w:val="none"/>
              </w:rPr>
              <w:t xml:space="preserve">5 </w:t>
            </w:r>
            <w:r>
              <w:rPr>
                <w:rFonts w:hint="eastAsia" w:ascii="宋体" w:hAnsi="Times New Roman" w:cs="宋体"/>
                <w:color w:val="auto"/>
                <w:sz w:val="21"/>
                <w:szCs w:val="21"/>
                <w:highlight w:val="none"/>
              </w:rPr>
              <w:t>名时，取所有入围的有效投标价的算术平均值作为评标基准价。</w:t>
            </w:r>
            <w:r>
              <w:rPr>
                <w:rFonts w:ascii="宋体" w:hAnsi="Times New Roman" w:cs="宋体"/>
                <w:color w:val="auto"/>
                <w:sz w:val="21"/>
                <w:szCs w:val="21"/>
                <w:highlight w:val="none"/>
              </w:rPr>
              <w:t>(</w:t>
            </w:r>
            <w:r>
              <w:rPr>
                <w:rFonts w:hint="eastAsia" w:ascii="宋体" w:hAnsi="Times New Roman" w:cs="宋体"/>
                <w:color w:val="auto"/>
                <w:sz w:val="21"/>
                <w:szCs w:val="21"/>
                <w:highlight w:val="none"/>
              </w:rPr>
              <w:t>有效报价范围为</w:t>
            </w:r>
            <w:r>
              <w:rPr>
                <w:rFonts w:ascii="宋体" w:hAnsi="Times New Roman" w:cs="宋体"/>
                <w:color w:val="auto"/>
                <w:sz w:val="21"/>
                <w:szCs w:val="21"/>
                <w:highlight w:val="none"/>
              </w:rPr>
              <w:t>[</w:t>
            </w:r>
            <w:r>
              <w:rPr>
                <w:rFonts w:hint="eastAsia" w:ascii="宋体" w:hAnsi="Times New Roman" w:cs="宋体"/>
                <w:color w:val="auto"/>
                <w:sz w:val="21"/>
                <w:szCs w:val="21"/>
                <w:highlight w:val="none"/>
              </w:rPr>
              <w:t>最高投标限价×</w:t>
            </w:r>
            <w:r>
              <w:rPr>
                <w:rFonts w:ascii="宋体" w:hAnsi="Times New Roman" w:cs="宋体"/>
                <w:color w:val="auto"/>
                <w:sz w:val="21"/>
                <w:szCs w:val="21"/>
                <w:highlight w:val="none"/>
              </w:rPr>
              <w:t>80%</w:t>
            </w:r>
            <w:r>
              <w:rPr>
                <w:rFonts w:hint="eastAsia" w:ascii="宋体" w:hAnsi="Times New Roman" w:cs="宋体"/>
                <w:color w:val="auto"/>
                <w:sz w:val="21"/>
                <w:szCs w:val="21"/>
                <w:highlight w:val="none"/>
              </w:rPr>
              <w:t>，最高投标限价</w:t>
            </w:r>
            <w:r>
              <w:rPr>
                <w:rFonts w:ascii="宋体" w:hAnsi="Times New Roman" w:cs="宋体"/>
                <w:color w:val="auto"/>
                <w:sz w:val="21"/>
                <w:szCs w:val="21"/>
                <w:highlight w:val="none"/>
              </w:rPr>
              <w:t>]</w:t>
            </w:r>
            <w:r>
              <w:rPr>
                <w:rFonts w:hint="eastAsia" w:ascii="宋体" w:hAnsi="Times New Roman" w:cs="宋体"/>
                <w:color w:val="auto"/>
                <w:sz w:val="21"/>
                <w:szCs w:val="21"/>
                <w:highlight w:val="none"/>
              </w:rPr>
              <w:t>，超过此范围的报价不参与评标基准价的计算</w:t>
            </w:r>
            <w:r>
              <w:rPr>
                <w:rFonts w:ascii="宋体" w:hAnsi="Times New Roman" w:cs="宋体"/>
                <w:color w:val="auto"/>
                <w:sz w:val="21"/>
                <w:szCs w:val="21"/>
                <w:highlight w:val="none"/>
              </w:rPr>
              <w:t>)</w:t>
            </w:r>
            <w:r>
              <w:rPr>
                <w:rFonts w:hint="eastAsia" w:ascii="宋体" w:hAnsi="Times New Roman" w:cs="宋体"/>
                <w:color w:val="auto"/>
                <w:sz w:val="21"/>
                <w:szCs w:val="21"/>
                <w:highlight w:val="none"/>
              </w:rPr>
              <w:t>。</w:t>
            </w:r>
            <w:r>
              <w:rPr>
                <w:color w:val="auto"/>
                <w:sz w:val="21"/>
                <w:szCs w:val="21"/>
                <w:highlight w:val="none"/>
              </w:rPr>
              <w:t>若没有投标报价位于[最高投标限价×80%，最高投标限价]区间，则由招标人依法重新招标。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3"/>
            <w:vAlign w:val="center"/>
          </w:tcPr>
          <w:p>
            <w:pPr>
              <w:snapToGrid w:val="0"/>
              <w:spacing w:beforeLines="0" w:afterLines="0" w:line="336" w:lineRule="auto"/>
              <w:jc w:val="center"/>
              <w:rPr>
                <w:rFonts w:ascii="Times New Roman" w:hAnsi="Times New Roman"/>
                <w:color w:val="auto"/>
                <w:highlight w:val="none"/>
              </w:rPr>
            </w:pPr>
            <w:r>
              <w:rPr>
                <w:rFonts w:ascii="Times New Roman" w:hAnsi="Times New Roman"/>
                <w:color w:val="auto"/>
                <w:highlight w:val="none"/>
              </w:rPr>
              <w:t>2.2.3</w:t>
            </w:r>
          </w:p>
        </w:tc>
        <w:tc>
          <w:tcPr>
            <w:tcW w:w="2132" w:type="dxa"/>
            <w:gridSpan w:val="2"/>
            <w:vAlign w:val="center"/>
          </w:tcPr>
          <w:p>
            <w:pPr>
              <w:snapToGrid w:val="0"/>
              <w:spacing w:beforeLines="0" w:afterLines="0" w:line="336" w:lineRule="auto"/>
              <w:jc w:val="center"/>
              <w:rPr>
                <w:rFonts w:ascii="Times New Roman" w:hAnsi="Times New Roman"/>
                <w:color w:val="auto"/>
                <w:highlight w:val="none"/>
              </w:rPr>
            </w:pPr>
            <w:r>
              <w:rPr>
                <w:rFonts w:ascii="宋体" w:hAnsi="宋体"/>
                <w:color w:val="auto"/>
                <w:szCs w:val="21"/>
                <w:highlight w:val="none"/>
              </w:rPr>
              <w:t>投标报价的偏差率计算公式</w:t>
            </w:r>
          </w:p>
        </w:tc>
        <w:tc>
          <w:tcPr>
            <w:tcW w:w="5252" w:type="dxa"/>
            <w:vAlign w:val="center"/>
          </w:tcPr>
          <w:p>
            <w:pPr>
              <w:snapToGrid w:val="0"/>
              <w:spacing w:beforeLines="0" w:afterLines="0" w:line="336" w:lineRule="auto"/>
              <w:jc w:val="left"/>
              <w:rPr>
                <w:rFonts w:ascii="宋体" w:hAnsi="宋体"/>
                <w:color w:val="auto"/>
                <w:spacing w:val="-3"/>
                <w:highlight w:val="none"/>
              </w:rPr>
            </w:pPr>
            <w:r>
              <w:rPr>
                <w:rFonts w:ascii="宋体" w:hAnsi="宋体"/>
                <w:color w:val="auto"/>
                <w:spacing w:val="-3"/>
                <w:highlight w:val="none"/>
              </w:rPr>
              <w:t>偏差率=100% ×|（投标人报价-评标基准价）|/评标基准价（偏差率出现小数点时，保留小数点后2位，第三位小数四舍五入。</w:t>
            </w:r>
            <w:r>
              <w:rPr>
                <w:rFonts w:hint="eastAsia" w:ascii="宋体" w:hAnsi="Courier New"/>
                <w:color w:val="auto"/>
                <w:szCs w:val="21"/>
                <w:highlight w:val="none"/>
              </w:rPr>
              <w:t>报价偏差率不足1%的，按直线内插法计算投标报价得分</w:t>
            </w:r>
            <w:r>
              <w:rPr>
                <w:rFonts w:ascii="宋体" w:hAnsi="宋体"/>
                <w:color w:val="auto"/>
                <w:spacing w:val="-3"/>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978" w:type="dxa"/>
            <w:gridSpan w:val="3"/>
            <w:tcBorders>
              <w:bottom w:val="single" w:color="auto" w:sz="4" w:space="0"/>
            </w:tcBorders>
          </w:tcPr>
          <w:p>
            <w:pPr>
              <w:pStyle w:val="31"/>
              <w:kinsoku w:val="0"/>
              <w:overflowPunct w:val="0"/>
              <w:snapToGrid w:val="0"/>
              <w:spacing w:before="0" w:beforeLines="0" w:afterLines="0" w:line="336" w:lineRule="auto"/>
              <w:ind w:right="309"/>
              <w:jc w:val="center"/>
              <w:rPr>
                <w:rFonts w:hint="default"/>
                <w:b/>
                <w:bCs/>
                <w:color w:val="auto"/>
                <w:highlight w:val="none"/>
              </w:rPr>
            </w:pPr>
            <w:r>
              <w:rPr>
                <w:rFonts w:ascii="宋体" w:hAnsi="宋体"/>
                <w:b/>
                <w:bCs/>
                <w:color w:val="auto"/>
                <w:highlight w:val="none"/>
              </w:rPr>
              <w:t>条款号</w:t>
            </w:r>
          </w:p>
        </w:tc>
        <w:tc>
          <w:tcPr>
            <w:tcW w:w="2132" w:type="dxa"/>
            <w:gridSpan w:val="2"/>
            <w:tcBorders>
              <w:bottom w:val="single" w:color="auto" w:sz="4" w:space="0"/>
            </w:tcBorders>
          </w:tcPr>
          <w:p>
            <w:pPr>
              <w:pStyle w:val="31"/>
              <w:kinsoku w:val="0"/>
              <w:overflowPunct w:val="0"/>
              <w:snapToGrid w:val="0"/>
              <w:spacing w:before="0" w:beforeLines="0" w:afterLines="0" w:line="336" w:lineRule="auto"/>
              <w:rPr>
                <w:rFonts w:hint="default"/>
                <w:b/>
                <w:bCs/>
                <w:color w:val="auto"/>
                <w:highlight w:val="none"/>
              </w:rPr>
            </w:pPr>
            <w:r>
              <w:rPr>
                <w:rFonts w:ascii="宋体" w:hAnsi="宋体"/>
                <w:b/>
                <w:bCs/>
                <w:color w:val="auto"/>
                <w:highlight w:val="none"/>
              </w:rPr>
              <w:t>评分因素（偏差率）</w:t>
            </w:r>
          </w:p>
        </w:tc>
        <w:tc>
          <w:tcPr>
            <w:tcW w:w="5252" w:type="dxa"/>
            <w:tcBorders>
              <w:bottom w:val="single" w:color="auto" w:sz="4" w:space="0"/>
            </w:tcBorders>
          </w:tcPr>
          <w:p>
            <w:pPr>
              <w:pStyle w:val="31"/>
              <w:kinsoku w:val="0"/>
              <w:overflowPunct w:val="0"/>
              <w:snapToGrid w:val="0"/>
              <w:spacing w:before="0" w:beforeLines="0" w:afterLines="0" w:line="336" w:lineRule="auto"/>
              <w:ind w:left="1895" w:right="1655"/>
              <w:jc w:val="center"/>
              <w:rPr>
                <w:rFonts w:hint="default"/>
                <w:b/>
                <w:bCs/>
                <w:color w:val="auto"/>
                <w:highlight w:val="none"/>
              </w:rPr>
            </w:pPr>
            <w:r>
              <w:rPr>
                <w:rFonts w:ascii="宋体" w:hAnsi="宋体"/>
                <w:b/>
                <w:bCs/>
                <w:color w:val="auto"/>
                <w:highlight w:val="none"/>
              </w:rPr>
              <w:t xml:space="preserve">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83" w:type="dxa"/>
            <w:vMerge w:val="restart"/>
            <w:vAlign w:val="center"/>
          </w:tcPr>
          <w:p>
            <w:pPr>
              <w:pStyle w:val="31"/>
              <w:kinsoku w:val="0"/>
              <w:overflowPunct w:val="0"/>
              <w:snapToGrid w:val="0"/>
              <w:spacing w:beforeLines="0" w:afterLines="0" w:line="336" w:lineRule="auto"/>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w:t>
            </w:r>
          </w:p>
          <w:p>
            <w:pPr>
              <w:pStyle w:val="31"/>
              <w:kinsoku w:val="0"/>
              <w:overflowPunct w:val="0"/>
              <w:snapToGrid w:val="0"/>
              <w:spacing w:beforeLines="0" w:afterLines="0" w:line="336" w:lineRule="auto"/>
              <w:ind w:left="-63" w:leftChars="-30" w:right="-111" w:rightChars="-53" w:firstLine="62" w:firstLineChars="30"/>
              <w:jc w:val="center"/>
              <w:rPr>
                <w:rFonts w:hint="default" w:ascii="宋体" w:hAnsi="宋体"/>
                <w:color w:val="auto"/>
                <w:spacing w:val="-1"/>
                <w:highlight w:val="none"/>
              </w:rPr>
            </w:pPr>
            <w:r>
              <w:rPr>
                <w:rFonts w:ascii="宋体" w:hAnsi="宋体"/>
                <w:color w:val="auto"/>
                <w:spacing w:val="-1"/>
                <w:highlight w:val="none"/>
              </w:rPr>
              <w:t>（</w:t>
            </w:r>
            <w:r>
              <w:rPr>
                <w:rFonts w:eastAsia="Times New Roman"/>
                <w:color w:val="auto"/>
                <w:highlight w:val="none"/>
              </w:rPr>
              <w:t>1</w:t>
            </w:r>
            <w:r>
              <w:rPr>
                <w:rFonts w:ascii="宋体" w:hAnsi="宋体"/>
                <w:color w:val="auto"/>
                <w:highlight w:val="none"/>
              </w:rPr>
              <w:t>）</w:t>
            </w:r>
          </w:p>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tc>
        <w:tc>
          <w:tcPr>
            <w:tcW w:w="1395" w:type="dxa"/>
            <w:gridSpan w:val="2"/>
            <w:vMerge w:val="restart"/>
            <w:vAlign w:val="center"/>
          </w:tcPr>
          <w:p>
            <w:pPr>
              <w:snapToGrid w:val="0"/>
              <w:spacing w:beforeLines="0" w:afterLines="0" w:line="336" w:lineRule="auto"/>
              <w:ind w:left="315" w:hanging="315" w:hangingChars="150"/>
              <w:jc w:val="center"/>
              <w:rPr>
                <w:rFonts w:ascii="宋体" w:hAnsi="宋体"/>
                <w:color w:val="auto"/>
                <w:highlight w:val="none"/>
              </w:rPr>
            </w:pPr>
            <w:r>
              <w:rPr>
                <w:rFonts w:hint="eastAsia" w:ascii="宋体" w:hAnsi="宋体"/>
                <w:color w:val="auto"/>
                <w:highlight w:val="none"/>
              </w:rPr>
              <w:t>资信</w:t>
            </w:r>
            <w:r>
              <w:rPr>
                <w:rFonts w:hint="eastAsia" w:ascii="宋体" w:hAnsi="宋体"/>
                <w:color w:val="auto"/>
                <w:spacing w:val="-3"/>
                <w:highlight w:val="none"/>
              </w:rPr>
              <w:t>业</w:t>
            </w:r>
            <w:r>
              <w:rPr>
                <w:rFonts w:hint="eastAsia" w:ascii="宋体" w:hAnsi="宋体"/>
                <w:color w:val="auto"/>
                <w:highlight w:val="none"/>
              </w:rPr>
              <w:t>绩</w:t>
            </w:r>
          </w:p>
          <w:p>
            <w:pPr>
              <w:snapToGrid w:val="0"/>
              <w:spacing w:beforeLines="0" w:afterLines="0" w:line="336" w:lineRule="auto"/>
              <w:ind w:left="315" w:hanging="315" w:hangingChars="150"/>
              <w:jc w:val="center"/>
              <w:rPr>
                <w:rFonts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pPr>
              <w:pStyle w:val="31"/>
              <w:kinsoku w:val="0"/>
              <w:overflowPunct w:val="0"/>
              <w:snapToGrid w:val="0"/>
              <w:spacing w:beforeLines="0" w:afterLines="0" w:line="336" w:lineRule="auto"/>
              <w:ind w:left="-115" w:leftChars="-55" w:right="-122" w:rightChars="-58"/>
              <w:jc w:val="center"/>
              <w:rPr>
                <w:rFonts w:hint="default"/>
                <w:color w:val="auto"/>
                <w:highlight w:val="none"/>
              </w:rPr>
            </w:pPr>
            <w:r>
              <w:rPr>
                <w:rFonts w:ascii="宋体" w:hAnsi="宋体"/>
                <w:color w:val="auto"/>
                <w:highlight w:val="none"/>
              </w:rPr>
              <w:t>（45分）</w:t>
            </w:r>
          </w:p>
        </w:tc>
        <w:tc>
          <w:tcPr>
            <w:tcW w:w="1066" w:type="dxa"/>
            <w:vMerge w:val="restart"/>
            <w:vAlign w:val="center"/>
          </w:tcPr>
          <w:p>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工程监理业绩及获奖情况（</w:t>
            </w:r>
            <w:r>
              <w:rPr>
                <w:rFonts w:hint="eastAsia" w:ascii="宋体" w:hAnsi="宋体"/>
                <w:color w:val="auto"/>
                <w:szCs w:val="21"/>
                <w:highlight w:val="none"/>
                <w:lang w:val="en-US" w:eastAsia="zh-CN"/>
              </w:rPr>
              <w:t>12</w:t>
            </w:r>
            <w:r>
              <w:rPr>
                <w:rFonts w:hint="eastAsia" w:ascii="宋体" w:hAnsi="宋体"/>
                <w:color w:val="auto"/>
                <w:szCs w:val="21"/>
                <w:highlight w:val="none"/>
              </w:rPr>
              <w:t>分）</w:t>
            </w:r>
          </w:p>
        </w:tc>
        <w:tc>
          <w:tcPr>
            <w:tcW w:w="1066" w:type="dxa"/>
            <w:vAlign w:val="center"/>
          </w:tcPr>
          <w:p>
            <w:pPr>
              <w:snapToGrid w:val="0"/>
              <w:spacing w:beforeLines="0" w:afterLines="0" w:line="336" w:lineRule="auto"/>
              <w:contextualSpacing/>
              <w:jc w:val="center"/>
              <w:rPr>
                <w:rFonts w:ascii="宋体" w:hAnsi="宋体"/>
                <w:color w:val="auto"/>
                <w:spacing w:val="-3"/>
                <w:highlight w:val="none"/>
              </w:rPr>
            </w:pPr>
            <w:r>
              <w:rPr>
                <w:rFonts w:hint="eastAsia" w:ascii="宋体" w:hAnsi="宋体"/>
                <w:color w:val="auto"/>
                <w:spacing w:val="-3"/>
                <w:highlight w:val="none"/>
              </w:rPr>
              <w:t>监理</w:t>
            </w:r>
          </w:p>
          <w:p>
            <w:pPr>
              <w:snapToGrid w:val="0"/>
              <w:spacing w:beforeLines="0" w:afterLines="0" w:line="336" w:lineRule="auto"/>
              <w:contextualSpacing/>
              <w:jc w:val="center"/>
              <w:rPr>
                <w:rFonts w:ascii="宋体" w:hAnsi="宋体"/>
                <w:color w:val="auto"/>
                <w:spacing w:val="-3"/>
                <w:highlight w:val="none"/>
              </w:rPr>
            </w:pPr>
            <w:r>
              <w:rPr>
                <w:rFonts w:hint="eastAsia" w:ascii="宋体" w:hAnsi="宋体"/>
                <w:color w:val="auto"/>
                <w:spacing w:val="-3"/>
                <w:highlight w:val="none"/>
              </w:rPr>
              <w:t>业绩</w:t>
            </w:r>
          </w:p>
          <w:p>
            <w:pPr>
              <w:widowControl/>
              <w:snapToGrid w:val="0"/>
              <w:spacing w:beforeLines="0" w:afterLines="0" w:line="336" w:lineRule="auto"/>
              <w:jc w:val="center"/>
              <w:rPr>
                <w:rFonts w:ascii="宋体" w:hAnsi="宋体"/>
                <w:color w:val="auto"/>
                <w:szCs w:val="21"/>
                <w:highlight w:val="none"/>
              </w:rPr>
            </w:pPr>
            <w:r>
              <w:rPr>
                <w:rFonts w:hint="eastAsia" w:ascii="宋体" w:hAnsi="宋体"/>
                <w:color w:val="auto"/>
                <w:spacing w:val="-3"/>
                <w:highlight w:val="none"/>
              </w:rPr>
              <w:t>（</w:t>
            </w:r>
            <w:r>
              <w:rPr>
                <w:rFonts w:hint="eastAsia" w:ascii="宋体" w:hAnsi="宋体"/>
                <w:color w:val="auto"/>
                <w:spacing w:val="-3"/>
                <w:highlight w:val="none"/>
                <w:lang w:val="en-US" w:eastAsia="zh-CN"/>
              </w:rPr>
              <w:t>6</w:t>
            </w:r>
            <w:r>
              <w:rPr>
                <w:rFonts w:hint="eastAsia" w:ascii="宋体" w:hAnsi="宋体"/>
                <w:color w:val="auto"/>
                <w:spacing w:val="-3"/>
                <w:highlight w:val="none"/>
              </w:rPr>
              <w:t>分）</w:t>
            </w:r>
          </w:p>
        </w:tc>
        <w:tc>
          <w:tcPr>
            <w:tcW w:w="5252" w:type="dxa"/>
            <w:vAlign w:val="center"/>
          </w:tcPr>
          <w:p>
            <w:pPr>
              <w:widowControl/>
              <w:numPr>
                <w:ilvl w:val="0"/>
                <w:numId w:val="3"/>
              </w:numPr>
              <w:snapToGrid w:val="0"/>
              <w:spacing w:beforeLines="0" w:afterLines="0" w:line="336" w:lineRule="auto"/>
              <w:jc w:val="left"/>
              <w:rPr>
                <w:rFonts w:hint="eastAsia" w:ascii="宋体" w:hAnsi="宋体"/>
                <w:color w:val="auto"/>
                <w:spacing w:val="-3"/>
                <w:highlight w:val="none"/>
              </w:rPr>
            </w:pPr>
            <w:r>
              <w:rPr>
                <w:rFonts w:hint="eastAsia" w:ascii="宋体" w:hAnsi="宋体"/>
                <w:color w:val="auto"/>
                <w:spacing w:val="-3"/>
                <w:highlight w:val="none"/>
              </w:rPr>
              <w:t>自2019年1月1日至今独立完成过质量合格的类似工程监理业绩的每项得1分，最多得</w:t>
            </w:r>
            <w:r>
              <w:rPr>
                <w:rFonts w:hint="eastAsia" w:ascii="宋体" w:hAnsi="宋体"/>
                <w:color w:val="auto"/>
                <w:spacing w:val="-3"/>
                <w:highlight w:val="none"/>
                <w:lang w:val="en-US" w:eastAsia="zh-CN"/>
              </w:rPr>
              <w:t>6</w:t>
            </w:r>
            <w:r>
              <w:rPr>
                <w:rFonts w:hint="eastAsia" w:ascii="宋体" w:hAnsi="宋体"/>
                <w:color w:val="auto"/>
                <w:spacing w:val="-3"/>
                <w:highlight w:val="none"/>
              </w:rPr>
              <w:t>分。</w:t>
            </w:r>
          </w:p>
          <w:p>
            <w:pPr>
              <w:widowControl/>
              <w:snapToGrid w:val="0"/>
              <w:spacing w:beforeLines="0" w:afterLines="0" w:line="336" w:lineRule="auto"/>
              <w:jc w:val="left"/>
              <w:rPr>
                <w:rFonts w:ascii="宋体" w:hAnsi="宋体"/>
                <w:color w:val="auto"/>
                <w:spacing w:val="-3"/>
                <w:highlight w:val="none"/>
              </w:rPr>
            </w:pPr>
            <w:r>
              <w:rPr>
                <w:rFonts w:hint="eastAsia" w:hAnsi="宋体"/>
                <w:color w:val="auto"/>
                <w:spacing w:val="-3"/>
                <w:highlight w:val="none"/>
                <w:lang w:val="en-US" w:eastAsia="zh-CN"/>
              </w:rPr>
              <w:t>注：类似工程：是指招标公告中3.3所述资质方能承接的市政公用工程，监理业绩证明需同时提供中标通知书或免招标的相关证明、监理合同、竣工验收报告或竣工验收证明，时间以竣工验收时间为准。若前述资料不能体现评审指标的，还需提供项目发包人或项目监管部门出具的证明材料，否则不得分</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583" w:type="dxa"/>
            <w:vMerge w:val="continue"/>
          </w:tcPr>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tc>
        <w:tc>
          <w:tcPr>
            <w:tcW w:w="1395" w:type="dxa"/>
            <w:gridSpan w:val="2"/>
            <w:vMerge w:val="continue"/>
          </w:tcPr>
          <w:p>
            <w:pPr>
              <w:pStyle w:val="31"/>
              <w:kinsoku w:val="0"/>
              <w:overflowPunct w:val="0"/>
              <w:snapToGrid w:val="0"/>
              <w:spacing w:beforeLines="0" w:afterLines="0" w:line="336" w:lineRule="auto"/>
              <w:ind w:left="-115" w:leftChars="-55" w:right="-122" w:rightChars="-58"/>
              <w:jc w:val="center"/>
              <w:rPr>
                <w:rFonts w:hint="default"/>
                <w:color w:val="auto"/>
                <w:highlight w:val="none"/>
              </w:rPr>
            </w:pPr>
          </w:p>
        </w:tc>
        <w:tc>
          <w:tcPr>
            <w:tcW w:w="1066" w:type="dxa"/>
            <w:vMerge w:val="continue"/>
            <w:vAlign w:val="center"/>
          </w:tcPr>
          <w:p>
            <w:pPr>
              <w:snapToGrid w:val="0"/>
              <w:spacing w:beforeLines="0" w:afterLines="0" w:line="336" w:lineRule="auto"/>
              <w:jc w:val="center"/>
              <w:rPr>
                <w:rFonts w:ascii="宋体" w:hAnsi="宋体"/>
                <w:color w:val="auto"/>
                <w:szCs w:val="21"/>
                <w:highlight w:val="none"/>
              </w:rPr>
            </w:pPr>
          </w:p>
        </w:tc>
        <w:tc>
          <w:tcPr>
            <w:tcW w:w="1066" w:type="dxa"/>
            <w:vAlign w:val="center"/>
          </w:tcPr>
          <w:p>
            <w:pPr>
              <w:widowControl/>
              <w:snapToGrid w:val="0"/>
              <w:spacing w:beforeLines="0" w:afterLines="0" w:line="336" w:lineRule="auto"/>
              <w:jc w:val="center"/>
              <w:rPr>
                <w:rFonts w:ascii="宋体" w:hAnsi="宋体"/>
                <w:color w:val="auto"/>
                <w:spacing w:val="-3"/>
                <w:highlight w:val="none"/>
              </w:rPr>
            </w:pPr>
            <w:r>
              <w:rPr>
                <w:rFonts w:hint="eastAsia" w:ascii="宋体" w:hAnsi="宋体"/>
                <w:color w:val="auto"/>
                <w:spacing w:val="-3"/>
                <w:highlight w:val="none"/>
              </w:rPr>
              <w:t>获奖监理</w:t>
            </w:r>
          </w:p>
          <w:p>
            <w:pPr>
              <w:widowControl/>
              <w:snapToGrid w:val="0"/>
              <w:spacing w:beforeLines="0" w:afterLines="0" w:line="336" w:lineRule="auto"/>
              <w:jc w:val="center"/>
              <w:rPr>
                <w:rFonts w:ascii="宋体" w:hAnsi="宋体"/>
                <w:color w:val="auto"/>
                <w:spacing w:val="-3"/>
                <w:highlight w:val="none"/>
              </w:rPr>
            </w:pPr>
            <w:r>
              <w:rPr>
                <w:rFonts w:hint="eastAsia" w:ascii="宋体" w:hAnsi="宋体"/>
                <w:color w:val="auto"/>
                <w:spacing w:val="-3"/>
                <w:highlight w:val="none"/>
              </w:rPr>
              <w:t>业绩</w:t>
            </w:r>
          </w:p>
          <w:p>
            <w:pPr>
              <w:widowControl/>
              <w:snapToGrid w:val="0"/>
              <w:spacing w:beforeLines="0" w:afterLines="0" w:line="336" w:lineRule="auto"/>
              <w:jc w:val="center"/>
              <w:rPr>
                <w:rFonts w:ascii="宋体" w:hAnsi="宋体"/>
                <w:color w:val="auto"/>
                <w:szCs w:val="21"/>
                <w:highlight w:val="none"/>
              </w:rPr>
            </w:pPr>
            <w:r>
              <w:rPr>
                <w:rFonts w:hint="eastAsia" w:ascii="宋体" w:hAnsi="宋体"/>
                <w:color w:val="auto"/>
                <w:spacing w:val="-3"/>
                <w:highlight w:val="none"/>
              </w:rPr>
              <w:t>（</w:t>
            </w:r>
            <w:r>
              <w:rPr>
                <w:rFonts w:hint="eastAsia" w:ascii="宋体" w:hAnsi="宋体"/>
                <w:color w:val="auto"/>
                <w:spacing w:val="-3"/>
                <w:highlight w:val="none"/>
                <w:lang w:val="en-US" w:eastAsia="zh-CN"/>
              </w:rPr>
              <w:t>6</w:t>
            </w:r>
            <w:r>
              <w:rPr>
                <w:rFonts w:hint="eastAsia" w:ascii="宋体" w:hAnsi="宋体"/>
                <w:color w:val="auto"/>
                <w:spacing w:val="-3"/>
                <w:highlight w:val="none"/>
              </w:rPr>
              <w:t>分）</w:t>
            </w:r>
          </w:p>
        </w:tc>
        <w:tc>
          <w:tcPr>
            <w:tcW w:w="5252" w:type="dxa"/>
            <w:vAlign w:val="center"/>
          </w:tcPr>
          <w:p>
            <w:pPr>
              <w:widowControl/>
              <w:snapToGrid w:val="0"/>
              <w:spacing w:beforeLines="0" w:afterLines="0" w:line="336" w:lineRule="auto"/>
              <w:jc w:val="left"/>
              <w:rPr>
                <w:color w:val="auto"/>
                <w:highlight w:val="none"/>
              </w:rPr>
            </w:pPr>
            <w:r>
              <w:rPr>
                <w:rFonts w:hint="eastAsia"/>
                <w:color w:val="auto"/>
                <w:highlight w:val="none"/>
              </w:rPr>
              <w:t>自2019年1月1日至今监理的市政公用工程获得奖项情况：</w:t>
            </w:r>
          </w:p>
          <w:p>
            <w:pPr>
              <w:widowControl/>
              <w:snapToGrid w:val="0"/>
              <w:spacing w:beforeLines="0" w:afterLines="0" w:line="336" w:lineRule="auto"/>
              <w:jc w:val="left"/>
              <w:rPr>
                <w:color w:val="auto"/>
                <w:highlight w:val="none"/>
              </w:rPr>
            </w:pPr>
            <w:r>
              <w:rPr>
                <w:rFonts w:hint="eastAsia"/>
                <w:color w:val="auto"/>
                <w:highlight w:val="none"/>
              </w:rPr>
              <w:t>（1）获得国家级奖项的每项得2分；</w:t>
            </w:r>
          </w:p>
          <w:p>
            <w:pPr>
              <w:widowControl/>
              <w:snapToGrid w:val="0"/>
              <w:spacing w:beforeLines="0" w:afterLines="0" w:line="336" w:lineRule="auto"/>
              <w:jc w:val="left"/>
              <w:rPr>
                <w:color w:val="auto"/>
                <w:highlight w:val="none"/>
              </w:rPr>
            </w:pPr>
            <w:r>
              <w:rPr>
                <w:rFonts w:hint="eastAsia"/>
                <w:color w:val="auto"/>
                <w:highlight w:val="none"/>
              </w:rPr>
              <w:t>（2）获得省级奖项的每项得1分；</w:t>
            </w:r>
          </w:p>
          <w:p>
            <w:pPr>
              <w:widowControl/>
              <w:snapToGrid w:val="0"/>
              <w:spacing w:beforeLines="0" w:afterLines="0" w:line="336" w:lineRule="auto"/>
              <w:jc w:val="left"/>
              <w:rPr>
                <w:color w:val="auto"/>
                <w:highlight w:val="none"/>
              </w:rPr>
            </w:pPr>
            <w:r>
              <w:rPr>
                <w:rFonts w:hint="eastAsia"/>
                <w:color w:val="auto"/>
                <w:highlight w:val="none"/>
              </w:rPr>
              <w:t>（3）获得市级奖项的每项得0.5分；</w:t>
            </w:r>
          </w:p>
          <w:p>
            <w:pPr>
              <w:widowControl/>
              <w:snapToGrid w:val="0"/>
              <w:spacing w:beforeLines="0" w:afterLines="0" w:line="336" w:lineRule="auto"/>
              <w:jc w:val="left"/>
              <w:rPr>
                <w:rFonts w:hint="eastAsia"/>
                <w:color w:val="auto"/>
                <w:highlight w:val="none"/>
              </w:rPr>
            </w:pPr>
            <w:r>
              <w:rPr>
                <w:rFonts w:hint="eastAsia"/>
                <w:color w:val="auto"/>
                <w:highlight w:val="none"/>
              </w:rPr>
              <w:t>本项相同业绩按最高</w:t>
            </w:r>
            <w:r>
              <w:rPr>
                <w:rFonts w:hint="eastAsia"/>
                <w:color w:val="auto"/>
                <w:highlight w:val="none"/>
                <w:lang w:val="en-US" w:eastAsia="zh-CN"/>
              </w:rPr>
              <w:t>级别</w:t>
            </w:r>
            <w:r>
              <w:rPr>
                <w:rFonts w:hint="eastAsia"/>
                <w:color w:val="auto"/>
                <w:highlight w:val="none"/>
              </w:rPr>
              <w:t>奖项得分，且最多得</w:t>
            </w:r>
            <w:r>
              <w:rPr>
                <w:rFonts w:hint="default" w:ascii="Calibri" w:hAnsi="Calibri"/>
                <w:color w:val="auto"/>
                <w:spacing w:val="0"/>
                <w:highlight w:val="none"/>
                <w:lang w:val="en-US" w:eastAsia="zh-CN"/>
              </w:rPr>
              <w:t>6</w:t>
            </w:r>
            <w:r>
              <w:rPr>
                <w:rFonts w:hint="eastAsia"/>
                <w:color w:val="auto"/>
                <w:highlight w:val="none"/>
              </w:rPr>
              <w:t>分。</w:t>
            </w:r>
          </w:p>
          <w:p>
            <w:pPr>
              <w:widowControl/>
              <w:snapToGrid w:val="0"/>
              <w:spacing w:beforeLines="0" w:afterLines="0" w:line="336" w:lineRule="auto"/>
              <w:jc w:val="left"/>
              <w:rPr>
                <w:rFonts w:hint="eastAsia" w:eastAsia="宋体"/>
                <w:color w:val="auto"/>
                <w:highlight w:val="none"/>
                <w:lang w:val="en-US" w:eastAsia="zh-CN"/>
              </w:rPr>
            </w:pPr>
            <w:r>
              <w:rPr>
                <w:rFonts w:hint="eastAsia" w:hAnsi="宋体"/>
                <w:color w:val="auto"/>
                <w:spacing w:val="-3"/>
                <w:highlight w:val="none"/>
                <w:lang w:val="en-US" w:eastAsia="zh-CN"/>
              </w:rPr>
              <w:t>注：获奖业绩</w:t>
            </w:r>
            <w:r>
              <w:rPr>
                <w:color w:val="auto"/>
                <w:highlight w:val="none"/>
              </w:rPr>
              <w:t>是</w:t>
            </w:r>
            <w:r>
              <w:rPr>
                <w:rFonts w:hint="eastAsia"/>
                <w:color w:val="auto"/>
                <w:highlight w:val="none"/>
              </w:rPr>
              <w:t>指各级行政主管部门颁发（或行业协会颁发）的工程质量奖项（不含QC、工法、科技创新等非工程类奖项）。时间以发证时间为准</w:t>
            </w:r>
            <w:r>
              <w:rPr>
                <w:rFonts w:hint="eastAsia"/>
                <w:color w:val="auto"/>
                <w:highlight w:val="none"/>
                <w:lang w:eastAsia="zh-CN"/>
              </w:rPr>
              <w:t>，</w:t>
            </w:r>
            <w:r>
              <w:rPr>
                <w:rFonts w:hint="eastAsia"/>
                <w:color w:val="auto"/>
                <w:highlight w:val="none"/>
              </w:rPr>
              <w:t>须提供监理单位获奖证书复印件；若获奖证书未显示监理单位名称，则以施工单位获奖证书为准，同时须提供相关材料证明投标人参与过该获奖项目的监理工作，相关材料包括但不限于中标通知书（或免招标证明）和监理合同、业主（委托人或建设单位或项目管理方或代建单位）出具的说明（如有）等</w:t>
            </w:r>
            <w:r>
              <w:rPr>
                <w:rFonts w:hint="eastAsia"/>
                <w:color w:val="auto"/>
                <w:highlight w:val="none"/>
                <w:lang w:eastAsia="zh-CN"/>
              </w:rPr>
              <w:t>；</w:t>
            </w:r>
            <w:r>
              <w:rPr>
                <w:rFonts w:hint="eastAsia"/>
                <w:color w:val="auto"/>
                <w:highlight w:val="none"/>
              </w:rPr>
              <w:t>否则不得分。对同一工程奖项按最高奖项计取，不重复计算</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vMerge w:val="continue"/>
          </w:tcPr>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tc>
        <w:tc>
          <w:tcPr>
            <w:tcW w:w="1395" w:type="dxa"/>
            <w:gridSpan w:val="2"/>
            <w:vMerge w:val="continue"/>
          </w:tcPr>
          <w:p>
            <w:pPr>
              <w:pStyle w:val="31"/>
              <w:kinsoku w:val="0"/>
              <w:overflowPunct w:val="0"/>
              <w:snapToGrid w:val="0"/>
              <w:spacing w:beforeLines="0" w:afterLines="0" w:line="336" w:lineRule="auto"/>
              <w:ind w:left="-115" w:leftChars="-55" w:right="-122" w:rightChars="-58"/>
              <w:jc w:val="center"/>
              <w:rPr>
                <w:rFonts w:hint="default"/>
                <w:color w:val="auto"/>
                <w:highlight w:val="none"/>
              </w:rPr>
            </w:pPr>
          </w:p>
        </w:tc>
        <w:tc>
          <w:tcPr>
            <w:tcW w:w="2132" w:type="dxa"/>
            <w:gridSpan w:val="2"/>
            <w:vAlign w:val="center"/>
          </w:tcPr>
          <w:p>
            <w:pPr>
              <w:widowControl/>
              <w:snapToGrid w:val="0"/>
              <w:spacing w:beforeLines="0" w:afterLines="0" w:line="336" w:lineRule="auto"/>
              <w:jc w:val="center"/>
              <w:rPr>
                <w:rFonts w:ascii="宋体" w:hAnsi="宋体"/>
                <w:color w:val="auto"/>
                <w:spacing w:val="-3"/>
                <w:highlight w:val="none"/>
              </w:rPr>
            </w:pPr>
            <w:r>
              <w:rPr>
                <w:rFonts w:hint="eastAsia" w:ascii="宋体" w:hAnsi="宋体"/>
                <w:color w:val="auto"/>
                <w:spacing w:val="-3"/>
                <w:highlight w:val="none"/>
              </w:rPr>
              <w:t>主要人员资历</w:t>
            </w:r>
          </w:p>
          <w:p>
            <w:pPr>
              <w:widowControl/>
              <w:snapToGrid w:val="0"/>
              <w:spacing w:beforeLines="0" w:afterLines="0" w:line="336" w:lineRule="auto"/>
              <w:jc w:val="center"/>
              <w:rPr>
                <w:rFonts w:ascii="宋体" w:hAnsi="宋体"/>
                <w:color w:val="auto"/>
                <w:szCs w:val="21"/>
                <w:highlight w:val="none"/>
              </w:rPr>
            </w:pPr>
            <w:r>
              <w:rPr>
                <w:rFonts w:hint="eastAsia" w:ascii="宋体" w:hAnsi="宋体"/>
                <w:color w:val="auto"/>
                <w:spacing w:val="-3"/>
                <w:highlight w:val="none"/>
              </w:rPr>
              <w:t>（</w:t>
            </w:r>
            <w:r>
              <w:rPr>
                <w:rFonts w:hint="eastAsia" w:ascii="宋体" w:hAnsi="宋体"/>
                <w:color w:val="auto"/>
                <w:spacing w:val="-3"/>
                <w:highlight w:val="none"/>
                <w:lang w:val="en-US" w:eastAsia="zh-CN"/>
              </w:rPr>
              <w:t>15</w:t>
            </w:r>
            <w:r>
              <w:rPr>
                <w:rFonts w:hint="eastAsia" w:ascii="宋体" w:hAnsi="宋体"/>
                <w:color w:val="auto"/>
                <w:spacing w:val="-3"/>
                <w:highlight w:val="none"/>
              </w:rPr>
              <w:t>分）</w:t>
            </w:r>
          </w:p>
        </w:tc>
        <w:tc>
          <w:tcPr>
            <w:tcW w:w="5252" w:type="dxa"/>
            <w:vAlign w:val="center"/>
          </w:tcPr>
          <w:p>
            <w:pPr>
              <w:widowControl/>
              <w:snapToGrid w:val="0"/>
              <w:spacing w:beforeLines="0" w:afterLines="0" w:line="336" w:lineRule="auto"/>
              <w:jc w:val="left"/>
              <w:rPr>
                <w:color w:val="auto"/>
                <w:highlight w:val="none"/>
              </w:rPr>
            </w:pPr>
            <w:r>
              <w:rPr>
                <w:rFonts w:hint="eastAsia"/>
                <w:color w:val="auto"/>
                <w:highlight w:val="none"/>
              </w:rPr>
              <w:t>（1）监理人员及相应专业的配备</w:t>
            </w:r>
            <w:r>
              <w:rPr>
                <w:rFonts w:hint="eastAsia"/>
                <w:color w:val="auto"/>
                <w:highlight w:val="none"/>
                <w:lang w:eastAsia="zh-CN"/>
              </w:rPr>
              <w:t>：</w:t>
            </w:r>
            <w:r>
              <w:rPr>
                <w:rFonts w:hint="eastAsia"/>
                <w:color w:val="auto"/>
                <w:highlight w:val="none"/>
              </w:rPr>
              <w:t>满足本项目</w:t>
            </w:r>
            <w:r>
              <w:rPr>
                <w:rFonts w:hint="eastAsia"/>
                <w:color w:val="auto"/>
                <w:highlight w:val="none"/>
                <w:lang w:val="en-US" w:eastAsia="zh-CN"/>
              </w:rPr>
              <w:t>总监理工程师及</w:t>
            </w:r>
            <w:r>
              <w:rPr>
                <w:rFonts w:hint="eastAsia"/>
                <w:color w:val="auto"/>
                <w:highlight w:val="none"/>
              </w:rPr>
              <w:t>专业监理人员配套要求(投标人须知前附表10.8相关要求)的得</w:t>
            </w:r>
            <w:r>
              <w:rPr>
                <w:rFonts w:hint="default"/>
                <w:color w:val="auto"/>
                <w:highlight w:val="none"/>
                <w:lang w:val="en-US" w:eastAsia="zh-CN"/>
              </w:rPr>
              <w:t>5</w:t>
            </w:r>
            <w:r>
              <w:rPr>
                <w:rFonts w:hint="eastAsia"/>
                <w:color w:val="auto"/>
                <w:highlight w:val="none"/>
              </w:rPr>
              <w:t>分，不满足不得分</w:t>
            </w:r>
            <w:r>
              <w:rPr>
                <w:rFonts w:hint="eastAsia"/>
                <w:color w:val="auto"/>
                <w:highlight w:val="none"/>
                <w:lang w:eastAsia="zh-CN"/>
              </w:rPr>
              <w:t>。</w:t>
            </w:r>
          </w:p>
          <w:p>
            <w:pPr>
              <w:widowControl/>
              <w:snapToGrid w:val="0"/>
              <w:spacing w:beforeLines="0" w:afterLines="0" w:line="336" w:lineRule="auto"/>
              <w:jc w:val="left"/>
              <w:rPr>
                <w:rFonts w:hint="eastAsia"/>
                <w:color w:val="auto"/>
                <w:highlight w:val="none"/>
              </w:rPr>
            </w:pPr>
            <w:r>
              <w:rPr>
                <w:rFonts w:hint="eastAsia"/>
                <w:color w:val="auto"/>
                <w:highlight w:val="none"/>
              </w:rPr>
              <w:t>（2）上述人员配备中（不含总监理工程师）具有注册监理工程师或者具有高级（或以上）技术职称的每人得</w:t>
            </w:r>
            <w:r>
              <w:rPr>
                <w:rFonts w:hint="eastAsia"/>
                <w:color w:val="auto"/>
                <w:highlight w:val="none"/>
                <w:lang w:val="en-US" w:eastAsia="zh-CN"/>
              </w:rPr>
              <w:t>1</w:t>
            </w:r>
            <w:r>
              <w:rPr>
                <w:rFonts w:hint="eastAsia"/>
                <w:color w:val="auto"/>
                <w:highlight w:val="none"/>
              </w:rPr>
              <w:t>分，最多得</w:t>
            </w:r>
            <w:r>
              <w:rPr>
                <w:rFonts w:hint="eastAsia"/>
                <w:color w:val="auto"/>
                <w:highlight w:val="none"/>
                <w:lang w:val="en-US" w:eastAsia="zh-CN"/>
              </w:rPr>
              <w:t>4</w:t>
            </w:r>
            <w:r>
              <w:rPr>
                <w:rFonts w:hint="eastAsia"/>
                <w:color w:val="auto"/>
                <w:highlight w:val="none"/>
              </w:rPr>
              <w:t>分；一人多证不累计计分。</w:t>
            </w:r>
          </w:p>
          <w:p>
            <w:pPr>
              <w:widowControl/>
              <w:snapToGrid w:val="0"/>
              <w:spacing w:beforeLines="0" w:afterLines="0" w:line="336" w:lineRule="auto"/>
              <w:jc w:val="left"/>
              <w:rPr>
                <w:rFonts w:hint="eastAsia"/>
                <w:color w:val="auto"/>
                <w:highlight w:val="none"/>
              </w:rPr>
            </w:pPr>
            <w:r>
              <w:rPr>
                <w:rFonts w:hint="eastAsia"/>
                <w:color w:val="auto"/>
                <w:highlight w:val="none"/>
              </w:rPr>
              <w:t>（3）上述人员配备中</w:t>
            </w:r>
            <w:r>
              <w:rPr>
                <w:rFonts w:hint="eastAsia"/>
                <w:color w:val="auto"/>
                <w:highlight w:val="none"/>
                <w:lang w:eastAsia="zh-CN"/>
              </w:rPr>
              <w:t>（</w:t>
            </w:r>
            <w:r>
              <w:rPr>
                <w:rFonts w:hint="eastAsia"/>
                <w:color w:val="auto"/>
                <w:highlight w:val="none"/>
                <w:lang w:val="en-US" w:eastAsia="zh-CN"/>
              </w:rPr>
              <w:t>含总监理工程师</w:t>
            </w:r>
            <w:r>
              <w:rPr>
                <w:rFonts w:hint="eastAsia"/>
                <w:color w:val="auto"/>
                <w:highlight w:val="none"/>
                <w:lang w:eastAsia="zh-CN"/>
              </w:rPr>
              <w:t>）</w:t>
            </w:r>
            <w:r>
              <w:rPr>
                <w:rFonts w:hint="eastAsia"/>
                <w:color w:val="auto"/>
                <w:highlight w:val="none"/>
              </w:rPr>
              <w:t>曾获国家级优秀总监理工程师或国家级优秀专业监理工程师的</w:t>
            </w:r>
            <w:r>
              <w:rPr>
                <w:rFonts w:hint="eastAsia"/>
                <w:color w:val="auto"/>
                <w:highlight w:val="none"/>
                <w:lang w:val="en-US" w:eastAsia="zh-CN"/>
              </w:rPr>
              <w:t>每人得</w:t>
            </w:r>
            <w:r>
              <w:rPr>
                <w:rFonts w:hint="eastAsia"/>
                <w:color w:val="auto"/>
                <w:highlight w:val="none"/>
              </w:rPr>
              <w:t>4分，最多得4分；曾获省级优秀总监理工程师或省级优秀专业监理工程师的</w:t>
            </w:r>
            <w:r>
              <w:rPr>
                <w:rFonts w:hint="eastAsia"/>
                <w:color w:val="auto"/>
                <w:highlight w:val="none"/>
                <w:lang w:val="en-US" w:eastAsia="zh-CN"/>
              </w:rPr>
              <w:t>每人得</w:t>
            </w:r>
            <w:r>
              <w:rPr>
                <w:rFonts w:hint="eastAsia"/>
                <w:color w:val="auto"/>
                <w:highlight w:val="none"/>
              </w:rPr>
              <w:t>2分，最多得2分。本项最多得6分。</w:t>
            </w:r>
          </w:p>
          <w:p>
            <w:pPr>
              <w:widowControl/>
              <w:snapToGrid w:val="0"/>
              <w:spacing w:beforeLines="0" w:afterLines="0" w:line="336" w:lineRule="auto"/>
              <w:jc w:val="left"/>
              <w:rPr>
                <w:rFonts w:hint="eastAsia"/>
                <w:color w:val="auto"/>
                <w:highlight w:val="none"/>
                <w:lang w:val="en-US" w:eastAsia="zh-CN"/>
              </w:rPr>
            </w:pPr>
            <w:r>
              <w:rPr>
                <w:rFonts w:hint="eastAsia"/>
                <w:color w:val="auto"/>
                <w:highlight w:val="none"/>
                <w:lang w:val="en-US" w:eastAsia="zh-CN"/>
              </w:rPr>
              <w:t>注：1.</w:t>
            </w:r>
            <w:r>
              <w:rPr>
                <w:rFonts w:hint="eastAsia"/>
                <w:color w:val="auto"/>
                <w:highlight w:val="none"/>
              </w:rPr>
              <w:t>总监及驻场监理机构其他主要人员资格、职称证书等方面内容必须提供相应的证明材料，优秀总监理工程师或优秀专业监理工程师须由</w:t>
            </w:r>
            <w:r>
              <w:rPr>
                <w:rFonts w:hint="eastAsia"/>
                <w:color w:val="auto"/>
                <w:highlight w:val="none"/>
                <w:lang w:val="en-US" w:eastAsia="zh-CN"/>
              </w:rPr>
              <w:t>省级或以上监理</w:t>
            </w:r>
            <w:r>
              <w:rPr>
                <w:rFonts w:hint="eastAsia"/>
                <w:color w:val="auto"/>
                <w:highlight w:val="none"/>
              </w:rPr>
              <w:t>协会颁发，否则不得分</w:t>
            </w:r>
            <w:r>
              <w:rPr>
                <w:rFonts w:hint="eastAsia"/>
                <w:color w:val="auto"/>
                <w:highlight w:val="none"/>
                <w:lang w:val="en-US" w:eastAsia="zh-CN"/>
              </w:rPr>
              <w:t>。</w:t>
            </w:r>
          </w:p>
          <w:p>
            <w:pPr>
              <w:widowControl/>
              <w:snapToGrid w:val="0"/>
              <w:spacing w:beforeLines="0" w:afterLines="0" w:line="336" w:lineRule="auto"/>
              <w:jc w:val="left"/>
              <w:rPr>
                <w:rFonts w:hint="default" w:eastAsia="宋体"/>
                <w:color w:val="auto"/>
                <w:highlight w:val="none"/>
                <w:lang w:val="en-US" w:eastAsia="zh-CN"/>
              </w:rPr>
            </w:pPr>
            <w:r>
              <w:rPr>
                <w:rFonts w:hint="eastAsia"/>
                <w:color w:val="auto"/>
                <w:highlight w:val="none"/>
                <w:lang w:val="en-US" w:eastAsia="zh-CN"/>
              </w:rPr>
              <w:t>2.</w:t>
            </w:r>
            <w:r>
              <w:rPr>
                <w:color w:val="auto"/>
                <w:highlight w:val="none"/>
              </w:rPr>
              <w:t>本表所述的总监理工程师及其他监理人员</w:t>
            </w:r>
            <w:r>
              <w:rPr>
                <w:color w:val="auto"/>
                <w:highlight w:val="none"/>
                <w:lang w:val="zh-CN"/>
              </w:rPr>
              <w:t>必须为投标单位人员，以提供的</w:t>
            </w:r>
            <w:r>
              <w:rPr>
                <w:rFonts w:hint="eastAsia" w:ascii="宋体" w:hAnsi="宋体"/>
                <w:b/>
                <w:bCs/>
                <w:color w:val="auto"/>
                <w:highlight w:val="none"/>
                <w:lang w:val="en-US" w:eastAsia="zh-CN"/>
              </w:rPr>
              <w:t>2022年5月至</w:t>
            </w:r>
            <w:r>
              <w:rPr>
                <w:rFonts w:hint="eastAsia" w:ascii="宋体" w:hAnsi="宋体"/>
                <w:b/>
                <w:bCs/>
                <w:color w:val="auto"/>
                <w:highlight w:val="none"/>
                <w:lang w:val="zh-CN"/>
              </w:rPr>
              <w:t>202</w:t>
            </w:r>
            <w:r>
              <w:rPr>
                <w:rFonts w:hint="eastAsia" w:ascii="宋体" w:hAnsi="宋体"/>
                <w:b/>
                <w:bCs/>
                <w:color w:val="auto"/>
                <w:highlight w:val="none"/>
              </w:rPr>
              <w:t>2</w:t>
            </w:r>
            <w:r>
              <w:rPr>
                <w:rFonts w:hint="eastAsia" w:ascii="宋体" w:hAnsi="宋体"/>
                <w:b/>
                <w:bCs/>
                <w:color w:val="auto"/>
                <w:highlight w:val="none"/>
                <w:lang w:val="zh-CN"/>
              </w:rPr>
              <w:t>年</w:t>
            </w:r>
            <w:r>
              <w:rPr>
                <w:rFonts w:hint="eastAsia" w:ascii="宋体" w:hAnsi="宋体"/>
                <w:b/>
                <w:bCs/>
                <w:color w:val="auto"/>
                <w:highlight w:val="none"/>
                <w:lang w:val="en-US" w:eastAsia="zh-CN"/>
              </w:rPr>
              <w:t>10</w:t>
            </w:r>
            <w:r>
              <w:rPr>
                <w:rFonts w:hint="eastAsia" w:ascii="宋体" w:hAnsi="宋体"/>
                <w:b/>
                <w:bCs/>
                <w:color w:val="auto"/>
                <w:highlight w:val="none"/>
                <w:lang w:val="zh-CN"/>
              </w:rPr>
              <w:t>月</w:t>
            </w:r>
            <w:r>
              <w:rPr>
                <w:color w:val="auto"/>
                <w:highlight w:val="none"/>
                <w:lang w:val="zh-CN"/>
              </w:rPr>
              <w:t>社保证明为准。</w:t>
            </w:r>
            <w:r>
              <w:rPr>
                <w:color w:val="auto"/>
                <w:highlight w:val="none"/>
              </w:rPr>
              <w:t>本项目社保缴纳期限包含疫情期，若当地政府部门允许企业在疫情期间缓缴社会保险费且投标人未缴纳的，投标人可提供当地政府部门允许缓缴社保的相关文件作为缴纳社保的证明。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583" w:type="dxa"/>
            <w:vMerge w:val="continue"/>
          </w:tcPr>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tc>
        <w:tc>
          <w:tcPr>
            <w:tcW w:w="1395" w:type="dxa"/>
            <w:gridSpan w:val="2"/>
            <w:vMerge w:val="continue"/>
          </w:tcPr>
          <w:p>
            <w:pPr>
              <w:pStyle w:val="31"/>
              <w:kinsoku w:val="0"/>
              <w:overflowPunct w:val="0"/>
              <w:snapToGrid w:val="0"/>
              <w:spacing w:beforeLines="0" w:afterLines="0" w:line="336" w:lineRule="auto"/>
              <w:ind w:left="-115" w:leftChars="-55" w:right="-122" w:rightChars="-58"/>
              <w:jc w:val="center"/>
              <w:rPr>
                <w:rFonts w:hint="default"/>
                <w:color w:val="auto"/>
                <w:highlight w:val="none"/>
              </w:rPr>
            </w:pPr>
          </w:p>
        </w:tc>
        <w:tc>
          <w:tcPr>
            <w:tcW w:w="2132" w:type="dxa"/>
            <w:gridSpan w:val="2"/>
            <w:vAlign w:val="center"/>
          </w:tcPr>
          <w:p>
            <w:pPr>
              <w:widowControl/>
              <w:snapToGrid w:val="0"/>
              <w:spacing w:beforeLines="0" w:afterLines="0" w:line="336" w:lineRule="auto"/>
              <w:jc w:val="center"/>
              <w:rPr>
                <w:rFonts w:ascii="宋体" w:hAnsi="宋体"/>
                <w:color w:val="auto"/>
                <w:spacing w:val="-3"/>
                <w:highlight w:val="none"/>
              </w:rPr>
            </w:pPr>
            <w:r>
              <w:rPr>
                <w:rFonts w:hint="eastAsia" w:ascii="宋体" w:hAnsi="宋体"/>
                <w:color w:val="auto"/>
                <w:spacing w:val="-3"/>
                <w:highlight w:val="none"/>
              </w:rPr>
              <w:t>管理体系认证</w:t>
            </w:r>
          </w:p>
          <w:p>
            <w:pPr>
              <w:widowControl/>
              <w:snapToGrid w:val="0"/>
              <w:spacing w:beforeLines="0" w:afterLines="0" w:line="336" w:lineRule="auto"/>
              <w:jc w:val="center"/>
              <w:rPr>
                <w:rFonts w:ascii="宋体" w:hAnsi="宋体"/>
                <w:color w:val="auto"/>
                <w:szCs w:val="21"/>
                <w:highlight w:val="none"/>
              </w:rPr>
            </w:pPr>
            <w:r>
              <w:rPr>
                <w:rFonts w:hint="eastAsia" w:ascii="宋体" w:hAnsi="宋体"/>
                <w:color w:val="auto"/>
                <w:spacing w:val="-3"/>
                <w:highlight w:val="none"/>
              </w:rPr>
              <w:t>（</w:t>
            </w:r>
            <w:r>
              <w:rPr>
                <w:rFonts w:hint="eastAsia" w:ascii="宋体" w:hAnsi="宋体"/>
                <w:color w:val="auto"/>
                <w:spacing w:val="-3"/>
                <w:highlight w:val="none"/>
                <w:lang w:val="en-US" w:eastAsia="zh-CN"/>
              </w:rPr>
              <w:t>6</w:t>
            </w:r>
            <w:r>
              <w:rPr>
                <w:rFonts w:hint="eastAsia" w:ascii="宋体" w:hAnsi="宋体"/>
                <w:color w:val="auto"/>
                <w:spacing w:val="-3"/>
                <w:highlight w:val="none"/>
              </w:rPr>
              <w:t>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同时获得质量管理体系认证证书、环境管理体系认证证书、职业健康安全管理体系认证证书、信息安全管理体系认证证书</w:t>
            </w:r>
            <w:r>
              <w:rPr>
                <w:rFonts w:hint="eastAsia" w:ascii="宋体" w:hAnsi="宋体"/>
                <w:color w:val="auto"/>
                <w:spacing w:val="-3"/>
                <w:highlight w:val="none"/>
                <w:lang w:eastAsia="zh-CN"/>
              </w:rPr>
              <w:t>、</w:t>
            </w:r>
            <w:r>
              <w:rPr>
                <w:rFonts w:hint="eastAsia" w:ascii="宋体" w:hAnsi="宋体"/>
                <w:color w:val="auto"/>
                <w:spacing w:val="-3"/>
                <w:highlight w:val="none"/>
                <w:lang w:val="en-US" w:eastAsia="zh-CN"/>
              </w:rPr>
              <w:t>诚信管理体系</w:t>
            </w:r>
            <w:r>
              <w:rPr>
                <w:rFonts w:hint="eastAsia" w:ascii="宋体" w:hAnsi="宋体"/>
                <w:color w:val="auto"/>
                <w:spacing w:val="-3"/>
                <w:highlight w:val="none"/>
              </w:rPr>
              <w:t>认证证书和知识产权管理体系认证证书且在有效期内的得</w:t>
            </w:r>
            <w:r>
              <w:rPr>
                <w:rFonts w:hint="eastAsia" w:ascii="宋体" w:hAnsi="宋体"/>
                <w:color w:val="auto"/>
                <w:spacing w:val="-3"/>
                <w:highlight w:val="none"/>
                <w:lang w:val="en-US" w:eastAsia="zh-CN"/>
              </w:rPr>
              <w:t>6</w:t>
            </w:r>
            <w:r>
              <w:rPr>
                <w:rFonts w:hint="eastAsia" w:ascii="宋体" w:hAnsi="宋体"/>
                <w:color w:val="auto"/>
                <w:spacing w:val="-3"/>
                <w:highlight w:val="none"/>
              </w:rPr>
              <w:t>分</w:t>
            </w:r>
            <w:r>
              <w:rPr>
                <w:rFonts w:hint="eastAsia" w:ascii="宋体" w:hAnsi="宋体" w:cs="宋体"/>
                <w:color w:val="auto"/>
                <w:szCs w:val="21"/>
                <w:highlight w:val="none"/>
              </w:rPr>
              <w:t>，具有其中</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个的得4分，具有其中</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分，具有其中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及以下</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83" w:type="dxa"/>
            <w:vMerge w:val="continue"/>
          </w:tcPr>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tc>
        <w:tc>
          <w:tcPr>
            <w:tcW w:w="1395" w:type="dxa"/>
            <w:gridSpan w:val="2"/>
            <w:vMerge w:val="continue"/>
          </w:tcPr>
          <w:p>
            <w:pPr>
              <w:pStyle w:val="31"/>
              <w:kinsoku w:val="0"/>
              <w:overflowPunct w:val="0"/>
              <w:snapToGrid w:val="0"/>
              <w:spacing w:beforeLines="0" w:afterLines="0" w:line="336" w:lineRule="auto"/>
              <w:ind w:left="-115" w:leftChars="-55" w:right="-122" w:rightChars="-58"/>
              <w:jc w:val="center"/>
              <w:rPr>
                <w:rFonts w:hint="default"/>
                <w:color w:val="auto"/>
                <w:highlight w:val="none"/>
              </w:rPr>
            </w:pPr>
          </w:p>
        </w:tc>
        <w:tc>
          <w:tcPr>
            <w:tcW w:w="2132" w:type="dxa"/>
            <w:gridSpan w:val="2"/>
            <w:vAlign w:val="center"/>
          </w:tcPr>
          <w:p>
            <w:pPr>
              <w:widowControl/>
              <w:snapToGrid w:val="0"/>
              <w:spacing w:beforeLines="0" w:afterLines="0" w:line="336" w:lineRule="auto"/>
              <w:jc w:val="center"/>
              <w:rPr>
                <w:rFonts w:hint="eastAsia" w:ascii="宋体" w:hAnsi="宋体"/>
                <w:color w:val="auto"/>
                <w:spacing w:val="-3"/>
                <w:highlight w:val="none"/>
                <w:lang w:val="en-US" w:eastAsia="zh-CN"/>
              </w:rPr>
            </w:pPr>
            <w:r>
              <w:rPr>
                <w:rFonts w:hint="eastAsia" w:ascii="宋体" w:hAnsi="宋体"/>
                <w:color w:val="auto"/>
                <w:spacing w:val="-3"/>
                <w:highlight w:val="none"/>
                <w:lang w:val="en-US" w:eastAsia="zh-CN"/>
              </w:rPr>
              <w:t>企业荣誉</w:t>
            </w:r>
          </w:p>
          <w:p>
            <w:pPr>
              <w:widowControl/>
              <w:snapToGrid w:val="0"/>
              <w:spacing w:beforeLines="0" w:afterLines="0" w:line="336" w:lineRule="auto"/>
              <w:jc w:val="center"/>
              <w:rPr>
                <w:rFonts w:ascii="宋体" w:hAnsi="宋体"/>
                <w:strike/>
                <w:color w:val="auto"/>
                <w:szCs w:val="21"/>
                <w:highlight w:val="none"/>
              </w:rPr>
            </w:pPr>
            <w:r>
              <w:rPr>
                <w:rFonts w:hint="eastAsia" w:ascii="宋体" w:hAnsi="宋体"/>
                <w:strike w:val="0"/>
                <w:color w:val="auto"/>
                <w:spacing w:val="-3"/>
                <w:highlight w:val="none"/>
              </w:rPr>
              <w:t>（</w:t>
            </w:r>
            <w:r>
              <w:rPr>
                <w:rFonts w:hint="eastAsia" w:ascii="宋体" w:hAnsi="宋体"/>
                <w:strike w:val="0"/>
                <w:color w:val="auto"/>
                <w:spacing w:val="-3"/>
                <w:highlight w:val="none"/>
                <w:lang w:val="en-US" w:eastAsia="zh-CN"/>
              </w:rPr>
              <w:t>6</w:t>
            </w:r>
            <w:r>
              <w:rPr>
                <w:rFonts w:hint="eastAsia" w:ascii="宋体" w:hAnsi="宋体"/>
                <w:strike w:val="0"/>
                <w:color w:val="auto"/>
                <w:spacing w:val="-3"/>
                <w:highlight w:val="none"/>
              </w:rPr>
              <w:t>分）</w:t>
            </w:r>
          </w:p>
        </w:tc>
        <w:tc>
          <w:tcPr>
            <w:tcW w:w="5252" w:type="dxa"/>
            <w:vAlign w:val="center"/>
          </w:tcPr>
          <w:p>
            <w:pPr>
              <w:widowControl/>
              <w:snapToGrid w:val="0"/>
              <w:spacing w:beforeLines="0" w:afterLines="0" w:line="33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至投标截止时间为止，被评为省级或以上先进企业的，每次得1分；</w:t>
            </w:r>
          </w:p>
          <w:p>
            <w:pPr>
              <w:widowControl/>
              <w:snapToGrid w:val="0"/>
              <w:spacing w:beforeLines="0" w:afterLines="0" w:line="33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至投标截止时间为止，被评为市级先进企业的，每次得0.5分；同一年度按最高级别荣誉得分，不同年度可累计得分，本项合计最多得6分。</w:t>
            </w:r>
          </w:p>
          <w:p>
            <w:pPr>
              <w:widowControl/>
              <w:snapToGrid w:val="0"/>
              <w:spacing w:beforeLines="0" w:afterLines="0" w:line="336" w:lineRule="auto"/>
              <w:jc w:val="left"/>
              <w:rPr>
                <w:rFonts w:ascii="宋体" w:hAnsi="宋体"/>
                <w:strike/>
                <w:color w:val="auto"/>
                <w:spacing w:val="-3"/>
                <w:highlight w:val="none"/>
              </w:rPr>
            </w:pPr>
            <w:r>
              <w:rPr>
                <w:rFonts w:hint="eastAsia" w:ascii="宋体" w:hAnsi="宋体" w:eastAsia="宋体" w:cs="宋体"/>
                <w:color w:val="auto"/>
                <w:szCs w:val="21"/>
                <w:highlight w:val="none"/>
                <w:lang w:val="en-US" w:eastAsia="zh-CN"/>
              </w:rPr>
              <w:t>注：</w:t>
            </w:r>
            <w:r>
              <w:rPr>
                <w:rFonts w:hint="default" w:ascii="Calibri" w:hAnsi="Calibri"/>
                <w:color w:val="auto"/>
                <w:szCs w:val="22"/>
                <w:highlight w:val="none"/>
              </w:rPr>
              <w:t>须提供获奖证书扫描件，</w:t>
            </w:r>
            <w:r>
              <w:rPr>
                <w:rFonts w:hint="eastAsia" w:ascii="宋体" w:hAnsi="宋体" w:eastAsia="宋体" w:cs="Times New Roman"/>
                <w:color w:val="auto"/>
                <w:spacing w:val="-3"/>
                <w:highlight w:val="none"/>
                <w:lang w:val="en-US" w:eastAsia="zh-CN"/>
              </w:rPr>
              <w:t>如发证机构为协会的，须提供该协会在全国社会组织信用信息公示平台（https://xxgs.chinanpo.mca.gov.cn/gsxt/newList）登记的网页查询截图，证明其有登记备案，否则不予得分。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vMerge w:val="continue"/>
          </w:tcPr>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tc>
        <w:tc>
          <w:tcPr>
            <w:tcW w:w="1395" w:type="dxa"/>
            <w:gridSpan w:val="2"/>
            <w:vMerge w:val="continue"/>
          </w:tcPr>
          <w:p>
            <w:pPr>
              <w:pStyle w:val="31"/>
              <w:kinsoku w:val="0"/>
              <w:overflowPunct w:val="0"/>
              <w:snapToGrid w:val="0"/>
              <w:spacing w:beforeLines="0" w:afterLines="0" w:line="336" w:lineRule="auto"/>
              <w:ind w:left="-115" w:leftChars="-55" w:right="-122" w:rightChars="-58"/>
              <w:jc w:val="center"/>
              <w:rPr>
                <w:rFonts w:hint="default"/>
                <w:color w:val="auto"/>
                <w:highlight w:val="none"/>
              </w:rPr>
            </w:pPr>
          </w:p>
        </w:tc>
        <w:tc>
          <w:tcPr>
            <w:tcW w:w="2132" w:type="dxa"/>
            <w:gridSpan w:val="2"/>
            <w:vAlign w:val="center"/>
          </w:tcPr>
          <w:p>
            <w:pPr>
              <w:widowControl/>
              <w:snapToGrid w:val="0"/>
              <w:spacing w:beforeLines="0" w:afterLines="0" w:line="336" w:lineRule="auto"/>
              <w:jc w:val="center"/>
              <w:rPr>
                <w:rFonts w:hint="eastAsia"/>
                <w:color w:val="auto"/>
                <w:highlight w:val="none"/>
                <w:lang w:val="en-US" w:eastAsia="zh-CN"/>
              </w:rPr>
            </w:pPr>
            <w:r>
              <w:rPr>
                <w:rFonts w:hint="eastAsia"/>
                <w:color w:val="auto"/>
                <w:highlight w:val="none"/>
                <w:lang w:val="en-US" w:eastAsia="zh-CN"/>
              </w:rPr>
              <w:t>企业信用等级</w:t>
            </w:r>
          </w:p>
          <w:p>
            <w:pPr>
              <w:widowControl/>
              <w:snapToGrid w:val="0"/>
              <w:spacing w:beforeLines="0" w:afterLines="0" w:line="336" w:lineRule="auto"/>
              <w:jc w:val="center"/>
              <w:rPr>
                <w:rFonts w:hint="eastAsia" w:ascii="宋体" w:hAnsi="宋体"/>
                <w:color w:val="auto"/>
                <w:spacing w:val="-3"/>
                <w:highlight w:val="none"/>
              </w:rPr>
            </w:pPr>
            <w:r>
              <w:rPr>
                <w:rFonts w:hint="eastAsia" w:ascii="宋体" w:hAnsi="宋体" w:eastAsia="宋体" w:cs="Times New Roman"/>
                <w:color w:val="auto"/>
                <w:spacing w:val="-3"/>
                <w:highlight w:val="none"/>
                <w:lang w:val="en-US" w:eastAsia="zh-CN"/>
              </w:rPr>
              <w:t>（3分）</w:t>
            </w:r>
          </w:p>
        </w:tc>
        <w:tc>
          <w:tcPr>
            <w:tcW w:w="5252" w:type="dxa"/>
            <w:vAlign w:val="center"/>
          </w:tcPr>
          <w:p>
            <w:pPr>
              <w:keepNext w:val="0"/>
              <w:keepLines w:val="0"/>
              <w:pageBreakBefore w:val="0"/>
              <w:widowControl/>
              <w:kinsoku/>
              <w:wordWrap/>
              <w:overflowPunct/>
              <w:topLinePunct w:val="0"/>
              <w:autoSpaceDE/>
              <w:autoSpaceDN/>
              <w:bidi w:val="0"/>
              <w:adjustRightInd/>
              <w:snapToGrid w:val="0"/>
              <w:spacing w:beforeLines="0" w:afterLines="0" w:line="336" w:lineRule="auto"/>
              <w:jc w:val="left"/>
              <w:textAlignment w:val="auto"/>
              <w:rPr>
                <w:rFonts w:hint="eastAsia" w:ascii="宋体" w:hAnsi="宋体" w:eastAsia="宋体" w:cs="Times New Roman"/>
                <w:color w:val="auto"/>
                <w:spacing w:val="-3"/>
                <w:highlight w:val="none"/>
                <w:lang w:val="en-US" w:eastAsia="zh-CN"/>
              </w:rPr>
            </w:pPr>
            <w:r>
              <w:rPr>
                <w:rFonts w:hint="eastAsia" w:ascii="宋体" w:hAnsi="宋体" w:eastAsia="宋体" w:cs="Times New Roman"/>
                <w:color w:val="auto"/>
                <w:spacing w:val="-3"/>
                <w:highlight w:val="none"/>
                <w:lang w:val="en-US" w:eastAsia="zh-CN"/>
              </w:rPr>
              <w:t>投标人2019年1月1日至今获得</w:t>
            </w:r>
            <w:r>
              <w:rPr>
                <w:rFonts w:hint="eastAsia" w:ascii="宋体" w:hAnsi="宋体" w:cs="Times New Roman"/>
                <w:color w:val="auto"/>
                <w:spacing w:val="-3"/>
                <w:highlight w:val="none"/>
                <w:lang w:val="en-US" w:eastAsia="zh-CN"/>
              </w:rPr>
              <w:t>过</w:t>
            </w:r>
            <w:r>
              <w:rPr>
                <w:rFonts w:hint="eastAsia" w:ascii="宋体" w:hAnsi="宋体" w:eastAsia="宋体" w:cs="Times New Roman"/>
                <w:color w:val="auto"/>
                <w:spacing w:val="-3"/>
                <w:highlight w:val="none"/>
                <w:lang w:val="en-US" w:eastAsia="zh-CN"/>
              </w:rPr>
              <w:t>国家级行业协会颁发的企业信用等级“AAA”级证书的得3分</w:t>
            </w:r>
            <w:r>
              <w:rPr>
                <w:rFonts w:hint="eastAsia" w:ascii="宋体" w:hAnsi="宋体" w:cs="Times New Roman"/>
                <w:color w:val="auto"/>
                <w:spacing w:val="-3"/>
                <w:highlight w:val="none"/>
                <w:lang w:val="en-US" w:eastAsia="zh-CN"/>
              </w:rPr>
              <w:t>；</w:t>
            </w:r>
            <w:r>
              <w:rPr>
                <w:rFonts w:hint="eastAsia" w:ascii="宋体" w:hAnsi="宋体" w:eastAsia="宋体" w:cs="Times New Roman"/>
                <w:color w:val="auto"/>
                <w:spacing w:val="-3"/>
                <w:highlight w:val="none"/>
                <w:lang w:val="en-US" w:eastAsia="zh-CN"/>
              </w:rPr>
              <w:t>企业信用等级“AA”级证书的得</w:t>
            </w:r>
            <w:r>
              <w:rPr>
                <w:rFonts w:hint="eastAsia" w:ascii="宋体" w:hAnsi="宋体" w:cs="Times New Roman"/>
                <w:color w:val="auto"/>
                <w:spacing w:val="-3"/>
                <w:highlight w:val="none"/>
                <w:lang w:val="en-US" w:eastAsia="zh-CN"/>
              </w:rPr>
              <w:t>2</w:t>
            </w:r>
            <w:r>
              <w:rPr>
                <w:rFonts w:hint="eastAsia" w:ascii="宋体" w:hAnsi="宋体" w:eastAsia="宋体" w:cs="Times New Roman"/>
                <w:color w:val="auto"/>
                <w:spacing w:val="-3"/>
                <w:highlight w:val="none"/>
                <w:lang w:val="en-US" w:eastAsia="zh-CN"/>
              </w:rPr>
              <w:t>分</w:t>
            </w:r>
            <w:r>
              <w:rPr>
                <w:rFonts w:hint="eastAsia" w:ascii="宋体" w:hAnsi="宋体" w:cs="Times New Roman"/>
                <w:color w:val="auto"/>
                <w:spacing w:val="-3"/>
                <w:highlight w:val="none"/>
                <w:lang w:val="en-US" w:eastAsia="zh-CN"/>
              </w:rPr>
              <w:t>；</w:t>
            </w:r>
            <w:r>
              <w:rPr>
                <w:rFonts w:hint="eastAsia" w:ascii="宋体" w:hAnsi="宋体" w:eastAsia="宋体" w:cs="Times New Roman"/>
                <w:color w:val="auto"/>
                <w:spacing w:val="-3"/>
                <w:highlight w:val="none"/>
                <w:lang w:val="en-US" w:eastAsia="zh-CN"/>
              </w:rPr>
              <w:t>企业信用等级“A”级证书的得</w:t>
            </w:r>
            <w:r>
              <w:rPr>
                <w:rFonts w:hint="eastAsia" w:ascii="宋体" w:hAnsi="宋体" w:cs="Times New Roman"/>
                <w:color w:val="auto"/>
                <w:spacing w:val="-3"/>
                <w:highlight w:val="none"/>
                <w:lang w:val="en-US" w:eastAsia="zh-CN"/>
              </w:rPr>
              <w:t>1</w:t>
            </w:r>
            <w:r>
              <w:rPr>
                <w:rFonts w:hint="eastAsia" w:ascii="宋体" w:hAnsi="宋体" w:eastAsia="宋体" w:cs="Times New Roman"/>
                <w:color w:val="auto"/>
                <w:spacing w:val="-3"/>
                <w:highlight w:val="none"/>
                <w:lang w:val="en-US" w:eastAsia="zh-CN"/>
              </w:rPr>
              <w:t>分</w:t>
            </w:r>
            <w:r>
              <w:rPr>
                <w:rFonts w:hint="eastAsia" w:ascii="宋体" w:hAnsi="宋体" w:cs="Times New Roman"/>
                <w:color w:val="auto"/>
                <w:spacing w:val="-3"/>
                <w:highlight w:val="none"/>
                <w:lang w:val="en-US" w:eastAsia="zh-CN"/>
              </w:rPr>
              <w:t>；</w:t>
            </w:r>
            <w:r>
              <w:rPr>
                <w:rFonts w:hint="eastAsia" w:ascii="宋体" w:hAnsi="宋体" w:eastAsia="宋体" w:cs="Times New Roman"/>
                <w:color w:val="auto"/>
                <w:spacing w:val="-3"/>
                <w:highlight w:val="none"/>
                <w:lang w:val="en-US" w:eastAsia="zh-CN"/>
              </w:rPr>
              <w:t>没有不得分。</w:t>
            </w:r>
          </w:p>
          <w:p>
            <w:pPr>
              <w:keepNext w:val="0"/>
              <w:keepLines w:val="0"/>
              <w:pageBreakBefore w:val="0"/>
              <w:widowControl/>
              <w:kinsoku/>
              <w:wordWrap/>
              <w:overflowPunct/>
              <w:topLinePunct w:val="0"/>
              <w:autoSpaceDE/>
              <w:autoSpaceDN/>
              <w:bidi w:val="0"/>
              <w:adjustRightInd/>
              <w:snapToGrid w:val="0"/>
              <w:spacing w:beforeLines="0" w:afterLines="0" w:line="336" w:lineRule="auto"/>
              <w:jc w:val="left"/>
              <w:textAlignment w:val="auto"/>
              <w:rPr>
                <w:rFonts w:hint="eastAsia" w:ascii="宋体" w:hAnsi="宋体" w:eastAsia="宋体" w:cs="Times New Roman"/>
                <w:color w:val="auto"/>
                <w:spacing w:val="-3"/>
                <w:highlight w:val="none"/>
                <w:lang w:val="en-US" w:eastAsia="zh-CN"/>
              </w:rPr>
            </w:pPr>
            <w:r>
              <w:rPr>
                <w:rFonts w:hint="eastAsia" w:ascii="宋体" w:hAnsi="宋体" w:eastAsia="宋体" w:cs="Times New Roman"/>
                <w:color w:val="auto"/>
                <w:spacing w:val="-3"/>
                <w:highlight w:val="none"/>
                <w:lang w:val="en-US" w:eastAsia="zh-CN"/>
              </w:rPr>
              <w:t>注：</w:t>
            </w:r>
            <w:r>
              <w:rPr>
                <w:rFonts w:hint="default" w:ascii="Calibri" w:hAnsi="Calibri"/>
                <w:color w:val="auto"/>
                <w:szCs w:val="22"/>
                <w:highlight w:val="none"/>
              </w:rPr>
              <w:t>须提供获奖证书扫描件，</w:t>
            </w:r>
            <w:r>
              <w:rPr>
                <w:rFonts w:hint="eastAsia" w:ascii="宋体" w:hAnsi="宋体" w:eastAsia="宋体" w:cs="Times New Roman"/>
                <w:color w:val="auto"/>
                <w:spacing w:val="-3"/>
                <w:highlight w:val="none"/>
                <w:lang w:val="en-US" w:eastAsia="zh-CN"/>
              </w:rPr>
              <w:t>如发证机构为协会的，须提供该协会在全国社会组织信用信息公示平台（https://xxgs.chinanpo.mca.gov.cn/gsxt/newList）登记的网页查询截图，证明其有登记备案，否则不予得分。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vMerge w:val="continue"/>
          </w:tcPr>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tc>
        <w:tc>
          <w:tcPr>
            <w:tcW w:w="1395" w:type="dxa"/>
            <w:gridSpan w:val="2"/>
            <w:vMerge w:val="continue"/>
          </w:tcPr>
          <w:p>
            <w:pPr>
              <w:pStyle w:val="31"/>
              <w:kinsoku w:val="0"/>
              <w:overflowPunct w:val="0"/>
              <w:snapToGrid w:val="0"/>
              <w:spacing w:beforeLines="0" w:afterLines="0" w:line="336" w:lineRule="auto"/>
              <w:ind w:left="-115" w:leftChars="-55" w:right="-122" w:rightChars="-58"/>
              <w:jc w:val="center"/>
              <w:rPr>
                <w:rFonts w:hint="default"/>
                <w:color w:val="auto"/>
                <w:highlight w:val="none"/>
              </w:rPr>
            </w:pPr>
          </w:p>
        </w:tc>
        <w:tc>
          <w:tcPr>
            <w:tcW w:w="2132" w:type="dxa"/>
            <w:gridSpan w:val="2"/>
            <w:vAlign w:val="center"/>
          </w:tcPr>
          <w:p>
            <w:pPr>
              <w:widowControl/>
              <w:snapToGrid w:val="0"/>
              <w:spacing w:beforeLines="0" w:afterLines="0" w:line="336" w:lineRule="auto"/>
              <w:jc w:val="center"/>
              <w:rPr>
                <w:rFonts w:hint="eastAsia" w:ascii="宋体" w:hAnsi="宋体"/>
                <w:color w:val="auto"/>
                <w:spacing w:val="-3"/>
                <w:highlight w:val="none"/>
              </w:rPr>
            </w:pPr>
            <w:r>
              <w:rPr>
                <w:rFonts w:hint="eastAsia" w:ascii="宋体" w:hAnsi="宋体"/>
                <w:color w:val="auto"/>
                <w:spacing w:val="-3"/>
                <w:highlight w:val="none"/>
              </w:rPr>
              <w:t>A级纳税人称号</w:t>
            </w:r>
          </w:p>
          <w:p>
            <w:pPr>
              <w:widowControl/>
              <w:snapToGrid w:val="0"/>
              <w:spacing w:beforeLines="0" w:afterLines="0" w:line="336" w:lineRule="auto"/>
              <w:jc w:val="center"/>
              <w:rPr>
                <w:rFonts w:ascii="宋体" w:hAnsi="宋体"/>
                <w:color w:val="auto"/>
                <w:szCs w:val="21"/>
                <w:highlight w:val="none"/>
              </w:rPr>
            </w:pPr>
            <w:r>
              <w:rPr>
                <w:rFonts w:hint="eastAsia" w:ascii="宋体" w:hAnsi="宋体"/>
                <w:color w:val="auto"/>
                <w:spacing w:val="-3"/>
                <w:highlight w:val="none"/>
              </w:rPr>
              <w:t>（</w:t>
            </w:r>
            <w:r>
              <w:rPr>
                <w:rFonts w:hint="eastAsia" w:ascii="宋体" w:hAnsi="宋体"/>
                <w:color w:val="auto"/>
                <w:spacing w:val="-3"/>
                <w:highlight w:val="none"/>
                <w:lang w:val="en-US" w:eastAsia="zh-CN"/>
              </w:rPr>
              <w:t>3</w:t>
            </w:r>
            <w:r>
              <w:rPr>
                <w:rFonts w:hint="eastAsia" w:ascii="宋体" w:hAnsi="宋体"/>
                <w:color w:val="auto"/>
                <w:spacing w:val="-3"/>
                <w:highlight w:val="none"/>
              </w:rPr>
              <w:t>分）</w:t>
            </w:r>
          </w:p>
        </w:tc>
        <w:tc>
          <w:tcPr>
            <w:tcW w:w="5252" w:type="dxa"/>
            <w:vAlign w:val="center"/>
          </w:tcPr>
          <w:p>
            <w:pPr>
              <w:widowControl/>
              <w:snapToGrid w:val="0"/>
              <w:spacing w:beforeLines="0" w:afterLines="0" w:line="336" w:lineRule="auto"/>
              <w:jc w:val="left"/>
              <w:rPr>
                <w:rFonts w:hint="eastAsia" w:ascii="宋体" w:hAnsi="宋体"/>
                <w:color w:val="auto"/>
                <w:spacing w:val="-3"/>
                <w:highlight w:val="none"/>
              </w:rPr>
            </w:pPr>
            <w:r>
              <w:rPr>
                <w:rFonts w:hint="eastAsia" w:ascii="宋体" w:hAnsi="宋体"/>
                <w:color w:val="auto"/>
                <w:spacing w:val="-3"/>
                <w:highlight w:val="none"/>
              </w:rPr>
              <w:t>企业近三年</w:t>
            </w:r>
            <w:r>
              <w:rPr>
                <w:rFonts w:hint="eastAsia" w:ascii="宋体" w:hAnsi="宋体"/>
                <w:color w:val="auto"/>
                <w:spacing w:val="-3"/>
                <w:highlight w:val="none"/>
                <w:lang w:eastAsia="zh-CN"/>
              </w:rPr>
              <w:t>（</w:t>
            </w:r>
            <w:r>
              <w:rPr>
                <w:rFonts w:hint="eastAsia" w:ascii="宋体" w:hAnsi="宋体"/>
                <w:color w:val="auto"/>
                <w:spacing w:val="-3"/>
                <w:highlight w:val="none"/>
                <w:lang w:val="en-US" w:eastAsia="zh-CN"/>
              </w:rPr>
              <w:t>指2019、2020、2021年</w:t>
            </w:r>
            <w:r>
              <w:rPr>
                <w:rFonts w:hint="eastAsia" w:ascii="宋体" w:hAnsi="宋体"/>
                <w:color w:val="auto"/>
                <w:spacing w:val="-3"/>
                <w:highlight w:val="none"/>
                <w:lang w:eastAsia="zh-CN"/>
              </w:rPr>
              <w:t>）</w:t>
            </w:r>
            <w:r>
              <w:rPr>
                <w:rFonts w:hint="eastAsia" w:ascii="宋体" w:hAnsi="宋体"/>
                <w:color w:val="auto"/>
                <w:spacing w:val="-3"/>
                <w:highlight w:val="none"/>
              </w:rPr>
              <w:t>连续获得纳税信用等级A级纳税人荣誉的得3分。</w:t>
            </w:r>
          </w:p>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lang w:val="en-US" w:eastAsia="zh-CN"/>
              </w:rPr>
              <w:t>注：</w:t>
            </w:r>
            <w:r>
              <w:rPr>
                <w:rFonts w:hint="eastAsia" w:ascii="宋体" w:hAnsi="宋体" w:eastAsia="宋体" w:cs="Times New Roman"/>
                <w:color w:val="auto"/>
                <w:spacing w:val="-3"/>
                <w:highlight w:val="none"/>
                <w:lang w:val="en-US"/>
              </w:rPr>
              <w:t>A</w:t>
            </w:r>
            <w:r>
              <w:rPr>
                <w:rFonts w:hint="eastAsia" w:ascii="宋体" w:hAnsi="宋体" w:eastAsia="宋体" w:cs="Times New Roman"/>
                <w:color w:val="auto"/>
                <w:spacing w:val="-3"/>
                <w:highlight w:val="none"/>
              </w:rPr>
              <w:t>级纳税人称号情况以省级或以上税务局官网查询的相关截图为准，纳税人等级只计算投标人自身（不计算投标人的分公司和子公司）。投标人须提供在上述官网的查询结果网页扫描件（不符合条件或无提交上述打印件的不计分）。时间以省级或以上税务局官网公布的获奖年度（评价年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vMerge w:val="restart"/>
            <w:vAlign w:val="center"/>
          </w:tcPr>
          <w:p>
            <w:pPr>
              <w:pStyle w:val="31"/>
              <w:kinsoku w:val="0"/>
              <w:overflowPunct w:val="0"/>
              <w:snapToGrid w:val="0"/>
              <w:spacing w:beforeLines="0" w:afterLines="0" w:line="336" w:lineRule="auto"/>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w:t>
            </w:r>
          </w:p>
          <w:p>
            <w:pPr>
              <w:pStyle w:val="31"/>
              <w:kinsoku w:val="0"/>
              <w:overflowPunct w:val="0"/>
              <w:snapToGrid w:val="0"/>
              <w:spacing w:beforeLines="0" w:afterLines="0" w:line="336" w:lineRule="auto"/>
              <w:ind w:left="-63" w:leftChars="-30" w:right="-111" w:rightChars="-53" w:firstLine="62" w:firstLineChars="30"/>
              <w:jc w:val="center"/>
              <w:rPr>
                <w:rFonts w:hint="default"/>
                <w:color w:val="auto"/>
                <w:highlight w:val="none"/>
              </w:rPr>
            </w:pPr>
            <w:r>
              <w:rPr>
                <w:rFonts w:ascii="宋体" w:hAnsi="宋体"/>
                <w:color w:val="auto"/>
                <w:spacing w:val="-1"/>
                <w:highlight w:val="none"/>
              </w:rPr>
              <w:t>（</w:t>
            </w:r>
            <w:r>
              <w:rPr>
                <w:rFonts w:eastAsia="Times New Roman"/>
                <w:color w:val="auto"/>
                <w:highlight w:val="none"/>
              </w:rPr>
              <w:t>2</w:t>
            </w:r>
            <w:r>
              <w:rPr>
                <w:rFonts w:ascii="宋体" w:hAnsi="宋体"/>
                <w:color w:val="auto"/>
                <w:highlight w:val="none"/>
              </w:rPr>
              <w:t>）</w:t>
            </w:r>
          </w:p>
        </w:tc>
        <w:tc>
          <w:tcPr>
            <w:tcW w:w="1395" w:type="dxa"/>
            <w:gridSpan w:val="2"/>
            <w:vMerge w:val="restart"/>
            <w:vAlign w:val="center"/>
          </w:tcPr>
          <w:p>
            <w:pPr>
              <w:snapToGrid w:val="0"/>
              <w:spacing w:beforeLines="0" w:afterLines="0" w:line="336" w:lineRule="auto"/>
              <w:ind w:left="315" w:hanging="315" w:hangingChars="150"/>
              <w:jc w:val="center"/>
              <w:rPr>
                <w:rFonts w:ascii="宋体" w:hAnsi="Courier New"/>
                <w:color w:val="auto"/>
                <w:szCs w:val="21"/>
                <w:highlight w:val="none"/>
              </w:rPr>
            </w:pPr>
            <w:r>
              <w:rPr>
                <w:rFonts w:hint="eastAsia" w:ascii="宋体" w:hAnsi="宋体"/>
                <w:color w:val="auto"/>
                <w:highlight w:val="none"/>
              </w:rPr>
              <w:t>监理</w:t>
            </w:r>
            <w:r>
              <w:rPr>
                <w:rFonts w:hint="eastAsia" w:ascii="宋体" w:hAnsi="Courier New"/>
                <w:color w:val="auto"/>
                <w:szCs w:val="21"/>
                <w:highlight w:val="none"/>
              </w:rPr>
              <w:t>大纲</w:t>
            </w:r>
          </w:p>
          <w:p>
            <w:pPr>
              <w:snapToGrid w:val="0"/>
              <w:spacing w:beforeLines="0" w:afterLines="0" w:line="336" w:lineRule="auto"/>
              <w:ind w:left="315" w:hanging="315" w:hangingChars="150"/>
              <w:jc w:val="center"/>
              <w:rPr>
                <w:rFonts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pPr>
              <w:pStyle w:val="31"/>
              <w:kinsoku w:val="0"/>
              <w:overflowPunct w:val="0"/>
              <w:snapToGrid w:val="0"/>
              <w:spacing w:beforeLines="0" w:afterLines="0" w:line="336" w:lineRule="auto"/>
              <w:ind w:left="-115" w:leftChars="-55" w:right="-122" w:rightChars="-58"/>
              <w:jc w:val="center"/>
              <w:rPr>
                <w:rFonts w:hint="default" w:ascii="宋体" w:hAnsi="宋体"/>
                <w:color w:val="auto"/>
                <w:highlight w:val="none"/>
              </w:rPr>
            </w:pPr>
            <w:r>
              <w:rPr>
                <w:rFonts w:ascii="宋体" w:hAnsi="宋体"/>
                <w:color w:val="auto"/>
                <w:highlight w:val="none"/>
              </w:rPr>
              <w:t>（</w:t>
            </w:r>
            <w:r>
              <w:rPr>
                <w:rFonts w:ascii="宋体" w:hAnsi="Courier New"/>
                <w:color w:val="auto"/>
                <w:szCs w:val="21"/>
                <w:highlight w:val="none"/>
              </w:rPr>
              <w:t>35</w:t>
            </w:r>
            <w:r>
              <w:rPr>
                <w:rFonts w:ascii="宋体" w:hAnsi="宋体"/>
                <w:color w:val="auto"/>
                <w:highlight w:val="none"/>
              </w:rPr>
              <w:t>分）</w:t>
            </w:r>
          </w:p>
        </w:tc>
        <w:tc>
          <w:tcPr>
            <w:tcW w:w="2132" w:type="dxa"/>
            <w:gridSpan w:val="2"/>
            <w:vAlign w:val="center"/>
          </w:tcPr>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投资控制方案（4分）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要求目标明确、方法合理可行、措施具体、针对性强。方案为优得4分；</w:t>
            </w:r>
            <w:r>
              <w:rPr>
                <w:rFonts w:hint="eastAsia" w:ascii="宋体" w:hAnsi="宋体"/>
                <w:color w:val="auto"/>
                <w:spacing w:val="-3"/>
                <w:highlight w:val="none"/>
                <w:lang w:val="en-US" w:eastAsia="zh-CN"/>
              </w:rPr>
              <w:t>一般</w:t>
            </w:r>
            <w:r>
              <w:rPr>
                <w:rFonts w:hint="eastAsia" w:ascii="宋体" w:hAnsi="宋体"/>
                <w:color w:val="auto"/>
                <w:spacing w:val="-3"/>
                <w:highlight w:val="none"/>
              </w:rPr>
              <w:t>得3分；无措施不得分。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vMerge w:val="continue"/>
            <w:vAlign w:val="center"/>
          </w:tcPr>
          <w:p>
            <w:pPr>
              <w:pStyle w:val="31"/>
              <w:kinsoku w:val="0"/>
              <w:overflowPunct w:val="0"/>
              <w:snapToGrid w:val="0"/>
              <w:spacing w:beforeLines="0" w:afterLines="0" w:line="336" w:lineRule="auto"/>
              <w:ind w:left="-63" w:leftChars="-30" w:right="-111" w:rightChars="-53" w:firstLine="62" w:firstLineChars="30"/>
              <w:jc w:val="center"/>
              <w:rPr>
                <w:rFonts w:hint="default" w:ascii="宋体" w:hAnsi="宋体"/>
                <w:color w:val="auto"/>
                <w:spacing w:val="-1"/>
                <w:highlight w:val="none"/>
              </w:rPr>
            </w:pPr>
          </w:p>
        </w:tc>
        <w:tc>
          <w:tcPr>
            <w:tcW w:w="1395" w:type="dxa"/>
            <w:gridSpan w:val="2"/>
            <w:vMerge w:val="continue"/>
            <w:vAlign w:val="center"/>
          </w:tcPr>
          <w:p>
            <w:pPr>
              <w:pStyle w:val="31"/>
              <w:kinsoku w:val="0"/>
              <w:overflowPunct w:val="0"/>
              <w:snapToGrid w:val="0"/>
              <w:spacing w:beforeLines="0" w:afterLines="0" w:line="336" w:lineRule="auto"/>
              <w:ind w:left="-115" w:leftChars="-55" w:right="-122" w:rightChars="-58"/>
              <w:jc w:val="center"/>
              <w:rPr>
                <w:rFonts w:hint="default" w:ascii="宋体" w:hAnsi="宋体"/>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进度控制方案（4分）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要求目标明确、方法合理可行、措施具体、针对性强。方案为优得4分；</w:t>
            </w:r>
            <w:r>
              <w:rPr>
                <w:rFonts w:hint="eastAsia" w:ascii="宋体" w:hAnsi="宋体"/>
                <w:color w:val="auto"/>
                <w:spacing w:val="-3"/>
                <w:highlight w:val="none"/>
                <w:lang w:val="en-US" w:eastAsia="zh-CN"/>
              </w:rPr>
              <w:t>一般</w:t>
            </w:r>
            <w:r>
              <w:rPr>
                <w:rFonts w:hint="eastAsia" w:ascii="宋体" w:hAnsi="宋体"/>
                <w:color w:val="auto"/>
                <w:spacing w:val="-3"/>
                <w:highlight w:val="none"/>
              </w:rPr>
              <w:t>得3分；无措施不得分。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vMerge w:val="continue"/>
            <w:vAlign w:val="center"/>
          </w:tcPr>
          <w:p>
            <w:pPr>
              <w:pStyle w:val="31"/>
              <w:kinsoku w:val="0"/>
              <w:overflowPunct w:val="0"/>
              <w:snapToGrid w:val="0"/>
              <w:spacing w:beforeLines="0" w:afterLines="0" w:line="336" w:lineRule="auto"/>
              <w:ind w:left="-63" w:leftChars="-30" w:right="-111" w:rightChars="-53" w:firstLine="62" w:firstLineChars="30"/>
              <w:jc w:val="center"/>
              <w:rPr>
                <w:rFonts w:hint="default" w:ascii="宋体" w:hAnsi="宋体"/>
                <w:color w:val="auto"/>
                <w:spacing w:val="-1"/>
                <w:highlight w:val="none"/>
              </w:rPr>
            </w:pPr>
          </w:p>
        </w:tc>
        <w:tc>
          <w:tcPr>
            <w:tcW w:w="1395" w:type="dxa"/>
            <w:gridSpan w:val="2"/>
            <w:vMerge w:val="continue"/>
            <w:vAlign w:val="center"/>
          </w:tcPr>
          <w:p>
            <w:pPr>
              <w:pStyle w:val="31"/>
              <w:kinsoku w:val="0"/>
              <w:overflowPunct w:val="0"/>
              <w:snapToGrid w:val="0"/>
              <w:spacing w:beforeLines="0" w:afterLines="0" w:line="336" w:lineRule="auto"/>
              <w:ind w:left="-115" w:leftChars="-55" w:right="-122" w:rightChars="-58"/>
              <w:jc w:val="center"/>
              <w:rPr>
                <w:rFonts w:hint="default" w:ascii="宋体" w:hAnsi="宋体"/>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质量控制方案（4分）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要求目标明确、方法合理可行、措施具体、针对性强。方案为优得4分；</w:t>
            </w:r>
            <w:r>
              <w:rPr>
                <w:rFonts w:hint="eastAsia" w:ascii="宋体" w:hAnsi="宋体"/>
                <w:color w:val="auto"/>
                <w:spacing w:val="-3"/>
                <w:highlight w:val="none"/>
                <w:lang w:val="en-US" w:eastAsia="zh-CN"/>
              </w:rPr>
              <w:t>一般</w:t>
            </w:r>
            <w:r>
              <w:rPr>
                <w:rFonts w:hint="eastAsia" w:ascii="宋体" w:hAnsi="宋体"/>
                <w:color w:val="auto"/>
                <w:spacing w:val="-3"/>
                <w:highlight w:val="none"/>
              </w:rPr>
              <w:t>得3分；无措施不得分。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vMerge w:val="continue"/>
            <w:vAlign w:val="center"/>
          </w:tcPr>
          <w:p>
            <w:pPr>
              <w:pStyle w:val="31"/>
              <w:kinsoku w:val="0"/>
              <w:overflowPunct w:val="0"/>
              <w:snapToGrid w:val="0"/>
              <w:spacing w:beforeLines="0" w:afterLines="0" w:line="336" w:lineRule="auto"/>
              <w:ind w:left="-63" w:leftChars="-30" w:right="-111" w:rightChars="-53" w:firstLine="62" w:firstLineChars="30"/>
              <w:jc w:val="center"/>
              <w:rPr>
                <w:rFonts w:hint="default" w:ascii="宋体" w:hAnsi="宋体"/>
                <w:color w:val="auto"/>
                <w:spacing w:val="-1"/>
                <w:highlight w:val="none"/>
              </w:rPr>
            </w:pPr>
          </w:p>
        </w:tc>
        <w:tc>
          <w:tcPr>
            <w:tcW w:w="1395" w:type="dxa"/>
            <w:gridSpan w:val="2"/>
            <w:vMerge w:val="continue"/>
            <w:vAlign w:val="center"/>
          </w:tcPr>
          <w:p>
            <w:pPr>
              <w:pStyle w:val="31"/>
              <w:kinsoku w:val="0"/>
              <w:overflowPunct w:val="0"/>
              <w:snapToGrid w:val="0"/>
              <w:spacing w:beforeLines="0" w:afterLines="0" w:line="336" w:lineRule="auto"/>
              <w:ind w:left="-115" w:leftChars="-55" w:right="-122" w:rightChars="-58"/>
              <w:jc w:val="center"/>
              <w:rPr>
                <w:rFonts w:hint="default" w:ascii="宋体" w:hAnsi="宋体"/>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合同管理、信息管理</w:t>
            </w:r>
          </w:p>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w:t>
            </w:r>
            <w:r>
              <w:rPr>
                <w:rFonts w:hint="eastAsia" w:ascii="宋体" w:hAnsi="宋体"/>
                <w:color w:val="auto"/>
                <w:spacing w:val="-3"/>
                <w:highlight w:val="none"/>
                <w:lang w:val="en-US" w:eastAsia="zh-CN"/>
              </w:rPr>
              <w:t>3</w:t>
            </w:r>
            <w:r>
              <w:rPr>
                <w:rFonts w:hint="eastAsia" w:ascii="宋体" w:hAnsi="宋体"/>
                <w:color w:val="auto"/>
                <w:spacing w:val="-3"/>
                <w:highlight w:val="none"/>
              </w:rPr>
              <w:t>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合同管理、信息管理方法、针对性强、措施具体。方案优得</w:t>
            </w:r>
            <w:r>
              <w:rPr>
                <w:rFonts w:hint="eastAsia" w:ascii="宋体" w:hAnsi="宋体"/>
                <w:color w:val="auto"/>
                <w:spacing w:val="-3"/>
                <w:highlight w:val="none"/>
                <w:lang w:val="en-US" w:eastAsia="zh-CN"/>
              </w:rPr>
              <w:t>3</w:t>
            </w:r>
            <w:r>
              <w:rPr>
                <w:rFonts w:hint="eastAsia" w:ascii="宋体" w:hAnsi="宋体"/>
                <w:color w:val="auto"/>
                <w:spacing w:val="-3"/>
                <w:highlight w:val="none"/>
              </w:rPr>
              <w:t>分；</w:t>
            </w:r>
            <w:r>
              <w:rPr>
                <w:rFonts w:hint="eastAsia" w:ascii="宋体" w:hAnsi="宋体"/>
                <w:color w:val="auto"/>
                <w:spacing w:val="-3"/>
                <w:highlight w:val="none"/>
                <w:lang w:val="en-US" w:eastAsia="zh-CN"/>
              </w:rPr>
              <w:t>一般</w:t>
            </w:r>
            <w:r>
              <w:rPr>
                <w:rFonts w:hint="eastAsia" w:ascii="宋体" w:hAnsi="宋体"/>
                <w:color w:val="auto"/>
                <w:spacing w:val="-3"/>
                <w:highlight w:val="none"/>
              </w:rPr>
              <w:t>得</w:t>
            </w:r>
            <w:r>
              <w:rPr>
                <w:rFonts w:hint="eastAsia" w:ascii="宋体" w:hAnsi="宋体"/>
                <w:color w:val="auto"/>
                <w:spacing w:val="-3"/>
                <w:highlight w:val="none"/>
                <w:lang w:val="en-US" w:eastAsia="zh-CN"/>
              </w:rPr>
              <w:t>2</w:t>
            </w:r>
            <w:r>
              <w:rPr>
                <w:rFonts w:hint="eastAsia" w:ascii="宋体" w:hAnsi="宋体"/>
                <w:color w:val="auto"/>
                <w:spacing w:val="-3"/>
                <w:highlight w:val="none"/>
              </w:rPr>
              <w:t>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83" w:type="dxa"/>
            <w:vMerge w:val="continue"/>
            <w:vAlign w:val="center"/>
          </w:tcPr>
          <w:p>
            <w:pPr>
              <w:pStyle w:val="31"/>
              <w:kinsoku w:val="0"/>
              <w:overflowPunct w:val="0"/>
              <w:snapToGrid w:val="0"/>
              <w:spacing w:beforeLines="0" w:afterLines="0" w:line="336" w:lineRule="auto"/>
              <w:ind w:left="-63" w:leftChars="-30" w:right="-111" w:rightChars="-53" w:firstLine="62" w:firstLineChars="30"/>
              <w:jc w:val="center"/>
              <w:rPr>
                <w:rFonts w:hint="default" w:ascii="宋体" w:hAnsi="宋体"/>
                <w:color w:val="auto"/>
                <w:spacing w:val="-1"/>
                <w:highlight w:val="none"/>
              </w:rPr>
            </w:pPr>
          </w:p>
        </w:tc>
        <w:tc>
          <w:tcPr>
            <w:tcW w:w="1395" w:type="dxa"/>
            <w:gridSpan w:val="2"/>
            <w:vMerge w:val="continue"/>
            <w:vAlign w:val="center"/>
          </w:tcPr>
          <w:p>
            <w:pPr>
              <w:pStyle w:val="31"/>
              <w:kinsoku w:val="0"/>
              <w:overflowPunct w:val="0"/>
              <w:snapToGrid w:val="0"/>
              <w:spacing w:beforeLines="0" w:afterLines="0" w:line="336" w:lineRule="auto"/>
              <w:ind w:left="-115" w:leftChars="-55" w:right="-122" w:rightChars="-58"/>
              <w:jc w:val="center"/>
              <w:rPr>
                <w:rFonts w:hint="default" w:ascii="宋体" w:hAnsi="宋体"/>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组织协调（</w:t>
            </w:r>
            <w:r>
              <w:rPr>
                <w:rFonts w:hint="eastAsia" w:ascii="宋体" w:hAnsi="宋体"/>
                <w:color w:val="auto"/>
                <w:spacing w:val="-3"/>
                <w:highlight w:val="none"/>
                <w:lang w:val="en-US" w:eastAsia="zh-CN"/>
              </w:rPr>
              <w:t>3</w:t>
            </w:r>
            <w:r>
              <w:rPr>
                <w:rFonts w:hint="eastAsia" w:ascii="宋体" w:hAnsi="宋体"/>
                <w:color w:val="auto"/>
                <w:spacing w:val="-3"/>
                <w:highlight w:val="none"/>
              </w:rPr>
              <w:t>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协调方法清晰合理，有具体措施。方案优得</w:t>
            </w:r>
            <w:r>
              <w:rPr>
                <w:rFonts w:hint="eastAsia" w:ascii="宋体" w:hAnsi="宋体"/>
                <w:color w:val="auto"/>
                <w:spacing w:val="-3"/>
                <w:highlight w:val="none"/>
                <w:lang w:val="en-US" w:eastAsia="zh-CN"/>
              </w:rPr>
              <w:t>3</w:t>
            </w:r>
            <w:r>
              <w:rPr>
                <w:rFonts w:hint="eastAsia" w:ascii="宋体" w:hAnsi="宋体"/>
                <w:color w:val="auto"/>
                <w:spacing w:val="-3"/>
                <w:highlight w:val="none"/>
              </w:rPr>
              <w:t>分；</w:t>
            </w:r>
            <w:r>
              <w:rPr>
                <w:rFonts w:hint="eastAsia" w:ascii="宋体" w:hAnsi="宋体"/>
                <w:color w:val="auto"/>
                <w:spacing w:val="-3"/>
                <w:highlight w:val="none"/>
                <w:lang w:val="en-US" w:eastAsia="zh-CN"/>
              </w:rPr>
              <w:t>一般</w:t>
            </w:r>
            <w:r>
              <w:rPr>
                <w:rFonts w:hint="eastAsia" w:ascii="宋体" w:hAnsi="宋体"/>
                <w:color w:val="auto"/>
                <w:spacing w:val="-3"/>
                <w:highlight w:val="none"/>
              </w:rPr>
              <w:t>得</w:t>
            </w:r>
            <w:r>
              <w:rPr>
                <w:rFonts w:hint="eastAsia" w:ascii="宋体" w:hAnsi="宋体"/>
                <w:color w:val="auto"/>
                <w:spacing w:val="-3"/>
                <w:highlight w:val="none"/>
                <w:lang w:val="en-US" w:eastAsia="zh-CN"/>
              </w:rPr>
              <w:t>2</w:t>
            </w:r>
            <w:r>
              <w:rPr>
                <w:rFonts w:hint="eastAsia" w:ascii="宋体" w:hAnsi="宋体"/>
                <w:color w:val="auto"/>
                <w:spacing w:val="-3"/>
                <w:highlight w:val="none"/>
              </w:rPr>
              <w:t>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83" w:type="dxa"/>
            <w:vMerge w:val="continue"/>
            <w:vAlign w:val="center"/>
          </w:tcPr>
          <w:p>
            <w:pPr>
              <w:pStyle w:val="31"/>
              <w:kinsoku w:val="0"/>
              <w:overflowPunct w:val="0"/>
              <w:snapToGrid w:val="0"/>
              <w:spacing w:beforeLines="0" w:afterLines="0" w:line="336" w:lineRule="auto"/>
              <w:ind w:left="-63" w:leftChars="-30" w:right="-111" w:rightChars="-53" w:firstLine="62" w:firstLineChars="30"/>
              <w:jc w:val="center"/>
              <w:rPr>
                <w:rFonts w:hint="default" w:ascii="宋体" w:hAnsi="宋体"/>
                <w:color w:val="auto"/>
                <w:spacing w:val="-1"/>
                <w:highlight w:val="none"/>
              </w:rPr>
            </w:pPr>
          </w:p>
        </w:tc>
        <w:tc>
          <w:tcPr>
            <w:tcW w:w="1395" w:type="dxa"/>
            <w:gridSpan w:val="2"/>
            <w:vMerge w:val="continue"/>
            <w:vAlign w:val="center"/>
          </w:tcPr>
          <w:p>
            <w:pPr>
              <w:pStyle w:val="31"/>
              <w:kinsoku w:val="0"/>
              <w:overflowPunct w:val="0"/>
              <w:snapToGrid w:val="0"/>
              <w:spacing w:beforeLines="0" w:afterLines="0" w:line="336" w:lineRule="auto"/>
              <w:ind w:left="-115" w:leftChars="-55" w:right="-122" w:rightChars="-58"/>
              <w:jc w:val="center"/>
              <w:rPr>
                <w:rFonts w:hint="default" w:ascii="宋体" w:hAnsi="宋体"/>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监理工作程序（2分）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有清晰的工作流程图、工作准则。方案为优得2分；</w:t>
            </w:r>
            <w:r>
              <w:rPr>
                <w:rFonts w:hint="eastAsia" w:ascii="宋体" w:hAnsi="宋体"/>
                <w:color w:val="auto"/>
                <w:spacing w:val="-3"/>
                <w:highlight w:val="none"/>
                <w:lang w:val="en-US" w:eastAsia="zh-CN"/>
              </w:rPr>
              <w:t>一般</w:t>
            </w:r>
            <w:r>
              <w:rPr>
                <w:rFonts w:hint="eastAsia" w:ascii="宋体" w:hAnsi="宋体"/>
                <w:color w:val="auto"/>
                <w:spacing w:val="-3"/>
                <w:highlight w:val="none"/>
              </w:rPr>
              <w:t>得1分；</w:t>
            </w:r>
            <w:r>
              <w:rPr>
                <w:rFonts w:hint="eastAsia" w:ascii="宋体" w:hAnsi="宋体"/>
                <w:color w:val="auto"/>
                <w:spacing w:val="-3"/>
                <w:highlight w:val="none"/>
                <w:lang w:val="en-US" w:eastAsia="zh-CN"/>
              </w:rPr>
              <w:t>无</w:t>
            </w:r>
            <w:r>
              <w:rPr>
                <w:rFonts w:hint="eastAsia" w:ascii="宋体" w:hAnsi="宋体"/>
                <w:color w:val="auto"/>
                <w:spacing w:val="-3"/>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83" w:type="dxa"/>
            <w:vMerge w:val="continue"/>
            <w:vAlign w:val="center"/>
          </w:tcPr>
          <w:p>
            <w:pPr>
              <w:pStyle w:val="31"/>
              <w:kinsoku w:val="0"/>
              <w:overflowPunct w:val="0"/>
              <w:snapToGrid w:val="0"/>
              <w:spacing w:beforeLines="0" w:afterLines="0" w:line="336" w:lineRule="auto"/>
              <w:ind w:left="-63" w:leftChars="-30" w:right="-111" w:rightChars="-53" w:firstLine="62" w:firstLineChars="30"/>
              <w:jc w:val="center"/>
              <w:rPr>
                <w:rFonts w:hint="default" w:ascii="宋体" w:hAnsi="宋体"/>
                <w:color w:val="auto"/>
                <w:spacing w:val="-1"/>
                <w:highlight w:val="none"/>
              </w:rPr>
            </w:pPr>
          </w:p>
        </w:tc>
        <w:tc>
          <w:tcPr>
            <w:tcW w:w="1395" w:type="dxa"/>
            <w:gridSpan w:val="2"/>
            <w:vMerge w:val="continue"/>
            <w:vAlign w:val="center"/>
          </w:tcPr>
          <w:p>
            <w:pPr>
              <w:pStyle w:val="31"/>
              <w:kinsoku w:val="0"/>
              <w:overflowPunct w:val="0"/>
              <w:snapToGrid w:val="0"/>
              <w:spacing w:beforeLines="0" w:afterLines="0" w:line="336" w:lineRule="auto"/>
              <w:ind w:left="-115" w:leftChars="-55" w:right="-122" w:rightChars="-58"/>
              <w:jc w:val="center"/>
              <w:rPr>
                <w:rFonts w:hint="default" w:ascii="宋体" w:hAnsi="宋体"/>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安全、文明施工管理</w:t>
            </w:r>
          </w:p>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w:t>
            </w:r>
            <w:r>
              <w:rPr>
                <w:rFonts w:hint="eastAsia" w:ascii="宋体" w:hAnsi="宋体"/>
                <w:color w:val="auto"/>
                <w:spacing w:val="-3"/>
                <w:highlight w:val="none"/>
                <w:lang w:val="en-US" w:eastAsia="zh-CN"/>
              </w:rPr>
              <w:t>4</w:t>
            </w:r>
            <w:r>
              <w:rPr>
                <w:rFonts w:hint="eastAsia" w:ascii="宋体" w:hAnsi="宋体"/>
                <w:color w:val="auto"/>
                <w:spacing w:val="-3"/>
                <w:highlight w:val="none"/>
              </w:rPr>
              <w:t>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安全、文明施工管理</w:t>
            </w:r>
            <w:r>
              <w:rPr>
                <w:rFonts w:hint="eastAsia" w:ascii="宋体" w:hAnsi="宋体"/>
                <w:color w:val="auto"/>
                <w:spacing w:val="-3"/>
                <w:highlight w:val="none"/>
                <w:lang w:eastAsia="zh-CN"/>
              </w:rPr>
              <w:t>。</w:t>
            </w:r>
            <w:r>
              <w:rPr>
                <w:rFonts w:hint="eastAsia" w:ascii="宋体" w:hAnsi="宋体"/>
                <w:color w:val="auto"/>
                <w:spacing w:val="-3"/>
                <w:highlight w:val="none"/>
              </w:rPr>
              <w:t>方案为优得</w:t>
            </w:r>
            <w:r>
              <w:rPr>
                <w:rFonts w:hint="eastAsia" w:ascii="宋体" w:hAnsi="宋体"/>
                <w:color w:val="auto"/>
                <w:spacing w:val="-3"/>
                <w:highlight w:val="none"/>
                <w:lang w:val="en-US" w:eastAsia="zh-CN"/>
              </w:rPr>
              <w:t>4</w:t>
            </w:r>
            <w:r>
              <w:rPr>
                <w:rFonts w:hint="eastAsia" w:ascii="宋体" w:hAnsi="宋体"/>
                <w:color w:val="auto"/>
                <w:spacing w:val="-3"/>
                <w:highlight w:val="none"/>
              </w:rPr>
              <w:t>分；</w:t>
            </w:r>
            <w:r>
              <w:rPr>
                <w:rFonts w:hint="eastAsia" w:ascii="宋体" w:hAnsi="宋体"/>
                <w:color w:val="auto"/>
                <w:spacing w:val="-3"/>
                <w:highlight w:val="none"/>
                <w:lang w:val="en-US" w:eastAsia="zh-CN"/>
              </w:rPr>
              <w:t>一般</w:t>
            </w:r>
            <w:r>
              <w:rPr>
                <w:rFonts w:hint="eastAsia" w:ascii="宋体" w:hAnsi="宋体"/>
                <w:color w:val="auto"/>
                <w:spacing w:val="-3"/>
                <w:highlight w:val="none"/>
              </w:rPr>
              <w:t>得</w:t>
            </w:r>
            <w:r>
              <w:rPr>
                <w:rFonts w:hint="eastAsia" w:ascii="宋体" w:hAnsi="宋体"/>
                <w:color w:val="auto"/>
                <w:spacing w:val="-3"/>
                <w:highlight w:val="none"/>
                <w:lang w:val="en-US" w:eastAsia="zh-CN"/>
              </w:rPr>
              <w:t>3</w:t>
            </w:r>
            <w:r>
              <w:rPr>
                <w:rFonts w:hint="eastAsia" w:ascii="宋体" w:hAnsi="宋体"/>
                <w:color w:val="auto"/>
                <w:spacing w:val="-3"/>
                <w:highlight w:val="none"/>
              </w:rPr>
              <w:t>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83" w:type="dxa"/>
            <w:vMerge w:val="continue"/>
            <w:vAlign w:val="center"/>
          </w:tcPr>
          <w:p>
            <w:pPr>
              <w:pStyle w:val="31"/>
              <w:kinsoku w:val="0"/>
              <w:overflowPunct w:val="0"/>
              <w:snapToGrid w:val="0"/>
              <w:spacing w:beforeLines="0" w:afterLines="0" w:line="336" w:lineRule="auto"/>
              <w:ind w:left="-63" w:leftChars="-30" w:right="-111" w:rightChars="-53" w:firstLine="62" w:firstLineChars="30"/>
              <w:jc w:val="center"/>
              <w:rPr>
                <w:rFonts w:hint="default" w:ascii="宋体" w:hAnsi="宋体"/>
                <w:color w:val="auto"/>
                <w:spacing w:val="-1"/>
                <w:highlight w:val="none"/>
              </w:rPr>
            </w:pPr>
          </w:p>
        </w:tc>
        <w:tc>
          <w:tcPr>
            <w:tcW w:w="1395" w:type="dxa"/>
            <w:gridSpan w:val="2"/>
            <w:vMerge w:val="continue"/>
            <w:vAlign w:val="center"/>
          </w:tcPr>
          <w:p>
            <w:pPr>
              <w:pStyle w:val="31"/>
              <w:kinsoku w:val="0"/>
              <w:overflowPunct w:val="0"/>
              <w:snapToGrid w:val="0"/>
              <w:spacing w:beforeLines="0" w:afterLines="0" w:line="336" w:lineRule="auto"/>
              <w:ind w:left="-115" w:leftChars="-55" w:right="-122" w:rightChars="-58"/>
              <w:jc w:val="center"/>
              <w:rPr>
                <w:rFonts w:hint="default" w:ascii="宋体" w:hAnsi="宋体"/>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重点难点监控措施（4分）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要求针对性强、措施具体、可操作。</w:t>
            </w:r>
            <w:r>
              <w:rPr>
                <w:rFonts w:hint="eastAsia" w:ascii="宋体" w:hAnsi="宋体"/>
                <w:color w:val="auto"/>
                <w:spacing w:val="-3"/>
                <w:highlight w:val="none"/>
                <w:lang w:val="en-US" w:eastAsia="zh-CN"/>
              </w:rPr>
              <w:t>方案为</w:t>
            </w:r>
            <w:r>
              <w:rPr>
                <w:rFonts w:hint="eastAsia" w:ascii="宋体" w:hAnsi="宋体"/>
                <w:color w:val="auto"/>
                <w:spacing w:val="-3"/>
                <w:highlight w:val="none"/>
              </w:rPr>
              <w:t>优得4分；</w:t>
            </w:r>
            <w:r>
              <w:rPr>
                <w:rFonts w:hint="eastAsia" w:ascii="宋体" w:hAnsi="宋体"/>
                <w:color w:val="auto"/>
                <w:spacing w:val="-3"/>
                <w:highlight w:val="none"/>
                <w:lang w:val="en-US" w:eastAsia="zh-CN"/>
              </w:rPr>
              <w:t>有一般</w:t>
            </w:r>
            <w:r>
              <w:rPr>
                <w:rFonts w:hint="eastAsia" w:ascii="宋体" w:hAnsi="宋体"/>
                <w:color w:val="auto"/>
                <w:spacing w:val="-3"/>
                <w:highlight w:val="none"/>
              </w:rPr>
              <w:t>得3分；无措施不得分。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83" w:type="dxa"/>
            <w:vMerge w:val="continue"/>
            <w:vAlign w:val="center"/>
          </w:tcPr>
          <w:p>
            <w:pPr>
              <w:pStyle w:val="31"/>
              <w:kinsoku w:val="0"/>
              <w:overflowPunct w:val="0"/>
              <w:snapToGrid w:val="0"/>
              <w:spacing w:beforeLines="0" w:afterLines="0" w:line="336" w:lineRule="auto"/>
              <w:ind w:left="-63" w:leftChars="-30" w:right="-111" w:rightChars="-53" w:firstLine="62" w:firstLineChars="30"/>
              <w:jc w:val="center"/>
              <w:rPr>
                <w:rFonts w:hint="default" w:ascii="宋体" w:hAnsi="宋体"/>
                <w:color w:val="auto"/>
                <w:spacing w:val="-1"/>
                <w:highlight w:val="none"/>
              </w:rPr>
            </w:pPr>
          </w:p>
        </w:tc>
        <w:tc>
          <w:tcPr>
            <w:tcW w:w="1395" w:type="dxa"/>
            <w:gridSpan w:val="2"/>
            <w:vMerge w:val="continue"/>
            <w:vAlign w:val="center"/>
          </w:tcPr>
          <w:p>
            <w:pPr>
              <w:pStyle w:val="31"/>
              <w:kinsoku w:val="0"/>
              <w:overflowPunct w:val="0"/>
              <w:snapToGrid w:val="0"/>
              <w:spacing w:beforeLines="0" w:afterLines="0" w:line="336" w:lineRule="auto"/>
              <w:ind w:left="-115" w:leftChars="-55" w:right="-122" w:rightChars="-58"/>
              <w:jc w:val="center"/>
              <w:rPr>
                <w:rFonts w:hint="default" w:ascii="宋体" w:hAnsi="宋体"/>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工程进度款、工程结算的管理（2分）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管理方法合理有效、有具体措施得2分；管理方法一般、措施不具体得1分；无管理的方法和措施不得分。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83" w:type="dxa"/>
            <w:vMerge w:val="continue"/>
          </w:tcPr>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tc>
        <w:tc>
          <w:tcPr>
            <w:tcW w:w="1395" w:type="dxa"/>
            <w:gridSpan w:val="2"/>
            <w:vMerge w:val="continue"/>
          </w:tcPr>
          <w:p>
            <w:pPr>
              <w:pStyle w:val="31"/>
              <w:kinsoku w:val="0"/>
              <w:overflowPunct w:val="0"/>
              <w:snapToGrid w:val="0"/>
              <w:spacing w:beforeLines="0" w:afterLines="0" w:line="336" w:lineRule="auto"/>
              <w:ind w:left="-115" w:leftChars="-55" w:right="-122" w:rightChars="-58"/>
              <w:jc w:val="center"/>
              <w:rPr>
                <w:rFonts w:hint="default"/>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会议制度（2分）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建立完善的工地会议制度。满足要求得2分；基本满足要求得1分；不满足要求不得分。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3" w:type="dxa"/>
            <w:vMerge w:val="continue"/>
          </w:tcPr>
          <w:p>
            <w:pPr>
              <w:pStyle w:val="31"/>
              <w:kinsoku w:val="0"/>
              <w:overflowPunct w:val="0"/>
              <w:snapToGrid w:val="0"/>
              <w:spacing w:beforeLines="0" w:afterLines="0" w:line="336" w:lineRule="auto"/>
              <w:ind w:left="-63" w:leftChars="-30" w:right="-111" w:rightChars="-53" w:firstLine="63" w:firstLineChars="30"/>
              <w:jc w:val="center"/>
              <w:rPr>
                <w:rFonts w:hint="default"/>
                <w:color w:val="auto"/>
                <w:highlight w:val="none"/>
              </w:rPr>
            </w:pPr>
          </w:p>
        </w:tc>
        <w:tc>
          <w:tcPr>
            <w:tcW w:w="1395" w:type="dxa"/>
            <w:gridSpan w:val="2"/>
            <w:vMerge w:val="continue"/>
          </w:tcPr>
          <w:p>
            <w:pPr>
              <w:pStyle w:val="31"/>
              <w:kinsoku w:val="0"/>
              <w:overflowPunct w:val="0"/>
              <w:snapToGrid w:val="0"/>
              <w:spacing w:beforeLines="0" w:afterLines="0" w:line="336" w:lineRule="auto"/>
              <w:ind w:left="-115" w:leftChars="-55" w:right="-122" w:rightChars="-58"/>
              <w:jc w:val="center"/>
              <w:rPr>
                <w:rFonts w:hint="default"/>
                <w:color w:val="auto"/>
                <w:highlight w:val="none"/>
              </w:rPr>
            </w:pPr>
          </w:p>
        </w:tc>
        <w:tc>
          <w:tcPr>
            <w:tcW w:w="2132" w:type="dxa"/>
            <w:gridSpan w:val="2"/>
            <w:vAlign w:val="center"/>
          </w:tcPr>
          <w:p>
            <w:pPr>
              <w:widowControl/>
              <w:snapToGrid w:val="0"/>
              <w:spacing w:beforeLines="0" w:afterLines="0" w:line="336" w:lineRule="auto"/>
              <w:jc w:val="left"/>
              <w:rPr>
                <w:rFonts w:ascii="宋体" w:hAnsi="宋体"/>
                <w:color w:val="auto"/>
                <w:szCs w:val="21"/>
                <w:highlight w:val="none"/>
              </w:rPr>
            </w:pPr>
            <w:r>
              <w:rPr>
                <w:rFonts w:hint="eastAsia" w:ascii="宋体" w:hAnsi="宋体"/>
                <w:color w:val="auto"/>
                <w:spacing w:val="-3"/>
                <w:highlight w:val="none"/>
              </w:rPr>
              <w:t>合理化建议（3分）</w:t>
            </w:r>
          </w:p>
        </w:tc>
        <w:tc>
          <w:tcPr>
            <w:tcW w:w="5252" w:type="dxa"/>
            <w:vAlign w:val="center"/>
          </w:tcPr>
          <w:p>
            <w:pPr>
              <w:widowControl/>
              <w:snapToGrid w:val="0"/>
              <w:spacing w:beforeLines="0" w:afterLines="0" w:line="336" w:lineRule="auto"/>
              <w:jc w:val="left"/>
              <w:rPr>
                <w:rFonts w:ascii="宋体" w:hAnsi="宋体"/>
                <w:color w:val="auto"/>
                <w:spacing w:val="-3"/>
                <w:highlight w:val="none"/>
              </w:rPr>
            </w:pPr>
            <w:r>
              <w:rPr>
                <w:rFonts w:hint="eastAsia" w:ascii="宋体" w:hAnsi="宋体"/>
                <w:color w:val="auto"/>
                <w:spacing w:val="-3"/>
                <w:highlight w:val="none"/>
              </w:rPr>
              <w:t>具有科学、合理、可行及具体措施的建议并经评委分析论证认同的。方案优得3分；</w:t>
            </w:r>
            <w:r>
              <w:rPr>
                <w:rFonts w:hint="eastAsia" w:ascii="宋体" w:hAnsi="宋体"/>
                <w:color w:val="auto"/>
                <w:spacing w:val="-3"/>
                <w:highlight w:val="none"/>
                <w:lang w:val="en-US" w:eastAsia="zh-CN"/>
              </w:rPr>
              <w:t>一般</w:t>
            </w:r>
            <w:r>
              <w:rPr>
                <w:rFonts w:hint="eastAsia" w:ascii="宋体" w:hAnsi="宋体"/>
                <w:color w:val="auto"/>
                <w:spacing w:val="-3"/>
                <w:highlight w:val="none"/>
              </w:rPr>
              <w:t>得2分；无措施不得分。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vAlign w:val="center"/>
          </w:tcPr>
          <w:p>
            <w:pPr>
              <w:pStyle w:val="31"/>
              <w:kinsoku w:val="0"/>
              <w:overflowPunct w:val="0"/>
              <w:snapToGrid w:val="0"/>
              <w:spacing w:beforeLines="0" w:afterLines="0" w:line="336" w:lineRule="auto"/>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w:t>
            </w:r>
          </w:p>
          <w:p>
            <w:pPr>
              <w:pStyle w:val="31"/>
              <w:kinsoku w:val="0"/>
              <w:overflowPunct w:val="0"/>
              <w:snapToGrid w:val="0"/>
              <w:spacing w:beforeLines="0" w:afterLines="0" w:line="336" w:lineRule="auto"/>
              <w:ind w:left="-63" w:leftChars="-30" w:right="-111" w:rightChars="-53" w:firstLine="62" w:firstLineChars="30"/>
              <w:jc w:val="center"/>
              <w:rPr>
                <w:rFonts w:hint="default"/>
                <w:color w:val="auto"/>
                <w:highlight w:val="none"/>
              </w:rPr>
            </w:pPr>
            <w:r>
              <w:rPr>
                <w:rFonts w:ascii="宋体" w:hAnsi="宋体"/>
                <w:color w:val="auto"/>
                <w:spacing w:val="-1"/>
                <w:highlight w:val="none"/>
              </w:rPr>
              <w:t>（</w:t>
            </w:r>
            <w:r>
              <w:rPr>
                <w:rFonts w:eastAsia="Times New Roman"/>
                <w:color w:val="auto"/>
                <w:highlight w:val="none"/>
              </w:rPr>
              <w:t>3</w:t>
            </w:r>
            <w:r>
              <w:rPr>
                <w:rFonts w:ascii="宋体" w:hAnsi="宋体"/>
                <w:color w:val="auto"/>
                <w:highlight w:val="none"/>
              </w:rPr>
              <w:t>）</w:t>
            </w:r>
          </w:p>
        </w:tc>
        <w:tc>
          <w:tcPr>
            <w:tcW w:w="1395" w:type="dxa"/>
            <w:gridSpan w:val="2"/>
            <w:vAlign w:val="center"/>
          </w:tcPr>
          <w:p>
            <w:pPr>
              <w:snapToGrid w:val="0"/>
              <w:spacing w:beforeLines="0" w:afterLines="0" w:line="336" w:lineRule="auto"/>
              <w:ind w:left="315" w:hanging="315" w:hangingChars="150"/>
              <w:jc w:val="center"/>
              <w:rPr>
                <w:rFonts w:ascii="宋体" w:hAnsi="Courier New"/>
                <w:color w:val="auto"/>
                <w:szCs w:val="21"/>
                <w:highlight w:val="none"/>
              </w:rPr>
            </w:pPr>
            <w:r>
              <w:rPr>
                <w:rFonts w:hint="eastAsia" w:ascii="宋体" w:hAnsi="宋体"/>
                <w:color w:val="auto"/>
                <w:highlight w:val="none"/>
              </w:rPr>
              <w:t>投标</w:t>
            </w:r>
            <w:r>
              <w:rPr>
                <w:rFonts w:hint="eastAsia" w:ascii="宋体" w:hAnsi="Courier New"/>
                <w:color w:val="auto"/>
                <w:szCs w:val="21"/>
                <w:highlight w:val="none"/>
              </w:rPr>
              <w:t>报价</w:t>
            </w:r>
          </w:p>
          <w:p>
            <w:pPr>
              <w:snapToGrid w:val="0"/>
              <w:spacing w:beforeLines="0" w:afterLines="0" w:line="336" w:lineRule="auto"/>
              <w:ind w:left="315" w:hanging="315" w:hangingChars="150"/>
              <w:jc w:val="center"/>
              <w:rPr>
                <w:rFonts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pPr>
              <w:snapToGrid w:val="0"/>
              <w:spacing w:beforeLines="0" w:afterLines="0" w:line="336" w:lineRule="auto"/>
              <w:ind w:left="315" w:hanging="315" w:hangingChars="150"/>
              <w:jc w:val="center"/>
              <w:rPr>
                <w:rFonts w:ascii="宋体" w:hAnsi="宋体"/>
                <w:color w:val="auto"/>
                <w:highlight w:val="none"/>
              </w:rPr>
            </w:pPr>
            <w:r>
              <w:rPr>
                <w:rFonts w:hint="eastAsia" w:ascii="宋体" w:hAnsi="宋体"/>
                <w:color w:val="auto"/>
                <w:highlight w:val="none"/>
              </w:rPr>
              <w:t>（10分）</w:t>
            </w:r>
          </w:p>
        </w:tc>
        <w:tc>
          <w:tcPr>
            <w:tcW w:w="2132" w:type="dxa"/>
            <w:gridSpan w:val="2"/>
            <w:vAlign w:val="center"/>
          </w:tcPr>
          <w:p>
            <w:pPr>
              <w:pStyle w:val="31"/>
              <w:kinsoku w:val="0"/>
              <w:overflowPunct w:val="0"/>
              <w:snapToGrid w:val="0"/>
              <w:spacing w:before="0" w:beforeLines="0" w:afterLines="0" w:line="336" w:lineRule="auto"/>
              <w:ind w:left="-102" w:leftChars="-49" w:hanging="1"/>
              <w:jc w:val="center"/>
              <w:rPr>
                <w:rFonts w:hint="default" w:ascii="宋体" w:hAnsi="宋体"/>
                <w:color w:val="auto"/>
                <w:highlight w:val="none"/>
              </w:rPr>
            </w:pPr>
            <w:r>
              <w:rPr>
                <w:rFonts w:ascii="宋体" w:hAnsi="宋体"/>
                <w:color w:val="auto"/>
                <w:highlight w:val="none"/>
              </w:rPr>
              <w:t>报价得分</w:t>
            </w:r>
          </w:p>
        </w:tc>
        <w:tc>
          <w:tcPr>
            <w:tcW w:w="5252" w:type="dxa"/>
          </w:tcPr>
          <w:p>
            <w:pPr>
              <w:pStyle w:val="31"/>
              <w:kinsoku w:val="0"/>
              <w:overflowPunct w:val="0"/>
              <w:snapToGrid w:val="0"/>
              <w:spacing w:beforeLines="0" w:afterLines="0" w:line="336" w:lineRule="auto"/>
              <w:ind w:right="-57"/>
              <w:rPr>
                <w:rFonts w:hint="default" w:ascii="宋体" w:hAnsi="Courier New"/>
                <w:color w:val="auto"/>
                <w:szCs w:val="21"/>
                <w:highlight w:val="none"/>
              </w:rPr>
            </w:pPr>
            <w:r>
              <w:rPr>
                <w:rFonts w:ascii="宋体" w:hAnsi="Courier New"/>
                <w:color w:val="auto"/>
                <w:szCs w:val="21"/>
                <w:highlight w:val="none"/>
              </w:rPr>
              <w:t>以评标基准价作为计算各有效投标价得分的基础，当有效投标报价等于评标基准价时得10分；投标有效报价与评标基准价之差，每上偏1%扣0.5分，下偏1%扣0.3分（得分扣至0分止）报价偏差率不足1%的，按直线内插法计算投标报价得分</w:t>
            </w:r>
            <w:r>
              <w:rPr>
                <w:rFonts w:ascii="宋体" w:hAnsi="宋体"/>
                <w:color w:val="auto"/>
                <w:spacing w:val="-3"/>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vAlign w:val="center"/>
          </w:tcPr>
          <w:p>
            <w:pPr>
              <w:pStyle w:val="31"/>
              <w:kinsoku w:val="0"/>
              <w:overflowPunct w:val="0"/>
              <w:snapToGrid w:val="0"/>
              <w:spacing w:beforeLines="0" w:afterLines="0" w:line="336" w:lineRule="auto"/>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w:t>
            </w:r>
          </w:p>
          <w:p>
            <w:pPr>
              <w:snapToGrid w:val="0"/>
              <w:spacing w:beforeLines="0" w:afterLines="0" w:line="336" w:lineRule="auto"/>
              <w:jc w:val="center"/>
              <w:rPr>
                <w:rFonts w:hint="default" w:ascii="宋体" w:hAnsi="宋体" w:eastAsia="宋体"/>
                <w:color w:val="auto"/>
                <w:spacing w:val="-1"/>
                <w:highlight w:val="none"/>
                <w:lang w:val="en-US" w:eastAsia="zh-CN"/>
              </w:rPr>
            </w:pPr>
            <w:r>
              <w:rPr>
                <w:rFonts w:hint="eastAsia" w:ascii="宋体" w:hAnsi="宋体"/>
                <w:color w:val="auto"/>
                <w:spacing w:val="-1"/>
                <w:highlight w:val="none"/>
                <w:lang w:val="en-US" w:eastAsia="zh-CN"/>
              </w:rPr>
              <w:t>(4)</w:t>
            </w:r>
          </w:p>
        </w:tc>
        <w:tc>
          <w:tcPr>
            <w:tcW w:w="1395" w:type="dxa"/>
            <w:gridSpan w:val="2"/>
            <w:vAlign w:val="center"/>
          </w:tcPr>
          <w:p>
            <w:pPr>
              <w:snapToGrid w:val="0"/>
              <w:spacing w:beforeLines="0" w:afterLines="0" w:line="336" w:lineRule="auto"/>
              <w:ind w:left="315" w:hanging="315" w:hangingChars="150"/>
              <w:jc w:val="center"/>
              <w:rPr>
                <w:color w:val="auto"/>
                <w:highlight w:val="none"/>
              </w:rPr>
            </w:pPr>
            <w:r>
              <w:rPr>
                <w:color w:val="auto"/>
                <w:highlight w:val="none"/>
              </w:rPr>
              <w:t>其他因素</w:t>
            </w:r>
          </w:p>
          <w:p>
            <w:pPr>
              <w:snapToGrid w:val="0"/>
              <w:spacing w:beforeLines="0" w:afterLines="0" w:line="336" w:lineRule="auto"/>
              <w:ind w:left="315" w:hanging="315" w:hangingChars="150"/>
              <w:jc w:val="center"/>
              <w:rPr>
                <w:color w:val="auto"/>
                <w:highlight w:val="none"/>
              </w:rPr>
            </w:pPr>
            <w:r>
              <w:rPr>
                <w:color w:val="auto"/>
                <w:highlight w:val="none"/>
              </w:rPr>
              <w:t>评分标准</w:t>
            </w:r>
          </w:p>
          <w:p>
            <w:pPr>
              <w:pStyle w:val="8"/>
              <w:snapToGrid w:val="0"/>
              <w:spacing w:beforeLines="0" w:afterLines="0" w:line="336" w:lineRule="auto"/>
              <w:ind w:firstLine="0"/>
              <w:jc w:val="center"/>
              <w:rPr>
                <w:color w:val="auto"/>
                <w:highlight w:val="none"/>
              </w:rPr>
            </w:pPr>
            <w:r>
              <w:rPr>
                <w:rFonts w:hint="eastAsia" w:ascii="宋体" w:hAnsi="宋体"/>
                <w:color w:val="auto"/>
                <w:highlight w:val="none"/>
              </w:rPr>
              <w:t>（10分）</w:t>
            </w:r>
          </w:p>
        </w:tc>
        <w:tc>
          <w:tcPr>
            <w:tcW w:w="2132" w:type="dxa"/>
            <w:gridSpan w:val="2"/>
            <w:vAlign w:val="center"/>
          </w:tcPr>
          <w:p>
            <w:pPr>
              <w:snapToGrid w:val="0"/>
              <w:spacing w:beforeLines="0" w:afterLines="0" w:line="336" w:lineRule="auto"/>
              <w:ind w:left="315" w:hanging="315" w:hangingChars="150"/>
              <w:jc w:val="center"/>
              <w:rPr>
                <w:rFonts w:ascii="宋体" w:hAnsi="宋体"/>
                <w:color w:val="auto"/>
                <w:highlight w:val="none"/>
              </w:rPr>
            </w:pPr>
            <w:r>
              <w:rPr>
                <w:rFonts w:hint="eastAsia" w:asciiTheme="minorEastAsia" w:hAnsiTheme="minorEastAsia" w:eastAsiaTheme="minorEastAsia"/>
                <w:color w:val="auto"/>
                <w:highlight w:val="none"/>
              </w:rPr>
              <w:t>诚信综合评价得分</w:t>
            </w:r>
          </w:p>
        </w:tc>
        <w:tc>
          <w:tcPr>
            <w:tcW w:w="5252" w:type="dxa"/>
            <w:vAlign w:val="center"/>
          </w:tcPr>
          <w:p>
            <w:pPr>
              <w:snapToGrid w:val="0"/>
              <w:spacing w:beforeLines="0" w:afterLines="0" w:line="336" w:lineRule="auto"/>
              <w:rPr>
                <w:color w:val="auto"/>
                <w:highlight w:val="none"/>
              </w:rPr>
            </w:pPr>
            <w:r>
              <w:rPr>
                <w:rFonts w:hint="eastAsia" w:asciiTheme="minorEastAsia" w:hAnsiTheme="minorEastAsia" w:eastAsiaTheme="minorEastAsia"/>
                <w:color w:val="auto"/>
                <w:highlight w:val="none"/>
              </w:rPr>
              <w:t>诚信综合评价得分</w:t>
            </w:r>
            <w:r>
              <w:rPr>
                <w:rFonts w:hint="eastAsia" w:ascii="宋体" w:hAnsi="宋体" w:cs="宋体"/>
                <w:color w:val="auto"/>
                <w:szCs w:val="21"/>
                <w:highlight w:val="none"/>
              </w:rPr>
              <w:t>=投标人诚信综合评价排名得分</w:t>
            </w:r>
            <w:r>
              <w:rPr>
                <w:rFonts w:hint="eastAsia" w:asciiTheme="minorEastAsia" w:hAnsiTheme="minorEastAsia" w:eastAsiaTheme="minorEastAsia"/>
                <w:color w:val="auto"/>
                <w:highlight w:val="none"/>
              </w:rPr>
              <w:t>×10%。</w:t>
            </w:r>
            <w:r>
              <w:rPr>
                <w:rFonts w:ascii="宋体" w:hAnsi="Courier New"/>
                <w:color w:val="auto"/>
                <w:szCs w:val="21"/>
                <w:highlight w:val="none"/>
              </w:rPr>
              <w:t>最高分值为10分</w:t>
            </w:r>
            <w:r>
              <w:rPr>
                <w:rFonts w:hint="eastAsia" w:ascii="宋体" w:hAnsi="Courier New"/>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36" w:lineRule="auto"/>
              <w:ind w:left="0" w:firstLine="0" w:firstLineChars="0"/>
              <w:jc w:val="left"/>
              <w:textAlignment w:val="auto"/>
              <w:rPr>
                <w:rFonts w:ascii="宋体" w:hAnsi="Courier New"/>
                <w:color w:val="auto"/>
                <w:szCs w:val="21"/>
                <w:highlight w:val="none"/>
              </w:rPr>
            </w:pPr>
            <w:r>
              <w:rPr>
                <w:rFonts w:hint="eastAsia" w:ascii="宋体" w:hAnsi="宋体" w:cs="宋体"/>
                <w:color w:val="auto"/>
                <w:szCs w:val="21"/>
                <w:highlight w:val="none"/>
              </w:rPr>
              <w:t>投标人综合诚信评价排名得分按广州市水务工程企业信息库及诚信中心网站（</w:t>
            </w:r>
            <w:r>
              <w:rPr>
                <w:rFonts w:ascii="宋体" w:hAnsi="宋体" w:cs="宋体"/>
                <w:color w:val="auto"/>
                <w:szCs w:val="21"/>
                <w:highlight w:val="none"/>
              </w:rPr>
              <w:t>http://120.236.111.11:8001/#/website</w:t>
            </w:r>
            <w:r>
              <w:rPr>
                <w:rFonts w:hint="eastAsia" w:ascii="宋体" w:hAnsi="宋体" w:cs="宋体"/>
                <w:color w:val="auto"/>
                <w:szCs w:val="21"/>
                <w:highlight w:val="none"/>
              </w:rPr>
              <w:t>）中的“诚信排名&gt;&gt;监理—给排水”的“诚信综合评价”</w:t>
            </w:r>
            <w:r>
              <w:rPr>
                <w:rFonts w:hint="eastAsia" w:ascii="宋体" w:hAnsi="Courier New" w:eastAsia="宋体" w:cs="Times New Roman"/>
                <w:color w:val="auto"/>
                <w:kern w:val="2"/>
                <w:sz w:val="21"/>
                <w:szCs w:val="21"/>
                <w:highlight w:val="none"/>
                <w:lang w:val="en-US" w:eastAsia="zh-CN" w:bidi="ar-SA"/>
              </w:rPr>
              <w:t>中查询；未在“诚信管理系统”录入企业信息的监理企业（简称“未入库企业”），诚信评价总分的计算方法：即“未入库企业”的诚信评价总分=100（市场行为评价分）×20%+75（质量安全管理评价得分）×50%+75（履约评价得分）×30%=80分。诚信评价总分应当采用诚信评价信息系统在招标公告发布第1天所在季度的上一季度公布的分数。</w:t>
            </w:r>
          </w:p>
        </w:tc>
      </w:tr>
    </w:tbl>
    <w:p>
      <w:pPr>
        <w:numPr>
          <w:ilvl w:val="255"/>
          <w:numId w:val="0"/>
        </w:numPr>
        <w:spacing w:line="360" w:lineRule="exact"/>
        <w:ind w:firstLine="420" w:firstLineChars="200"/>
        <w:jc w:val="left"/>
        <w:rPr>
          <w:color w:val="auto"/>
          <w:highlight w:val="none"/>
        </w:rPr>
      </w:pPr>
      <w:r>
        <w:rPr>
          <w:rFonts w:hint="eastAsia"/>
          <w:color w:val="auto"/>
          <w:highlight w:val="none"/>
        </w:rPr>
        <w:t>说明：</w:t>
      </w:r>
    </w:p>
    <w:p>
      <w:pPr>
        <w:spacing w:line="36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w:t>
      </w:r>
      <w:r>
        <w:rPr>
          <w:color w:val="auto"/>
          <w:highlight w:val="none"/>
        </w:rPr>
        <w:t>投标人的</w:t>
      </w:r>
      <w:r>
        <w:rPr>
          <w:rFonts w:hint="eastAsia"/>
          <w:color w:val="auto"/>
          <w:highlight w:val="none"/>
        </w:rPr>
        <w:t>总</w:t>
      </w:r>
      <w:r>
        <w:rPr>
          <w:color w:val="auto"/>
          <w:highlight w:val="none"/>
        </w:rPr>
        <w:t>得分为各评委的评分的算术平均分(分数出现小数点时，保留小数点后二位，第三位小数四舍五入)。</w:t>
      </w:r>
    </w:p>
    <w:p>
      <w:pPr>
        <w:topLinePunct/>
        <w:spacing w:line="36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w:t>
      </w:r>
      <w:r>
        <w:rPr>
          <w:color w:val="auto"/>
          <w:highlight w:val="none"/>
        </w:rPr>
        <w:t>电子投标文件中的证明材料复印件上传件，必须内容清晰可辨，因上传件模糊导致评标时无法判断的，后果由投标人自负。</w:t>
      </w:r>
    </w:p>
    <w:bookmarkEnd w:id="512"/>
    <w:p>
      <w:pPr>
        <w:rPr>
          <w:rFonts w:ascii="Times New Roman" w:hAnsi="Times New Roman"/>
          <w:color w:val="auto"/>
          <w:highlight w:val="none"/>
        </w:rPr>
      </w:pPr>
      <w:bookmarkStart w:id="513" w:name="_Toc89870610"/>
      <w:r>
        <w:rPr>
          <w:rFonts w:ascii="Times New Roman" w:hAnsi="Times New Roman"/>
          <w:color w:val="auto"/>
          <w:highlight w:val="none"/>
        </w:rPr>
        <w:br w:type="page"/>
      </w:r>
    </w:p>
    <w:p>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643" w:firstLineChars="200"/>
        <w:textAlignment w:val="auto"/>
        <w:rPr>
          <w:rFonts w:ascii="Times New Roman" w:hAnsi="Times New Roman"/>
          <w:color w:val="auto"/>
          <w:highlight w:val="none"/>
        </w:rPr>
      </w:pPr>
      <w:bookmarkStart w:id="514" w:name="_Toc12106"/>
      <w:r>
        <w:rPr>
          <w:rFonts w:ascii="Times New Roman" w:hAnsi="Times New Roman"/>
          <w:color w:val="auto"/>
          <w:highlight w:val="none"/>
        </w:rPr>
        <w:t>1. 评标方法</w:t>
      </w:r>
      <w:bookmarkEnd w:id="513"/>
      <w:bookmarkEnd w:id="51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次评标采用综合评估法。评标委员会对满足招标文件实质性要求的投标文件，按照本章规定的评分标准进行打分，并按得分由高到低顺序推荐中标候选人，或根据招标人授权直接确定中标人，但投标报价低于其成本的除</w:t>
      </w:r>
      <w:bookmarkStart w:id="515" w:name="_Toc361508646"/>
      <w:bookmarkStart w:id="516" w:name="_Toc152042375"/>
      <w:bookmarkStart w:id="517" w:name="_Toc144974565"/>
      <w:bookmarkStart w:id="518" w:name="_Toc247527623"/>
      <w:bookmarkStart w:id="519" w:name="_Toc352691533"/>
      <w:bookmarkStart w:id="520" w:name="_Toc4497"/>
      <w:bookmarkStart w:id="521" w:name="_Toc300835008"/>
      <w:bookmarkStart w:id="522" w:name="_Toc369531577"/>
      <w:bookmarkStart w:id="523" w:name="_Toc384308272"/>
      <w:bookmarkStart w:id="524" w:name="_Toc152045598"/>
      <w:bookmarkStart w:id="525" w:name="_Toc247514022"/>
      <w:r>
        <w:rPr>
          <w:rFonts w:ascii="Times New Roman" w:hAnsi="Times New Roman"/>
          <w:color w:val="auto"/>
          <w:sz w:val="24"/>
          <w:szCs w:val="24"/>
          <w:highlight w:val="none"/>
        </w:rPr>
        <w:t>外。综合评分相等时，以投标报价低的优先； 投标报价也相等的，以监理大纲得分高的优先；监理大纲得分也相等的，以资信业绩得分高的优先；如果仍存在相同情况，由评标委员会采用记名投票方式，以得票多的优先</w:t>
      </w:r>
      <w:bookmarkEnd w:id="515"/>
      <w:bookmarkEnd w:id="516"/>
      <w:bookmarkEnd w:id="517"/>
      <w:bookmarkEnd w:id="518"/>
      <w:bookmarkEnd w:id="519"/>
      <w:bookmarkEnd w:id="520"/>
      <w:bookmarkEnd w:id="521"/>
      <w:bookmarkEnd w:id="522"/>
      <w:bookmarkEnd w:id="523"/>
      <w:bookmarkEnd w:id="524"/>
      <w:bookmarkEnd w:id="525"/>
      <w:r>
        <w:rPr>
          <w:rFonts w:hint="eastAsia" w:ascii="Times New Roman" w:hAnsi="Times New Roman"/>
          <w:color w:val="auto"/>
          <w:sz w:val="24"/>
          <w:szCs w:val="24"/>
          <w:highlight w:val="none"/>
        </w:rPr>
        <w:t>。</w:t>
      </w:r>
    </w:p>
    <w:p>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643" w:firstLineChars="200"/>
        <w:textAlignment w:val="auto"/>
        <w:rPr>
          <w:rFonts w:ascii="Times New Roman" w:hAnsi="Times New Roman"/>
          <w:color w:val="auto"/>
          <w:highlight w:val="none"/>
        </w:rPr>
      </w:pPr>
      <w:bookmarkStart w:id="526" w:name="_Toc12639"/>
      <w:bookmarkStart w:id="527" w:name="_Toc89870611"/>
      <w:r>
        <w:rPr>
          <w:rFonts w:ascii="Times New Roman" w:hAnsi="Times New Roman"/>
          <w:color w:val="auto"/>
          <w:highlight w:val="none"/>
        </w:rPr>
        <w:t>2. 评审标准</w:t>
      </w:r>
      <w:bookmarkEnd w:id="526"/>
      <w:bookmarkEnd w:id="527"/>
    </w:p>
    <w:p>
      <w:pPr>
        <w:pStyle w:val="5"/>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ascii="Times New Roman" w:hAnsi="Times New Roman"/>
          <w:color w:val="auto"/>
          <w:highlight w:val="none"/>
        </w:rPr>
      </w:pPr>
      <w:bookmarkStart w:id="528" w:name="_Toc12889"/>
      <w:bookmarkStart w:id="529" w:name="_Toc89870612"/>
      <w:r>
        <w:rPr>
          <w:rFonts w:ascii="Times New Roman" w:hAnsi="Times New Roman"/>
          <w:color w:val="auto"/>
          <w:highlight w:val="none"/>
        </w:rPr>
        <w:t>2.1 初步评审标准</w:t>
      </w:r>
      <w:bookmarkEnd w:id="528"/>
      <w:bookmarkEnd w:id="52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2.1.1 形式评审标准：见评标办法前附表。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2.1.2 资格评审标准：见评标办法前附表。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highlight w:val="none"/>
        </w:rPr>
      </w:pPr>
      <w:r>
        <w:rPr>
          <w:rFonts w:ascii="Times New Roman" w:hAnsi="Times New Roman"/>
          <w:color w:val="auto"/>
          <w:sz w:val="24"/>
          <w:szCs w:val="24"/>
          <w:highlight w:val="none"/>
        </w:rPr>
        <w:t>2.1.3 响应性评审标准：见评标办法前附表。</w:t>
      </w:r>
    </w:p>
    <w:p>
      <w:pPr>
        <w:pStyle w:val="5"/>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ascii="Times New Roman" w:hAnsi="Times New Roman"/>
          <w:color w:val="auto"/>
          <w:highlight w:val="none"/>
        </w:rPr>
      </w:pPr>
      <w:bookmarkStart w:id="530" w:name="_Toc28526"/>
      <w:bookmarkStart w:id="531" w:name="_Toc89870613"/>
      <w:r>
        <w:rPr>
          <w:rFonts w:ascii="Times New Roman" w:hAnsi="Times New Roman"/>
          <w:color w:val="auto"/>
          <w:highlight w:val="none"/>
        </w:rPr>
        <w:t>2.2 分值构成与评分标准</w:t>
      </w:r>
      <w:bookmarkEnd w:id="530"/>
      <w:bookmarkEnd w:id="531"/>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2.2.1 分值构成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（1）资信业绩部分：见评标办法前附表；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（2）监理大纲部分：见评标办法前附表；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（4）其他评分因素：见评标办法前附表。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2.2.2 评标基准价计算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评标基准价计算方法：见评标办法前附表。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2.2.3 投标报价的偏差率计算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投标报价的偏差率计算公式：见评标办法前附表。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2.2.4 评分标准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（1）资信业绩评分标准：见评标办法前附表；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（2）监理大纲评分标准：见评标办法前附表；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（3）投标报价评分标准：见评标办法前附表；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（4）其他因素评分标准：见评标办法前附表。</w:t>
      </w:r>
    </w:p>
    <w:p>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643" w:firstLineChars="200"/>
        <w:textAlignment w:val="auto"/>
        <w:rPr>
          <w:rFonts w:ascii="Times New Roman" w:hAnsi="Times New Roman"/>
          <w:color w:val="auto"/>
          <w:highlight w:val="none"/>
        </w:rPr>
      </w:pPr>
      <w:bookmarkStart w:id="532" w:name="_Toc14100"/>
      <w:bookmarkStart w:id="533" w:name="_Toc89870614"/>
      <w:r>
        <w:rPr>
          <w:rFonts w:ascii="Times New Roman" w:hAnsi="Times New Roman"/>
          <w:color w:val="auto"/>
          <w:highlight w:val="none"/>
        </w:rPr>
        <w:t>3. 评标程序</w:t>
      </w:r>
      <w:bookmarkEnd w:id="532"/>
      <w:bookmarkEnd w:id="533"/>
    </w:p>
    <w:p>
      <w:pPr>
        <w:pStyle w:val="5"/>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ascii="Times New Roman" w:hAnsi="Times New Roman"/>
          <w:color w:val="auto"/>
          <w:highlight w:val="none"/>
        </w:rPr>
      </w:pPr>
      <w:bookmarkStart w:id="534" w:name="_Toc89870616"/>
      <w:bookmarkStart w:id="535" w:name="_Toc26268"/>
      <w:r>
        <w:rPr>
          <w:rFonts w:ascii="Times New Roman" w:hAnsi="Times New Roman"/>
          <w:color w:val="auto"/>
          <w:highlight w:val="none"/>
        </w:rPr>
        <w:t>3.1 初步评审</w:t>
      </w:r>
      <w:bookmarkEnd w:id="534"/>
      <w:bookmarkEnd w:id="535"/>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3.1.1 评标委员会可以要求投标人提交第二章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投标人须知</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规定的有关证明和证件的原件，以便核验。评标委员会依据本章第2.1款规定的标准对投标文件进行初步评审。有一项不符合评审标准的，评标委员会应当否决其投标。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3.1.2 投标人有以下情形之一的，评标委员会应当否决其投标：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（1）投标文件没有对招标文件的实质性要求和条件作出响应，或者对招标文件的偏差超出招标文件规定的偏差范围或最高项数；</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（2）有串通投标、弄虚作假、行贿等违法行为。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3.1.3 投标报价有算术错误及其他错误的，评标委员会按以下原则要求投标人对投标报价进</w:t>
      </w:r>
      <w:bookmarkStart w:id="536" w:name="_Toc247527628"/>
      <w:bookmarkStart w:id="537" w:name="_Toc361508651"/>
      <w:bookmarkStart w:id="538" w:name="_Toc300835013"/>
      <w:bookmarkStart w:id="539" w:name="_Toc152045603"/>
      <w:bookmarkStart w:id="540" w:name="_Toc352691538"/>
      <w:bookmarkStart w:id="541" w:name="_Toc384308277"/>
      <w:bookmarkStart w:id="542" w:name="_Toc144974570"/>
      <w:bookmarkStart w:id="543" w:name="_Toc2907"/>
      <w:bookmarkStart w:id="544" w:name="_Toc152042380"/>
      <w:bookmarkStart w:id="545" w:name="_Toc369531582"/>
      <w:bookmarkStart w:id="546" w:name="_Toc247514027"/>
      <w:r>
        <w:rPr>
          <w:rFonts w:ascii="Times New Roman" w:hAnsi="Times New Roman"/>
          <w:color w:val="auto"/>
          <w:sz w:val="24"/>
          <w:szCs w:val="24"/>
          <w:highlight w:val="none"/>
        </w:rPr>
        <w:t>行修正，并要求投标人书面澄清确认。</w:t>
      </w:r>
      <w:bookmarkEnd w:id="536"/>
      <w:bookmarkEnd w:id="537"/>
      <w:bookmarkEnd w:id="538"/>
      <w:bookmarkEnd w:id="539"/>
      <w:bookmarkEnd w:id="540"/>
      <w:bookmarkEnd w:id="541"/>
      <w:bookmarkEnd w:id="542"/>
      <w:bookmarkEnd w:id="543"/>
      <w:bookmarkEnd w:id="544"/>
      <w:bookmarkEnd w:id="545"/>
      <w:bookmarkEnd w:id="546"/>
      <w:r>
        <w:rPr>
          <w:rFonts w:ascii="Times New Roman" w:hAnsi="Times New Roman"/>
          <w:color w:val="auto"/>
          <w:sz w:val="24"/>
          <w:szCs w:val="24"/>
          <w:highlight w:val="none"/>
        </w:rPr>
        <w:t>投标人拒不澄清确认的，评标委员会应当否决其投标：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（2）总价金额与单价金额不一致的，以单价金额为准，但单价金额小数点有明显错误的除外</w:t>
      </w:r>
      <w:r>
        <w:rPr>
          <w:rFonts w:hint="eastAsia" w:ascii="Times New Roman" w:hAnsi="Times New Roman"/>
          <w:color w:val="auto"/>
          <w:sz w:val="24"/>
          <w:szCs w:val="24"/>
          <w:highlight w:val="none"/>
        </w:rPr>
        <w:t>。</w:t>
      </w:r>
    </w:p>
    <w:p>
      <w:pPr>
        <w:pStyle w:val="5"/>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ascii="Times New Roman" w:hAnsi="Times New Roman"/>
          <w:color w:val="auto"/>
          <w:highlight w:val="none"/>
        </w:rPr>
      </w:pPr>
      <w:bookmarkStart w:id="547" w:name="_Toc89870617"/>
      <w:bookmarkStart w:id="548" w:name="_Toc31492"/>
      <w:r>
        <w:rPr>
          <w:rFonts w:ascii="Times New Roman" w:hAnsi="Times New Roman"/>
          <w:color w:val="auto"/>
          <w:highlight w:val="none"/>
        </w:rPr>
        <w:t>3.2 详细评审</w:t>
      </w:r>
      <w:bookmarkEnd w:id="547"/>
      <w:bookmarkEnd w:id="54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3.2.1 评标委员会按本章第2.2款规定的量化因素和分值进行打分，并计算出综合评估得分。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（1）按本章第2.2.4（1）目规定的评审因素和分值对资信业绩部分计算出得分A；</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（2）按本章第2.2.4（2）目规定的评审因素和分值对监理大纲部分计算出得分B；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（3）按本章第2.2.4（3）目规定的评审因素和</w:t>
      </w:r>
      <w:bookmarkStart w:id="549" w:name="_Toc24330"/>
      <w:bookmarkStart w:id="550" w:name="_Toc144974571"/>
      <w:bookmarkStart w:id="551" w:name="_Toc361508652"/>
      <w:bookmarkStart w:id="552" w:name="_Toc300835014"/>
      <w:bookmarkStart w:id="553" w:name="_Toc152045604"/>
      <w:bookmarkStart w:id="554" w:name="_Toc369531583"/>
      <w:bookmarkStart w:id="555" w:name="_Toc152042381"/>
      <w:bookmarkStart w:id="556" w:name="_Toc384308278"/>
      <w:bookmarkStart w:id="557" w:name="_Toc352691539"/>
      <w:bookmarkStart w:id="558" w:name="_Toc247527629"/>
      <w:bookmarkStart w:id="559" w:name="_Toc247514028"/>
      <w:r>
        <w:rPr>
          <w:rFonts w:ascii="Times New Roman" w:hAnsi="Times New Roman"/>
          <w:color w:val="auto"/>
          <w:sz w:val="24"/>
          <w:szCs w:val="24"/>
          <w:highlight w:val="none"/>
        </w:rPr>
        <w:t>分值对投标报价</w:t>
      </w:r>
      <w:bookmarkEnd w:id="549"/>
      <w:bookmarkEnd w:id="550"/>
      <w:bookmarkEnd w:id="551"/>
      <w:bookmarkEnd w:id="552"/>
      <w:bookmarkEnd w:id="553"/>
      <w:bookmarkEnd w:id="554"/>
      <w:bookmarkEnd w:id="555"/>
      <w:bookmarkEnd w:id="556"/>
      <w:bookmarkEnd w:id="557"/>
      <w:bookmarkEnd w:id="558"/>
      <w:bookmarkEnd w:id="559"/>
      <w:r>
        <w:rPr>
          <w:rFonts w:ascii="Times New Roman" w:hAnsi="Times New Roman"/>
          <w:color w:val="auto"/>
          <w:sz w:val="24"/>
          <w:szCs w:val="24"/>
          <w:highlight w:val="none"/>
        </w:rPr>
        <w:t>计</w:t>
      </w:r>
      <w:bookmarkStart w:id="560" w:name="_Toc384308279"/>
      <w:bookmarkStart w:id="561" w:name="_Toc369531584"/>
      <w:bookmarkStart w:id="562" w:name="_Toc247514029"/>
      <w:bookmarkStart w:id="563" w:name="_Toc144974572"/>
      <w:bookmarkStart w:id="564" w:name="_Toc300835015"/>
      <w:bookmarkStart w:id="565" w:name="_Toc361508653"/>
      <w:bookmarkStart w:id="566" w:name="_Toc352691540"/>
      <w:bookmarkStart w:id="567" w:name="_Toc152045605"/>
      <w:bookmarkStart w:id="568" w:name="_Toc18141"/>
      <w:bookmarkStart w:id="569" w:name="_Toc247527630"/>
      <w:bookmarkStart w:id="570" w:name="_Toc152042382"/>
      <w:r>
        <w:rPr>
          <w:rFonts w:ascii="Times New Roman" w:hAnsi="Times New Roman"/>
          <w:color w:val="auto"/>
          <w:sz w:val="24"/>
          <w:szCs w:val="24"/>
          <w:highlight w:val="none"/>
        </w:rPr>
        <w:t>算出得分C；</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auto"/>
          <w:highlight w:val="none"/>
        </w:rPr>
      </w:pPr>
      <w:r>
        <w:rPr>
          <w:rFonts w:hint="eastAsia" w:ascii="Times New Roman" w:hAnsi="Times New Roman"/>
          <w:color w:val="auto"/>
          <w:sz w:val="24"/>
          <w:szCs w:val="24"/>
          <w:highlight w:val="none"/>
        </w:rPr>
        <w:t>（</w:t>
      </w:r>
      <w:r>
        <w:rPr>
          <w:rFonts w:hint="eastAsia"/>
          <w:color w:val="auto"/>
          <w:sz w:val="24"/>
          <w:szCs w:val="24"/>
          <w:highlight w:val="none"/>
        </w:rPr>
        <w:t>4）</w:t>
      </w:r>
      <w:r>
        <w:rPr>
          <w:rFonts w:ascii="Times New Roman" w:hAnsi="Times New Roman"/>
          <w:color w:val="auto"/>
          <w:sz w:val="24"/>
          <w:szCs w:val="24"/>
          <w:highlight w:val="none"/>
        </w:rPr>
        <w:t>按本章第2.2.4（</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）目规定的评审因素和分值对其他因素计算出得分</w:t>
      </w:r>
      <w:r>
        <w:rPr>
          <w:rFonts w:hint="eastAsia" w:ascii="Times New Roman" w:hAnsi="Times New Roman"/>
          <w:color w:val="auto"/>
          <w:sz w:val="24"/>
          <w:szCs w:val="24"/>
          <w:highlight w:val="none"/>
        </w:rPr>
        <w:t>D。</w:t>
      </w:r>
    </w:p>
    <w:bookmarkEnd w:id="560"/>
    <w:bookmarkEnd w:id="561"/>
    <w:bookmarkEnd w:id="562"/>
    <w:bookmarkEnd w:id="563"/>
    <w:bookmarkEnd w:id="564"/>
    <w:bookmarkEnd w:id="565"/>
    <w:bookmarkEnd w:id="566"/>
    <w:bookmarkEnd w:id="567"/>
    <w:bookmarkEnd w:id="568"/>
    <w:bookmarkEnd w:id="569"/>
    <w:bookmarkEnd w:id="570"/>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3.2.2 评分分值计算保留小数点后两位，小数点后第三位</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四舍五入</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u w:val="single"/>
        </w:rPr>
      </w:pPr>
      <w:r>
        <w:rPr>
          <w:rFonts w:ascii="Times New Roman" w:hAnsi="Times New Roman"/>
          <w:color w:val="auto"/>
          <w:sz w:val="24"/>
          <w:szCs w:val="24"/>
          <w:highlight w:val="none"/>
        </w:rPr>
        <w:t>3.2.3</w:t>
      </w:r>
      <w:r>
        <w:rPr>
          <w:rFonts w:hint="eastAsia" w:ascii="Times New Roman" w:hAnsi="Times New Roman"/>
          <w:color w:val="auto"/>
          <w:sz w:val="24"/>
          <w:szCs w:val="24"/>
          <w:highlight w:val="none"/>
          <w:u w:val="single"/>
        </w:rPr>
        <w:t>投标人总得分＝A+B+C</w:t>
      </w:r>
      <w:r>
        <w:rPr>
          <w:rFonts w:ascii="Times New Roman" w:hAnsi="Times New Roman"/>
          <w:color w:val="auto"/>
          <w:sz w:val="24"/>
          <w:szCs w:val="24"/>
          <w:highlight w:val="none"/>
          <w:u w:val="single"/>
        </w:rPr>
        <w:t>+D</w:t>
      </w:r>
      <w:r>
        <w:rPr>
          <w:color w:val="auto"/>
          <w:highlight w:val="none"/>
          <w:u w:val="single"/>
        </w:rPr>
        <w:t>（分数出现小数点时，保留小数点后二位，第三位小数四舍五入）。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ascii="Times New Roman" w:hAnsi="Times New Roman"/>
          <w:color w:val="auto"/>
          <w:highlight w:val="none"/>
        </w:rPr>
      </w:pPr>
      <w:bookmarkStart w:id="571" w:name="_Toc29055"/>
      <w:bookmarkStart w:id="572" w:name="_Toc89870618"/>
      <w:r>
        <w:rPr>
          <w:rFonts w:ascii="Times New Roman" w:hAnsi="Times New Roman"/>
          <w:color w:val="auto"/>
          <w:highlight w:val="none"/>
        </w:rPr>
        <w:t>3.3 投标文件的澄清</w:t>
      </w:r>
      <w:bookmarkEnd w:id="571"/>
      <w:bookmarkEnd w:id="572"/>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3.3.2 澄清、说明或补正不得超出投标文件的范围且不得改变投标文件的实质性内容，并构成投标文件的组成部分。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3.3.3 评标委员会对投标人提交的澄清、说明或补正有疑问的，可以要求投标人进一步澄清、说明或补正，直至满足评标委员会的要求。</w:t>
      </w:r>
    </w:p>
    <w:p>
      <w:pPr>
        <w:pStyle w:val="5"/>
        <w:keepNext w:val="0"/>
        <w:keepLines w:val="0"/>
        <w:pageBreakBefore w:val="0"/>
        <w:widowControl w:val="0"/>
        <w:kinsoku/>
        <w:wordWrap/>
        <w:overflowPunct/>
        <w:topLinePunct w:val="0"/>
        <w:autoSpaceDE/>
        <w:autoSpaceDN/>
        <w:bidi w:val="0"/>
        <w:adjustRightInd/>
        <w:snapToGrid w:val="0"/>
        <w:spacing w:before="0" w:after="0" w:line="360" w:lineRule="auto"/>
        <w:ind w:firstLine="560" w:firstLineChars="200"/>
        <w:textAlignment w:val="auto"/>
        <w:rPr>
          <w:rFonts w:ascii="Times New Roman" w:hAnsi="Times New Roman"/>
          <w:color w:val="auto"/>
          <w:highlight w:val="none"/>
        </w:rPr>
      </w:pPr>
      <w:bookmarkStart w:id="573" w:name="_Toc23784"/>
      <w:bookmarkStart w:id="574" w:name="_Toc89870619"/>
      <w:r>
        <w:rPr>
          <w:rFonts w:ascii="Times New Roman" w:hAnsi="Times New Roman"/>
          <w:color w:val="auto"/>
          <w:highlight w:val="none"/>
        </w:rPr>
        <w:t>3.4 评标结果</w:t>
      </w:r>
      <w:bookmarkEnd w:id="573"/>
      <w:bookmarkEnd w:id="57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3.4.1 除第二章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投标人须知</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前附表授权直接确定中标人外，评标委员会按照得分由高到低的顺序推荐中标候选人，并标明排序。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3.4.2 评标委员会完成评标后，应当向招标人提交书面评标报告和中标候选人名单。</w:t>
      </w:r>
    </w:p>
    <w:p>
      <w:pPr>
        <w:rPr>
          <w:color w:val="auto"/>
          <w:highlight w:val="none"/>
        </w:rPr>
      </w:pPr>
      <w:bookmarkStart w:id="575" w:name="_Toc89870620"/>
      <w:bookmarkStart w:id="576" w:name="_Toc12366"/>
      <w:r>
        <w:rPr>
          <w:color w:val="auto"/>
          <w:highlight w:val="none"/>
        </w:rPr>
        <w:br w:type="page"/>
      </w:r>
    </w:p>
    <w:p>
      <w:pPr>
        <w:pStyle w:val="3"/>
        <w:keepNext w:val="0"/>
        <w:keepLines w:val="0"/>
        <w:spacing w:before="100" w:after="100" w:line="360" w:lineRule="auto"/>
        <w:jc w:val="center"/>
        <w:rPr>
          <w:color w:val="auto"/>
          <w:highlight w:val="none"/>
        </w:rPr>
      </w:pPr>
      <w:bookmarkStart w:id="577" w:name="_Toc10459"/>
      <w:r>
        <w:rPr>
          <w:color w:val="auto"/>
          <w:highlight w:val="none"/>
        </w:rPr>
        <w:t>第四章</w:t>
      </w:r>
      <w:r>
        <w:rPr>
          <w:rFonts w:hint="eastAsia"/>
          <w:color w:val="auto"/>
          <w:highlight w:val="none"/>
        </w:rPr>
        <w:t xml:space="preserve"> </w:t>
      </w:r>
      <w:r>
        <w:rPr>
          <w:color w:val="auto"/>
          <w:highlight w:val="none"/>
        </w:rPr>
        <w:t>合同条款及格式</w:t>
      </w:r>
      <w:bookmarkEnd w:id="575"/>
      <w:bookmarkEnd w:id="576"/>
      <w:bookmarkEnd w:id="577"/>
    </w:p>
    <w:p>
      <w:pPr>
        <w:pStyle w:val="5"/>
        <w:spacing w:before="0" w:after="0"/>
        <w:ind w:firstLine="1410" w:firstLineChars="200"/>
        <w:rPr>
          <w:color w:val="auto"/>
          <w:highlight w:val="none"/>
        </w:rPr>
      </w:pPr>
      <w:bookmarkStart w:id="578" w:name="_Toc11947"/>
      <w:r>
        <w:rPr>
          <w:rFonts w:hint="eastAsia"/>
          <w:color w:val="auto"/>
          <w:w w:val="98"/>
          <w:sz w:val="72"/>
          <w:szCs w:val="72"/>
          <w:highlight w:val="none"/>
        </w:rPr>
        <w:t>建设工程监理合同</w:t>
      </w:r>
      <w:bookmarkEnd w:id="578"/>
    </w:p>
    <w:p>
      <w:pPr>
        <w:ind w:firstLine="0" w:firstLineChars="0"/>
        <w:rPr>
          <w:b/>
          <w:color w:val="auto"/>
          <w:sz w:val="32"/>
          <w:highlight w:val="none"/>
        </w:rPr>
      </w:pPr>
    </w:p>
    <w:p>
      <w:pPr>
        <w:ind w:firstLine="643" w:firstLineChars="200"/>
        <w:rPr>
          <w:b/>
          <w:color w:val="auto"/>
          <w:sz w:val="32"/>
          <w:highlight w:val="none"/>
        </w:rPr>
      </w:pPr>
    </w:p>
    <w:p>
      <w:pPr>
        <w:ind w:firstLine="1285" w:firstLineChars="400"/>
        <w:rPr>
          <w:color w:val="auto"/>
          <w:sz w:val="28"/>
          <w:highlight w:val="none"/>
        </w:rPr>
      </w:pPr>
      <w:r>
        <w:rPr>
          <w:b/>
          <w:color w:val="auto"/>
          <w:sz w:val="32"/>
          <w:highlight w:val="none"/>
        </w:rPr>
        <w:t>合同编号：</w:t>
      </w:r>
      <w:r>
        <w:rPr>
          <w:color w:val="auto"/>
          <w:sz w:val="28"/>
          <w:highlight w:val="none"/>
        </w:rPr>
        <w:t xml:space="preserve"> </w:t>
      </w:r>
    </w:p>
    <w:p>
      <w:pPr>
        <w:pStyle w:val="11"/>
        <w:spacing w:after="0"/>
        <w:ind w:firstLine="420" w:firstLineChars="200"/>
        <w:rPr>
          <w:color w:val="auto"/>
          <w:highlight w:val="none"/>
        </w:rPr>
      </w:pPr>
    </w:p>
    <w:p>
      <w:pPr>
        <w:pStyle w:val="2"/>
        <w:rPr>
          <w:color w:val="auto"/>
          <w:sz w:val="28"/>
          <w:highlight w:val="none"/>
        </w:rPr>
      </w:pPr>
    </w:p>
    <w:p>
      <w:pPr>
        <w:rPr>
          <w:color w:val="auto"/>
          <w:sz w:val="28"/>
          <w:highlight w:val="none"/>
        </w:rPr>
      </w:pPr>
    </w:p>
    <w:p>
      <w:pPr>
        <w:pStyle w:val="8"/>
        <w:rPr>
          <w:color w:val="auto"/>
          <w:sz w:val="28"/>
          <w:highlight w:val="none"/>
        </w:rPr>
      </w:pPr>
    </w:p>
    <w:p>
      <w:pPr>
        <w:rPr>
          <w:color w:val="auto"/>
          <w:sz w:val="28"/>
          <w:highlight w:val="none"/>
        </w:rPr>
      </w:pPr>
    </w:p>
    <w:p>
      <w:pPr>
        <w:pStyle w:val="8"/>
        <w:rPr>
          <w:color w:val="auto"/>
          <w:sz w:val="28"/>
          <w:highlight w:val="none"/>
        </w:rPr>
      </w:pPr>
    </w:p>
    <w:p>
      <w:pPr>
        <w:rPr>
          <w:color w:val="auto"/>
          <w:sz w:val="28"/>
          <w:highlight w:val="none"/>
        </w:rPr>
      </w:pPr>
    </w:p>
    <w:p>
      <w:pPr>
        <w:pStyle w:val="8"/>
        <w:rPr>
          <w:color w:val="auto"/>
          <w:sz w:val="28"/>
          <w:highlight w:val="none"/>
        </w:rPr>
      </w:pPr>
    </w:p>
    <w:p>
      <w:pPr>
        <w:rPr>
          <w:color w:val="auto"/>
          <w:sz w:val="28"/>
          <w:highlight w:val="none"/>
        </w:rPr>
      </w:pPr>
    </w:p>
    <w:p>
      <w:pPr>
        <w:pStyle w:val="8"/>
        <w:rPr>
          <w:color w:val="auto"/>
          <w:highlight w:val="none"/>
        </w:rPr>
      </w:pPr>
    </w:p>
    <w:p>
      <w:pPr>
        <w:rPr>
          <w:color w:val="auto"/>
          <w:highlight w:val="none"/>
        </w:rPr>
      </w:pPr>
    </w:p>
    <w:p>
      <w:pPr>
        <w:pStyle w:val="2"/>
        <w:rPr>
          <w:color w:val="auto"/>
          <w:sz w:val="28"/>
          <w:highlight w:val="none"/>
        </w:rPr>
      </w:pPr>
    </w:p>
    <w:p>
      <w:pPr>
        <w:pStyle w:val="2"/>
        <w:rPr>
          <w:color w:val="auto"/>
          <w:highlight w:val="none"/>
        </w:rPr>
      </w:pPr>
    </w:p>
    <w:p>
      <w:pPr>
        <w:rPr>
          <w:color w:val="auto"/>
          <w:highlight w:val="none"/>
        </w:rPr>
      </w:pPr>
    </w:p>
    <w:p>
      <w:pPr>
        <w:ind w:firstLine="560" w:firstLineChars="200"/>
        <w:rPr>
          <w:color w:val="auto"/>
          <w:sz w:val="28"/>
          <w:highlight w:val="none"/>
        </w:rPr>
      </w:pPr>
      <w:r>
        <w:rPr>
          <w:color w:val="auto"/>
          <w:sz w:val="28"/>
          <w:highlight w:val="none"/>
        </w:rPr>
        <w:t xml:space="preserve"> </w:t>
      </w:r>
    </w:p>
    <w:p>
      <w:pPr>
        <w:ind w:firstLine="560" w:firstLineChars="200"/>
        <w:rPr>
          <w:color w:val="auto"/>
          <w:sz w:val="28"/>
          <w:highlight w:val="none"/>
        </w:rPr>
      </w:pPr>
      <w:r>
        <w:rPr>
          <w:color w:val="auto"/>
          <w:sz w:val="28"/>
          <w:highlight w:val="none"/>
        </w:rPr>
        <w:t xml:space="preserve"> </w:t>
      </w:r>
    </w:p>
    <w:p>
      <w:pPr>
        <w:ind w:firstLine="560" w:firstLineChars="200"/>
        <w:rPr>
          <w:color w:val="auto"/>
          <w:sz w:val="28"/>
          <w:highlight w:val="none"/>
        </w:rPr>
      </w:pPr>
      <w:r>
        <w:rPr>
          <w:color w:val="auto"/>
          <w:sz w:val="28"/>
          <w:highlight w:val="none"/>
        </w:rPr>
        <w:t xml:space="preserve"> </w:t>
      </w:r>
    </w:p>
    <w:p>
      <w:pPr>
        <w:spacing w:line="400" w:lineRule="exact"/>
        <w:ind w:left="1907" w:leftChars="303" w:hanging="1271" w:hangingChars="454"/>
        <w:rPr>
          <w:color w:val="auto"/>
          <w:sz w:val="28"/>
          <w:highlight w:val="none"/>
        </w:rPr>
      </w:pPr>
      <w:r>
        <w:rPr>
          <w:color w:val="auto"/>
          <w:sz w:val="28"/>
          <w:highlight w:val="none"/>
        </w:rPr>
        <w:t>项目名称：</w:t>
      </w:r>
      <w:r>
        <w:rPr>
          <w:rFonts w:hint="eastAsia"/>
          <w:color w:val="auto"/>
          <w:sz w:val="28"/>
          <w:highlight w:val="none"/>
          <w:u w:val="single"/>
        </w:rPr>
        <w:t>增城国家级开发区中新园区基础设施配套中新下沉式再生水厂项目施工监理</w:t>
      </w:r>
      <w:r>
        <w:rPr>
          <w:color w:val="auto"/>
          <w:sz w:val="28"/>
          <w:highlight w:val="none"/>
        </w:rPr>
        <w:t xml:space="preserve">  </w:t>
      </w:r>
    </w:p>
    <w:p>
      <w:pPr>
        <w:spacing w:line="400" w:lineRule="exact"/>
        <w:ind w:left="1907" w:leftChars="303" w:hanging="1271" w:hangingChars="454"/>
        <w:rPr>
          <w:color w:val="auto"/>
          <w:sz w:val="28"/>
          <w:highlight w:val="none"/>
        </w:rPr>
      </w:pPr>
      <w:r>
        <w:rPr>
          <w:color w:val="auto"/>
          <w:sz w:val="28"/>
          <w:highlight w:val="none"/>
        </w:rPr>
        <w:t>委</w:t>
      </w:r>
      <w:r>
        <w:rPr>
          <w:rFonts w:hint="eastAsia"/>
          <w:color w:val="auto"/>
          <w:sz w:val="28"/>
          <w:highlight w:val="none"/>
        </w:rPr>
        <w:t xml:space="preserve"> </w:t>
      </w:r>
      <w:r>
        <w:rPr>
          <w:color w:val="auto"/>
          <w:sz w:val="28"/>
          <w:highlight w:val="none"/>
        </w:rPr>
        <w:t>托</w:t>
      </w:r>
      <w:r>
        <w:rPr>
          <w:rFonts w:hint="eastAsia"/>
          <w:color w:val="auto"/>
          <w:sz w:val="28"/>
          <w:highlight w:val="none"/>
        </w:rPr>
        <w:t xml:space="preserve"> </w:t>
      </w:r>
      <w:r>
        <w:rPr>
          <w:color w:val="auto"/>
          <w:sz w:val="28"/>
          <w:highlight w:val="none"/>
        </w:rPr>
        <w:t>人：</w:t>
      </w:r>
      <w:r>
        <w:rPr>
          <w:rFonts w:hint="eastAsia"/>
          <w:color w:val="auto"/>
          <w:sz w:val="28"/>
          <w:highlight w:val="none"/>
          <w:u w:val="single"/>
        </w:rPr>
        <w:t>广州市增城区水务建设管理所</w:t>
      </w:r>
      <w:r>
        <w:rPr>
          <w:color w:val="auto"/>
          <w:sz w:val="28"/>
          <w:highlight w:val="none"/>
        </w:rPr>
        <w:t xml:space="preserve"> </w:t>
      </w:r>
    </w:p>
    <w:p>
      <w:pPr>
        <w:spacing w:line="400" w:lineRule="exact"/>
        <w:ind w:left="1907" w:leftChars="303" w:hanging="1271" w:hangingChars="454"/>
        <w:rPr>
          <w:color w:val="auto"/>
          <w:sz w:val="28"/>
          <w:highlight w:val="none"/>
        </w:rPr>
      </w:pPr>
      <w:r>
        <w:rPr>
          <w:color w:val="auto"/>
          <w:sz w:val="28"/>
          <w:highlight w:val="none"/>
        </w:rPr>
        <w:t>监</w:t>
      </w:r>
      <w:r>
        <w:rPr>
          <w:rFonts w:hint="eastAsia"/>
          <w:color w:val="auto"/>
          <w:sz w:val="28"/>
          <w:highlight w:val="none"/>
        </w:rPr>
        <w:t xml:space="preserve"> </w:t>
      </w:r>
      <w:r>
        <w:rPr>
          <w:color w:val="auto"/>
          <w:sz w:val="28"/>
          <w:highlight w:val="none"/>
        </w:rPr>
        <w:t>理</w:t>
      </w:r>
      <w:r>
        <w:rPr>
          <w:rFonts w:hint="eastAsia"/>
          <w:color w:val="auto"/>
          <w:sz w:val="28"/>
          <w:highlight w:val="none"/>
        </w:rPr>
        <w:t xml:space="preserve"> </w:t>
      </w:r>
      <w:r>
        <w:rPr>
          <w:color w:val="auto"/>
          <w:sz w:val="28"/>
          <w:highlight w:val="none"/>
        </w:rPr>
        <w:t>人：</w:t>
      </w:r>
      <w:r>
        <w:rPr>
          <w:color w:val="auto"/>
          <w:sz w:val="28"/>
          <w:highlight w:val="none"/>
          <w:u w:val="single"/>
        </w:rPr>
        <w:t xml:space="preserve">        </w:t>
      </w:r>
      <w:r>
        <w:rPr>
          <w:rFonts w:hint="eastAsia"/>
          <w:color w:val="auto"/>
          <w:sz w:val="28"/>
          <w:highlight w:val="none"/>
          <w:u w:val="single"/>
        </w:rPr>
        <w:t xml:space="preserve">             </w:t>
      </w:r>
      <w:r>
        <w:rPr>
          <w:color w:val="auto"/>
          <w:sz w:val="28"/>
          <w:highlight w:val="none"/>
          <w:u w:val="single"/>
        </w:rPr>
        <w:t xml:space="preserve">     </w:t>
      </w:r>
      <w:r>
        <w:rPr>
          <w:color w:val="auto"/>
          <w:sz w:val="28"/>
          <w:highlight w:val="none"/>
        </w:rPr>
        <w:t xml:space="preserve"> </w:t>
      </w:r>
    </w:p>
    <w:p>
      <w:pPr>
        <w:spacing w:line="400" w:lineRule="exact"/>
        <w:ind w:left="1907" w:leftChars="303" w:hanging="1271" w:hangingChars="454"/>
        <w:rPr>
          <w:color w:val="auto"/>
          <w:sz w:val="28"/>
          <w:highlight w:val="none"/>
        </w:rPr>
      </w:pPr>
      <w:r>
        <w:rPr>
          <w:color w:val="auto"/>
          <w:sz w:val="28"/>
          <w:highlight w:val="none"/>
        </w:rPr>
        <w:t>合同签订日期：</w:t>
      </w:r>
      <w:r>
        <w:rPr>
          <w:color w:val="auto"/>
          <w:sz w:val="28"/>
          <w:highlight w:val="none"/>
          <w:u w:val="single"/>
        </w:rPr>
        <w:t xml:space="preserve">        </w:t>
      </w:r>
      <w:r>
        <w:rPr>
          <w:color w:val="auto"/>
          <w:sz w:val="28"/>
          <w:highlight w:val="none"/>
        </w:rPr>
        <w:t xml:space="preserve"> </w:t>
      </w:r>
    </w:p>
    <w:p>
      <w:pPr>
        <w:spacing w:line="400" w:lineRule="exact"/>
        <w:ind w:left="1907" w:leftChars="303" w:hanging="1271" w:hangingChars="454"/>
        <w:rPr>
          <w:color w:val="auto"/>
          <w:sz w:val="28"/>
          <w:highlight w:val="none"/>
        </w:rPr>
      </w:pPr>
      <w:r>
        <w:rPr>
          <w:color w:val="auto"/>
          <w:sz w:val="28"/>
          <w:highlight w:val="none"/>
        </w:rPr>
        <w:t>签订地点：</w:t>
      </w:r>
      <w:r>
        <w:rPr>
          <w:color w:val="auto"/>
          <w:sz w:val="28"/>
          <w:highlight w:val="none"/>
          <w:u w:val="single"/>
        </w:rPr>
        <w:t>广州市增城区</w:t>
      </w:r>
      <w:r>
        <w:rPr>
          <w:color w:val="auto"/>
          <w:sz w:val="28"/>
          <w:highlight w:val="none"/>
        </w:rPr>
        <w:t xml:space="preserve"> </w:t>
      </w:r>
    </w:p>
    <w:p>
      <w:pPr>
        <w:spacing w:line="400" w:lineRule="exact"/>
        <w:ind w:firstLine="560" w:firstLineChars="200"/>
        <w:rPr>
          <w:color w:val="auto"/>
          <w:sz w:val="28"/>
          <w:highlight w:val="none"/>
        </w:rPr>
        <w:sectPr>
          <w:footerReference r:id="rId4" w:type="default"/>
          <w:pgSz w:w="12240" w:h="15840"/>
          <w:pgMar w:top="1440" w:right="1803" w:bottom="1440" w:left="1803" w:header="0" w:footer="623" w:gutter="0"/>
          <w:pgNumType w:fmt="decimal"/>
          <w:cols w:space="720" w:num="1"/>
        </w:sectPr>
      </w:pPr>
    </w:p>
    <w:p>
      <w:pPr>
        <w:pStyle w:val="11"/>
        <w:spacing w:after="0"/>
        <w:ind w:firstLine="0" w:firstLineChars="0"/>
        <w:jc w:val="center"/>
        <w:rPr>
          <w:rFonts w:hint="eastAsia" w:ascii="宋体" w:hAnsi="宋体" w:eastAsia="宋体" w:cs="宋体"/>
          <w:b/>
          <w:bCs/>
          <w:color w:val="auto"/>
          <w:sz w:val="32"/>
          <w:szCs w:val="28"/>
          <w:highlight w:val="none"/>
        </w:rPr>
      </w:pPr>
      <w:r>
        <w:rPr>
          <w:rFonts w:hint="eastAsia" w:ascii="宋体" w:hAnsi="宋体" w:eastAsia="宋体" w:cs="宋体"/>
          <w:b/>
          <w:bCs/>
          <w:color w:val="auto"/>
          <w:sz w:val="32"/>
          <w:szCs w:val="28"/>
          <w:highlight w:val="none"/>
        </w:rPr>
        <w:t>第一章</w:t>
      </w:r>
      <w:r>
        <w:rPr>
          <w:rFonts w:ascii="宋体" w:hAnsi="宋体" w:eastAsia="宋体" w:cs="宋体"/>
          <w:b/>
          <w:bCs/>
          <w:color w:val="auto"/>
          <w:sz w:val="32"/>
          <w:szCs w:val="28"/>
          <w:highlight w:val="none"/>
        </w:rPr>
        <w:t xml:space="preserve"> </w:t>
      </w:r>
      <w:r>
        <w:rPr>
          <w:rFonts w:hint="eastAsia" w:ascii="宋体" w:hAnsi="宋体" w:eastAsia="宋体" w:cs="宋体"/>
          <w:b/>
          <w:bCs/>
          <w:color w:val="auto"/>
          <w:sz w:val="32"/>
          <w:szCs w:val="28"/>
          <w:highlight w:val="none"/>
        </w:rPr>
        <w:t>协议书</w:t>
      </w:r>
    </w:p>
    <w:p>
      <w:pPr>
        <w:pStyle w:val="11"/>
        <w:spacing w:after="0"/>
        <w:ind w:firstLine="0" w:firstLineChars="0"/>
        <w:rPr>
          <w:rFonts w:hint="eastAsia" w:ascii="宋体" w:hAnsi="宋体" w:eastAsia="宋体" w:cs="宋体"/>
          <w:b/>
          <w:bCs/>
          <w:color w:val="auto"/>
          <w:sz w:val="32"/>
          <w:szCs w:val="28"/>
          <w:highlight w:val="none"/>
        </w:rPr>
      </w:pPr>
    </w:p>
    <w:p>
      <w:pPr>
        <w:pStyle w:val="11"/>
        <w:spacing w:after="0"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u w:val="single"/>
        </w:rPr>
        <w:t>广州市增城区水务建设管理所</w:t>
      </w:r>
      <w:r>
        <w:rPr>
          <w:rFonts w:hint="eastAsia" w:ascii="宋体" w:hAnsi="宋体" w:cs="宋体"/>
          <w:color w:val="auto"/>
          <w:sz w:val="24"/>
          <w:szCs w:val="24"/>
          <w:highlight w:val="none"/>
        </w:rPr>
        <w:t>（以下称委托人）与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（以下称监理人）依照《中华人民共和国民法典》、《中华人民共和国建筑法》及其他有关法律、行政法规、部门规章、地方性法规和规章，遵循平等、自愿、公平和诚实信用的原则，双方就</w:t>
      </w:r>
      <w:r>
        <w:rPr>
          <w:rFonts w:hint="eastAsia" w:ascii="宋体" w:hAnsi="宋体"/>
          <w:color w:val="auto"/>
          <w:sz w:val="24"/>
          <w:highlight w:val="none"/>
          <w:u w:val="single"/>
        </w:rPr>
        <w:t>增城国家级开发区中新园区基础设施配套中新下沉式再生水厂项目</w:t>
      </w:r>
      <w:r>
        <w:rPr>
          <w:rFonts w:hint="eastAsia" w:ascii="宋体" w:hAnsi="宋体" w:cs="宋体"/>
          <w:color w:val="auto"/>
          <w:sz w:val="24"/>
          <w:szCs w:val="24"/>
          <w:highlight w:val="none"/>
        </w:rPr>
        <w:t>委托监理事宜协商一致，订立本合同。</w:t>
      </w:r>
      <w:r>
        <w:rPr>
          <w:rFonts w:hint="eastAsia" w:ascii="宋体" w:hAnsi="宋体" w:cs="宋体"/>
          <w:b/>
          <w:color w:val="auto"/>
          <w:w w:val="99"/>
          <w:sz w:val="24"/>
          <w:szCs w:val="24"/>
          <w:highlight w:val="none"/>
        </w:rPr>
        <w:t xml:space="preserve"> </w:t>
      </w:r>
    </w:p>
    <w:p>
      <w:pPr>
        <w:pStyle w:val="11"/>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一、监理工程概况 </w:t>
      </w:r>
    </w:p>
    <w:p>
      <w:pPr>
        <w:pStyle w:val="33"/>
        <w:numPr>
          <w:ilvl w:val="255"/>
          <w:numId w:val="0"/>
        </w:numPr>
        <w:tabs>
          <w:tab w:val="left" w:pos="119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（1）工程名称：</w:t>
      </w:r>
      <w:r>
        <w:rPr>
          <w:rFonts w:hint="eastAsia" w:ascii="宋体" w:hAnsi="宋体"/>
          <w:color w:val="auto"/>
          <w:sz w:val="24"/>
          <w:highlight w:val="none"/>
          <w:u w:val="single"/>
        </w:rPr>
        <w:t>增城国家级开发区中新园区基础设施配套中新下沉式再生水厂项目</w:t>
      </w:r>
      <w:r>
        <w:rPr>
          <w:rFonts w:hint="eastAsia" w:ascii="宋体" w:hAnsi="宋体" w:cs="宋体"/>
          <w:color w:val="auto"/>
          <w:sz w:val="24"/>
          <w:szCs w:val="24"/>
          <w:highlight w:val="none"/>
        </w:rPr>
        <w:t xml:space="preserve">。 </w:t>
      </w:r>
    </w:p>
    <w:p>
      <w:pPr>
        <w:pStyle w:val="33"/>
        <w:numPr>
          <w:ilvl w:val="255"/>
          <w:numId w:val="0"/>
        </w:numPr>
        <w:tabs>
          <w:tab w:val="left" w:pos="119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（2）工程地点：</w:t>
      </w:r>
      <w:r>
        <w:rPr>
          <w:rFonts w:hint="eastAsia" w:ascii="宋体" w:hAnsi="宋体" w:cs="宋体"/>
          <w:color w:val="auto"/>
          <w:sz w:val="24"/>
          <w:highlight w:val="none"/>
          <w:u w:val="single"/>
        </w:rPr>
        <w:t>项目厂区位于增城区中新镇乌石村，配套泵站位于增城区朱村街。</w:t>
      </w:r>
      <w:r>
        <w:rPr>
          <w:rFonts w:hint="eastAsia" w:ascii="宋体" w:hAnsi="宋体" w:cs="宋体"/>
          <w:color w:val="auto"/>
          <w:sz w:val="24"/>
          <w:szCs w:val="24"/>
          <w:highlight w:val="none"/>
        </w:rPr>
        <w:t xml:space="preserve">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（3）工程规模：</w:t>
      </w:r>
      <w:r>
        <w:rPr>
          <w:rFonts w:hint="eastAsia" w:ascii="宋体" w:hAnsi="宋体" w:eastAsia="宋体" w:cs="Times New Roman"/>
          <w:color w:val="auto"/>
          <w:kern w:val="2"/>
          <w:sz w:val="24"/>
          <w:szCs w:val="22"/>
          <w:highlight w:val="none"/>
          <w:u w:val="single"/>
          <w:lang w:val="en-US" w:eastAsia="zh-CN" w:bidi="ar"/>
        </w:rPr>
        <w:t>(一)新建一座下沉式再生水厂,总污水处理规模20万m³/d,其中一期建设规模为10万m³/d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w:t>
      </w:r>
      <w:r>
        <w:rPr>
          <w:rFonts w:hint="eastAsia" w:ascii="宋体" w:hAnsi="宋体"/>
          <w:color w:val="auto"/>
          <w:sz w:val="24"/>
          <w:highlight w:val="none"/>
        </w:rPr>
        <w:t>。</w:t>
      </w:r>
    </w:p>
    <w:p>
      <w:pPr>
        <w:pStyle w:val="33"/>
        <w:numPr>
          <w:ilvl w:val="255"/>
          <w:numId w:val="0"/>
        </w:numPr>
        <w:tabs>
          <w:tab w:val="left" w:pos="119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（4）工程建安费投资：</w:t>
      </w:r>
      <w:r>
        <w:rPr>
          <w:rFonts w:hint="eastAsia" w:ascii="宋体" w:hAnsi="宋体"/>
          <w:color w:val="auto"/>
          <w:sz w:val="24"/>
          <w:szCs w:val="24"/>
          <w:highlight w:val="none"/>
          <w:u w:val="single"/>
        </w:rPr>
        <w:t>约</w:t>
      </w:r>
      <w:r>
        <w:rPr>
          <w:rFonts w:hint="eastAsia" w:ascii="宋体" w:hAnsi="宋体" w:cs="宋体"/>
          <w:b w:val="0"/>
          <w:bCs w:val="0"/>
          <w:color w:val="auto"/>
          <w:sz w:val="24"/>
          <w:szCs w:val="24"/>
          <w:highlight w:val="none"/>
          <w:u w:val="single"/>
          <w:lang w:eastAsia="zh-CN"/>
        </w:rPr>
        <w:t>63209.72</w:t>
      </w:r>
      <w:r>
        <w:rPr>
          <w:rFonts w:hint="eastAsia" w:ascii="宋体" w:hAnsi="宋体"/>
          <w:color w:val="auto"/>
          <w:sz w:val="24"/>
          <w:szCs w:val="24"/>
          <w:highlight w:val="none"/>
          <w:u w:val="single"/>
        </w:rPr>
        <w:t>万元</w:t>
      </w:r>
      <w:r>
        <w:rPr>
          <w:rFonts w:hint="eastAsia" w:ascii="宋体" w:hAnsi="宋体" w:cs="宋体"/>
          <w:color w:val="auto"/>
          <w:sz w:val="24"/>
          <w:szCs w:val="24"/>
          <w:highlight w:val="none"/>
        </w:rPr>
        <w:t xml:space="preserve">。 </w:t>
      </w:r>
    </w:p>
    <w:p>
      <w:pPr>
        <w:pStyle w:val="33"/>
        <w:numPr>
          <w:ilvl w:val="255"/>
          <w:numId w:val="0"/>
        </w:numPr>
        <w:tabs>
          <w:tab w:val="left" w:pos="1190"/>
        </w:tabs>
        <w:spacing w:line="360" w:lineRule="auto"/>
        <w:ind w:firstLine="472" w:firstLineChars="200"/>
        <w:rPr>
          <w:rFonts w:ascii="宋体" w:hAnsi="宋体"/>
          <w:color w:val="auto"/>
          <w:sz w:val="24"/>
          <w:highlight w:val="none"/>
          <w:u w:val="single"/>
        </w:rPr>
      </w:pPr>
      <w:r>
        <w:rPr>
          <w:rFonts w:hint="eastAsia" w:ascii="宋体" w:hAnsi="宋体" w:cs="宋体"/>
          <w:color w:val="auto"/>
          <w:spacing w:val="-2"/>
          <w:sz w:val="24"/>
          <w:szCs w:val="24"/>
          <w:highlight w:val="none"/>
        </w:rPr>
        <w:t>（5）工程质量标准：</w:t>
      </w:r>
      <w:r>
        <w:rPr>
          <w:rFonts w:hint="eastAsia" w:ascii="宋体" w:hAnsi="宋体"/>
          <w:color w:val="auto"/>
          <w:sz w:val="24"/>
          <w:highlight w:val="none"/>
          <w:u w:val="single"/>
        </w:rPr>
        <w:t>执行国家、地方或行业现行的工程建设质量验收标准及规范，须达到合格标准。</w:t>
      </w:r>
    </w:p>
    <w:p>
      <w:pPr>
        <w:pStyle w:val="33"/>
        <w:numPr>
          <w:ilvl w:val="255"/>
          <w:numId w:val="0"/>
        </w:numPr>
        <w:tabs>
          <w:tab w:val="left" w:pos="119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（6）施工要求：符合设计图纸要求和《中华人民共和国特种设备安全法》、《</w:t>
      </w:r>
      <w:r>
        <w:rPr>
          <w:rFonts w:hint="eastAsia" w:ascii="宋体" w:hAnsi="宋体" w:cs="宋体"/>
          <w:color w:val="auto"/>
          <w:spacing w:val="-3"/>
          <w:sz w:val="24"/>
          <w:szCs w:val="24"/>
          <w:highlight w:val="none"/>
        </w:rPr>
        <w:t>建筑工程施</w:t>
      </w:r>
      <w:r>
        <w:rPr>
          <w:rFonts w:hint="eastAsia" w:ascii="宋体" w:hAnsi="宋体" w:cs="宋体"/>
          <w:color w:val="auto"/>
          <w:spacing w:val="-1"/>
          <w:sz w:val="24"/>
          <w:szCs w:val="24"/>
          <w:highlight w:val="none"/>
        </w:rPr>
        <w:t>工质量验收</w:t>
      </w:r>
      <w:r>
        <w:rPr>
          <w:rFonts w:hint="eastAsia" w:ascii="宋体" w:hAnsi="宋体" w:cs="宋体"/>
          <w:color w:val="auto"/>
          <w:sz w:val="24"/>
          <w:szCs w:val="24"/>
          <w:highlight w:val="none"/>
        </w:rPr>
        <w:t>统一标准》（GB50300—2013）、《建筑设计防火规范》（GB50016－2014）、《给水排水管道工程施工及验收规范》（GB5026</w:t>
      </w:r>
      <w:r>
        <w:rPr>
          <w:rFonts w:hint="eastAsia" w:ascii="宋体" w:hAnsi="宋体" w:cs="宋体"/>
          <w:color w:val="auto"/>
          <w:spacing w:val="-1"/>
          <w:sz w:val="24"/>
          <w:szCs w:val="24"/>
          <w:highlight w:val="none"/>
        </w:rPr>
        <w:t>8－2008）</w:t>
      </w:r>
      <w:r>
        <w:rPr>
          <w:rFonts w:hint="eastAsia" w:ascii="宋体" w:hAnsi="宋体" w:cs="宋体"/>
          <w:color w:val="auto"/>
          <w:spacing w:val="-8"/>
          <w:sz w:val="24"/>
          <w:szCs w:val="24"/>
          <w:highlight w:val="none"/>
        </w:rPr>
        <w:t>等国家、省、市相关法律法规规定、要求及</w:t>
      </w:r>
      <w:r>
        <w:rPr>
          <w:rFonts w:hint="eastAsia" w:ascii="宋体" w:hAnsi="宋体" w:cs="宋体"/>
          <w:color w:val="auto"/>
          <w:sz w:val="24"/>
          <w:szCs w:val="24"/>
          <w:highlight w:val="none"/>
        </w:rPr>
        <w:t xml:space="preserve">行业颁发的工程质量合格标准。 </w:t>
      </w:r>
    </w:p>
    <w:p>
      <w:pPr>
        <w:pStyle w:val="33"/>
        <w:numPr>
          <w:ilvl w:val="255"/>
          <w:numId w:val="0"/>
        </w:numPr>
        <w:spacing w:line="520" w:lineRule="exact"/>
        <w:ind w:firstLine="48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（7）监理人要求：监理人必须按照投标文件的承诺组建现场监理机构，进驻现场开展监理工作，并配备相应的办公和生活设施；否则，将承担相应的违约责任。</w:t>
      </w:r>
    </w:p>
    <w:p>
      <w:pPr>
        <w:tabs>
          <w:tab w:val="left" w:pos="1190"/>
        </w:tabs>
        <w:spacing w:line="52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监理人向委托人承诺：监理人在监理工作中如违反了相关法律、法规、规章、规程等监理制度的，或者本项目被区级以上行政管理部门书面通报三次或以上的，或者所承接的增城区不同水务项目一年内被区级以上行政管理部门书面通报三次或以上的，监理人无条件接受委托人上报建设行政管理部门并停止监理人两年内再参与广州市增城区各级财政投资的所有建设项目的招标活动，并上报省、市主管部门建议取消其参加广州地区省、市重大项目的投标资格，并由委托人予以公告。”如属恶意煽动并造成社会不良影响的，发包人将提请司法部门追究其法律责任。</w:t>
      </w:r>
    </w:p>
    <w:p>
      <w:pPr>
        <w:pStyle w:val="33"/>
        <w:tabs>
          <w:tab w:val="left" w:pos="950"/>
        </w:tabs>
        <w:spacing w:line="41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二、监理报酬 </w:t>
      </w:r>
    </w:p>
    <w:p>
      <w:pPr>
        <w:widowControl/>
        <w:numPr>
          <w:ilvl w:val="255"/>
          <w:numId w:val="0"/>
        </w:numPr>
        <w:tabs>
          <w:tab w:val="left" w:pos="1190"/>
        </w:tabs>
        <w:spacing w:line="41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 监理报酬的计取</w:t>
      </w:r>
    </w:p>
    <w:p>
      <w:pPr>
        <w:widowControl/>
        <w:numPr>
          <w:ilvl w:val="255"/>
          <w:numId w:val="0"/>
        </w:numPr>
        <w:tabs>
          <w:tab w:val="left" w:pos="1190"/>
        </w:tabs>
        <w:spacing w:line="410" w:lineRule="exact"/>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本合同工程监理报酬总额（含增值税）暂定为大写人民币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rPr>
        <w:t xml:space="preserve">       元（小写：    元）</w:t>
      </w:r>
      <w:r>
        <w:rPr>
          <w:rFonts w:hint="eastAsia" w:ascii="宋体" w:hAnsi="宋体" w:cs="宋体"/>
          <w:color w:val="auto"/>
          <w:sz w:val="24"/>
          <w:szCs w:val="24"/>
          <w:highlight w:val="none"/>
        </w:rPr>
        <w:t>，其中不含税金额</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，增值税金额</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w:t>
      </w:r>
    </w:p>
    <w:p>
      <w:pPr>
        <w:widowControl/>
        <w:numPr>
          <w:ilvl w:val="255"/>
          <w:numId w:val="0"/>
        </w:numPr>
        <w:tabs>
          <w:tab w:val="left" w:pos="1190"/>
        </w:tabs>
        <w:spacing w:line="41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2.2.1</w:t>
      </w:r>
      <w:r>
        <w:rPr>
          <w:rFonts w:hint="eastAsia" w:ascii="宋体" w:hAnsi="宋体" w:cs="宋体"/>
          <w:color w:val="auto"/>
          <w:sz w:val="24"/>
          <w:szCs w:val="24"/>
          <w:highlight w:val="none"/>
        </w:rPr>
        <w:t>最终结算监理费按下列二个金额中最低者为准执行。</w:t>
      </w:r>
    </w:p>
    <w:p>
      <w:pPr>
        <w:widowControl/>
        <w:numPr>
          <w:ilvl w:val="255"/>
          <w:numId w:val="0"/>
        </w:numPr>
        <w:tabs>
          <w:tab w:val="left" w:pos="1190"/>
        </w:tabs>
        <w:spacing w:line="410" w:lineRule="exact"/>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（1）以经委托人或委托人委托的第三方审核单位或增城区财政投资评审中心（如有）审定的结算价中建筑安装工程费作为计费基数，计算公式为：参照发改价格[2007]670号文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增城区发展和改革局联合发文（增财【2009】59号）执行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计算的监理收费基价结合各调整系数得到的价格×（1-中标下浮率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其中，</w:t>
      </w:r>
      <w:r>
        <w:rPr>
          <w:rFonts w:hint="eastAsia" w:ascii="宋体" w:hAnsi="宋体" w:cs="宋体"/>
          <w:color w:val="auto"/>
          <w:sz w:val="24"/>
          <w:szCs w:val="24"/>
          <w:highlight w:val="none"/>
          <w:u w:val="single"/>
        </w:rPr>
        <w:t>专业调整系数、工程复杂程度调整系数、高程调整系数</w:t>
      </w:r>
      <w:r>
        <w:rPr>
          <w:rFonts w:hint="eastAsia" w:ascii="宋体" w:hAnsi="宋体" w:cs="宋体"/>
          <w:color w:val="auto"/>
          <w:sz w:val="24"/>
          <w:szCs w:val="24"/>
          <w:highlight w:val="none"/>
          <w:u w:val="single"/>
          <w:lang w:val="en-US" w:eastAsia="zh-CN"/>
        </w:rPr>
        <w:t>参照</w:t>
      </w:r>
      <w:r>
        <w:rPr>
          <w:rFonts w:hint="eastAsia" w:ascii="宋体" w:hAnsi="宋体" w:cs="宋体"/>
          <w:color w:val="auto"/>
          <w:sz w:val="24"/>
          <w:szCs w:val="24"/>
          <w:highlight w:val="none"/>
          <w:u w:val="single"/>
        </w:rPr>
        <w:t>发改价格[2007]670号文</w:t>
      </w:r>
      <w:r>
        <w:rPr>
          <w:rFonts w:hint="eastAsia" w:ascii="宋体" w:hAnsi="宋体" w:cs="宋体"/>
          <w:color w:val="auto"/>
          <w:sz w:val="24"/>
          <w:szCs w:val="24"/>
          <w:highlight w:val="none"/>
          <w:u w:val="single"/>
          <w:lang w:val="en-US" w:eastAsia="zh-CN"/>
        </w:rPr>
        <w:t>规定执行</w:t>
      </w:r>
      <w:r>
        <w:rPr>
          <w:rFonts w:hint="eastAsia" w:ascii="宋体" w:hAnsi="宋体" w:cs="宋体"/>
          <w:color w:val="auto"/>
          <w:sz w:val="24"/>
          <w:szCs w:val="24"/>
          <w:highlight w:val="none"/>
        </w:rPr>
        <w:t>。</w:t>
      </w:r>
    </w:p>
    <w:p>
      <w:pPr>
        <w:widowControl/>
        <w:numPr>
          <w:ilvl w:val="255"/>
          <w:numId w:val="0"/>
        </w:numPr>
        <w:tabs>
          <w:tab w:val="left" w:pos="1190"/>
        </w:tabs>
        <w:spacing w:line="410" w:lineRule="exact"/>
        <w:ind w:firstLine="480" w:firstLineChars="200"/>
        <w:jc w:val="left"/>
        <w:rPr>
          <w:rFonts w:hint="eastAsia" w:eastAsia="宋体"/>
          <w:color w:val="auto"/>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以经委托人或委托人委托的第三方审核单位或增城区财政投资评审中心（如有）审定的</w:t>
      </w:r>
      <w:r>
        <w:rPr>
          <w:rFonts w:hint="eastAsia" w:ascii="宋体" w:hAnsi="宋体" w:cs="宋体"/>
          <w:color w:val="auto"/>
          <w:sz w:val="24"/>
          <w:szCs w:val="24"/>
          <w:highlight w:val="none"/>
          <w:lang w:val="en-US" w:eastAsia="zh-CN"/>
        </w:rPr>
        <w:t>预算</w:t>
      </w:r>
      <w:r>
        <w:rPr>
          <w:rFonts w:hint="eastAsia" w:ascii="宋体" w:hAnsi="宋体" w:cs="宋体"/>
          <w:color w:val="auto"/>
          <w:sz w:val="24"/>
          <w:szCs w:val="24"/>
          <w:highlight w:val="none"/>
        </w:rPr>
        <w:t>评审报告中建筑安装工程费作为计费基数，计算公式为：参照发改价格[2007]670号文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增城区发展和改革局联合发文（增财【2009】59号）执行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计算的监理收费基价结合各调整系数得到的价格×（1-中标下浮率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其中，</w:t>
      </w:r>
      <w:r>
        <w:rPr>
          <w:rFonts w:hint="eastAsia" w:ascii="宋体" w:hAnsi="宋体" w:cs="宋体"/>
          <w:color w:val="auto"/>
          <w:sz w:val="24"/>
          <w:szCs w:val="24"/>
          <w:highlight w:val="none"/>
          <w:u w:val="single"/>
        </w:rPr>
        <w:t>专业调整系数、工程复杂程度调整系数、高程调整系数</w:t>
      </w:r>
      <w:r>
        <w:rPr>
          <w:rFonts w:hint="eastAsia" w:ascii="宋体" w:hAnsi="宋体" w:cs="宋体"/>
          <w:color w:val="auto"/>
          <w:sz w:val="24"/>
          <w:szCs w:val="24"/>
          <w:highlight w:val="none"/>
          <w:u w:val="single"/>
          <w:lang w:val="en-US" w:eastAsia="zh-CN"/>
        </w:rPr>
        <w:t>参照</w:t>
      </w:r>
      <w:r>
        <w:rPr>
          <w:rFonts w:hint="eastAsia" w:ascii="宋体" w:hAnsi="宋体" w:cs="宋体"/>
          <w:color w:val="auto"/>
          <w:sz w:val="24"/>
          <w:szCs w:val="24"/>
          <w:highlight w:val="none"/>
          <w:u w:val="single"/>
        </w:rPr>
        <w:t>发改价格[2007]670号文</w:t>
      </w:r>
      <w:r>
        <w:rPr>
          <w:rFonts w:hint="eastAsia" w:ascii="宋体" w:hAnsi="宋体" w:cs="宋体"/>
          <w:color w:val="auto"/>
          <w:sz w:val="24"/>
          <w:szCs w:val="24"/>
          <w:highlight w:val="none"/>
          <w:u w:val="single"/>
          <w:lang w:val="en-US" w:eastAsia="zh-CN"/>
        </w:rPr>
        <w:t>规定执行</w:t>
      </w:r>
      <w:r>
        <w:rPr>
          <w:rFonts w:hint="eastAsia" w:ascii="宋体" w:hAnsi="宋体" w:cs="宋体"/>
          <w:color w:val="auto"/>
          <w:sz w:val="24"/>
          <w:szCs w:val="24"/>
          <w:highlight w:val="none"/>
        </w:rPr>
        <w:t>。</w:t>
      </w:r>
    </w:p>
    <w:p>
      <w:pPr>
        <w:pStyle w:val="8"/>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2.1.2在本合同约定的监理范围内，监理人不得以任何理由要求附加工作的额外工作的监理报酬。</w:t>
      </w:r>
    </w:p>
    <w:p>
      <w:pPr>
        <w:pStyle w:val="8"/>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2.1.2在本合同约定的监理范围内，当工程量增加、或设计变更、或设计变化、或设计规模变化时，监理人工作的变化均应视为本合同约定的监理工作。</w:t>
      </w:r>
    </w:p>
    <w:p>
      <w:pPr>
        <w:pStyle w:val="8"/>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2.1.3除非双方另有约定，本合同约定的服务期间，其各种费率和费用不因物价变动导致监理报酬的增减而给予弥补或调整。</w:t>
      </w:r>
    </w:p>
    <w:p>
      <w:p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2.1.4在本合同约定的监理范围内，非因监理人原因造成工程延期，致使监理服务期出现延长，监理人的责任期也应相应延长，本合同监理报酬总额不作调整，双方另有约定的除外，若因监理人原因造成的工期延期，除监理人的责任期相应延长及监理报酬总额不作调整的同时，委托方保留依据有关法律文件与延期造成的相关损失追究监理人责任的权利。</w:t>
      </w:r>
    </w:p>
    <w:p>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2.1.5如在工程实施期间，因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报酬，监理人不得要求额外的费用及任何形式的补偿。</w:t>
      </w:r>
    </w:p>
    <w:p>
      <w:pPr>
        <w:pStyle w:val="11"/>
        <w:spacing w:after="0" w:line="410" w:lineRule="exact"/>
        <w:ind w:firstLine="480" w:firstLineChars="200"/>
        <w:rPr>
          <w:rFonts w:hint="eastAsia" w:ascii="宋体" w:hAnsi="宋体" w:cs="宋体"/>
          <w:b/>
          <w:color w:val="auto"/>
          <w:spacing w:val="-8"/>
          <w:sz w:val="24"/>
          <w:szCs w:val="24"/>
          <w:highlight w:val="none"/>
        </w:rPr>
      </w:pPr>
      <w:r>
        <w:rPr>
          <w:rFonts w:hint="eastAsia" w:ascii="宋体" w:hAnsi="宋体" w:cs="宋体"/>
          <w:color w:val="auto"/>
          <w:sz w:val="24"/>
          <w:szCs w:val="24"/>
          <w:highlight w:val="none"/>
          <w:lang w:val="en-US" w:eastAsia="zh-CN"/>
        </w:rPr>
        <w:t>2.1.6如在工程实施期间，因任何原因造成本合同工程中间停工而导致监理人必须二次或多次进出场，监理报酬总额将不会因此有所调整，相关费用亦已经包含在本合同监理报酬之中，因工程中间停工而不退场的，监理人可与委托人协商减少驻场监理人员的数量，但本合同监理报酬总额不作调整。</w:t>
      </w:r>
    </w:p>
    <w:p>
      <w:pPr>
        <w:pStyle w:val="11"/>
        <w:spacing w:after="0" w:line="410" w:lineRule="exact"/>
        <w:ind w:firstLine="450" w:firstLineChars="200"/>
        <w:rPr>
          <w:rFonts w:ascii="宋体" w:hAnsi="宋体" w:cs="宋体"/>
          <w:color w:val="auto"/>
          <w:sz w:val="24"/>
          <w:szCs w:val="24"/>
          <w:highlight w:val="none"/>
        </w:rPr>
      </w:pPr>
      <w:r>
        <w:rPr>
          <w:rFonts w:hint="eastAsia" w:ascii="宋体" w:hAnsi="宋体" w:cs="宋体"/>
          <w:b/>
          <w:color w:val="auto"/>
          <w:spacing w:val="-8"/>
          <w:sz w:val="24"/>
          <w:szCs w:val="24"/>
          <w:highlight w:val="none"/>
        </w:rPr>
        <w:t>三、</w:t>
      </w:r>
      <w:r>
        <w:rPr>
          <w:rFonts w:hint="eastAsia" w:ascii="宋体" w:hAnsi="宋体" w:cs="宋体"/>
          <w:color w:val="auto"/>
          <w:spacing w:val="-7"/>
          <w:sz w:val="24"/>
          <w:szCs w:val="24"/>
          <w:highlight w:val="none"/>
        </w:rPr>
        <w:t>本协议书中的有关词语含义与本合同《专用条款》、《标准条款》中赋予它们的定义</w:t>
      </w:r>
      <w:r>
        <w:rPr>
          <w:rFonts w:hint="eastAsia" w:ascii="宋体" w:hAnsi="宋体" w:cs="宋体"/>
          <w:color w:val="auto"/>
          <w:sz w:val="24"/>
          <w:szCs w:val="24"/>
          <w:highlight w:val="none"/>
        </w:rPr>
        <w:t xml:space="preserve">相同。 </w:t>
      </w:r>
    </w:p>
    <w:p>
      <w:pPr>
        <w:pStyle w:val="11"/>
        <w:spacing w:after="0" w:line="410" w:lineRule="exact"/>
        <w:ind w:firstLine="440" w:firstLineChars="200"/>
        <w:rPr>
          <w:rFonts w:ascii="宋体" w:hAnsi="宋体" w:cs="宋体"/>
          <w:color w:val="auto"/>
          <w:sz w:val="24"/>
          <w:szCs w:val="24"/>
          <w:highlight w:val="none"/>
        </w:rPr>
      </w:pPr>
      <w:r>
        <w:rPr>
          <w:rFonts w:hint="eastAsia" w:ascii="宋体" w:hAnsi="宋体" w:cs="宋体"/>
          <w:color w:val="auto"/>
          <w:spacing w:val="-10"/>
          <w:sz w:val="24"/>
          <w:szCs w:val="24"/>
          <w:highlight w:val="none"/>
        </w:rPr>
        <w:t>四、下列文件应被认为是组成本合同的一部分，并互为补充和解释，如各文件存在冲突之</w:t>
      </w:r>
      <w:r>
        <w:rPr>
          <w:rFonts w:hint="eastAsia" w:ascii="宋体" w:hAnsi="宋体" w:cs="宋体"/>
          <w:color w:val="auto"/>
          <w:sz w:val="24"/>
          <w:szCs w:val="24"/>
          <w:highlight w:val="none"/>
        </w:rPr>
        <w:t xml:space="preserve">处，以如下排列次序在前者优先适用： </w:t>
      </w:r>
    </w:p>
    <w:p>
      <w:pPr>
        <w:pStyle w:val="33"/>
        <w:numPr>
          <w:ilvl w:val="255"/>
          <w:numId w:val="0"/>
        </w:numPr>
        <w:tabs>
          <w:tab w:val="left" w:pos="64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（1）本合同履行期间委托人与监理人双方签订的补充合同（协议）或修正文件； </w:t>
      </w:r>
    </w:p>
    <w:p>
      <w:pPr>
        <w:pStyle w:val="33"/>
        <w:numPr>
          <w:ilvl w:val="255"/>
          <w:numId w:val="0"/>
        </w:numPr>
        <w:tabs>
          <w:tab w:val="left" w:pos="64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（2）国家和广东省、广州市、增城区关于</w:t>
      </w:r>
      <w:r>
        <w:rPr>
          <w:rFonts w:hint="eastAsia" w:ascii="宋体" w:hAnsi="宋体"/>
          <w:color w:val="auto"/>
          <w:sz w:val="24"/>
          <w:highlight w:val="none"/>
          <w:u w:val="single"/>
        </w:rPr>
        <w:t>增城国家级开发区中新园区基础设施配套中新下沉式再生水厂项目</w:t>
      </w:r>
      <w:r>
        <w:rPr>
          <w:rFonts w:hint="eastAsia" w:ascii="宋体" w:hAnsi="宋体" w:cs="宋体"/>
          <w:color w:val="auto"/>
          <w:spacing w:val="-4"/>
          <w:sz w:val="24"/>
          <w:szCs w:val="24"/>
          <w:highlight w:val="none"/>
        </w:rPr>
        <w:t>的有关文</w:t>
      </w:r>
      <w:r>
        <w:rPr>
          <w:rFonts w:hint="eastAsia" w:ascii="宋体" w:hAnsi="宋体" w:cs="宋体"/>
          <w:color w:val="auto"/>
          <w:sz w:val="24"/>
          <w:szCs w:val="24"/>
          <w:highlight w:val="none"/>
        </w:rPr>
        <w:t xml:space="preserve">件； </w:t>
      </w:r>
    </w:p>
    <w:p>
      <w:pPr>
        <w:pStyle w:val="33"/>
        <w:numPr>
          <w:ilvl w:val="255"/>
          <w:numId w:val="0"/>
        </w:numPr>
        <w:tabs>
          <w:tab w:val="left" w:pos="64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（3）本协议书； </w:t>
      </w:r>
    </w:p>
    <w:p>
      <w:pPr>
        <w:pStyle w:val="33"/>
        <w:numPr>
          <w:ilvl w:val="255"/>
          <w:numId w:val="0"/>
        </w:numPr>
        <w:tabs>
          <w:tab w:val="left" w:pos="64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（4）中标通知书； </w:t>
      </w:r>
    </w:p>
    <w:p>
      <w:pPr>
        <w:pStyle w:val="33"/>
        <w:numPr>
          <w:ilvl w:val="255"/>
          <w:numId w:val="0"/>
        </w:numPr>
        <w:tabs>
          <w:tab w:val="left" w:pos="64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（5）本合同专用条款； </w:t>
      </w:r>
    </w:p>
    <w:p>
      <w:pPr>
        <w:pStyle w:val="33"/>
        <w:numPr>
          <w:ilvl w:val="255"/>
          <w:numId w:val="0"/>
        </w:numPr>
        <w:tabs>
          <w:tab w:val="left" w:pos="64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（6）本合同附件； </w:t>
      </w:r>
    </w:p>
    <w:p>
      <w:pPr>
        <w:pStyle w:val="33"/>
        <w:numPr>
          <w:ilvl w:val="255"/>
          <w:numId w:val="0"/>
        </w:numPr>
        <w:tabs>
          <w:tab w:val="left" w:pos="64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（7）本合同标准条款； </w:t>
      </w:r>
    </w:p>
    <w:p>
      <w:pPr>
        <w:pStyle w:val="33"/>
        <w:numPr>
          <w:ilvl w:val="255"/>
          <w:numId w:val="0"/>
        </w:numPr>
        <w:tabs>
          <w:tab w:val="left" w:pos="64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（8）本合同监理招标文件（</w:t>
      </w:r>
      <w:r>
        <w:rPr>
          <w:rFonts w:hint="eastAsia" w:ascii="宋体" w:hAnsi="宋体" w:cs="宋体"/>
          <w:color w:val="auto"/>
          <w:spacing w:val="-1"/>
          <w:sz w:val="24"/>
          <w:szCs w:val="24"/>
          <w:highlight w:val="none"/>
        </w:rPr>
        <w:t>含招标文件补充文件、澄清文件、答疑文件等，属本条</w:t>
      </w:r>
      <w:r>
        <w:rPr>
          <w:rFonts w:hint="eastAsia" w:ascii="宋体" w:hAnsi="宋体" w:cs="宋体"/>
          <w:color w:val="auto"/>
          <w:spacing w:val="-30"/>
          <w:sz w:val="24"/>
          <w:szCs w:val="24"/>
          <w:highlight w:val="none"/>
        </w:rPr>
        <w:t xml:space="preserve">第 </w:t>
      </w:r>
      <w:r>
        <w:rPr>
          <w:rFonts w:hint="eastAsia" w:ascii="宋体" w:hAnsi="宋体" w:cs="宋体"/>
          <w:color w:val="auto"/>
          <w:sz w:val="24"/>
          <w:szCs w:val="24"/>
          <w:highlight w:val="none"/>
        </w:rPr>
        <w:t>7</w:t>
      </w:r>
      <w:r>
        <w:rPr>
          <w:rFonts w:hint="eastAsia" w:ascii="宋体" w:hAnsi="宋体" w:cs="宋体"/>
          <w:color w:val="auto"/>
          <w:spacing w:val="-10"/>
          <w:sz w:val="24"/>
          <w:szCs w:val="24"/>
          <w:highlight w:val="none"/>
        </w:rPr>
        <w:t xml:space="preserve"> 项内容的除外</w:t>
      </w:r>
      <w:r>
        <w:rPr>
          <w:rFonts w:hint="eastAsia" w:ascii="宋体" w:hAnsi="宋体" w:cs="宋体"/>
          <w:color w:val="auto"/>
          <w:sz w:val="24"/>
          <w:szCs w:val="24"/>
          <w:highlight w:val="none"/>
        </w:rPr>
        <w:t xml:space="preserve">）； </w:t>
      </w:r>
    </w:p>
    <w:p>
      <w:pPr>
        <w:pStyle w:val="33"/>
        <w:numPr>
          <w:ilvl w:val="255"/>
          <w:numId w:val="0"/>
        </w:numPr>
        <w:tabs>
          <w:tab w:val="left" w:pos="64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（9）本合同监理报价文件（</w:t>
      </w:r>
      <w:r>
        <w:rPr>
          <w:rFonts w:hint="eastAsia" w:ascii="宋体" w:hAnsi="宋体" w:cs="宋体"/>
          <w:color w:val="auto"/>
          <w:spacing w:val="-6"/>
          <w:sz w:val="24"/>
          <w:szCs w:val="24"/>
          <w:highlight w:val="none"/>
        </w:rPr>
        <w:t xml:space="preserve">含澄清等，属本条第 </w:t>
      </w:r>
      <w:r>
        <w:rPr>
          <w:rFonts w:hint="eastAsia" w:ascii="宋体" w:hAnsi="宋体" w:cs="宋体"/>
          <w:color w:val="auto"/>
          <w:sz w:val="24"/>
          <w:szCs w:val="24"/>
          <w:highlight w:val="none"/>
        </w:rPr>
        <w:t>7</w:t>
      </w:r>
      <w:r>
        <w:rPr>
          <w:rFonts w:hint="eastAsia" w:ascii="宋体" w:hAnsi="宋体" w:cs="宋体"/>
          <w:color w:val="auto"/>
          <w:spacing w:val="-9"/>
          <w:sz w:val="24"/>
          <w:szCs w:val="24"/>
          <w:highlight w:val="none"/>
        </w:rPr>
        <w:t xml:space="preserve"> 项内容的除外</w:t>
      </w:r>
      <w:r>
        <w:rPr>
          <w:rFonts w:hint="eastAsia" w:ascii="宋体" w:hAnsi="宋体" w:cs="宋体"/>
          <w:color w:val="auto"/>
          <w:sz w:val="24"/>
          <w:szCs w:val="24"/>
          <w:highlight w:val="none"/>
        </w:rPr>
        <w:t xml:space="preserve">）； </w:t>
      </w:r>
    </w:p>
    <w:p>
      <w:pPr>
        <w:pStyle w:val="33"/>
        <w:numPr>
          <w:ilvl w:val="255"/>
          <w:numId w:val="0"/>
        </w:numPr>
        <w:tabs>
          <w:tab w:val="left" w:pos="131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（10）委托人关于工程管理的各项制度、规定； </w:t>
      </w:r>
    </w:p>
    <w:p>
      <w:pPr>
        <w:pStyle w:val="33"/>
        <w:numPr>
          <w:ilvl w:val="255"/>
          <w:numId w:val="0"/>
        </w:numPr>
        <w:tabs>
          <w:tab w:val="left" w:pos="1310"/>
        </w:tabs>
        <w:spacing w:line="410" w:lineRule="exact"/>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（11）组成本合同的其他文件。 </w:t>
      </w:r>
    </w:p>
    <w:p>
      <w:pPr>
        <w:pStyle w:val="11"/>
        <w:spacing w:after="0" w:line="480" w:lineRule="exact"/>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通过上述顺序解释仍无法明确的事项，由委托人与监理人协商解决；如协商不成，由委托</w:t>
      </w:r>
      <w:r>
        <w:rPr>
          <w:rFonts w:hint="eastAsia" w:ascii="宋体" w:hAnsi="宋体" w:cs="宋体"/>
          <w:color w:val="auto"/>
          <w:sz w:val="24"/>
          <w:szCs w:val="24"/>
          <w:highlight w:val="none"/>
        </w:rPr>
        <w:t xml:space="preserve">人按照公平合理和有利于本合同工程建设的原则作出决定，监理人应无条件执行。 </w:t>
      </w:r>
    </w:p>
    <w:p>
      <w:pPr>
        <w:pStyle w:val="11"/>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五、本合同自委托人、监理人双方法定代表人（或其授权代理人）签字并加盖法人公章或合同专用章之日起生效，本合同的有效期一直至本合同工程质量缺陷责任期满且本合同工程竣工结算完毕并完成工程竣工档案备案后经委托人审定满 60 日并且双方的责任、义务履行完毕时才终止。</w:t>
      </w:r>
    </w:p>
    <w:p>
      <w:pPr>
        <w:pStyle w:val="11"/>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六、本合同一式陆份，委托人、监理人各执叁份。其中正本贰份，副本肆份。</w:t>
      </w:r>
    </w:p>
    <w:p>
      <w:pPr>
        <w:pStyle w:val="11"/>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七、合同未尽事宜，双方另行签订补充协议。补充协议是合同的组成部分。</w:t>
      </w:r>
    </w:p>
    <w:p>
      <w:pPr>
        <w:pStyle w:val="11"/>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八、本合同工程总监理工程师姓名：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；职务（职称）：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；证书编号：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ind w:firstLine="480" w:firstLineChars="200"/>
        <w:rPr>
          <w:rFonts w:ascii="宋体" w:hAnsi="宋体" w:cs="宋体"/>
          <w:color w:val="auto"/>
          <w:sz w:val="24"/>
          <w:szCs w:val="24"/>
          <w:highlight w:val="none"/>
        </w:rPr>
      </w:pPr>
    </w:p>
    <w:tbl>
      <w:tblPr>
        <w:tblStyle w:val="23"/>
        <w:tblW w:w="9377" w:type="dxa"/>
        <w:jc w:val="center"/>
        <w:tblLayout w:type="fixed"/>
        <w:tblCellMar>
          <w:top w:w="0" w:type="dxa"/>
          <w:left w:w="0" w:type="dxa"/>
          <w:bottom w:w="0" w:type="dxa"/>
          <w:right w:w="0" w:type="dxa"/>
        </w:tblCellMar>
      </w:tblPr>
      <w:tblGrid>
        <w:gridCol w:w="3469"/>
        <w:gridCol w:w="1258"/>
        <w:gridCol w:w="3404"/>
        <w:gridCol w:w="1246"/>
      </w:tblGrid>
      <w:tr>
        <w:tblPrEx>
          <w:tblCellMar>
            <w:top w:w="0" w:type="dxa"/>
            <w:left w:w="0" w:type="dxa"/>
            <w:bottom w:w="0" w:type="dxa"/>
            <w:right w:w="0" w:type="dxa"/>
          </w:tblCellMar>
        </w:tblPrEx>
        <w:trPr>
          <w:trHeight w:val="506" w:hRule="atLeast"/>
          <w:jc w:val="center"/>
        </w:trPr>
        <w:tc>
          <w:tcPr>
            <w:tcW w:w="3469"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 （盖公章）</w:t>
            </w:r>
          </w:p>
          <w:p>
            <w:pPr>
              <w:ind w:firstLine="480" w:firstLineChars="200"/>
              <w:rPr>
                <w:rFonts w:ascii="宋体" w:hAnsi="宋体" w:cs="宋体"/>
                <w:color w:val="auto"/>
                <w:sz w:val="24"/>
                <w:szCs w:val="24"/>
                <w:highlight w:val="none"/>
              </w:rPr>
            </w:pPr>
          </w:p>
        </w:tc>
        <w:tc>
          <w:tcPr>
            <w:tcW w:w="1258" w:type="dxa"/>
          </w:tcPr>
          <w:p>
            <w:pPr>
              <w:ind w:firstLine="480" w:firstLineChars="200"/>
              <w:rPr>
                <w:rFonts w:ascii="宋体" w:hAnsi="宋体" w:cs="宋体"/>
                <w:color w:val="auto"/>
                <w:sz w:val="24"/>
                <w:szCs w:val="24"/>
                <w:highlight w:val="none"/>
              </w:rPr>
            </w:pPr>
          </w:p>
        </w:tc>
        <w:tc>
          <w:tcPr>
            <w:tcW w:w="3404"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监理人：（盖公章）</w:t>
            </w:r>
          </w:p>
        </w:tc>
        <w:tc>
          <w:tcPr>
            <w:tcW w:w="1246"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r>
      <w:tr>
        <w:tblPrEx>
          <w:tblCellMar>
            <w:top w:w="0" w:type="dxa"/>
            <w:left w:w="0" w:type="dxa"/>
            <w:bottom w:w="0" w:type="dxa"/>
            <w:right w:w="0" w:type="dxa"/>
          </w:tblCellMar>
        </w:tblPrEx>
        <w:trPr>
          <w:trHeight w:val="558" w:hRule="atLeast"/>
          <w:jc w:val="center"/>
        </w:trPr>
        <w:tc>
          <w:tcPr>
            <w:tcW w:w="3469"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法定代表人（签字）： </w:t>
            </w:r>
          </w:p>
        </w:tc>
        <w:tc>
          <w:tcPr>
            <w:tcW w:w="1258"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3404"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法定代表人（签字）： </w:t>
            </w:r>
          </w:p>
        </w:tc>
        <w:tc>
          <w:tcPr>
            <w:tcW w:w="1246" w:type="dxa"/>
          </w:tcPr>
          <w:p>
            <w:pPr>
              <w:ind w:firstLine="480" w:firstLineChars="200"/>
              <w:rPr>
                <w:rFonts w:ascii="宋体" w:hAnsi="宋体" w:cs="宋体"/>
                <w:color w:val="auto"/>
                <w:sz w:val="24"/>
                <w:szCs w:val="24"/>
                <w:highlight w:val="none"/>
              </w:rPr>
            </w:pPr>
          </w:p>
        </w:tc>
      </w:tr>
      <w:tr>
        <w:tblPrEx>
          <w:tblCellMar>
            <w:top w:w="0" w:type="dxa"/>
            <w:left w:w="0" w:type="dxa"/>
            <w:bottom w:w="0" w:type="dxa"/>
            <w:right w:w="0" w:type="dxa"/>
          </w:tblCellMar>
        </w:tblPrEx>
        <w:trPr>
          <w:trHeight w:val="559" w:hRule="atLeast"/>
          <w:jc w:val="center"/>
        </w:trPr>
        <w:tc>
          <w:tcPr>
            <w:tcW w:w="3469"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授权代理人（签字）： </w:t>
            </w:r>
          </w:p>
        </w:tc>
        <w:tc>
          <w:tcPr>
            <w:tcW w:w="1258"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3404"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授权代理人（签字）： </w:t>
            </w:r>
          </w:p>
        </w:tc>
        <w:tc>
          <w:tcPr>
            <w:tcW w:w="1246"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r>
      <w:tr>
        <w:tblPrEx>
          <w:tblCellMar>
            <w:top w:w="0" w:type="dxa"/>
            <w:left w:w="0" w:type="dxa"/>
            <w:bottom w:w="0" w:type="dxa"/>
            <w:right w:w="0" w:type="dxa"/>
          </w:tblCellMar>
        </w:tblPrEx>
        <w:trPr>
          <w:trHeight w:val="368" w:hRule="atLeast"/>
          <w:jc w:val="center"/>
        </w:trPr>
        <w:tc>
          <w:tcPr>
            <w:tcW w:w="3469"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住所：</w:t>
            </w:r>
          </w:p>
        </w:tc>
        <w:tc>
          <w:tcPr>
            <w:tcW w:w="1258"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3404"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住所：</w:t>
            </w:r>
          </w:p>
        </w:tc>
        <w:tc>
          <w:tcPr>
            <w:tcW w:w="1246" w:type="dxa"/>
          </w:tcPr>
          <w:p>
            <w:pPr>
              <w:ind w:firstLine="480" w:firstLineChars="200"/>
              <w:rPr>
                <w:rFonts w:ascii="宋体" w:hAnsi="宋体" w:cs="宋体"/>
                <w:color w:val="auto"/>
                <w:sz w:val="24"/>
                <w:szCs w:val="24"/>
                <w:highlight w:val="none"/>
              </w:rPr>
            </w:pPr>
          </w:p>
        </w:tc>
      </w:tr>
      <w:tr>
        <w:tblPrEx>
          <w:tblCellMar>
            <w:top w:w="0" w:type="dxa"/>
            <w:left w:w="0" w:type="dxa"/>
            <w:bottom w:w="0" w:type="dxa"/>
            <w:right w:w="0" w:type="dxa"/>
          </w:tblCellMar>
        </w:tblPrEx>
        <w:trPr>
          <w:trHeight w:val="368" w:hRule="atLeast"/>
          <w:jc w:val="center"/>
        </w:trPr>
        <w:tc>
          <w:tcPr>
            <w:tcW w:w="3469"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tc>
        <w:tc>
          <w:tcPr>
            <w:tcW w:w="1258"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3404"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tc>
        <w:tc>
          <w:tcPr>
            <w:tcW w:w="1246" w:type="dxa"/>
          </w:tcPr>
          <w:p>
            <w:pPr>
              <w:ind w:firstLine="480" w:firstLineChars="200"/>
              <w:rPr>
                <w:rFonts w:ascii="宋体" w:hAnsi="宋体" w:cs="宋体"/>
                <w:color w:val="auto"/>
                <w:sz w:val="24"/>
                <w:szCs w:val="24"/>
                <w:highlight w:val="none"/>
              </w:rPr>
            </w:pPr>
          </w:p>
        </w:tc>
      </w:tr>
      <w:tr>
        <w:tblPrEx>
          <w:tblCellMar>
            <w:top w:w="0" w:type="dxa"/>
            <w:left w:w="0" w:type="dxa"/>
            <w:bottom w:w="0" w:type="dxa"/>
            <w:right w:w="0" w:type="dxa"/>
          </w:tblCellMar>
        </w:tblPrEx>
        <w:trPr>
          <w:trHeight w:val="368" w:hRule="atLeast"/>
          <w:jc w:val="center"/>
        </w:trPr>
        <w:tc>
          <w:tcPr>
            <w:tcW w:w="3469"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传真： </w:t>
            </w:r>
          </w:p>
        </w:tc>
        <w:tc>
          <w:tcPr>
            <w:tcW w:w="1258"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3404"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传真： </w:t>
            </w:r>
          </w:p>
        </w:tc>
        <w:tc>
          <w:tcPr>
            <w:tcW w:w="1246" w:type="dxa"/>
          </w:tcPr>
          <w:p>
            <w:pPr>
              <w:ind w:firstLine="480" w:firstLineChars="200"/>
              <w:rPr>
                <w:rFonts w:ascii="宋体" w:hAnsi="宋体" w:cs="宋体"/>
                <w:color w:val="auto"/>
                <w:sz w:val="24"/>
                <w:szCs w:val="24"/>
                <w:highlight w:val="none"/>
              </w:rPr>
            </w:pPr>
          </w:p>
        </w:tc>
      </w:tr>
      <w:tr>
        <w:tblPrEx>
          <w:tblCellMar>
            <w:top w:w="0" w:type="dxa"/>
            <w:left w:w="0" w:type="dxa"/>
            <w:bottom w:w="0" w:type="dxa"/>
            <w:right w:w="0" w:type="dxa"/>
          </w:tblCellMar>
        </w:tblPrEx>
        <w:trPr>
          <w:trHeight w:val="368" w:hRule="atLeast"/>
          <w:jc w:val="center"/>
        </w:trPr>
        <w:tc>
          <w:tcPr>
            <w:tcW w:w="3469"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1258"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3404"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1246" w:type="dxa"/>
          </w:tcPr>
          <w:p>
            <w:pPr>
              <w:ind w:firstLine="480" w:firstLineChars="200"/>
              <w:rPr>
                <w:rFonts w:ascii="宋体" w:hAnsi="宋体" w:cs="宋体"/>
                <w:color w:val="auto"/>
                <w:sz w:val="24"/>
                <w:szCs w:val="24"/>
                <w:highlight w:val="none"/>
              </w:rPr>
            </w:pPr>
          </w:p>
        </w:tc>
      </w:tr>
      <w:tr>
        <w:tblPrEx>
          <w:tblCellMar>
            <w:top w:w="0" w:type="dxa"/>
            <w:left w:w="0" w:type="dxa"/>
            <w:bottom w:w="0" w:type="dxa"/>
            <w:right w:w="0" w:type="dxa"/>
          </w:tblCellMar>
        </w:tblPrEx>
        <w:trPr>
          <w:trHeight w:val="102" w:hRule="atLeast"/>
          <w:jc w:val="center"/>
        </w:trPr>
        <w:tc>
          <w:tcPr>
            <w:tcW w:w="3469"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账号</w:t>
            </w:r>
          </w:p>
          <w:p>
            <w:pPr>
              <w:rPr>
                <w:color w:val="auto"/>
                <w:highlight w:val="none"/>
              </w:rPr>
            </w:pPr>
          </w:p>
        </w:tc>
        <w:tc>
          <w:tcPr>
            <w:tcW w:w="1258"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3404" w:type="dxa"/>
          </w:tcPr>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账号：</w:t>
            </w:r>
          </w:p>
        </w:tc>
        <w:tc>
          <w:tcPr>
            <w:tcW w:w="1246" w:type="dxa"/>
          </w:tcPr>
          <w:p>
            <w:pPr>
              <w:pStyle w:val="2"/>
              <w:ind w:firstLine="480" w:firstLineChars="200"/>
              <w:rPr>
                <w:rFonts w:hAnsi="宋体" w:cs="宋体"/>
                <w:color w:val="auto"/>
                <w:sz w:val="24"/>
                <w:szCs w:val="24"/>
                <w:highlight w:val="none"/>
              </w:rPr>
            </w:pPr>
          </w:p>
        </w:tc>
      </w:tr>
    </w:tbl>
    <w:p>
      <w:pPr>
        <w:spacing w:line="254" w:lineRule="exact"/>
        <w:ind w:firstLine="480" w:firstLineChars="200"/>
        <w:rPr>
          <w:rFonts w:ascii="宋体" w:hAnsi="宋体" w:cs="宋体"/>
          <w:color w:val="auto"/>
          <w:sz w:val="24"/>
          <w:szCs w:val="24"/>
          <w:highlight w:val="none"/>
        </w:rPr>
        <w:sectPr>
          <w:footerReference r:id="rId5" w:type="default"/>
          <w:pgSz w:w="12240" w:h="15840"/>
          <w:pgMar w:top="1440" w:right="1803" w:bottom="1440" w:left="1803" w:header="0" w:footer="623" w:gutter="0"/>
          <w:pgNumType w:fmt="decimal"/>
          <w:cols w:space="720" w:num="1"/>
        </w:sectPr>
      </w:pPr>
    </w:p>
    <w:p>
      <w:pPr>
        <w:pStyle w:val="5"/>
        <w:spacing w:before="0" w:after="0"/>
        <w:ind w:firstLine="562" w:firstLineChars="200"/>
        <w:jc w:val="center"/>
        <w:rPr>
          <w:rFonts w:ascii="宋体" w:hAnsi="宋体" w:eastAsia="宋体" w:cs="宋体"/>
          <w:color w:val="auto"/>
          <w:sz w:val="24"/>
          <w:szCs w:val="24"/>
          <w:highlight w:val="none"/>
        </w:rPr>
      </w:pPr>
      <w:bookmarkStart w:id="579" w:name="_Toc23953"/>
      <w:r>
        <w:rPr>
          <w:rFonts w:hint="eastAsia" w:ascii="宋体" w:hAnsi="宋体" w:eastAsia="宋体" w:cs="宋体"/>
          <w:b/>
          <w:bCs/>
          <w:color w:val="auto"/>
          <w:szCs w:val="28"/>
          <w:highlight w:val="none"/>
        </w:rPr>
        <w:t>第二章 标准条款</w:t>
      </w:r>
      <w:bookmarkEnd w:id="579"/>
    </w:p>
    <w:p>
      <w:pPr>
        <w:pStyle w:val="11"/>
        <w:spacing w:after="0"/>
        <w:ind w:firstLine="482" w:firstLineChars="200"/>
        <w:rPr>
          <w:rFonts w:ascii="宋体" w:hAnsi="宋体" w:cs="宋体"/>
          <w:b/>
          <w:color w:val="auto"/>
          <w:sz w:val="24"/>
          <w:szCs w:val="24"/>
          <w:highlight w:val="none"/>
        </w:rPr>
      </w:pPr>
    </w:p>
    <w:p>
      <w:pPr>
        <w:pStyle w:val="7"/>
        <w:spacing w:line="360" w:lineRule="auto"/>
        <w:ind w:left="0" w:firstLine="482" w:firstLineChars="200"/>
        <w:rPr>
          <w:rFonts w:ascii="宋体" w:hAnsi="宋体" w:cs="宋体"/>
          <w:b w:val="0"/>
          <w:color w:val="auto"/>
          <w:highlight w:val="none"/>
        </w:rPr>
      </w:pPr>
      <w:r>
        <w:rPr>
          <w:rFonts w:hint="eastAsia" w:ascii="宋体" w:hAnsi="宋体" w:cs="宋体"/>
          <w:color w:val="auto"/>
          <w:highlight w:val="none"/>
        </w:rPr>
        <w:t>词语定义、适用范围和法规</w:t>
      </w:r>
      <w:r>
        <w:rPr>
          <w:rFonts w:hint="eastAsia" w:ascii="宋体" w:hAnsi="宋体" w:cs="宋体"/>
          <w:b w:val="0"/>
          <w:color w:val="auto"/>
          <w:highlight w:val="none"/>
        </w:rPr>
        <w:t xml:space="preserve">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第一条 </w:t>
      </w:r>
      <w:r>
        <w:rPr>
          <w:rFonts w:hint="eastAsia" w:ascii="宋体" w:hAnsi="宋体" w:cs="宋体"/>
          <w:color w:val="auto"/>
          <w:sz w:val="24"/>
          <w:szCs w:val="24"/>
          <w:highlight w:val="none"/>
        </w:rPr>
        <w:t xml:space="preserve">下列名词和用语，除上下文另有规定外，有如下含义： </w:t>
      </w:r>
    </w:p>
    <w:p>
      <w:pPr>
        <w:pStyle w:val="33"/>
        <w:numPr>
          <w:ilvl w:val="0"/>
          <w:numId w:val="4"/>
        </w:numPr>
        <w:tabs>
          <w:tab w:val="left" w:pos="119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“工程”是指委托人委托实施监理的工程。 </w:t>
      </w:r>
    </w:p>
    <w:p>
      <w:pPr>
        <w:pStyle w:val="33"/>
        <w:numPr>
          <w:ilvl w:val="0"/>
          <w:numId w:val="4"/>
        </w:numPr>
        <w:tabs>
          <w:tab w:val="left" w:pos="119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“委托人”是指委托监理业务的一方以及其合法继承人。 </w:t>
      </w:r>
    </w:p>
    <w:p>
      <w:pPr>
        <w:pStyle w:val="33"/>
        <w:numPr>
          <w:ilvl w:val="0"/>
          <w:numId w:val="4"/>
        </w:numPr>
        <w:tabs>
          <w:tab w:val="left" w:pos="119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“监理人”是指承担监理业务和监理责任的一方以及其合法继承人。 </w:t>
      </w:r>
    </w:p>
    <w:p>
      <w:pPr>
        <w:pStyle w:val="33"/>
        <w:numPr>
          <w:ilvl w:val="0"/>
          <w:numId w:val="4"/>
        </w:numPr>
        <w:tabs>
          <w:tab w:val="left" w:pos="119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“监理机构”是指监理人派驻本合同工程现场实施监理业务的组织。 </w:t>
      </w:r>
    </w:p>
    <w:p>
      <w:pPr>
        <w:pStyle w:val="33"/>
        <w:numPr>
          <w:ilvl w:val="0"/>
          <w:numId w:val="4"/>
        </w:numPr>
        <w:tabs>
          <w:tab w:val="left" w:pos="119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“总监理工程师”是指经委托人同意，由监理人法定代表人书面授权派到监理机构全面履行本合同的全权负责人。</w:t>
      </w:r>
      <w:r>
        <w:rPr>
          <w:rFonts w:ascii="宋体" w:hAnsi="宋体" w:cs="宋体"/>
          <w:color w:val="auto"/>
          <w:sz w:val="24"/>
          <w:szCs w:val="24"/>
          <w:highlight w:val="none"/>
        </w:rPr>
        <w:t xml:space="preserve"> </w:t>
      </w:r>
    </w:p>
    <w:p>
      <w:pPr>
        <w:pStyle w:val="33"/>
        <w:numPr>
          <w:ilvl w:val="0"/>
          <w:numId w:val="4"/>
        </w:numPr>
        <w:tabs>
          <w:tab w:val="left" w:pos="119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“承包人”是指除监理人以外，与委托人就工程建设有关事宜签订合同的当事人。 </w:t>
      </w:r>
    </w:p>
    <w:p>
      <w:pPr>
        <w:pStyle w:val="33"/>
        <w:numPr>
          <w:ilvl w:val="0"/>
          <w:numId w:val="4"/>
        </w:numPr>
        <w:tabs>
          <w:tab w:val="left" w:pos="1190"/>
        </w:tabs>
        <w:spacing w:line="360" w:lineRule="auto"/>
        <w:ind w:left="0" w:firstLine="476"/>
        <w:rPr>
          <w:rFonts w:ascii="宋体" w:hAnsi="宋体" w:cs="宋体"/>
          <w:color w:val="auto"/>
          <w:sz w:val="24"/>
          <w:szCs w:val="24"/>
          <w:highlight w:val="none"/>
        </w:rPr>
      </w:pPr>
      <w:r>
        <w:rPr>
          <w:rFonts w:hint="eastAsia" w:ascii="宋体" w:hAnsi="宋体" w:cs="宋体"/>
          <w:color w:val="auto"/>
          <w:spacing w:val="-1"/>
          <w:sz w:val="24"/>
          <w:szCs w:val="24"/>
          <w:highlight w:val="none"/>
        </w:rPr>
        <w:t>“工程监理的正常工作”是指双方在专用条款中约定，委托人委托的监理工作范围</w:t>
      </w:r>
      <w:r>
        <w:rPr>
          <w:rFonts w:hint="eastAsia" w:ascii="宋体" w:hAnsi="宋体" w:cs="宋体"/>
          <w:color w:val="auto"/>
          <w:sz w:val="24"/>
          <w:szCs w:val="24"/>
          <w:highlight w:val="none"/>
        </w:rPr>
        <w:t xml:space="preserve">和内容。 </w:t>
      </w:r>
    </w:p>
    <w:p>
      <w:pPr>
        <w:pStyle w:val="33"/>
        <w:numPr>
          <w:ilvl w:val="0"/>
          <w:numId w:val="4"/>
        </w:numPr>
        <w:tabs>
          <w:tab w:val="left" w:pos="1190"/>
        </w:tabs>
        <w:spacing w:line="360" w:lineRule="auto"/>
        <w:ind w:left="0" w:firstLine="476"/>
        <w:rPr>
          <w:rFonts w:ascii="宋体" w:hAnsi="宋体" w:cs="宋体"/>
          <w:color w:val="auto"/>
          <w:sz w:val="24"/>
          <w:szCs w:val="24"/>
          <w:highlight w:val="none"/>
        </w:rPr>
      </w:pPr>
      <w:r>
        <w:rPr>
          <w:rFonts w:hint="eastAsia" w:ascii="宋体" w:hAnsi="宋体" w:cs="宋体"/>
          <w:color w:val="auto"/>
          <w:spacing w:val="-1"/>
          <w:sz w:val="24"/>
          <w:szCs w:val="24"/>
          <w:highlight w:val="none"/>
        </w:rPr>
        <w:t>“工程监理的附加工作”是指：①委托人委托监理范围以外，委托人和监理人通过</w:t>
      </w:r>
      <w:r>
        <w:rPr>
          <w:rFonts w:hint="eastAsia" w:ascii="宋体" w:hAnsi="宋体" w:cs="宋体"/>
          <w:color w:val="auto"/>
          <w:spacing w:val="-7"/>
          <w:sz w:val="24"/>
          <w:szCs w:val="24"/>
          <w:highlight w:val="none"/>
        </w:rPr>
        <w:t>书面协议另外增加的工作内容；②由于委托人或承包人原因，使监理工作受到阻碍或延误，因</w:t>
      </w:r>
      <w:r>
        <w:rPr>
          <w:rFonts w:hint="eastAsia" w:ascii="宋体" w:hAnsi="宋体" w:cs="宋体"/>
          <w:color w:val="auto"/>
          <w:sz w:val="24"/>
          <w:szCs w:val="24"/>
          <w:highlight w:val="none"/>
        </w:rPr>
        <w:t xml:space="preserve">增加工作量或持续时间而增加的经委托人书面确认的工作。 </w:t>
      </w:r>
    </w:p>
    <w:p>
      <w:pPr>
        <w:pStyle w:val="33"/>
        <w:numPr>
          <w:ilvl w:val="0"/>
          <w:numId w:val="4"/>
        </w:numPr>
        <w:tabs>
          <w:tab w:val="left" w:pos="1190"/>
        </w:tabs>
        <w:spacing w:line="360" w:lineRule="auto"/>
        <w:ind w:left="0" w:firstLine="476"/>
        <w:rPr>
          <w:rFonts w:ascii="宋体" w:hAnsi="宋体" w:cs="宋体"/>
          <w:color w:val="auto"/>
          <w:sz w:val="24"/>
          <w:szCs w:val="24"/>
          <w:highlight w:val="none"/>
        </w:rPr>
      </w:pPr>
      <w:r>
        <w:rPr>
          <w:rFonts w:hint="eastAsia" w:ascii="宋体" w:hAnsi="宋体" w:cs="宋体"/>
          <w:color w:val="auto"/>
          <w:spacing w:val="-1"/>
          <w:sz w:val="24"/>
          <w:szCs w:val="24"/>
          <w:highlight w:val="none"/>
        </w:rPr>
        <w:t>“工程监理的额外工作”是指正常工作和附加工作以外，非监理人自己的原因而暂</w:t>
      </w:r>
      <w:r>
        <w:rPr>
          <w:rFonts w:hint="eastAsia" w:ascii="宋体" w:hAnsi="宋体" w:cs="宋体"/>
          <w:color w:val="auto"/>
          <w:sz w:val="24"/>
          <w:szCs w:val="24"/>
          <w:highlight w:val="none"/>
        </w:rPr>
        <w:t xml:space="preserve">停或终止监理业务，其善后工作及恢复监理业务的工作。 </w:t>
      </w:r>
    </w:p>
    <w:p>
      <w:pPr>
        <w:pStyle w:val="33"/>
        <w:numPr>
          <w:ilvl w:val="0"/>
          <w:numId w:val="4"/>
        </w:numPr>
        <w:tabs>
          <w:tab w:val="left" w:pos="131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“一方”是指委托人或监理人；“双方”是指委托人和监理人。 </w:t>
      </w:r>
    </w:p>
    <w:p>
      <w:pPr>
        <w:pStyle w:val="33"/>
        <w:numPr>
          <w:ilvl w:val="0"/>
          <w:numId w:val="4"/>
        </w:numPr>
        <w:tabs>
          <w:tab w:val="left" w:pos="1310"/>
        </w:tabs>
        <w:spacing w:line="360" w:lineRule="auto"/>
        <w:ind w:left="0" w:firstLine="468"/>
        <w:rPr>
          <w:rFonts w:ascii="宋体" w:hAnsi="宋体" w:cs="宋体"/>
          <w:color w:val="auto"/>
          <w:sz w:val="24"/>
          <w:szCs w:val="24"/>
          <w:highlight w:val="none"/>
        </w:rPr>
      </w:pPr>
      <w:r>
        <w:rPr>
          <w:rFonts w:hint="eastAsia" w:ascii="宋体" w:hAnsi="宋体" w:cs="宋体"/>
          <w:color w:val="auto"/>
          <w:spacing w:val="-3"/>
          <w:sz w:val="24"/>
          <w:szCs w:val="24"/>
          <w:highlight w:val="none"/>
        </w:rPr>
        <w:t>“书面形式”是指合同书、信件和数据电文</w:t>
      </w:r>
      <w:r>
        <w:rPr>
          <w:rFonts w:hint="eastAsia" w:ascii="宋体" w:hAnsi="宋体" w:cs="宋体"/>
          <w:color w:val="auto"/>
          <w:sz w:val="24"/>
          <w:szCs w:val="24"/>
          <w:highlight w:val="none"/>
        </w:rPr>
        <w:t>（</w:t>
      </w:r>
      <w:r>
        <w:rPr>
          <w:rFonts w:hint="eastAsia" w:ascii="宋体" w:hAnsi="宋体" w:cs="宋体"/>
          <w:color w:val="auto"/>
          <w:spacing w:val="-8"/>
          <w:sz w:val="24"/>
          <w:szCs w:val="24"/>
          <w:highlight w:val="none"/>
        </w:rPr>
        <w:t>包括电报、电传、传真、电子数据交</w:t>
      </w:r>
      <w:r>
        <w:rPr>
          <w:rFonts w:hint="eastAsia" w:ascii="宋体" w:hAnsi="宋体" w:cs="宋体"/>
          <w:color w:val="auto"/>
          <w:sz w:val="24"/>
          <w:szCs w:val="24"/>
          <w:highlight w:val="none"/>
        </w:rPr>
        <w:t xml:space="preserve">换和电子邮件）等可以有形地表现所载内容的形式。 </w:t>
      </w:r>
    </w:p>
    <w:p>
      <w:pPr>
        <w:pStyle w:val="33"/>
        <w:numPr>
          <w:ilvl w:val="0"/>
          <w:numId w:val="4"/>
        </w:numPr>
        <w:tabs>
          <w:tab w:val="left" w:pos="131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“日”是指任何一日零时至第二日零时的时间段。 </w:t>
      </w:r>
    </w:p>
    <w:p>
      <w:pPr>
        <w:pStyle w:val="33"/>
        <w:numPr>
          <w:ilvl w:val="0"/>
          <w:numId w:val="4"/>
        </w:numPr>
        <w:tabs>
          <w:tab w:val="left" w:pos="131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“月”是指根据公历从一个月份中任何一日开始到下一个月相应日期的前一日的</w:t>
      </w:r>
      <w:r>
        <w:rPr>
          <w:rFonts w:hint="eastAsia" w:ascii="宋体" w:hAnsi="宋体" w:cs="宋体"/>
          <w:color w:val="auto"/>
          <w:spacing w:val="-5"/>
          <w:sz w:val="24"/>
          <w:szCs w:val="24"/>
          <w:highlight w:val="none"/>
        </w:rPr>
        <w:t xml:space="preserve">时间段。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第二条 </w:t>
      </w:r>
      <w:r>
        <w:rPr>
          <w:rFonts w:hint="eastAsia" w:ascii="宋体" w:hAnsi="宋体" w:cs="宋体"/>
          <w:color w:val="auto"/>
          <w:sz w:val="24"/>
          <w:szCs w:val="24"/>
          <w:highlight w:val="none"/>
        </w:rPr>
        <w:t xml:space="preserve">建设工程工程监理合同适用的法律是指国家的法律、行政法规，以及专用条款中议定的部门规章或工程所在地的地方法规、地方规章。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第三条 </w:t>
      </w:r>
      <w:r>
        <w:rPr>
          <w:rFonts w:hint="eastAsia" w:ascii="宋体" w:hAnsi="宋体" w:cs="宋体"/>
          <w:color w:val="auto"/>
          <w:sz w:val="24"/>
          <w:szCs w:val="24"/>
          <w:highlight w:val="none"/>
        </w:rPr>
        <w:t>本合同文件使用汉语语言文字书写、解释和说明。如专用条款约定使用两种以上（含两种）语言文字时，汉语应为解释和说明本合同的标准语言文字。</w:t>
      </w:r>
    </w:p>
    <w:p>
      <w:pPr>
        <w:pStyle w:val="11"/>
        <w:tabs>
          <w:tab w:val="left" w:pos="4418"/>
        </w:tabs>
        <w:spacing w:after="0" w:line="360" w:lineRule="auto"/>
        <w:jc w:val="center"/>
        <w:rPr>
          <w:rFonts w:ascii="宋体" w:hAnsi="宋体" w:cs="宋体"/>
          <w:b/>
          <w:color w:val="auto"/>
          <w:sz w:val="24"/>
          <w:szCs w:val="24"/>
          <w:highlight w:val="none"/>
        </w:rPr>
      </w:pPr>
      <w:r>
        <w:rPr>
          <w:rFonts w:hint="eastAsia" w:ascii="宋体" w:hAnsi="宋体" w:cs="宋体"/>
          <w:b/>
          <w:bCs/>
          <w:color w:val="auto"/>
          <w:sz w:val="24"/>
          <w:szCs w:val="24"/>
          <w:highlight w:val="none"/>
        </w:rPr>
        <w:t>监理人义务</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第四条</w:t>
      </w:r>
      <w:r>
        <w:rPr>
          <w:rFonts w:hint="eastAsia" w:ascii="宋体" w:hAnsi="宋体" w:cs="宋体"/>
          <w:b/>
          <w:color w:val="auto"/>
          <w:spacing w:val="2"/>
          <w:sz w:val="24"/>
          <w:szCs w:val="24"/>
          <w:highlight w:val="none"/>
        </w:rPr>
        <w:t xml:space="preserve"> </w:t>
      </w:r>
      <w:r>
        <w:rPr>
          <w:rFonts w:hint="eastAsia" w:ascii="宋体" w:hAnsi="宋体" w:cs="宋体"/>
          <w:color w:val="auto"/>
          <w:spacing w:val="-1"/>
          <w:sz w:val="24"/>
          <w:szCs w:val="24"/>
          <w:highlight w:val="none"/>
        </w:rPr>
        <w:t>监理人按合同约定派出监理工作需要的监理机构及监理人员，配备必要设备，向</w:t>
      </w:r>
      <w:r>
        <w:rPr>
          <w:rFonts w:hint="eastAsia" w:ascii="宋体" w:hAnsi="宋体" w:cs="宋体"/>
          <w:color w:val="auto"/>
          <w:spacing w:val="-5"/>
          <w:sz w:val="24"/>
          <w:szCs w:val="24"/>
          <w:highlight w:val="none"/>
        </w:rPr>
        <w:t>委托人报送委派的总监理工程师及其监理机构主要成员名单、监理规划，完成监理合同专用条</w:t>
      </w:r>
      <w:r>
        <w:rPr>
          <w:rFonts w:hint="eastAsia" w:ascii="宋体" w:hAnsi="宋体" w:cs="宋体"/>
          <w:color w:val="auto"/>
          <w:spacing w:val="-6"/>
          <w:sz w:val="24"/>
          <w:szCs w:val="24"/>
          <w:highlight w:val="none"/>
        </w:rPr>
        <w:t>款中约定的监理工程范围内的监理业务。在履行合同义务期间，应按合同约定定期向委托人报</w:t>
      </w:r>
      <w:r>
        <w:rPr>
          <w:rFonts w:hint="eastAsia" w:ascii="宋体" w:hAnsi="宋体" w:cs="宋体"/>
          <w:color w:val="auto"/>
          <w:sz w:val="24"/>
          <w:szCs w:val="24"/>
          <w:highlight w:val="none"/>
        </w:rPr>
        <w:t xml:space="preserve">告监理工作。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第五条 </w:t>
      </w:r>
      <w:r>
        <w:rPr>
          <w:rFonts w:hint="eastAsia" w:ascii="宋体" w:hAnsi="宋体" w:cs="宋体"/>
          <w:color w:val="auto"/>
          <w:spacing w:val="-1"/>
          <w:sz w:val="24"/>
          <w:szCs w:val="24"/>
          <w:highlight w:val="none"/>
        </w:rPr>
        <w:t>监理人在履行本合同期间，应遵循职业道德准则和行为规范，严格按照法律法规、工程建设有关标准及本合同履行义务，应认真、勤奋地工作，为委托人提供与其水平相适应的咨询意见，公正维护各方面的合法权益。</w:t>
      </w:r>
      <w:r>
        <w:rPr>
          <w:rFonts w:hint="eastAsia" w:ascii="宋体" w:hAnsi="宋体" w:cs="宋体"/>
          <w:color w:val="auto"/>
          <w:sz w:val="24"/>
          <w:szCs w:val="24"/>
          <w:highlight w:val="none"/>
        </w:rPr>
        <w:t xml:space="preserve">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第六条 </w:t>
      </w:r>
      <w:r>
        <w:rPr>
          <w:rFonts w:hint="eastAsia" w:ascii="宋体" w:hAnsi="宋体" w:cs="宋体"/>
          <w:color w:val="auto"/>
          <w:spacing w:val="-7"/>
          <w:sz w:val="24"/>
          <w:szCs w:val="24"/>
          <w:highlight w:val="none"/>
        </w:rPr>
        <w:t>监理人使用委托人提供的设施和物品属委托人的财产，监理人应妥善使用和保管，</w:t>
      </w:r>
      <w:r>
        <w:rPr>
          <w:rFonts w:hint="eastAsia" w:ascii="宋体" w:hAnsi="宋体" w:cs="宋体"/>
          <w:color w:val="auto"/>
          <w:spacing w:val="-1"/>
          <w:sz w:val="24"/>
          <w:szCs w:val="24"/>
          <w:highlight w:val="none"/>
        </w:rPr>
        <w:t>在监理工作完成或中止时，应将其设施和剩余的物品按合同约定的时间和方式移交给委托人，</w:t>
      </w:r>
      <w:r>
        <w:rPr>
          <w:rFonts w:hint="eastAsia" w:ascii="宋体" w:hAnsi="宋体" w:cs="宋体"/>
          <w:color w:val="auto"/>
          <w:sz w:val="24"/>
          <w:szCs w:val="24"/>
          <w:highlight w:val="none"/>
        </w:rPr>
        <w:t xml:space="preserve">移交给委托人的设施和物品应经委托人书面确认。 </w:t>
      </w:r>
    </w:p>
    <w:p>
      <w:pPr>
        <w:pStyle w:val="11"/>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第七条 </w:t>
      </w:r>
      <w:r>
        <w:rPr>
          <w:rFonts w:hint="eastAsia" w:ascii="宋体" w:hAnsi="宋体" w:cs="宋体"/>
          <w:color w:val="auto"/>
          <w:sz w:val="24"/>
          <w:szCs w:val="24"/>
          <w:highlight w:val="none"/>
        </w:rPr>
        <w:t>在合同期内或合同终止后，未征得一方书面同意，任何一方不得泄露与本合同工程、本合同业务有关的未公开资料。</w:t>
      </w:r>
      <w:r>
        <w:rPr>
          <w:rFonts w:hint="eastAsia" w:ascii="宋体" w:hAnsi="宋体" w:cs="宋体"/>
          <w:b/>
          <w:color w:val="auto"/>
          <w:w w:val="99"/>
          <w:sz w:val="24"/>
          <w:szCs w:val="24"/>
          <w:highlight w:val="none"/>
        </w:rPr>
        <w:t xml:space="preserve"> </w:t>
      </w:r>
    </w:p>
    <w:p>
      <w:pPr>
        <w:pStyle w:val="7"/>
        <w:spacing w:line="360" w:lineRule="auto"/>
        <w:ind w:left="0"/>
        <w:jc w:val="center"/>
        <w:rPr>
          <w:rFonts w:ascii="宋体" w:hAnsi="宋体" w:cs="宋体"/>
          <w:color w:val="auto"/>
          <w:highlight w:val="none"/>
        </w:rPr>
      </w:pPr>
      <w:r>
        <w:rPr>
          <w:rFonts w:hint="eastAsia" w:ascii="宋体" w:hAnsi="宋体" w:cs="宋体"/>
          <w:color w:val="auto"/>
          <w:highlight w:val="none"/>
        </w:rPr>
        <w:t>委托人义务</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第八条 </w:t>
      </w:r>
      <w:r>
        <w:rPr>
          <w:rFonts w:hint="eastAsia" w:ascii="宋体" w:hAnsi="宋体" w:cs="宋体"/>
          <w:color w:val="auto"/>
          <w:sz w:val="24"/>
          <w:szCs w:val="24"/>
          <w:highlight w:val="none"/>
        </w:rPr>
        <w:t xml:space="preserve">委托人应按本合同约定向监理人支付监理报酬。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第九条 </w:t>
      </w:r>
      <w:r>
        <w:rPr>
          <w:rFonts w:hint="eastAsia" w:ascii="宋体" w:hAnsi="宋体" w:cs="宋体"/>
          <w:color w:val="auto"/>
          <w:spacing w:val="-1"/>
          <w:sz w:val="24"/>
          <w:szCs w:val="24"/>
          <w:highlight w:val="none"/>
        </w:rPr>
        <w:t>委托人应当负责工程建设的所有外部关系的协调，为监理工作提供必要的外部条</w:t>
      </w:r>
      <w:r>
        <w:rPr>
          <w:rFonts w:hint="eastAsia" w:ascii="宋体" w:hAnsi="宋体" w:cs="宋体"/>
          <w:color w:val="auto"/>
          <w:spacing w:val="-11"/>
          <w:sz w:val="24"/>
          <w:szCs w:val="24"/>
          <w:highlight w:val="none"/>
        </w:rPr>
        <w:t>件。根据需要，如将部分或全部协调工作委托监理人承担，则应在专用条款中明确委托的工作</w:t>
      </w:r>
      <w:r>
        <w:rPr>
          <w:rFonts w:hint="eastAsia" w:ascii="宋体" w:hAnsi="宋体" w:cs="宋体"/>
          <w:color w:val="auto"/>
          <w:sz w:val="24"/>
          <w:szCs w:val="24"/>
          <w:highlight w:val="none"/>
        </w:rPr>
        <w:t xml:space="preserve">和相应的报酬。 </w:t>
      </w:r>
    </w:p>
    <w:p>
      <w:pPr>
        <w:pStyle w:val="11"/>
        <w:spacing w:after="0" w:line="360" w:lineRule="auto"/>
        <w:ind w:firstLine="482" w:firstLineChars="200"/>
        <w:rPr>
          <w:rFonts w:ascii="宋体" w:hAnsi="宋体" w:cs="宋体"/>
          <w:color w:val="auto"/>
          <w:spacing w:val="-1"/>
          <w:sz w:val="24"/>
          <w:szCs w:val="24"/>
          <w:highlight w:val="none"/>
        </w:rPr>
      </w:pPr>
      <w:r>
        <w:rPr>
          <w:rFonts w:hint="eastAsia" w:ascii="宋体" w:hAnsi="宋体" w:cs="宋体"/>
          <w:b/>
          <w:color w:val="auto"/>
          <w:sz w:val="24"/>
          <w:szCs w:val="24"/>
          <w:highlight w:val="none"/>
        </w:rPr>
        <w:t xml:space="preserve">第十条 </w:t>
      </w:r>
      <w:r>
        <w:rPr>
          <w:rFonts w:hint="eastAsia" w:ascii="宋体" w:hAnsi="宋体" w:cs="宋体"/>
          <w:color w:val="auto"/>
          <w:spacing w:val="-1"/>
          <w:sz w:val="24"/>
          <w:szCs w:val="24"/>
          <w:highlight w:val="none"/>
        </w:rPr>
        <w:t>委托人应及时免费向监理人提供与工程有关的为监理工作所需要的工程资料。</w:t>
      </w:r>
    </w:p>
    <w:p>
      <w:pPr>
        <w:pStyle w:val="11"/>
        <w:spacing w:after="0" w:line="360" w:lineRule="auto"/>
        <w:ind w:firstLine="482" w:firstLineChars="200"/>
        <w:rPr>
          <w:rFonts w:ascii="宋体" w:hAnsi="宋体" w:cs="宋体"/>
          <w:color w:val="auto"/>
          <w:spacing w:val="-8"/>
          <w:sz w:val="24"/>
          <w:szCs w:val="24"/>
          <w:highlight w:val="none"/>
        </w:rPr>
      </w:pPr>
      <w:r>
        <w:rPr>
          <w:rFonts w:hint="eastAsia" w:ascii="宋体" w:hAnsi="宋体" w:cs="宋体"/>
          <w:b/>
          <w:color w:val="auto"/>
          <w:sz w:val="24"/>
          <w:szCs w:val="24"/>
          <w:highlight w:val="none"/>
        </w:rPr>
        <w:t xml:space="preserve">第十一条 </w:t>
      </w:r>
      <w:r>
        <w:rPr>
          <w:rFonts w:hint="eastAsia" w:ascii="宋体" w:hAnsi="宋体" w:cs="宋体"/>
          <w:color w:val="auto"/>
          <w:spacing w:val="-10"/>
          <w:sz w:val="24"/>
          <w:szCs w:val="24"/>
          <w:highlight w:val="none"/>
        </w:rPr>
        <w:t xml:space="preserve">委托人应在 </w:t>
      </w:r>
      <w:r>
        <w:rPr>
          <w:rFonts w:hint="eastAsia" w:ascii="宋体" w:hAnsi="宋体" w:cs="宋体"/>
          <w:color w:val="auto"/>
          <w:sz w:val="24"/>
          <w:szCs w:val="24"/>
          <w:highlight w:val="none"/>
        </w:rPr>
        <w:t>3</w:t>
      </w:r>
      <w:r>
        <w:rPr>
          <w:rFonts w:hint="eastAsia" w:ascii="宋体" w:hAnsi="宋体" w:cs="宋体"/>
          <w:color w:val="auto"/>
          <w:spacing w:val="-8"/>
          <w:sz w:val="24"/>
          <w:szCs w:val="24"/>
          <w:highlight w:val="none"/>
        </w:rPr>
        <w:t xml:space="preserve"> 日内就监理人书面提交并要求做出决定的事宜作出书面决定。</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第十二条</w:t>
      </w:r>
      <w:r>
        <w:rPr>
          <w:rFonts w:hint="eastAsia" w:ascii="宋体" w:hAnsi="宋体" w:cs="宋体"/>
          <w:b/>
          <w:color w:val="auto"/>
          <w:spacing w:val="-5"/>
          <w:sz w:val="24"/>
          <w:szCs w:val="24"/>
          <w:highlight w:val="none"/>
        </w:rPr>
        <w:t xml:space="preserve"> </w:t>
      </w:r>
      <w:r>
        <w:rPr>
          <w:rFonts w:hint="eastAsia" w:ascii="宋体" w:hAnsi="宋体" w:cs="宋体"/>
          <w:color w:val="auto"/>
          <w:spacing w:val="-1"/>
          <w:sz w:val="24"/>
          <w:szCs w:val="24"/>
          <w:highlight w:val="none"/>
        </w:rPr>
        <w:t>委托人应当授权一名熟悉工程情况、能在规定时间内做出决定的常驻代表，负</w:t>
      </w:r>
      <w:r>
        <w:rPr>
          <w:rFonts w:hint="eastAsia" w:ascii="宋体" w:hAnsi="宋体" w:cs="宋体"/>
          <w:color w:val="auto"/>
          <w:sz w:val="24"/>
          <w:szCs w:val="24"/>
          <w:highlight w:val="none"/>
        </w:rPr>
        <w:t xml:space="preserve">责与监理人联系。更换常驻代表，要提前通知监理人。 </w:t>
      </w:r>
    </w:p>
    <w:p>
      <w:pPr>
        <w:pStyle w:val="11"/>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第十三条 </w:t>
      </w:r>
      <w:r>
        <w:rPr>
          <w:rFonts w:hint="eastAsia" w:ascii="宋体" w:hAnsi="宋体" w:cs="宋体"/>
          <w:color w:val="auto"/>
          <w:sz w:val="24"/>
          <w:szCs w:val="24"/>
          <w:highlight w:val="none"/>
        </w:rPr>
        <w:t>委托人应当将授予监理人的监理权利，以及监理人主要成员的职能分工、监理权限及时书面通知已选定的承包合同的承包人，并在与第三人签订的合同中予以明确。</w:t>
      </w:r>
      <w:r>
        <w:rPr>
          <w:rFonts w:hint="eastAsia" w:ascii="宋体" w:hAnsi="宋体" w:cs="宋体"/>
          <w:b/>
          <w:color w:val="auto"/>
          <w:w w:val="99"/>
          <w:sz w:val="24"/>
          <w:szCs w:val="24"/>
          <w:highlight w:val="none"/>
        </w:rPr>
        <w:t xml:space="preserve">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第十四条 </w:t>
      </w:r>
      <w:r>
        <w:rPr>
          <w:rFonts w:hint="eastAsia" w:ascii="宋体" w:hAnsi="宋体" w:cs="宋体"/>
          <w:color w:val="auto"/>
          <w:sz w:val="24"/>
          <w:szCs w:val="24"/>
          <w:highlight w:val="none"/>
        </w:rPr>
        <w:t xml:space="preserve">委托人应在不影响监理人开展监理工作的时间内提供如下资料： </w:t>
      </w:r>
    </w:p>
    <w:p>
      <w:pPr>
        <w:numPr>
          <w:ilvl w:val="255"/>
          <w:numId w:val="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（1）与本合同工程合作的原材料、构配件、设备等生产厂家名录。</w:t>
      </w:r>
      <w:r>
        <w:rPr>
          <w:rFonts w:ascii="宋体" w:hAnsi="宋体" w:cs="宋体"/>
          <w:color w:val="auto"/>
          <w:sz w:val="24"/>
          <w:szCs w:val="24"/>
          <w:highlight w:val="none"/>
        </w:rPr>
        <w:t xml:space="preserve"> </w:t>
      </w:r>
    </w:p>
    <w:p>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）提供与本合同工程有关的协作单位、配合单位的名录。</w:t>
      </w:r>
      <w:r>
        <w:rPr>
          <w:rFonts w:ascii="宋体" w:hAnsi="宋体" w:cs="宋体"/>
          <w:b/>
          <w:color w:val="auto"/>
          <w:w w:val="99"/>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第十五条 </w:t>
      </w:r>
      <w:r>
        <w:rPr>
          <w:rFonts w:hint="eastAsia" w:ascii="宋体" w:hAnsi="宋体" w:cs="宋体"/>
          <w:color w:val="auto"/>
          <w:sz w:val="24"/>
          <w:szCs w:val="24"/>
          <w:highlight w:val="none"/>
        </w:rPr>
        <w:t xml:space="preserve">委托人应免费向监理人提供办公用房、通讯设施、监理人员工地住房及合同专用条款约定的设施，对监理人自备的设施给予合理的经济补偿（补偿金额=设施在工程使用时间占折旧年限的比例×设施原值＋管理费）。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第十六条 </w:t>
      </w:r>
      <w:r>
        <w:rPr>
          <w:rFonts w:hint="eastAsia" w:ascii="宋体" w:hAnsi="宋体" w:cs="宋体"/>
          <w:color w:val="auto"/>
          <w:sz w:val="24"/>
          <w:szCs w:val="24"/>
          <w:highlight w:val="none"/>
        </w:rPr>
        <w:t>根据情况需要，如果双方约定，由委托人免费向监理人提供其他人员，应在监理合同专用条款中予以明确。</w:t>
      </w:r>
      <w:r>
        <w:rPr>
          <w:rFonts w:hint="eastAsia" w:ascii="宋体" w:hAnsi="宋体" w:cs="宋体"/>
          <w:b/>
          <w:color w:val="auto"/>
          <w:w w:val="99"/>
          <w:sz w:val="24"/>
          <w:szCs w:val="24"/>
          <w:highlight w:val="none"/>
        </w:rPr>
        <w:t xml:space="preserve"> </w:t>
      </w:r>
    </w:p>
    <w:p>
      <w:pPr>
        <w:pStyle w:val="7"/>
        <w:spacing w:line="360" w:lineRule="auto"/>
        <w:ind w:left="0"/>
        <w:jc w:val="center"/>
        <w:rPr>
          <w:rFonts w:ascii="宋体" w:hAnsi="宋体" w:cs="宋体"/>
          <w:color w:val="auto"/>
          <w:highlight w:val="none"/>
        </w:rPr>
      </w:pPr>
      <w:r>
        <w:rPr>
          <w:rFonts w:hint="eastAsia" w:ascii="宋体" w:hAnsi="宋体" w:cs="宋体"/>
          <w:color w:val="auto"/>
          <w:highlight w:val="none"/>
        </w:rPr>
        <w:t>监理人权利</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第十七条 </w:t>
      </w:r>
      <w:r>
        <w:rPr>
          <w:rFonts w:hint="eastAsia" w:ascii="宋体" w:hAnsi="宋体" w:cs="宋体"/>
          <w:color w:val="auto"/>
          <w:sz w:val="24"/>
          <w:szCs w:val="24"/>
          <w:highlight w:val="none"/>
        </w:rPr>
        <w:t xml:space="preserve">监理人在委托人委托的工程范围内，享有以下权利： </w:t>
      </w:r>
    </w:p>
    <w:p>
      <w:pPr>
        <w:pStyle w:val="33"/>
        <w:numPr>
          <w:ilvl w:val="0"/>
          <w:numId w:val="5"/>
        </w:numPr>
        <w:tabs>
          <w:tab w:val="left" w:pos="119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选择施工总承包人的建议权。 </w:t>
      </w:r>
    </w:p>
    <w:p>
      <w:pPr>
        <w:pStyle w:val="33"/>
        <w:numPr>
          <w:ilvl w:val="0"/>
          <w:numId w:val="5"/>
        </w:numPr>
        <w:tabs>
          <w:tab w:val="left" w:pos="119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选择工程分包人的认可权。 </w:t>
      </w:r>
    </w:p>
    <w:p>
      <w:pPr>
        <w:pStyle w:val="33"/>
        <w:numPr>
          <w:ilvl w:val="0"/>
          <w:numId w:val="5"/>
        </w:numPr>
        <w:tabs>
          <w:tab w:val="left" w:pos="1190"/>
        </w:tabs>
        <w:spacing w:line="360" w:lineRule="auto"/>
        <w:ind w:left="0" w:firstLine="476"/>
        <w:rPr>
          <w:rFonts w:ascii="宋体" w:hAnsi="宋体" w:cs="宋体"/>
          <w:color w:val="auto"/>
          <w:sz w:val="24"/>
          <w:szCs w:val="24"/>
          <w:highlight w:val="none"/>
        </w:rPr>
      </w:pPr>
      <w:r>
        <w:rPr>
          <w:rFonts w:hint="eastAsia" w:ascii="宋体" w:hAnsi="宋体" w:cs="宋体"/>
          <w:color w:val="auto"/>
          <w:spacing w:val="-1"/>
          <w:sz w:val="24"/>
          <w:szCs w:val="24"/>
          <w:highlight w:val="none"/>
        </w:rPr>
        <w:t>对工程建设有关事项包括工程规模、设计标准、规划设计、生产工艺设计和使用功</w:t>
      </w:r>
      <w:r>
        <w:rPr>
          <w:rFonts w:hint="eastAsia" w:ascii="宋体" w:hAnsi="宋体" w:cs="宋体"/>
          <w:color w:val="auto"/>
          <w:sz w:val="24"/>
          <w:szCs w:val="24"/>
          <w:highlight w:val="none"/>
        </w:rPr>
        <w:t xml:space="preserve">能要求，向委托人的建议权。 </w:t>
      </w:r>
    </w:p>
    <w:p>
      <w:pPr>
        <w:pStyle w:val="33"/>
        <w:numPr>
          <w:ilvl w:val="0"/>
          <w:numId w:val="5"/>
        </w:numPr>
        <w:tabs>
          <w:tab w:val="left" w:pos="1190"/>
        </w:tabs>
        <w:spacing w:line="360" w:lineRule="auto"/>
        <w:ind w:left="0" w:firstLine="476"/>
        <w:rPr>
          <w:rFonts w:ascii="宋体" w:hAnsi="宋体" w:cs="宋体"/>
          <w:color w:val="auto"/>
          <w:sz w:val="24"/>
          <w:szCs w:val="24"/>
          <w:highlight w:val="none"/>
        </w:rPr>
      </w:pPr>
      <w:r>
        <w:rPr>
          <w:rFonts w:hint="eastAsia" w:ascii="宋体" w:hAnsi="宋体" w:cs="宋体"/>
          <w:color w:val="auto"/>
          <w:spacing w:val="-1"/>
          <w:sz w:val="24"/>
          <w:szCs w:val="24"/>
          <w:highlight w:val="none"/>
        </w:rPr>
        <w:t>对工程设计中的技术问题，按照安全和优化的原则，向委托人提出建议；如果拟提</w:t>
      </w:r>
      <w:r>
        <w:rPr>
          <w:rFonts w:hint="eastAsia" w:ascii="宋体" w:hAnsi="宋体" w:cs="宋体"/>
          <w:color w:val="auto"/>
          <w:spacing w:val="-7"/>
          <w:sz w:val="24"/>
          <w:szCs w:val="24"/>
          <w:highlight w:val="none"/>
        </w:rPr>
        <w:t>出的建议可能会提高工程造价，或延长工期，应当事先征得委托人的同意。当发现工程设计不</w:t>
      </w:r>
      <w:r>
        <w:rPr>
          <w:rFonts w:hint="eastAsia" w:ascii="宋体" w:hAnsi="宋体" w:cs="宋体"/>
          <w:color w:val="auto"/>
          <w:spacing w:val="-5"/>
          <w:sz w:val="24"/>
          <w:szCs w:val="24"/>
          <w:highlight w:val="none"/>
        </w:rPr>
        <w:t>符合国家颁布的建设工程质量标准或设计合同约定的质量标准时，监理人应当书面报告委托人</w:t>
      </w:r>
      <w:r>
        <w:rPr>
          <w:rFonts w:hint="eastAsia" w:ascii="宋体" w:hAnsi="宋体" w:cs="宋体"/>
          <w:color w:val="auto"/>
          <w:sz w:val="24"/>
          <w:szCs w:val="24"/>
          <w:highlight w:val="none"/>
        </w:rPr>
        <w:t xml:space="preserve">并要求设计人更正。 </w:t>
      </w:r>
    </w:p>
    <w:p>
      <w:pPr>
        <w:pStyle w:val="33"/>
        <w:numPr>
          <w:ilvl w:val="0"/>
          <w:numId w:val="5"/>
        </w:numPr>
        <w:tabs>
          <w:tab w:val="left" w:pos="1190"/>
        </w:tabs>
        <w:spacing w:line="360" w:lineRule="auto"/>
        <w:ind w:left="0" w:firstLine="476"/>
        <w:rPr>
          <w:rFonts w:ascii="宋体" w:hAnsi="宋体" w:cs="宋体"/>
          <w:color w:val="auto"/>
          <w:sz w:val="24"/>
          <w:szCs w:val="24"/>
          <w:highlight w:val="none"/>
        </w:rPr>
      </w:pPr>
      <w:r>
        <w:rPr>
          <w:rFonts w:hint="eastAsia" w:ascii="宋体" w:hAnsi="宋体" w:cs="宋体"/>
          <w:color w:val="auto"/>
          <w:spacing w:val="-1"/>
          <w:sz w:val="24"/>
          <w:szCs w:val="24"/>
          <w:highlight w:val="none"/>
        </w:rPr>
        <w:t>审批工程施工组织设计和技术方案，按照保质量、保工期和降低成本的原则，向承</w:t>
      </w:r>
      <w:r>
        <w:rPr>
          <w:rFonts w:hint="eastAsia" w:ascii="宋体" w:hAnsi="宋体" w:cs="宋体"/>
          <w:color w:val="auto"/>
          <w:sz w:val="24"/>
          <w:szCs w:val="24"/>
          <w:highlight w:val="none"/>
        </w:rPr>
        <w:t xml:space="preserve">包人提出建议，并向委托人提出书面报告。 </w:t>
      </w:r>
    </w:p>
    <w:p>
      <w:pPr>
        <w:pStyle w:val="33"/>
        <w:numPr>
          <w:ilvl w:val="0"/>
          <w:numId w:val="5"/>
        </w:numPr>
        <w:tabs>
          <w:tab w:val="left" w:pos="1190"/>
        </w:tabs>
        <w:spacing w:line="360" w:lineRule="auto"/>
        <w:ind w:left="0"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主持工程建设有关协作单位的组织协调，重要协调事项应当事先向委托人报告。 </w:t>
      </w:r>
    </w:p>
    <w:p>
      <w:pPr>
        <w:pStyle w:val="33"/>
        <w:numPr>
          <w:ilvl w:val="0"/>
          <w:numId w:val="5"/>
        </w:numPr>
        <w:tabs>
          <w:tab w:val="left" w:pos="1190"/>
        </w:tabs>
        <w:spacing w:line="360" w:lineRule="auto"/>
        <w:ind w:left="0" w:firstLine="476"/>
        <w:rPr>
          <w:rFonts w:ascii="宋体" w:hAnsi="宋体" w:cs="宋体"/>
          <w:color w:val="auto"/>
          <w:sz w:val="24"/>
          <w:szCs w:val="24"/>
          <w:highlight w:val="none"/>
        </w:rPr>
      </w:pPr>
      <w:r>
        <w:rPr>
          <w:rFonts w:hint="eastAsia" w:ascii="宋体" w:hAnsi="宋体" w:cs="宋体"/>
          <w:color w:val="auto"/>
          <w:spacing w:val="-1"/>
          <w:sz w:val="24"/>
          <w:szCs w:val="24"/>
          <w:highlight w:val="none"/>
        </w:rPr>
        <w:t>征得委托人同意，监理人有权发布开工令、停工令、复工令，但应当事先向委托人</w:t>
      </w:r>
      <w:r>
        <w:rPr>
          <w:rFonts w:hint="eastAsia" w:ascii="宋体" w:hAnsi="宋体" w:cs="宋体"/>
          <w:color w:val="auto"/>
          <w:spacing w:val="-3"/>
          <w:sz w:val="24"/>
          <w:szCs w:val="24"/>
          <w:highlight w:val="none"/>
        </w:rPr>
        <w:t xml:space="preserve">报告。如在紧急情况下未能事先报告时，则应在 </w:t>
      </w:r>
      <w:r>
        <w:rPr>
          <w:rFonts w:hint="eastAsia" w:ascii="宋体" w:hAnsi="宋体" w:cs="宋体"/>
          <w:color w:val="auto"/>
          <w:sz w:val="24"/>
          <w:szCs w:val="24"/>
          <w:highlight w:val="none"/>
        </w:rPr>
        <w:t>24</w:t>
      </w:r>
      <w:r>
        <w:rPr>
          <w:rFonts w:hint="eastAsia" w:ascii="宋体" w:hAnsi="宋体" w:cs="宋体"/>
          <w:color w:val="auto"/>
          <w:spacing w:val="-8"/>
          <w:sz w:val="24"/>
          <w:szCs w:val="24"/>
          <w:highlight w:val="none"/>
        </w:rPr>
        <w:t xml:space="preserve"> 小时内向委托人做出书面报告。 </w:t>
      </w:r>
    </w:p>
    <w:p>
      <w:pPr>
        <w:pStyle w:val="33"/>
        <w:numPr>
          <w:ilvl w:val="0"/>
          <w:numId w:val="5"/>
        </w:numPr>
        <w:tabs>
          <w:tab w:val="left" w:pos="1190"/>
        </w:tabs>
        <w:spacing w:line="360" w:lineRule="auto"/>
        <w:ind w:left="0" w:firstLine="476"/>
        <w:rPr>
          <w:rFonts w:ascii="宋体" w:hAnsi="宋体" w:cs="宋体"/>
          <w:color w:val="auto"/>
          <w:spacing w:val="-1"/>
          <w:sz w:val="24"/>
          <w:szCs w:val="24"/>
          <w:highlight w:val="none"/>
        </w:rPr>
      </w:pPr>
      <w:r>
        <w:rPr>
          <w:rFonts w:hint="eastAsia" w:ascii="宋体" w:hAnsi="宋体" w:cs="宋体"/>
          <w:color w:val="auto"/>
          <w:spacing w:val="-1"/>
          <w:sz w:val="24"/>
          <w:szCs w:val="24"/>
          <w:highlight w:val="none"/>
        </w:rPr>
        <w:t>工程上使用的材料和施工质量的检验权。对于不符合设计要求和合同约定及国家质量标准的材料、构配件、设备，有权通知承包人停止使用；对于不符合规范和质量标准的工序、分部</w:t>
      </w:r>
      <w:r>
        <w:rPr>
          <w:rFonts w:hint="eastAsia" w:ascii="宋体" w:hAnsi="宋体" w:cs="宋体"/>
          <w:color w:val="auto"/>
          <w:spacing w:val="-7"/>
          <w:sz w:val="24"/>
          <w:szCs w:val="24"/>
          <w:highlight w:val="none"/>
        </w:rPr>
        <w:t>分项工</w:t>
      </w:r>
      <w:r>
        <w:rPr>
          <w:rFonts w:hint="eastAsia" w:ascii="宋体" w:hAnsi="宋体" w:cs="宋体"/>
          <w:color w:val="auto"/>
          <w:spacing w:val="-1"/>
          <w:sz w:val="24"/>
          <w:szCs w:val="24"/>
          <w:highlight w:val="none"/>
        </w:rPr>
        <w:t>程和不安全施工作业，有权通知承包人停工整改、返工。承包人得到项目监理机构复工令后才能复工。</w:t>
      </w:r>
      <w:r>
        <w:rPr>
          <w:rFonts w:ascii="宋体" w:hAnsi="宋体" w:cs="宋体"/>
          <w:color w:val="auto"/>
          <w:spacing w:val="-1"/>
          <w:sz w:val="24"/>
          <w:szCs w:val="24"/>
          <w:highlight w:val="none"/>
        </w:rPr>
        <w:t xml:space="preserve"> </w:t>
      </w:r>
    </w:p>
    <w:p>
      <w:pPr>
        <w:pStyle w:val="33"/>
        <w:numPr>
          <w:ilvl w:val="0"/>
          <w:numId w:val="5"/>
        </w:numPr>
        <w:tabs>
          <w:tab w:val="left" w:pos="1190"/>
        </w:tabs>
        <w:spacing w:line="360" w:lineRule="auto"/>
        <w:ind w:left="0" w:firstLine="476"/>
        <w:rPr>
          <w:rFonts w:ascii="宋体" w:hAnsi="宋体" w:cs="宋体"/>
          <w:color w:val="auto"/>
          <w:sz w:val="24"/>
          <w:szCs w:val="24"/>
          <w:highlight w:val="none"/>
        </w:rPr>
      </w:pPr>
      <w:r>
        <w:rPr>
          <w:rFonts w:hint="eastAsia" w:ascii="宋体" w:hAnsi="宋体" w:cs="宋体"/>
          <w:color w:val="auto"/>
          <w:spacing w:val="-1"/>
          <w:sz w:val="24"/>
          <w:szCs w:val="24"/>
          <w:highlight w:val="none"/>
        </w:rPr>
        <w:t>工程施工进度的检查、监督权，以及工程实际竣工日期提前或超过工程施工合同规</w:t>
      </w:r>
      <w:r>
        <w:rPr>
          <w:rFonts w:hint="eastAsia" w:ascii="宋体" w:hAnsi="宋体" w:cs="宋体"/>
          <w:color w:val="auto"/>
          <w:sz w:val="24"/>
          <w:szCs w:val="24"/>
          <w:highlight w:val="none"/>
        </w:rPr>
        <w:t xml:space="preserve">定的竣工期限的签认权。 </w:t>
      </w:r>
    </w:p>
    <w:p>
      <w:pPr>
        <w:pStyle w:val="33"/>
        <w:numPr>
          <w:ilvl w:val="0"/>
          <w:numId w:val="5"/>
        </w:numPr>
        <w:tabs>
          <w:tab w:val="left" w:pos="1310"/>
        </w:tabs>
        <w:spacing w:line="360" w:lineRule="auto"/>
        <w:ind w:left="0" w:firstLine="468"/>
        <w:rPr>
          <w:rFonts w:ascii="宋体" w:hAnsi="宋体" w:cs="宋体"/>
          <w:color w:val="auto"/>
          <w:sz w:val="24"/>
          <w:szCs w:val="24"/>
          <w:highlight w:val="none"/>
        </w:rPr>
      </w:pPr>
      <w:r>
        <w:rPr>
          <w:rFonts w:hint="eastAsia" w:ascii="宋体" w:hAnsi="宋体" w:cs="宋体"/>
          <w:color w:val="auto"/>
          <w:spacing w:val="-3"/>
          <w:sz w:val="24"/>
          <w:szCs w:val="24"/>
          <w:highlight w:val="none"/>
        </w:rPr>
        <w:t>在</w:t>
      </w:r>
      <w:r>
        <w:rPr>
          <w:rFonts w:hint="eastAsia" w:ascii="宋体" w:hAnsi="宋体" w:cs="宋体"/>
          <w:color w:val="auto"/>
          <w:spacing w:val="-1"/>
          <w:sz w:val="24"/>
          <w:szCs w:val="24"/>
          <w:highlight w:val="none"/>
        </w:rPr>
        <w:t>工程施工</w:t>
      </w:r>
      <w:r>
        <w:rPr>
          <w:rFonts w:hint="eastAsia" w:ascii="宋体" w:hAnsi="宋体" w:cs="宋体"/>
          <w:color w:val="auto"/>
          <w:spacing w:val="-3"/>
          <w:sz w:val="24"/>
          <w:szCs w:val="24"/>
          <w:highlight w:val="none"/>
        </w:rPr>
        <w:t>合同约定的工程价格范围内，工程款支付的审核和签认权，以及工程</w:t>
      </w:r>
      <w:r>
        <w:rPr>
          <w:rFonts w:hint="eastAsia" w:ascii="宋体" w:hAnsi="宋体" w:cs="宋体"/>
          <w:color w:val="auto"/>
          <w:spacing w:val="-4"/>
          <w:sz w:val="24"/>
          <w:szCs w:val="24"/>
          <w:highlight w:val="none"/>
        </w:rPr>
        <w:t xml:space="preserve">结算的复核确认权与否决权。未经总监理工程师签字确认，委托人不支付工程款。 </w:t>
      </w:r>
    </w:p>
    <w:p>
      <w:pPr>
        <w:pStyle w:val="11"/>
        <w:spacing w:after="0" w:line="360" w:lineRule="auto"/>
        <w:ind w:firstLine="490" w:firstLineChars="200"/>
        <w:rPr>
          <w:rFonts w:ascii="宋体" w:hAnsi="宋体" w:cs="宋体"/>
          <w:color w:val="auto"/>
          <w:spacing w:val="-1"/>
          <w:sz w:val="24"/>
          <w:szCs w:val="24"/>
          <w:highlight w:val="none"/>
        </w:rPr>
      </w:pPr>
      <w:r>
        <w:rPr>
          <w:rFonts w:hint="eastAsia" w:ascii="宋体" w:hAnsi="宋体" w:cs="宋体"/>
          <w:b/>
          <w:color w:val="auto"/>
          <w:spacing w:val="2"/>
          <w:sz w:val="24"/>
          <w:szCs w:val="24"/>
          <w:highlight w:val="none"/>
        </w:rPr>
        <w:t xml:space="preserve">第十八条 </w:t>
      </w:r>
      <w:r>
        <w:rPr>
          <w:rFonts w:hint="eastAsia" w:ascii="宋体" w:hAnsi="宋体" w:cs="宋体"/>
          <w:color w:val="auto"/>
          <w:spacing w:val="-1"/>
          <w:sz w:val="24"/>
          <w:szCs w:val="24"/>
          <w:highlight w:val="none"/>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r>
        <w:rPr>
          <w:rFonts w:ascii="宋体" w:hAnsi="宋体" w:cs="宋体"/>
          <w:color w:val="auto"/>
          <w:spacing w:val="-1"/>
          <w:sz w:val="24"/>
          <w:szCs w:val="24"/>
          <w:highlight w:val="none"/>
        </w:rPr>
        <w:t xml:space="preserve"> </w:t>
      </w:r>
    </w:p>
    <w:p>
      <w:pPr>
        <w:pStyle w:val="11"/>
        <w:spacing w:after="0" w:line="360" w:lineRule="auto"/>
        <w:ind w:firstLine="490" w:firstLineChars="200"/>
        <w:rPr>
          <w:rFonts w:ascii="宋体" w:hAnsi="宋体" w:cs="宋体"/>
          <w:b/>
          <w:color w:val="auto"/>
          <w:sz w:val="24"/>
          <w:szCs w:val="24"/>
          <w:highlight w:val="none"/>
        </w:rPr>
      </w:pPr>
      <w:r>
        <w:rPr>
          <w:rFonts w:hint="eastAsia" w:ascii="宋体" w:hAnsi="宋体" w:cs="宋体"/>
          <w:b/>
          <w:color w:val="auto"/>
          <w:spacing w:val="2"/>
          <w:sz w:val="24"/>
          <w:szCs w:val="24"/>
          <w:highlight w:val="none"/>
        </w:rPr>
        <w:t xml:space="preserve">第十九条 </w:t>
      </w:r>
      <w:r>
        <w:rPr>
          <w:rFonts w:hint="eastAsia" w:ascii="宋体" w:hAnsi="宋体" w:cs="宋体"/>
          <w:color w:val="auto"/>
          <w:sz w:val="24"/>
          <w:szCs w:val="24"/>
          <w:highlight w:val="none"/>
        </w:rPr>
        <w:t>在委托的工程范围内，委托人或承包人对对方的任何意见和要求（</w:t>
      </w:r>
      <w:r>
        <w:rPr>
          <w:rFonts w:hint="eastAsia" w:ascii="宋体" w:hAnsi="宋体" w:cs="宋体"/>
          <w:color w:val="auto"/>
          <w:spacing w:val="-3"/>
          <w:sz w:val="24"/>
          <w:szCs w:val="24"/>
          <w:highlight w:val="none"/>
        </w:rPr>
        <w:t>包括索赔要</w:t>
      </w:r>
      <w:r>
        <w:rPr>
          <w:rFonts w:hint="eastAsia" w:ascii="宋体" w:hAnsi="宋体" w:cs="宋体"/>
          <w:color w:val="auto"/>
          <w:sz w:val="24"/>
          <w:szCs w:val="24"/>
          <w:highlight w:val="none"/>
        </w:rPr>
        <w:t>求</w:t>
      </w:r>
      <w:r>
        <w:rPr>
          <w:rFonts w:hint="eastAsia" w:ascii="宋体" w:hAnsi="宋体" w:cs="宋体"/>
          <w:color w:val="auto"/>
          <w:spacing w:val="-20"/>
          <w:sz w:val="24"/>
          <w:szCs w:val="24"/>
          <w:highlight w:val="none"/>
        </w:rPr>
        <w:t>），</w:t>
      </w:r>
      <w:r>
        <w:rPr>
          <w:rFonts w:hint="eastAsia" w:ascii="宋体" w:hAnsi="宋体" w:cs="宋体"/>
          <w:color w:val="auto"/>
          <w:spacing w:val="-5"/>
          <w:sz w:val="24"/>
          <w:szCs w:val="24"/>
          <w:highlight w:val="none"/>
        </w:rPr>
        <w:t>均必须首先向监理机构提出，由</w:t>
      </w:r>
      <w:r>
        <w:rPr>
          <w:rFonts w:hint="eastAsia" w:ascii="宋体" w:hAnsi="宋体" w:cs="宋体"/>
          <w:color w:val="auto"/>
          <w:spacing w:val="-1"/>
          <w:sz w:val="24"/>
          <w:szCs w:val="24"/>
          <w:highlight w:val="none"/>
        </w:rPr>
        <w:t>监理</w:t>
      </w:r>
      <w:r>
        <w:rPr>
          <w:rFonts w:hint="eastAsia" w:ascii="宋体" w:hAnsi="宋体" w:cs="宋体"/>
          <w:color w:val="auto"/>
          <w:spacing w:val="-5"/>
          <w:sz w:val="24"/>
          <w:szCs w:val="24"/>
          <w:highlight w:val="none"/>
        </w:rPr>
        <w:t>机构研究处置意见，再同双方协商确定。当委托人</w:t>
      </w:r>
      <w:r>
        <w:rPr>
          <w:rFonts w:hint="eastAsia" w:ascii="宋体" w:hAnsi="宋体" w:cs="宋体"/>
          <w:color w:val="auto"/>
          <w:spacing w:val="-7"/>
          <w:sz w:val="24"/>
          <w:szCs w:val="24"/>
          <w:highlight w:val="none"/>
        </w:rPr>
        <w:t>和承包人发生争议时，监理机构应根据自己的职能，以独立的身份判断，公正地进行调解。当</w:t>
      </w:r>
      <w:r>
        <w:rPr>
          <w:rFonts w:hint="eastAsia" w:ascii="宋体" w:hAnsi="宋体" w:cs="宋体"/>
          <w:color w:val="auto"/>
          <w:sz w:val="24"/>
          <w:szCs w:val="24"/>
          <w:highlight w:val="none"/>
        </w:rPr>
        <w:t>双方的争议由仲裁机关仲裁时，监理人应当提供作证的事实材料。</w:t>
      </w:r>
      <w:r>
        <w:rPr>
          <w:rFonts w:hint="eastAsia" w:ascii="宋体" w:hAnsi="宋体" w:cs="宋体"/>
          <w:b/>
          <w:color w:val="auto"/>
          <w:w w:val="99"/>
          <w:sz w:val="24"/>
          <w:szCs w:val="24"/>
          <w:highlight w:val="none"/>
        </w:rPr>
        <w:t xml:space="preserve"> </w:t>
      </w:r>
    </w:p>
    <w:p>
      <w:pPr>
        <w:pStyle w:val="7"/>
        <w:spacing w:line="360" w:lineRule="auto"/>
        <w:ind w:left="0" w:firstLine="482" w:firstLineChars="200"/>
        <w:jc w:val="center"/>
        <w:rPr>
          <w:rFonts w:ascii="宋体" w:hAnsi="宋体" w:cs="宋体"/>
          <w:color w:val="auto"/>
          <w:highlight w:val="none"/>
        </w:rPr>
      </w:pPr>
      <w:r>
        <w:rPr>
          <w:rFonts w:hint="eastAsia" w:ascii="宋体" w:hAnsi="宋体" w:cs="宋体"/>
          <w:color w:val="auto"/>
          <w:highlight w:val="none"/>
        </w:rPr>
        <w:t>委托人权利</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第二十条 </w:t>
      </w:r>
      <w:r>
        <w:rPr>
          <w:rFonts w:hint="eastAsia" w:ascii="宋体" w:hAnsi="宋体" w:cs="宋体"/>
          <w:color w:val="auto"/>
          <w:sz w:val="24"/>
          <w:szCs w:val="24"/>
          <w:highlight w:val="none"/>
        </w:rPr>
        <w:t xml:space="preserve">委托人有选定施工总承包人，以及与其订立合同的权利。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第二十一条 </w:t>
      </w:r>
      <w:r>
        <w:rPr>
          <w:rFonts w:hint="eastAsia" w:ascii="宋体" w:hAnsi="宋体" w:cs="宋体"/>
          <w:color w:val="auto"/>
          <w:sz w:val="24"/>
          <w:szCs w:val="24"/>
          <w:highlight w:val="none"/>
        </w:rPr>
        <w:t xml:space="preserve">委托人有对工程规模、设计标准、规划设计、生产工艺设计和设计使用功能要求的认定权，以及对工程设计变更的审批权。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第二十二条 </w:t>
      </w:r>
      <w:r>
        <w:rPr>
          <w:rFonts w:hint="eastAsia" w:ascii="宋体" w:hAnsi="宋体" w:cs="宋体"/>
          <w:color w:val="auto"/>
          <w:sz w:val="24"/>
          <w:szCs w:val="24"/>
          <w:highlight w:val="none"/>
        </w:rPr>
        <w:t>监理人</w:t>
      </w:r>
      <w:r>
        <w:rPr>
          <w:rFonts w:hint="eastAsia" w:ascii="宋体" w:hAnsi="宋体" w:cs="宋体"/>
          <w:color w:val="auto"/>
          <w:spacing w:val="-1"/>
          <w:sz w:val="24"/>
          <w:szCs w:val="24"/>
          <w:highlight w:val="none"/>
        </w:rPr>
        <w:t>调换</w:t>
      </w:r>
      <w:r>
        <w:rPr>
          <w:rFonts w:hint="eastAsia" w:ascii="宋体" w:hAnsi="宋体" w:cs="宋体"/>
          <w:color w:val="auto"/>
          <w:sz w:val="24"/>
          <w:szCs w:val="24"/>
          <w:highlight w:val="none"/>
        </w:rPr>
        <w:t xml:space="preserve">总监理工程师须事先经委托人书面同意。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第二十三条 </w:t>
      </w:r>
      <w:r>
        <w:rPr>
          <w:rFonts w:hint="eastAsia" w:ascii="宋体" w:hAnsi="宋体" w:cs="宋体"/>
          <w:color w:val="auto"/>
          <w:sz w:val="24"/>
          <w:szCs w:val="24"/>
          <w:highlight w:val="none"/>
        </w:rPr>
        <w:t>委托人有权要求</w:t>
      </w:r>
      <w:r>
        <w:rPr>
          <w:rFonts w:hint="eastAsia" w:ascii="宋体" w:hAnsi="宋体" w:cs="宋体"/>
          <w:color w:val="auto"/>
          <w:spacing w:val="-1"/>
          <w:sz w:val="24"/>
          <w:szCs w:val="24"/>
          <w:highlight w:val="none"/>
        </w:rPr>
        <w:t>监理</w:t>
      </w:r>
      <w:r>
        <w:rPr>
          <w:rFonts w:hint="eastAsia" w:ascii="宋体" w:hAnsi="宋体" w:cs="宋体"/>
          <w:color w:val="auto"/>
          <w:sz w:val="24"/>
          <w:szCs w:val="24"/>
          <w:highlight w:val="none"/>
        </w:rPr>
        <w:t>人提交监理工作月报及监理业务范围内的专项报告。</w:t>
      </w:r>
    </w:p>
    <w:p>
      <w:pPr>
        <w:pStyle w:val="11"/>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第二十四条 </w:t>
      </w:r>
      <w:r>
        <w:rPr>
          <w:rFonts w:hint="eastAsia" w:ascii="宋体" w:hAnsi="宋体" w:cs="宋体"/>
          <w:color w:val="auto"/>
          <w:sz w:val="24"/>
          <w:szCs w:val="24"/>
          <w:highlight w:val="none"/>
        </w:rPr>
        <w:t>当委托人发现监理人员不按监理合同履行监理职责，或与承包人串通给委托</w:t>
      </w:r>
      <w:r>
        <w:rPr>
          <w:rFonts w:hint="eastAsia" w:ascii="宋体" w:hAnsi="宋体" w:cs="宋体"/>
          <w:color w:val="auto"/>
          <w:spacing w:val="-8"/>
          <w:sz w:val="24"/>
          <w:szCs w:val="24"/>
          <w:highlight w:val="none"/>
        </w:rPr>
        <w:t>人或工程造成损失的，委托人有权要求监理人更换监理人员，直到终止合同并要求监理人承担</w:t>
      </w:r>
      <w:r>
        <w:rPr>
          <w:rFonts w:hint="eastAsia" w:ascii="宋体" w:hAnsi="宋体" w:cs="宋体"/>
          <w:color w:val="auto"/>
          <w:sz w:val="24"/>
          <w:szCs w:val="24"/>
          <w:highlight w:val="none"/>
        </w:rPr>
        <w:t>相应的赔偿责任或连带赔偿责任。</w:t>
      </w:r>
      <w:r>
        <w:rPr>
          <w:rFonts w:hint="eastAsia" w:ascii="宋体" w:hAnsi="宋体" w:cs="宋体"/>
          <w:b/>
          <w:color w:val="auto"/>
          <w:w w:val="99"/>
          <w:sz w:val="24"/>
          <w:szCs w:val="24"/>
          <w:highlight w:val="none"/>
        </w:rPr>
        <w:t xml:space="preserve"> </w:t>
      </w:r>
    </w:p>
    <w:p>
      <w:pPr>
        <w:pStyle w:val="7"/>
        <w:spacing w:line="360" w:lineRule="auto"/>
        <w:ind w:left="0" w:firstLine="482" w:firstLineChars="200"/>
        <w:jc w:val="center"/>
        <w:rPr>
          <w:rFonts w:ascii="宋体" w:hAnsi="宋体" w:cs="宋体"/>
          <w:color w:val="auto"/>
          <w:highlight w:val="none"/>
        </w:rPr>
      </w:pPr>
      <w:r>
        <w:rPr>
          <w:rFonts w:hint="eastAsia" w:ascii="宋体" w:hAnsi="宋体" w:cs="宋体"/>
          <w:color w:val="auto"/>
          <w:highlight w:val="none"/>
        </w:rPr>
        <w:t>监理人责任</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第二十五条 </w:t>
      </w:r>
      <w:r>
        <w:rPr>
          <w:rFonts w:hint="eastAsia" w:ascii="宋体" w:hAnsi="宋体" w:cs="宋体"/>
          <w:color w:val="auto"/>
          <w:sz w:val="24"/>
          <w:szCs w:val="24"/>
          <w:highlight w:val="none"/>
        </w:rPr>
        <w:t xml:space="preserve">监理人的责任期即本监理合同有效期。在监理过程中，如果因工程建设进度的推迟或延误而超过书面约定的日期，双方应进一步约定相应延长的合同期。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第二十六条 </w:t>
      </w:r>
      <w:r>
        <w:rPr>
          <w:rFonts w:hint="eastAsia" w:ascii="宋体" w:hAnsi="宋体" w:cs="宋体"/>
          <w:color w:val="auto"/>
          <w:sz w:val="24"/>
          <w:szCs w:val="24"/>
          <w:highlight w:val="none"/>
        </w:rPr>
        <w:t xml:space="preserve">监理人在责任期内，应当履行约定的义务，如果因监理人过失而造成了委托人的经济损失，应当向委托人赔偿，累计赔偿总额（除本合同专用条款第二十六条规定以外）不应超过监理报酬总额（除去税金）。 </w:t>
      </w:r>
    </w:p>
    <w:p>
      <w:pPr>
        <w:pStyle w:val="11"/>
        <w:spacing w:after="0" w:line="360" w:lineRule="auto"/>
        <w:ind w:firstLine="486" w:firstLineChars="200"/>
        <w:rPr>
          <w:rFonts w:ascii="宋体" w:hAnsi="宋体" w:cs="宋体"/>
          <w:color w:val="auto"/>
          <w:sz w:val="24"/>
          <w:szCs w:val="24"/>
          <w:highlight w:val="none"/>
        </w:rPr>
      </w:pPr>
      <w:r>
        <w:rPr>
          <w:rFonts w:hint="eastAsia" w:ascii="宋体" w:hAnsi="宋体" w:cs="宋体"/>
          <w:b/>
          <w:color w:val="auto"/>
          <w:spacing w:val="1"/>
          <w:sz w:val="24"/>
          <w:szCs w:val="24"/>
          <w:highlight w:val="none"/>
        </w:rPr>
        <w:t xml:space="preserve">第二十七条 </w:t>
      </w:r>
      <w:r>
        <w:rPr>
          <w:rFonts w:hint="eastAsia" w:ascii="宋体" w:hAnsi="宋体" w:cs="宋体"/>
          <w:color w:val="auto"/>
          <w:sz w:val="24"/>
          <w:szCs w:val="24"/>
          <w:highlight w:val="none"/>
        </w:rPr>
        <w:t>监理人对承包人违反合同规定的质量要求和完工（交图、交货）</w:t>
      </w:r>
      <w:r>
        <w:rPr>
          <w:rFonts w:hint="eastAsia" w:ascii="宋体" w:hAnsi="宋体" w:cs="宋体"/>
          <w:color w:val="auto"/>
          <w:spacing w:val="-3"/>
          <w:sz w:val="24"/>
          <w:szCs w:val="24"/>
          <w:highlight w:val="none"/>
        </w:rPr>
        <w:t>时限，不承</w:t>
      </w:r>
      <w:r>
        <w:rPr>
          <w:rFonts w:hint="eastAsia" w:ascii="宋体" w:hAnsi="宋体" w:cs="宋体"/>
          <w:color w:val="auto"/>
          <w:spacing w:val="-9"/>
          <w:sz w:val="24"/>
          <w:szCs w:val="24"/>
          <w:highlight w:val="none"/>
        </w:rPr>
        <w:t>担责任。因不可抗力导致工程监理合同不能全部或部分履行，监理人不承担责任。但对违反本</w:t>
      </w:r>
      <w:r>
        <w:rPr>
          <w:rFonts w:hint="eastAsia" w:ascii="宋体" w:hAnsi="宋体" w:cs="宋体"/>
          <w:color w:val="auto"/>
          <w:sz w:val="24"/>
          <w:szCs w:val="24"/>
          <w:highlight w:val="none"/>
        </w:rPr>
        <w:t xml:space="preserve">合同标准条款第五条规定引起的与之有关的事宜，应向委托人承担赔偿责任。 </w:t>
      </w:r>
    </w:p>
    <w:p>
      <w:pPr>
        <w:pStyle w:val="11"/>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第二十八条 </w:t>
      </w:r>
      <w:r>
        <w:rPr>
          <w:rFonts w:hint="eastAsia" w:ascii="宋体" w:hAnsi="宋体" w:cs="宋体"/>
          <w:color w:val="auto"/>
          <w:sz w:val="24"/>
          <w:szCs w:val="24"/>
          <w:highlight w:val="none"/>
        </w:rPr>
        <w:t>监理人向委托人提出赔偿要求不能成立时，监理人应当补偿由于该索赔所导致委托人的各种费用支出。</w:t>
      </w:r>
      <w:r>
        <w:rPr>
          <w:rFonts w:hint="eastAsia" w:ascii="宋体" w:hAnsi="宋体" w:cs="宋体"/>
          <w:b/>
          <w:color w:val="auto"/>
          <w:w w:val="99"/>
          <w:sz w:val="24"/>
          <w:szCs w:val="24"/>
          <w:highlight w:val="none"/>
        </w:rPr>
        <w:t xml:space="preserve"> </w:t>
      </w:r>
    </w:p>
    <w:p>
      <w:pPr>
        <w:pStyle w:val="7"/>
        <w:spacing w:line="360" w:lineRule="auto"/>
        <w:ind w:left="0" w:firstLine="482" w:firstLineChars="200"/>
        <w:jc w:val="center"/>
        <w:rPr>
          <w:rFonts w:ascii="宋体" w:hAnsi="宋体" w:cs="宋体"/>
          <w:color w:val="auto"/>
          <w:highlight w:val="none"/>
        </w:rPr>
      </w:pPr>
      <w:r>
        <w:rPr>
          <w:rFonts w:hint="eastAsia" w:ascii="宋体" w:hAnsi="宋体" w:cs="宋体"/>
          <w:color w:val="auto"/>
          <w:highlight w:val="none"/>
        </w:rPr>
        <w:t>委托人责任</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第二十九条 </w:t>
      </w:r>
      <w:r>
        <w:rPr>
          <w:rFonts w:hint="eastAsia" w:ascii="宋体" w:hAnsi="宋体" w:cs="宋体"/>
          <w:color w:val="auto"/>
          <w:sz w:val="24"/>
          <w:szCs w:val="24"/>
          <w:highlight w:val="none"/>
        </w:rPr>
        <w:t>委托人应当履行本合同约定的义务，如有违反则应当承担违约责任，赔偿给监理人造成的经济损失，赔偿总额不超过监理报酬的</w:t>
      </w:r>
      <w:r>
        <w:rPr>
          <w:rFonts w:ascii="宋体" w:hAnsi="宋体" w:cs="宋体"/>
          <w:color w:val="auto"/>
          <w:sz w:val="24"/>
          <w:szCs w:val="24"/>
          <w:highlight w:val="none"/>
        </w:rPr>
        <w:t>20%</w:t>
      </w:r>
      <w:r>
        <w:rPr>
          <w:rFonts w:hint="eastAsia" w:ascii="宋体" w:hAnsi="宋体" w:cs="宋体"/>
          <w:color w:val="auto"/>
          <w:sz w:val="24"/>
          <w:szCs w:val="24"/>
          <w:highlight w:val="none"/>
        </w:rPr>
        <w:t>。监理人处理委托业务时，因委托人原因的事由受到损失的，可以向委托人要求补偿损失。</w:t>
      </w:r>
    </w:p>
    <w:p>
      <w:pPr>
        <w:pStyle w:val="11"/>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第三十条 </w:t>
      </w:r>
      <w:r>
        <w:rPr>
          <w:rFonts w:hint="eastAsia" w:ascii="宋体" w:hAnsi="宋体" w:cs="宋体"/>
          <w:color w:val="auto"/>
          <w:sz w:val="24"/>
          <w:szCs w:val="24"/>
          <w:highlight w:val="none"/>
        </w:rPr>
        <w:t>委托人如果向监理人提出赔偿的要求不能成立，则应当补偿由该索赔所引起的监理人的各种费用支出。</w:t>
      </w:r>
      <w:r>
        <w:rPr>
          <w:rFonts w:hint="eastAsia" w:ascii="宋体" w:hAnsi="宋体" w:cs="宋体"/>
          <w:b/>
          <w:color w:val="auto"/>
          <w:w w:val="99"/>
          <w:sz w:val="24"/>
          <w:szCs w:val="24"/>
          <w:highlight w:val="none"/>
        </w:rPr>
        <w:t xml:space="preserve"> </w:t>
      </w:r>
    </w:p>
    <w:p>
      <w:pPr>
        <w:pStyle w:val="7"/>
        <w:spacing w:line="360" w:lineRule="auto"/>
        <w:ind w:left="0" w:firstLine="482" w:firstLineChars="200"/>
        <w:rPr>
          <w:rFonts w:ascii="宋体" w:hAnsi="宋体" w:cs="宋体"/>
          <w:color w:val="auto"/>
          <w:highlight w:val="none"/>
        </w:rPr>
      </w:pPr>
      <w:r>
        <w:rPr>
          <w:rFonts w:hint="eastAsia" w:ascii="宋体" w:hAnsi="宋体" w:cs="宋体"/>
          <w:color w:val="auto"/>
          <w:highlight w:val="none"/>
        </w:rPr>
        <w:t>合同生效、变更与终止</w:t>
      </w:r>
      <w:r>
        <w:rPr>
          <w:rFonts w:hint="eastAsia" w:ascii="宋体" w:hAnsi="宋体" w:cs="宋体"/>
          <w:color w:val="auto"/>
          <w:w w:val="99"/>
          <w:highlight w:val="none"/>
        </w:rPr>
        <w:t xml:space="preserve"> </w:t>
      </w:r>
    </w:p>
    <w:p>
      <w:pPr>
        <w:pStyle w:val="11"/>
        <w:spacing w:after="0" w:line="360" w:lineRule="auto"/>
        <w:ind w:firstLine="486" w:firstLineChars="200"/>
        <w:rPr>
          <w:rFonts w:ascii="宋体" w:hAnsi="宋体" w:cs="宋体"/>
          <w:color w:val="auto"/>
          <w:spacing w:val="-1"/>
          <w:sz w:val="24"/>
          <w:szCs w:val="24"/>
          <w:highlight w:val="none"/>
        </w:rPr>
      </w:pPr>
      <w:r>
        <w:rPr>
          <w:rFonts w:hint="eastAsia" w:ascii="宋体" w:hAnsi="宋体" w:cs="宋体"/>
          <w:b/>
          <w:color w:val="auto"/>
          <w:spacing w:val="1"/>
          <w:sz w:val="24"/>
          <w:szCs w:val="24"/>
          <w:highlight w:val="none"/>
        </w:rPr>
        <w:t xml:space="preserve">第三十一条 </w:t>
      </w:r>
      <w:r>
        <w:rPr>
          <w:rFonts w:hint="eastAsia" w:ascii="宋体" w:hAnsi="宋体" w:cs="宋体"/>
          <w:color w:val="auto"/>
          <w:spacing w:val="-1"/>
          <w:sz w:val="24"/>
          <w:szCs w:val="24"/>
          <w:highlight w:val="none"/>
        </w:rPr>
        <w:t>由于委托人或承包人的原因使监理工作受到阻碍或延误，以致发生了附加工作或延长了持续时间，则监理人应当将此情况与可能产生的影响及时通知委托人。经委托人书面确认，完成监理业务的时间相应延长，并得到附加工作的报酬。</w:t>
      </w:r>
      <w:r>
        <w:rPr>
          <w:rFonts w:ascii="宋体" w:hAnsi="宋体" w:cs="宋体"/>
          <w:color w:val="auto"/>
          <w:spacing w:val="-1"/>
          <w:sz w:val="24"/>
          <w:szCs w:val="24"/>
          <w:highlight w:val="none"/>
        </w:rPr>
        <w:t xml:space="preserve"> </w:t>
      </w:r>
    </w:p>
    <w:p>
      <w:pPr>
        <w:pStyle w:val="11"/>
        <w:spacing w:after="0" w:line="360" w:lineRule="auto"/>
        <w:ind w:firstLine="482" w:firstLineChars="200"/>
        <w:rPr>
          <w:rFonts w:ascii="宋体" w:hAnsi="宋体" w:cs="宋体"/>
          <w:color w:val="auto"/>
          <w:spacing w:val="-1"/>
          <w:sz w:val="24"/>
          <w:szCs w:val="24"/>
          <w:highlight w:val="none"/>
        </w:rPr>
      </w:pPr>
      <w:r>
        <w:rPr>
          <w:rFonts w:hint="eastAsia" w:ascii="宋体" w:hAnsi="宋体" w:cs="宋体"/>
          <w:b/>
          <w:color w:val="auto"/>
          <w:sz w:val="24"/>
          <w:szCs w:val="24"/>
          <w:highlight w:val="none"/>
        </w:rPr>
        <w:t xml:space="preserve">第三十二条 </w:t>
      </w:r>
      <w:r>
        <w:rPr>
          <w:rFonts w:hint="eastAsia" w:ascii="宋体" w:hAnsi="宋体" w:cs="宋体"/>
          <w:color w:val="auto"/>
          <w:sz w:val="24"/>
          <w:szCs w:val="24"/>
          <w:highlight w:val="none"/>
        </w:rPr>
        <w:t>在本合</w:t>
      </w:r>
      <w:r>
        <w:rPr>
          <w:rFonts w:hint="eastAsia" w:ascii="宋体" w:hAnsi="宋体" w:cs="宋体"/>
          <w:color w:val="auto"/>
          <w:spacing w:val="-1"/>
          <w:sz w:val="24"/>
          <w:szCs w:val="24"/>
          <w:highlight w:val="none"/>
        </w:rPr>
        <w:t>同签订后，实际情况发生变化，使得监理人不能全部或部分执行监理业务时，监理人应当立即通知委托人。该监理业务的完成时间应予延长。当恢复执行监理业务时，应当增加不超过</w:t>
      </w:r>
      <w:r>
        <w:rPr>
          <w:rFonts w:ascii="宋体" w:hAnsi="宋体" w:cs="宋体"/>
          <w:color w:val="auto"/>
          <w:spacing w:val="-1"/>
          <w:sz w:val="24"/>
          <w:szCs w:val="24"/>
          <w:highlight w:val="none"/>
        </w:rPr>
        <w:t xml:space="preserve"> 42 日的时间用于恢复执行监理业务，并按双方约定的数量支付监理报酬。 </w:t>
      </w:r>
    </w:p>
    <w:p>
      <w:pPr>
        <w:pStyle w:val="11"/>
        <w:spacing w:after="0" w:line="360" w:lineRule="auto"/>
        <w:ind w:firstLine="486" w:firstLineChars="200"/>
        <w:rPr>
          <w:rFonts w:ascii="宋体" w:hAnsi="宋体" w:cs="宋体"/>
          <w:color w:val="auto"/>
          <w:spacing w:val="-1"/>
          <w:sz w:val="24"/>
          <w:szCs w:val="24"/>
          <w:highlight w:val="none"/>
        </w:rPr>
      </w:pPr>
      <w:r>
        <w:rPr>
          <w:rFonts w:hint="eastAsia" w:ascii="宋体" w:hAnsi="宋体" w:cs="宋体"/>
          <w:b/>
          <w:color w:val="auto"/>
          <w:spacing w:val="1"/>
          <w:sz w:val="24"/>
          <w:szCs w:val="24"/>
          <w:highlight w:val="none"/>
        </w:rPr>
        <w:t xml:space="preserve">第三十三条 </w:t>
      </w:r>
      <w:r>
        <w:rPr>
          <w:rFonts w:hint="eastAsia" w:ascii="宋体" w:hAnsi="宋体" w:cs="宋体"/>
          <w:color w:val="auto"/>
          <w:spacing w:val="-1"/>
          <w:sz w:val="24"/>
          <w:szCs w:val="24"/>
          <w:highlight w:val="none"/>
        </w:rPr>
        <w:t>监理人向委托人办理完竣工验收或工程移交手续，承包人和委托人已签订工程保修责任书，监理人收到监理报酬尾款，本合同即终止。保修期间的责任，双方在专用条款中约定。</w:t>
      </w:r>
      <w:r>
        <w:rPr>
          <w:rFonts w:ascii="宋体" w:hAnsi="宋体" w:cs="宋体"/>
          <w:color w:val="auto"/>
          <w:spacing w:val="-1"/>
          <w:sz w:val="24"/>
          <w:szCs w:val="24"/>
          <w:highlight w:val="none"/>
        </w:rPr>
        <w:t xml:space="preserve"> </w:t>
      </w:r>
    </w:p>
    <w:p>
      <w:pPr>
        <w:pStyle w:val="11"/>
        <w:spacing w:after="0" w:line="360" w:lineRule="auto"/>
        <w:ind w:firstLine="478" w:firstLineChars="200"/>
        <w:rPr>
          <w:rFonts w:ascii="宋体" w:hAnsi="宋体" w:cs="宋体"/>
          <w:color w:val="auto"/>
          <w:spacing w:val="-1"/>
          <w:sz w:val="24"/>
          <w:szCs w:val="24"/>
          <w:highlight w:val="none"/>
        </w:rPr>
      </w:pPr>
      <w:r>
        <w:rPr>
          <w:rFonts w:hint="eastAsia" w:ascii="宋体" w:hAnsi="宋体" w:cs="宋体"/>
          <w:b/>
          <w:color w:val="auto"/>
          <w:spacing w:val="-1"/>
          <w:sz w:val="24"/>
          <w:szCs w:val="24"/>
          <w:highlight w:val="none"/>
        </w:rPr>
        <w:t xml:space="preserve">第三十四条 </w:t>
      </w:r>
      <w:r>
        <w:rPr>
          <w:rFonts w:hint="eastAsia" w:ascii="宋体" w:hAnsi="宋体" w:cs="宋体"/>
          <w:color w:val="auto"/>
          <w:spacing w:val="-7"/>
          <w:sz w:val="24"/>
          <w:szCs w:val="24"/>
          <w:highlight w:val="none"/>
        </w:rPr>
        <w:t>当事人</w:t>
      </w:r>
      <w:r>
        <w:rPr>
          <w:rFonts w:hint="eastAsia" w:ascii="宋体" w:hAnsi="宋体" w:cs="宋体"/>
          <w:color w:val="auto"/>
          <w:spacing w:val="-1"/>
          <w:sz w:val="24"/>
          <w:szCs w:val="24"/>
          <w:highlight w:val="none"/>
        </w:rPr>
        <w:t>一方根据法律规定或本合同约定要求变更或解除合同时，应当在</w:t>
      </w:r>
      <w:r>
        <w:rPr>
          <w:rFonts w:ascii="宋体" w:hAnsi="宋体" w:cs="宋体"/>
          <w:color w:val="auto"/>
          <w:spacing w:val="-1"/>
          <w:sz w:val="24"/>
          <w:szCs w:val="24"/>
          <w:highlight w:val="none"/>
        </w:rPr>
        <w:t>42</w:t>
      </w:r>
      <w:r>
        <w:rPr>
          <w:rFonts w:hint="eastAsia" w:ascii="宋体" w:hAnsi="宋体" w:cs="宋体"/>
          <w:color w:val="auto"/>
          <w:spacing w:val="-1"/>
          <w:sz w:val="24"/>
          <w:szCs w:val="24"/>
          <w:highlight w:val="none"/>
        </w:rPr>
        <w:t>日前通知对方，因解除合同使一方遭受损失的，除依法可以免除责任的外，应由责任方负责赔偿。</w:t>
      </w:r>
      <w:r>
        <w:rPr>
          <w:rFonts w:ascii="宋体" w:hAnsi="宋体" w:cs="宋体"/>
          <w:color w:val="auto"/>
          <w:spacing w:val="-1"/>
          <w:sz w:val="24"/>
          <w:szCs w:val="24"/>
          <w:highlight w:val="none"/>
        </w:rPr>
        <w:t xml:space="preserve"> </w:t>
      </w:r>
      <w:r>
        <w:rPr>
          <w:rFonts w:hint="eastAsia" w:ascii="宋体" w:hAnsi="宋体" w:cs="宋体"/>
          <w:color w:val="auto"/>
          <w:spacing w:val="-1"/>
          <w:sz w:val="24"/>
          <w:szCs w:val="24"/>
          <w:highlight w:val="none"/>
        </w:rPr>
        <w:t>变更或解除合同的通知或协议必须采取书面形式，协议未达成之前，原合同仍然有效。</w:t>
      </w:r>
      <w:r>
        <w:rPr>
          <w:rFonts w:ascii="宋体" w:hAnsi="宋体" w:cs="宋体"/>
          <w:color w:val="auto"/>
          <w:spacing w:val="-1"/>
          <w:sz w:val="24"/>
          <w:szCs w:val="24"/>
          <w:highlight w:val="none"/>
        </w:rPr>
        <w:t xml:space="preserve"> </w:t>
      </w:r>
    </w:p>
    <w:p>
      <w:pPr>
        <w:pStyle w:val="11"/>
        <w:spacing w:after="0" w:line="360" w:lineRule="auto"/>
        <w:ind w:firstLine="482" w:firstLineChars="200"/>
        <w:rPr>
          <w:rFonts w:ascii="宋体" w:hAnsi="宋体" w:cs="宋体"/>
          <w:color w:val="auto"/>
          <w:spacing w:val="-1"/>
          <w:sz w:val="24"/>
          <w:szCs w:val="24"/>
          <w:highlight w:val="none"/>
        </w:rPr>
      </w:pPr>
      <w:r>
        <w:rPr>
          <w:rFonts w:hint="eastAsia" w:ascii="宋体" w:hAnsi="宋体" w:cs="宋体"/>
          <w:b/>
          <w:color w:val="auto"/>
          <w:sz w:val="24"/>
          <w:szCs w:val="24"/>
          <w:highlight w:val="none"/>
        </w:rPr>
        <w:t xml:space="preserve">第三十五条 </w:t>
      </w:r>
      <w:r>
        <w:rPr>
          <w:rFonts w:hint="eastAsia" w:ascii="宋体" w:hAnsi="宋体" w:cs="宋体"/>
          <w:color w:val="auto"/>
          <w:sz w:val="24"/>
          <w:szCs w:val="24"/>
          <w:highlight w:val="none"/>
        </w:rPr>
        <w:t>监理人在应</w:t>
      </w:r>
      <w:r>
        <w:rPr>
          <w:rFonts w:hint="eastAsia" w:ascii="宋体" w:hAnsi="宋体" w:cs="宋体"/>
          <w:color w:val="auto"/>
          <w:spacing w:val="-1"/>
          <w:sz w:val="24"/>
          <w:szCs w:val="24"/>
          <w:highlight w:val="none"/>
        </w:rPr>
        <w:t>当获得监理报酬之日起</w:t>
      </w:r>
      <w:r>
        <w:rPr>
          <w:rFonts w:ascii="宋体" w:hAnsi="宋体" w:cs="宋体"/>
          <w:color w:val="auto"/>
          <w:spacing w:val="-1"/>
          <w:sz w:val="24"/>
          <w:szCs w:val="24"/>
          <w:highlight w:val="none"/>
        </w:rPr>
        <w:t xml:space="preserve"> 30</w:t>
      </w:r>
      <w:r>
        <w:rPr>
          <w:rFonts w:hint="eastAsia" w:ascii="宋体" w:hAnsi="宋体" w:cs="宋体"/>
          <w:color w:val="auto"/>
          <w:spacing w:val="-1"/>
          <w:sz w:val="24"/>
          <w:szCs w:val="24"/>
          <w:highlight w:val="none"/>
        </w:rPr>
        <w:t xml:space="preserve"> 日内仍未收到支付单据，而委托人又未对监理人提出任何书面解释时，监理人可向委托人发出终止合同的通知，发出通知后</w:t>
      </w:r>
      <w:r>
        <w:rPr>
          <w:rFonts w:ascii="宋体" w:hAnsi="宋体" w:cs="宋体"/>
          <w:color w:val="auto"/>
          <w:spacing w:val="-1"/>
          <w:sz w:val="24"/>
          <w:szCs w:val="24"/>
          <w:highlight w:val="none"/>
        </w:rPr>
        <w:t>14</w:t>
      </w:r>
      <w:r>
        <w:rPr>
          <w:rFonts w:hint="eastAsia" w:ascii="宋体" w:hAnsi="宋体" w:cs="宋体"/>
          <w:color w:val="auto"/>
          <w:spacing w:val="-1"/>
          <w:sz w:val="24"/>
          <w:szCs w:val="24"/>
          <w:highlight w:val="none"/>
        </w:rPr>
        <w:t>日内仍未得到委托人答复，可进一步发出终止合同的通知，如果第二份通知发出后</w:t>
      </w:r>
      <w:r>
        <w:rPr>
          <w:rFonts w:ascii="宋体" w:hAnsi="宋体" w:cs="宋体"/>
          <w:color w:val="auto"/>
          <w:spacing w:val="-1"/>
          <w:sz w:val="24"/>
          <w:szCs w:val="24"/>
          <w:highlight w:val="none"/>
        </w:rPr>
        <w:t>42</w:t>
      </w:r>
      <w:r>
        <w:rPr>
          <w:rFonts w:hint="eastAsia" w:ascii="宋体" w:hAnsi="宋体" w:cs="宋体"/>
          <w:color w:val="auto"/>
          <w:spacing w:val="-1"/>
          <w:sz w:val="24"/>
          <w:szCs w:val="24"/>
          <w:highlight w:val="none"/>
        </w:rPr>
        <w:t>日内仍未得到委托人答复，可终止合同或自行暂停或继续暂停执行全部或部分监理业务。委托人承担违约责任。</w:t>
      </w:r>
      <w:r>
        <w:rPr>
          <w:rFonts w:ascii="宋体" w:hAnsi="宋体" w:cs="宋体"/>
          <w:color w:val="auto"/>
          <w:spacing w:val="-1"/>
          <w:sz w:val="24"/>
          <w:szCs w:val="24"/>
          <w:highlight w:val="none"/>
        </w:rPr>
        <w:t xml:space="preserve">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第三十六条 </w:t>
      </w:r>
      <w:r>
        <w:rPr>
          <w:rFonts w:hint="eastAsia" w:ascii="宋体" w:hAnsi="宋体" w:cs="宋体"/>
          <w:color w:val="auto"/>
          <w:sz w:val="24"/>
          <w:szCs w:val="24"/>
          <w:highlight w:val="none"/>
        </w:rPr>
        <w:t xml:space="preserve">监理人由于非自己的原因而暂停或终止执行监理业务，其善后工作以及恢复执行监理业务的工作，应当视为额外工作，有权得到额外的报酬。 </w:t>
      </w:r>
    </w:p>
    <w:p>
      <w:pPr>
        <w:pStyle w:val="11"/>
        <w:spacing w:after="0" w:line="360" w:lineRule="auto"/>
        <w:ind w:firstLine="486" w:firstLineChars="200"/>
        <w:rPr>
          <w:rFonts w:ascii="宋体" w:hAnsi="宋体" w:cs="宋体"/>
          <w:color w:val="auto"/>
          <w:spacing w:val="-8"/>
          <w:sz w:val="24"/>
          <w:szCs w:val="24"/>
          <w:highlight w:val="none"/>
        </w:rPr>
      </w:pPr>
      <w:r>
        <w:rPr>
          <w:rFonts w:hint="eastAsia" w:ascii="宋体" w:hAnsi="宋体" w:cs="宋体"/>
          <w:b/>
          <w:color w:val="auto"/>
          <w:spacing w:val="1"/>
          <w:sz w:val="24"/>
          <w:szCs w:val="24"/>
          <w:highlight w:val="none"/>
        </w:rPr>
        <w:t xml:space="preserve">第三十七条 </w:t>
      </w:r>
      <w:r>
        <w:rPr>
          <w:rFonts w:hint="eastAsia" w:ascii="宋体" w:hAnsi="宋体" w:cs="宋体"/>
          <w:color w:val="auto"/>
          <w:spacing w:val="-1"/>
          <w:sz w:val="24"/>
          <w:szCs w:val="24"/>
          <w:highlight w:val="none"/>
        </w:rPr>
        <w:t>当委托人认为监理人无正当理由而又未履行监理义务时，可向监理人发出</w:t>
      </w:r>
      <w:r>
        <w:rPr>
          <w:rFonts w:hint="eastAsia" w:ascii="宋体" w:hAnsi="宋体" w:cs="宋体"/>
          <w:color w:val="auto"/>
          <w:spacing w:val="-3"/>
          <w:sz w:val="24"/>
          <w:szCs w:val="24"/>
          <w:highlight w:val="none"/>
        </w:rPr>
        <w:t>指明其未履行义务的通知。若委托人发出通知后</w:t>
      </w:r>
      <w:r>
        <w:rPr>
          <w:rFonts w:hint="eastAsia" w:ascii="宋体" w:hAnsi="宋体" w:cs="宋体"/>
          <w:color w:val="auto"/>
          <w:sz w:val="24"/>
          <w:szCs w:val="24"/>
          <w:highlight w:val="none"/>
        </w:rPr>
        <w:t>21</w:t>
      </w:r>
      <w:r>
        <w:rPr>
          <w:rFonts w:hint="eastAsia" w:ascii="宋体" w:hAnsi="宋体" w:cs="宋体"/>
          <w:color w:val="auto"/>
          <w:spacing w:val="-8"/>
          <w:sz w:val="24"/>
          <w:szCs w:val="24"/>
          <w:highlight w:val="none"/>
        </w:rPr>
        <w:t>日内没有收到答复，可在第一个通知发出</w:t>
      </w:r>
      <w:r>
        <w:rPr>
          <w:rFonts w:hint="eastAsia" w:ascii="宋体" w:hAnsi="宋体" w:cs="宋体"/>
          <w:color w:val="auto"/>
          <w:spacing w:val="-30"/>
          <w:sz w:val="24"/>
          <w:szCs w:val="24"/>
          <w:highlight w:val="none"/>
        </w:rPr>
        <w:t xml:space="preserve">后 </w:t>
      </w:r>
      <w:r>
        <w:rPr>
          <w:rFonts w:hint="eastAsia" w:ascii="宋体" w:hAnsi="宋体" w:cs="宋体"/>
          <w:color w:val="auto"/>
          <w:sz w:val="24"/>
          <w:szCs w:val="24"/>
          <w:highlight w:val="none"/>
        </w:rPr>
        <w:t>35</w:t>
      </w:r>
      <w:r>
        <w:rPr>
          <w:rFonts w:hint="eastAsia" w:ascii="宋体" w:hAnsi="宋体" w:cs="宋体"/>
          <w:color w:val="auto"/>
          <w:spacing w:val="-8"/>
          <w:sz w:val="24"/>
          <w:szCs w:val="24"/>
          <w:highlight w:val="none"/>
        </w:rPr>
        <w:t>日内发出终止委托监理合同的通知，合同即行终止。监理人承担违约责任。</w:t>
      </w:r>
    </w:p>
    <w:p>
      <w:pPr>
        <w:pStyle w:val="11"/>
        <w:spacing w:after="0" w:line="360" w:lineRule="auto"/>
        <w:ind w:firstLine="454" w:firstLineChars="200"/>
        <w:rPr>
          <w:rFonts w:ascii="宋体" w:hAnsi="宋体" w:cs="宋体"/>
          <w:bCs/>
          <w:color w:val="auto"/>
          <w:sz w:val="24"/>
          <w:szCs w:val="24"/>
          <w:highlight w:val="none"/>
        </w:rPr>
      </w:pPr>
      <w:r>
        <w:rPr>
          <w:rFonts w:hint="eastAsia" w:ascii="宋体" w:hAnsi="宋体" w:cs="宋体"/>
          <w:b/>
          <w:color w:val="auto"/>
          <w:spacing w:val="-7"/>
          <w:sz w:val="24"/>
          <w:szCs w:val="24"/>
          <w:highlight w:val="none"/>
        </w:rPr>
        <w:t>第三十八条</w:t>
      </w:r>
      <w:r>
        <w:rPr>
          <w:rFonts w:hint="eastAsia" w:ascii="宋体" w:hAnsi="宋体" w:cs="宋体"/>
          <w:bCs/>
          <w:color w:val="auto"/>
          <w:spacing w:val="-7"/>
          <w:sz w:val="24"/>
          <w:szCs w:val="24"/>
          <w:highlight w:val="none"/>
        </w:rPr>
        <w:t xml:space="preserve"> </w:t>
      </w:r>
      <w:r>
        <w:rPr>
          <w:rFonts w:hint="eastAsia" w:ascii="宋体" w:hAnsi="宋体" w:cs="宋体"/>
          <w:bCs/>
          <w:color w:val="auto"/>
          <w:spacing w:val="-1"/>
          <w:sz w:val="24"/>
          <w:szCs w:val="24"/>
          <w:highlight w:val="none"/>
        </w:rPr>
        <w:t>合同协议的终止并不影响各方应有的权利和应当承担的责任。</w:t>
      </w:r>
    </w:p>
    <w:p>
      <w:pPr>
        <w:pStyle w:val="11"/>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监理报酬</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第三十九条 </w:t>
      </w:r>
      <w:r>
        <w:rPr>
          <w:rFonts w:hint="eastAsia" w:ascii="宋体" w:hAnsi="宋体" w:cs="宋体"/>
          <w:color w:val="auto"/>
          <w:sz w:val="24"/>
          <w:szCs w:val="24"/>
          <w:highlight w:val="none"/>
        </w:rPr>
        <w:t xml:space="preserve">正常的监理工作、附加工作和额外工作的报酬，按照监理合同专用条款中第三十九条的方法计算，并按约定的时间和数额支付。 </w:t>
      </w:r>
    </w:p>
    <w:p>
      <w:pPr>
        <w:pStyle w:val="11"/>
        <w:spacing w:after="0" w:line="360" w:lineRule="auto"/>
        <w:ind w:firstLine="498" w:firstLineChars="200"/>
        <w:rPr>
          <w:rFonts w:ascii="宋体" w:hAnsi="宋体" w:cs="宋体"/>
          <w:color w:val="auto"/>
          <w:sz w:val="24"/>
          <w:szCs w:val="24"/>
          <w:highlight w:val="none"/>
        </w:rPr>
      </w:pPr>
      <w:r>
        <w:rPr>
          <w:rFonts w:hint="eastAsia" w:ascii="宋体" w:hAnsi="宋体" w:cs="宋体"/>
          <w:b/>
          <w:color w:val="auto"/>
          <w:spacing w:val="4"/>
          <w:sz w:val="24"/>
          <w:szCs w:val="24"/>
          <w:highlight w:val="none"/>
        </w:rPr>
        <w:t xml:space="preserve">第四十条 </w:t>
      </w:r>
      <w:r>
        <w:rPr>
          <w:rFonts w:hint="eastAsia" w:ascii="宋体" w:hAnsi="宋体" w:cs="宋体"/>
          <w:color w:val="auto"/>
          <w:sz w:val="24"/>
          <w:szCs w:val="24"/>
          <w:highlight w:val="none"/>
        </w:rPr>
        <w:t>如果委托人在规定的支付期限内未支付监理报酬，自规定之日起，还应向监理人</w:t>
      </w:r>
      <w:r>
        <w:rPr>
          <w:rFonts w:hint="eastAsia" w:ascii="宋体" w:hAnsi="宋体" w:cs="宋体"/>
          <w:color w:val="auto"/>
          <w:spacing w:val="-14"/>
          <w:sz w:val="24"/>
          <w:szCs w:val="24"/>
          <w:highlight w:val="none"/>
        </w:rPr>
        <w:t xml:space="preserve">支付滞纳金。滞纳金从规定支付期限最后一日起计算。滞纳金累计不超过未付监理报酬的 </w:t>
      </w:r>
      <w:r>
        <w:rPr>
          <w:rFonts w:hint="eastAsia" w:ascii="宋体" w:hAnsi="宋体" w:cs="宋体"/>
          <w:color w:val="auto"/>
          <w:sz w:val="24"/>
          <w:szCs w:val="24"/>
          <w:highlight w:val="none"/>
        </w:rPr>
        <w:t>5%</w:t>
      </w:r>
      <w:r>
        <w:rPr>
          <w:rFonts w:hint="eastAsia" w:ascii="宋体" w:hAnsi="宋体" w:cs="宋体"/>
          <w:color w:val="auto"/>
          <w:spacing w:val="-120"/>
          <w:sz w:val="24"/>
          <w:szCs w:val="24"/>
          <w:highlight w:val="none"/>
        </w:rPr>
        <w:t>。</w:t>
      </w:r>
      <w:r>
        <w:rPr>
          <w:rFonts w:hint="eastAsia" w:ascii="宋体" w:hAnsi="宋体" w:cs="宋体"/>
          <w:color w:val="auto"/>
          <w:sz w:val="24"/>
          <w:szCs w:val="24"/>
          <w:highlight w:val="none"/>
        </w:rPr>
        <w:t xml:space="preserve">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第四十一条 </w:t>
      </w:r>
      <w:r>
        <w:rPr>
          <w:rFonts w:hint="eastAsia" w:ascii="宋体" w:hAnsi="宋体" w:cs="宋体"/>
          <w:color w:val="auto"/>
          <w:sz w:val="24"/>
          <w:szCs w:val="24"/>
          <w:highlight w:val="none"/>
        </w:rPr>
        <w:t xml:space="preserve">支付监理报酬所采取的货币币种、汇率由合同专用条款约定。 </w:t>
      </w:r>
    </w:p>
    <w:p>
      <w:pPr>
        <w:pStyle w:val="11"/>
        <w:spacing w:after="0"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 xml:space="preserve">第四十二条 </w:t>
      </w:r>
      <w:r>
        <w:rPr>
          <w:rFonts w:hint="eastAsia" w:ascii="宋体" w:hAnsi="宋体" w:cs="宋体"/>
          <w:color w:val="auto"/>
          <w:spacing w:val="-1"/>
          <w:sz w:val="24"/>
          <w:szCs w:val="24"/>
          <w:highlight w:val="none"/>
        </w:rPr>
        <w:t>如果委托人对监理人提交的支付通知中报酬或部分报酬项目提出异议，应当</w:t>
      </w:r>
      <w:r>
        <w:rPr>
          <w:rFonts w:hint="eastAsia" w:ascii="宋体" w:hAnsi="宋体" w:cs="宋体"/>
          <w:color w:val="auto"/>
          <w:spacing w:val="-6"/>
          <w:sz w:val="24"/>
          <w:szCs w:val="24"/>
          <w:highlight w:val="none"/>
        </w:rPr>
        <w:t>在收到支付通知书</w:t>
      </w:r>
      <w:r>
        <w:rPr>
          <w:rFonts w:hint="eastAsia" w:ascii="宋体" w:hAnsi="宋体" w:cs="宋体"/>
          <w:color w:val="auto"/>
          <w:sz w:val="24"/>
          <w:szCs w:val="24"/>
          <w:highlight w:val="none"/>
        </w:rPr>
        <w:t>24</w:t>
      </w:r>
      <w:r>
        <w:rPr>
          <w:rFonts w:hint="eastAsia" w:ascii="宋体" w:hAnsi="宋体" w:cs="宋体"/>
          <w:color w:val="auto"/>
          <w:spacing w:val="-8"/>
          <w:sz w:val="24"/>
          <w:szCs w:val="24"/>
          <w:highlight w:val="none"/>
        </w:rPr>
        <w:t>小时内向监理人发出表示异议的通知，但委托人不得拖延其他无异议报</w:t>
      </w:r>
      <w:r>
        <w:rPr>
          <w:rFonts w:hint="eastAsia" w:ascii="宋体" w:hAnsi="宋体" w:cs="宋体"/>
          <w:color w:val="auto"/>
          <w:sz w:val="24"/>
          <w:szCs w:val="24"/>
          <w:highlight w:val="none"/>
        </w:rPr>
        <w:t>酬项目的支付。</w:t>
      </w:r>
      <w:r>
        <w:rPr>
          <w:rFonts w:hint="eastAsia" w:ascii="宋体" w:hAnsi="宋体" w:cs="宋体"/>
          <w:b/>
          <w:color w:val="auto"/>
          <w:w w:val="99"/>
          <w:sz w:val="24"/>
          <w:szCs w:val="24"/>
          <w:highlight w:val="none"/>
        </w:rPr>
        <w:t xml:space="preserve"> </w:t>
      </w:r>
    </w:p>
    <w:p>
      <w:pPr>
        <w:pStyle w:val="7"/>
        <w:spacing w:line="360" w:lineRule="auto"/>
        <w:ind w:left="0" w:firstLine="482" w:firstLineChars="200"/>
        <w:rPr>
          <w:rFonts w:ascii="宋体" w:hAnsi="宋体" w:cs="宋体"/>
          <w:color w:val="auto"/>
          <w:highlight w:val="none"/>
        </w:rPr>
      </w:pPr>
      <w:r>
        <w:rPr>
          <w:rFonts w:hint="eastAsia" w:ascii="宋体" w:hAnsi="宋体" w:cs="宋体"/>
          <w:color w:val="auto"/>
          <w:highlight w:val="none"/>
        </w:rPr>
        <w:t>其他</w:t>
      </w:r>
      <w:r>
        <w:rPr>
          <w:rFonts w:hint="eastAsia" w:ascii="宋体" w:hAnsi="宋体" w:cs="宋体"/>
          <w:color w:val="auto"/>
          <w:w w:val="99"/>
          <w:highlight w:val="none"/>
        </w:rPr>
        <w:t xml:space="preserve"> </w:t>
      </w:r>
    </w:p>
    <w:p>
      <w:pPr>
        <w:pStyle w:val="11"/>
        <w:spacing w:after="0" w:line="360" w:lineRule="auto"/>
        <w:ind w:firstLine="486" w:firstLineChars="200"/>
        <w:rPr>
          <w:rFonts w:ascii="宋体" w:hAnsi="宋体" w:cs="宋体"/>
          <w:color w:val="auto"/>
          <w:sz w:val="24"/>
          <w:szCs w:val="24"/>
          <w:highlight w:val="none"/>
        </w:rPr>
      </w:pPr>
      <w:r>
        <w:rPr>
          <w:rFonts w:hint="eastAsia" w:ascii="宋体" w:hAnsi="宋体" w:cs="宋体"/>
          <w:b/>
          <w:color w:val="auto"/>
          <w:spacing w:val="1"/>
          <w:sz w:val="24"/>
          <w:szCs w:val="24"/>
          <w:highlight w:val="none"/>
        </w:rPr>
        <w:t xml:space="preserve">第四十三条 </w:t>
      </w:r>
      <w:r>
        <w:rPr>
          <w:rFonts w:hint="eastAsia" w:ascii="宋体" w:hAnsi="宋体" w:cs="宋体"/>
          <w:color w:val="auto"/>
          <w:spacing w:val="-1"/>
          <w:sz w:val="24"/>
          <w:szCs w:val="24"/>
          <w:highlight w:val="none"/>
        </w:rPr>
        <w:t>委托的建设工程监理所必要的监理人员出外考察、材料设备复试，其费用支</w:t>
      </w:r>
      <w:r>
        <w:rPr>
          <w:rFonts w:hint="eastAsia" w:ascii="宋体" w:hAnsi="宋体" w:cs="宋体"/>
          <w:color w:val="auto"/>
          <w:sz w:val="24"/>
          <w:szCs w:val="24"/>
          <w:highlight w:val="none"/>
        </w:rPr>
        <w:t xml:space="preserve">出经委托人同意的，在预算范围内  向委托人实报实销。 </w:t>
      </w:r>
    </w:p>
    <w:p>
      <w:pPr>
        <w:pStyle w:val="11"/>
        <w:spacing w:after="0" w:line="360" w:lineRule="auto"/>
        <w:ind w:firstLine="486" w:firstLineChars="200"/>
        <w:rPr>
          <w:rFonts w:ascii="宋体" w:hAnsi="宋体" w:cs="宋体"/>
          <w:color w:val="auto"/>
          <w:sz w:val="24"/>
          <w:szCs w:val="24"/>
          <w:highlight w:val="none"/>
        </w:rPr>
      </w:pPr>
      <w:r>
        <w:rPr>
          <w:rFonts w:hint="eastAsia" w:ascii="宋体" w:hAnsi="宋体" w:cs="宋体"/>
          <w:b/>
          <w:color w:val="auto"/>
          <w:spacing w:val="1"/>
          <w:sz w:val="24"/>
          <w:szCs w:val="24"/>
          <w:highlight w:val="none"/>
        </w:rPr>
        <w:t xml:space="preserve">第四十四条 </w:t>
      </w:r>
      <w:r>
        <w:rPr>
          <w:rFonts w:hint="eastAsia" w:ascii="宋体" w:hAnsi="宋体" w:cs="宋体"/>
          <w:color w:val="auto"/>
          <w:spacing w:val="-1"/>
          <w:sz w:val="24"/>
          <w:szCs w:val="24"/>
          <w:highlight w:val="none"/>
        </w:rPr>
        <w:t>在监理业务范围内，如需聘用专家咨询或协助，由监理人聘用的，其费用由</w:t>
      </w:r>
      <w:r>
        <w:rPr>
          <w:rFonts w:hint="eastAsia" w:ascii="宋体" w:hAnsi="宋体" w:cs="宋体"/>
          <w:color w:val="auto"/>
          <w:sz w:val="24"/>
          <w:szCs w:val="24"/>
          <w:highlight w:val="none"/>
        </w:rPr>
        <w:t xml:space="preserve">监理人承担；由委托人聘用的，其费用由委托人承担。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第四十五条 </w:t>
      </w:r>
      <w:r>
        <w:rPr>
          <w:rFonts w:hint="eastAsia" w:ascii="宋体" w:hAnsi="宋体" w:cs="宋体"/>
          <w:color w:val="auto"/>
          <w:sz w:val="24"/>
          <w:szCs w:val="24"/>
          <w:highlight w:val="none"/>
        </w:rPr>
        <w:t xml:space="preserve">监理人在监理工作过程中提出的合理化建议，使委托人得到了经济效益，委托人应按专用条款中的约定给予经济奖励。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第四十六条 </w:t>
      </w:r>
      <w:r>
        <w:rPr>
          <w:rFonts w:hint="eastAsia" w:ascii="宋体" w:hAnsi="宋体" w:cs="宋体"/>
          <w:color w:val="auto"/>
          <w:sz w:val="24"/>
          <w:szCs w:val="24"/>
          <w:highlight w:val="none"/>
        </w:rPr>
        <w:t xml:space="preserve">监理人驻地项目监理机构及其职员不得接受监理工程项目承包人的任何报酬或者经济利益。 </w:t>
      </w:r>
    </w:p>
    <w:p>
      <w:pPr>
        <w:pStyle w:val="11"/>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监理人不得参与可能与合同规定的与委托人的利益相冲突的任何活动。 </w:t>
      </w:r>
    </w:p>
    <w:p>
      <w:pPr>
        <w:pStyle w:val="11"/>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第四十七条 </w:t>
      </w:r>
      <w:r>
        <w:rPr>
          <w:rFonts w:hint="eastAsia" w:ascii="宋体" w:hAnsi="宋体" w:cs="宋体"/>
          <w:color w:val="auto"/>
          <w:sz w:val="24"/>
          <w:szCs w:val="24"/>
          <w:highlight w:val="none"/>
        </w:rPr>
        <w:t xml:space="preserve">监理人在监理过程中，不得泄露委托人申明的秘密，监理人亦不得泄露设计人、承包人等提供并申明的秘密。 </w:t>
      </w:r>
    </w:p>
    <w:p>
      <w:pPr>
        <w:pStyle w:val="11"/>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第四十八条 </w:t>
      </w:r>
      <w:r>
        <w:rPr>
          <w:rFonts w:hint="eastAsia" w:ascii="宋体" w:hAnsi="宋体" w:cs="宋体"/>
          <w:color w:val="auto"/>
          <w:sz w:val="24"/>
          <w:szCs w:val="24"/>
          <w:highlight w:val="none"/>
        </w:rPr>
        <w:t>监理人对于由其编制的所有文件拥有版权，委托人仅有权为本合同工程使用或复制此类文件。</w:t>
      </w:r>
      <w:r>
        <w:rPr>
          <w:rFonts w:hint="eastAsia" w:ascii="宋体" w:hAnsi="宋体" w:cs="宋体"/>
          <w:b/>
          <w:color w:val="auto"/>
          <w:w w:val="99"/>
          <w:sz w:val="24"/>
          <w:szCs w:val="24"/>
          <w:highlight w:val="none"/>
        </w:rPr>
        <w:t xml:space="preserve"> </w:t>
      </w:r>
    </w:p>
    <w:p>
      <w:pPr>
        <w:pStyle w:val="7"/>
        <w:spacing w:line="360" w:lineRule="auto"/>
        <w:ind w:left="0" w:firstLine="482" w:firstLineChars="200"/>
        <w:jc w:val="center"/>
        <w:rPr>
          <w:rFonts w:ascii="宋体" w:hAnsi="宋体" w:cs="宋体"/>
          <w:color w:val="auto"/>
          <w:highlight w:val="none"/>
        </w:rPr>
      </w:pPr>
      <w:r>
        <w:rPr>
          <w:rFonts w:hint="eastAsia" w:ascii="宋体" w:hAnsi="宋体" w:cs="宋体"/>
          <w:color w:val="auto"/>
          <w:highlight w:val="none"/>
        </w:rPr>
        <w:t>争议的解决</w:t>
      </w:r>
    </w:p>
    <w:p>
      <w:pPr>
        <w:pStyle w:val="11"/>
        <w:spacing w:after="0" w:line="360" w:lineRule="auto"/>
        <w:ind w:firstLine="494" w:firstLineChars="200"/>
        <w:rPr>
          <w:rFonts w:ascii="宋体" w:hAnsi="宋体" w:cs="宋体"/>
          <w:color w:val="auto"/>
          <w:sz w:val="24"/>
          <w:szCs w:val="24"/>
          <w:highlight w:val="none"/>
        </w:rPr>
      </w:pPr>
      <w:r>
        <w:rPr>
          <w:rFonts w:hint="eastAsia" w:ascii="宋体" w:hAnsi="宋体" w:cs="宋体"/>
          <w:b/>
          <w:color w:val="auto"/>
          <w:spacing w:val="3"/>
          <w:sz w:val="24"/>
          <w:szCs w:val="24"/>
          <w:highlight w:val="none"/>
        </w:rPr>
        <w:t xml:space="preserve">第四十九条 </w:t>
      </w:r>
      <w:r>
        <w:rPr>
          <w:rFonts w:hint="eastAsia" w:ascii="宋体" w:hAnsi="宋体" w:cs="宋体"/>
          <w:color w:val="auto"/>
          <w:spacing w:val="-1"/>
          <w:sz w:val="24"/>
          <w:szCs w:val="24"/>
          <w:highlight w:val="none"/>
        </w:rPr>
        <w:t xml:space="preserve">因违反或终止合同而引起的对对方损失和损害的赔偿，双方应当协商解决， </w:t>
      </w:r>
      <w:r>
        <w:rPr>
          <w:rFonts w:hint="eastAsia" w:ascii="宋体" w:hAnsi="宋体" w:cs="宋体"/>
          <w:color w:val="auto"/>
          <w:spacing w:val="-7"/>
          <w:sz w:val="24"/>
          <w:szCs w:val="24"/>
          <w:highlight w:val="none"/>
        </w:rPr>
        <w:t xml:space="preserve">如未能达成一致，可提交主管部门协调，如仍未能达成一致时，根据双方约定提交仲裁机关仲裁，或向人民法院起诉。 </w:t>
      </w:r>
    </w:p>
    <w:p>
      <w:pPr>
        <w:pStyle w:val="3"/>
        <w:spacing w:before="0" w:after="0"/>
        <w:ind w:firstLine="482" w:firstLineChars="200"/>
        <w:rPr>
          <w:rFonts w:ascii="宋体" w:hAnsi="宋体" w:cs="宋体"/>
          <w:color w:val="auto"/>
          <w:sz w:val="24"/>
          <w:szCs w:val="24"/>
          <w:highlight w:val="none"/>
        </w:rPr>
        <w:sectPr>
          <w:pgSz w:w="12240" w:h="15840"/>
          <w:pgMar w:top="1440" w:right="1803" w:bottom="1440" w:left="1803" w:header="0" w:footer="623" w:gutter="0"/>
          <w:pgNumType w:fmt="decimal"/>
          <w:cols w:space="720" w:num="1"/>
        </w:sectPr>
      </w:pPr>
    </w:p>
    <w:p>
      <w:pPr>
        <w:pStyle w:val="5"/>
        <w:spacing w:before="0" w:after="0"/>
        <w:ind w:firstLine="0" w:firstLineChars="0"/>
        <w:jc w:val="center"/>
        <w:rPr>
          <w:rFonts w:ascii="宋体" w:hAnsi="宋体" w:eastAsia="宋体" w:cs="宋体"/>
          <w:color w:val="auto"/>
          <w:sz w:val="24"/>
          <w:szCs w:val="24"/>
          <w:highlight w:val="none"/>
        </w:rPr>
      </w:pPr>
      <w:bookmarkStart w:id="580" w:name="_Toc22491"/>
      <w:r>
        <w:rPr>
          <w:rFonts w:hint="eastAsia" w:ascii="宋体" w:hAnsi="宋体" w:eastAsia="宋体" w:cs="宋体"/>
          <w:b/>
          <w:bCs/>
          <w:color w:val="auto"/>
          <w:szCs w:val="28"/>
          <w:highlight w:val="none"/>
        </w:rPr>
        <w:t>第三章 专用条款</w:t>
      </w:r>
      <w:bookmarkEnd w:id="580"/>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pacing w:val="-1"/>
          <w:sz w:val="24"/>
          <w:szCs w:val="24"/>
          <w:highlight w:val="none"/>
        </w:rPr>
        <w:t>本部分条款的编号与标准条款的编号相对应，是根据本合同工程的实际情况对标准条款中</w:t>
      </w:r>
      <w:r>
        <w:rPr>
          <w:rFonts w:hint="eastAsia" w:ascii="宋体" w:hAnsi="宋体" w:cs="宋体"/>
          <w:color w:val="auto"/>
          <w:sz w:val="24"/>
          <w:szCs w:val="24"/>
          <w:highlight w:val="none"/>
        </w:rPr>
        <w:t xml:space="preserve">相对应条款进行修改、补充或否定，其适用顺序优先于标准条款。本部分条款未阐明的内容，则按标准条款的有关约定执行） </w:t>
      </w:r>
    </w:p>
    <w:p>
      <w:pPr>
        <w:pStyle w:val="11"/>
        <w:spacing w:after="0" w:line="307"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33"/>
        <w:tabs>
          <w:tab w:val="left" w:pos="1310"/>
        </w:tabs>
        <w:spacing w:line="362" w:lineRule="auto"/>
        <w:ind w:firstLine="470"/>
        <w:rPr>
          <w:rFonts w:ascii="宋体" w:hAnsi="宋体" w:cs="宋体"/>
          <w:b/>
          <w:color w:val="auto"/>
          <w:spacing w:val="-3"/>
          <w:highlight w:val="none"/>
        </w:rPr>
      </w:pPr>
      <w:r>
        <w:rPr>
          <w:rFonts w:hint="eastAsia" w:ascii="宋体" w:hAnsi="宋体" w:cs="宋体"/>
          <w:b/>
          <w:bCs/>
          <w:color w:val="auto"/>
          <w:spacing w:val="-3"/>
          <w:sz w:val="24"/>
          <w:szCs w:val="24"/>
          <w:highlight w:val="none"/>
        </w:rPr>
        <w:t>第一条</w:t>
      </w:r>
      <w:r>
        <w:rPr>
          <w:rFonts w:ascii="宋体" w:hAnsi="宋体" w:cs="宋体"/>
          <w:b/>
          <w:bCs/>
          <w:color w:val="auto"/>
          <w:spacing w:val="-3"/>
          <w:sz w:val="24"/>
          <w:szCs w:val="24"/>
          <w:highlight w:val="none"/>
        </w:rPr>
        <w:t xml:space="preserve"> </w:t>
      </w:r>
      <w:r>
        <w:rPr>
          <w:rFonts w:hint="eastAsia" w:ascii="宋体" w:hAnsi="宋体" w:cs="宋体"/>
          <w:b/>
          <w:bCs/>
          <w:color w:val="auto"/>
          <w:spacing w:val="-3"/>
          <w:sz w:val="24"/>
          <w:szCs w:val="24"/>
          <w:highlight w:val="none"/>
        </w:rPr>
        <w:t>词语定义</w:t>
      </w:r>
      <w:r>
        <w:rPr>
          <w:rFonts w:ascii="宋体" w:hAnsi="宋体" w:cs="宋体"/>
          <w:b/>
          <w:bCs/>
          <w:color w:val="auto"/>
          <w:spacing w:val="-3"/>
          <w:sz w:val="24"/>
          <w:szCs w:val="24"/>
          <w:highlight w:val="none"/>
        </w:rPr>
        <w:t xml:space="preserve"> </w:t>
      </w:r>
    </w:p>
    <w:p>
      <w:pPr>
        <w:pStyle w:val="33"/>
        <w:tabs>
          <w:tab w:val="left" w:pos="1310"/>
        </w:tabs>
        <w:spacing w:line="362"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pacing w:val="-3"/>
          <w:sz w:val="24"/>
          <w:szCs w:val="24"/>
          <w:highlight w:val="none"/>
        </w:rPr>
        <w:t>“本合同工程”</w:t>
      </w:r>
      <w:r>
        <w:rPr>
          <w:rFonts w:hint="eastAsia" w:ascii="宋体" w:hAnsi="宋体" w:cs="宋体"/>
          <w:color w:val="auto"/>
          <w:sz w:val="24"/>
          <w:szCs w:val="24"/>
          <w:highlight w:val="none"/>
        </w:rPr>
        <w:t>指委托人委托监理人监理的工程。</w:t>
      </w:r>
      <w:r>
        <w:rPr>
          <w:rFonts w:ascii="宋体" w:hAnsi="宋体" w:cs="宋体"/>
          <w:color w:val="auto"/>
          <w:sz w:val="24"/>
          <w:szCs w:val="24"/>
          <w:highlight w:val="none"/>
        </w:rPr>
        <w:t xml:space="preserve"> </w:t>
      </w:r>
    </w:p>
    <w:p>
      <w:pPr>
        <w:pStyle w:val="33"/>
        <w:tabs>
          <w:tab w:val="left" w:pos="1310"/>
        </w:tabs>
        <w:spacing w:line="362"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pacing w:val="-3"/>
          <w:sz w:val="24"/>
          <w:szCs w:val="24"/>
          <w:highlight w:val="none"/>
        </w:rPr>
        <w:t>委托人</w:t>
      </w:r>
      <w:r>
        <w:rPr>
          <w:rFonts w:ascii="宋体" w:hAnsi="宋体" w:cs="宋体"/>
          <w:color w:val="auto"/>
          <w:sz w:val="24"/>
          <w:szCs w:val="24"/>
          <w:highlight w:val="none"/>
        </w:rPr>
        <w:t xml:space="preserve"> </w:t>
      </w:r>
    </w:p>
    <w:p>
      <w:pPr>
        <w:pStyle w:val="33"/>
        <w:tabs>
          <w:tab w:val="left" w:pos="1310"/>
        </w:tabs>
        <w:spacing w:line="362" w:lineRule="auto"/>
        <w:ind w:firstLine="48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）“委托人”在本</w:t>
      </w:r>
      <w:r>
        <w:rPr>
          <w:rFonts w:hint="eastAsia" w:ascii="宋体" w:hAnsi="宋体" w:cs="宋体"/>
          <w:color w:val="auto"/>
          <w:spacing w:val="-3"/>
          <w:sz w:val="24"/>
          <w:szCs w:val="24"/>
          <w:highlight w:val="none"/>
        </w:rPr>
        <w:t>合同</w:t>
      </w:r>
      <w:r>
        <w:rPr>
          <w:rFonts w:hint="eastAsia" w:ascii="宋体" w:hAnsi="宋体" w:cs="宋体"/>
          <w:color w:val="auto"/>
          <w:sz w:val="24"/>
          <w:szCs w:val="24"/>
          <w:highlight w:val="none"/>
        </w:rPr>
        <w:t>中特指</w:t>
      </w:r>
      <w:r>
        <w:rPr>
          <w:rFonts w:hint="eastAsia" w:ascii="宋体" w:hAnsi="宋体"/>
          <w:color w:val="auto"/>
          <w:sz w:val="24"/>
          <w:highlight w:val="none"/>
          <w:u w:val="single"/>
        </w:rPr>
        <w:t>广州市增城区水务建设管理所</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pStyle w:val="33"/>
        <w:tabs>
          <w:tab w:val="left" w:pos="1310"/>
        </w:tabs>
        <w:spacing w:line="362"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2）“合法继承人”指工程竣工验收合格后，委托人依据规定，将工程移交给其承接使用的产权管理单位。在继承生效后，合法继承人享有委托人在本合同中的一切权利及承担相应的义务。</w:t>
      </w:r>
      <w:r>
        <w:rPr>
          <w:rFonts w:hint="eastAsia" w:ascii="宋体" w:hAnsi="宋体" w:cs="宋体"/>
          <w:color w:val="auto"/>
          <w:spacing w:val="-5"/>
          <w:sz w:val="24"/>
          <w:szCs w:val="24"/>
          <w:highlight w:val="none"/>
        </w:rPr>
        <w:t xml:space="preserve"> </w:t>
      </w:r>
    </w:p>
    <w:p>
      <w:pPr>
        <w:pStyle w:val="33"/>
        <w:tabs>
          <w:tab w:val="left" w:pos="1310"/>
        </w:tabs>
        <w:spacing w:line="362" w:lineRule="auto"/>
        <w:ind w:firstLine="468"/>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（5）“总监理工程师代表”指经监理人法定代表同意，由总监工程师书面授权，代表总监理工程师行使其部份职责和权力的项目监理机构中的监理工程师。</w:t>
      </w:r>
    </w:p>
    <w:p>
      <w:pPr>
        <w:pStyle w:val="33"/>
        <w:tabs>
          <w:tab w:val="left" w:pos="1310"/>
        </w:tabs>
        <w:spacing w:line="362" w:lineRule="auto"/>
        <w:ind w:firstLine="468"/>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（6）“承包人”指委托管理单位以外，与委托人就工程建设有关事宜签订合同的当事人。</w:t>
      </w:r>
    </w:p>
    <w:p>
      <w:pPr>
        <w:pStyle w:val="33"/>
        <w:tabs>
          <w:tab w:val="left" w:pos="1310"/>
        </w:tabs>
        <w:spacing w:line="362" w:lineRule="auto"/>
        <w:ind w:firstLine="468"/>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（11）“监理工程师”指取得国家监理工程师执业资格证书并经注册的监理人员。</w:t>
      </w:r>
    </w:p>
    <w:p>
      <w:pPr>
        <w:pStyle w:val="33"/>
        <w:tabs>
          <w:tab w:val="left" w:pos="1310"/>
        </w:tabs>
        <w:spacing w:line="362" w:lineRule="auto"/>
        <w:ind w:firstLine="468"/>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 xml:space="preserve">（12）“专业监理工程师”指根据项目监理岗位职责分工和总监理工程师的指令，负责实施某一专业或某一方面的监理工作，具有相应监理文件签发权的监理工程师。 </w:t>
      </w:r>
    </w:p>
    <w:p>
      <w:pPr>
        <w:pStyle w:val="33"/>
        <w:tabs>
          <w:tab w:val="left" w:pos="1310"/>
        </w:tabs>
        <w:spacing w:line="362" w:lineRule="auto"/>
        <w:ind w:firstLine="468"/>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（13）“监理员”指经过监理业务培训，具有同类工程相关专业知识，从事具体监理工作的监理人员。</w:t>
      </w:r>
    </w:p>
    <w:p>
      <w:pPr>
        <w:pStyle w:val="33"/>
        <w:tabs>
          <w:tab w:val="left" w:pos="1310"/>
        </w:tabs>
        <w:spacing w:line="362" w:lineRule="auto"/>
        <w:ind w:firstLine="468"/>
        <w:rPr>
          <w:rFonts w:ascii="宋体" w:hAnsi="宋体" w:cs="宋体"/>
          <w:color w:val="auto"/>
          <w:sz w:val="24"/>
          <w:szCs w:val="24"/>
          <w:highlight w:val="none"/>
        </w:rPr>
      </w:pPr>
      <w:r>
        <w:rPr>
          <w:rFonts w:hint="eastAsia" w:ascii="宋体" w:hAnsi="宋体" w:cs="宋体"/>
          <w:color w:val="auto"/>
          <w:spacing w:val="-3"/>
          <w:sz w:val="24"/>
          <w:szCs w:val="24"/>
          <w:highlight w:val="none"/>
        </w:rPr>
        <w:t>（14）“监理规划”指在总监理工程师的主持下编制、经监理人技术负责人批准，用来</w:t>
      </w:r>
      <w:r>
        <w:rPr>
          <w:rFonts w:hint="eastAsia" w:ascii="宋体" w:hAnsi="宋体" w:cs="宋体"/>
          <w:color w:val="auto"/>
          <w:spacing w:val="-4"/>
          <w:sz w:val="24"/>
          <w:szCs w:val="24"/>
          <w:highlight w:val="none"/>
        </w:rPr>
        <w:t xml:space="preserve">指导项目监理机构全面开展监理工作的指导性文件。 </w:t>
      </w:r>
    </w:p>
    <w:p>
      <w:pPr>
        <w:pStyle w:val="33"/>
        <w:tabs>
          <w:tab w:val="left" w:pos="1310"/>
        </w:tabs>
        <w:spacing w:line="362" w:lineRule="auto"/>
        <w:ind w:firstLine="464"/>
        <w:rPr>
          <w:rFonts w:ascii="宋体" w:hAnsi="宋体" w:cs="宋体"/>
          <w:color w:val="auto"/>
          <w:sz w:val="24"/>
          <w:szCs w:val="24"/>
          <w:highlight w:val="none"/>
        </w:rPr>
      </w:pPr>
      <w:r>
        <w:rPr>
          <w:rFonts w:hint="eastAsia" w:ascii="宋体" w:hAnsi="宋体" w:cs="宋体"/>
          <w:color w:val="auto"/>
          <w:spacing w:val="-4"/>
          <w:sz w:val="24"/>
          <w:szCs w:val="24"/>
          <w:highlight w:val="none"/>
        </w:rPr>
        <w:t xml:space="preserve">（15）“监理实施细则”指根据监理规划，由专业监理工程师编写，并经总监理工程师批准，针对工程项目中某一专业或某一方面监理工作的操作性文件。 </w:t>
      </w:r>
    </w:p>
    <w:p>
      <w:pPr>
        <w:pStyle w:val="33"/>
        <w:tabs>
          <w:tab w:val="left" w:pos="1310"/>
        </w:tabs>
        <w:spacing w:line="362" w:lineRule="auto"/>
        <w:ind w:firstLine="464"/>
        <w:rPr>
          <w:rFonts w:ascii="宋体" w:hAnsi="宋体" w:cs="宋体"/>
          <w:color w:val="auto"/>
          <w:sz w:val="24"/>
          <w:szCs w:val="24"/>
          <w:highlight w:val="none"/>
        </w:rPr>
      </w:pPr>
      <w:r>
        <w:rPr>
          <w:rFonts w:hint="eastAsia" w:ascii="宋体" w:hAnsi="宋体" w:cs="宋体"/>
          <w:color w:val="auto"/>
          <w:spacing w:val="-4"/>
          <w:sz w:val="24"/>
          <w:szCs w:val="24"/>
          <w:highlight w:val="none"/>
        </w:rPr>
        <w:t xml:space="preserve">（16）“工地例会”指在工程实施过程中针对工程质量、造价、进度、合同管理等事宜定期召开的，由建设有关单位参加的会议。 </w:t>
      </w:r>
    </w:p>
    <w:p>
      <w:pPr>
        <w:pStyle w:val="33"/>
        <w:tabs>
          <w:tab w:val="left" w:pos="1310"/>
        </w:tabs>
        <w:ind w:firstLine="444"/>
        <w:rPr>
          <w:rFonts w:ascii="宋体" w:hAnsi="宋体" w:cs="宋体"/>
          <w:color w:val="auto"/>
          <w:sz w:val="24"/>
          <w:szCs w:val="24"/>
          <w:highlight w:val="none"/>
        </w:rPr>
      </w:pPr>
      <w:r>
        <w:rPr>
          <w:rFonts w:hint="eastAsia" w:ascii="宋体" w:hAnsi="宋体" w:cs="宋体"/>
          <w:color w:val="auto"/>
          <w:spacing w:val="-9"/>
          <w:sz w:val="24"/>
          <w:szCs w:val="24"/>
          <w:highlight w:val="none"/>
        </w:rPr>
        <w:t>（17）“旁站”指在关键部位或关键工序施工过程中，由监理人员在现场进行的监督活动。</w:t>
      </w:r>
      <w:r>
        <w:rPr>
          <w:rFonts w:hint="eastAsia" w:ascii="宋体" w:hAnsi="宋体" w:cs="宋体"/>
          <w:color w:val="auto"/>
          <w:sz w:val="24"/>
          <w:szCs w:val="24"/>
          <w:highlight w:val="none"/>
        </w:rPr>
        <w:t xml:space="preserve"> </w:t>
      </w:r>
    </w:p>
    <w:p>
      <w:pPr>
        <w:pStyle w:val="33"/>
        <w:tabs>
          <w:tab w:val="left" w:pos="1310"/>
        </w:tabs>
        <w:spacing w:line="364" w:lineRule="auto"/>
        <w:ind w:firstLine="452"/>
        <w:rPr>
          <w:rFonts w:ascii="宋体" w:hAnsi="宋体" w:cs="宋体"/>
          <w:color w:val="auto"/>
          <w:sz w:val="24"/>
          <w:szCs w:val="24"/>
          <w:highlight w:val="none"/>
        </w:rPr>
      </w:pPr>
      <w:r>
        <w:rPr>
          <w:rFonts w:hint="eastAsia" w:ascii="宋体" w:hAnsi="宋体" w:cs="宋体"/>
          <w:color w:val="auto"/>
          <w:spacing w:val="-7"/>
          <w:sz w:val="24"/>
          <w:szCs w:val="24"/>
          <w:highlight w:val="none"/>
        </w:rPr>
        <w:t>（18）“节点工期”指在经委托人和总监理工程师批准的施工组织设计或者工程工期网络计划中载明的承包人按总日历天数（包括法定节假日）</w:t>
      </w:r>
      <w:r>
        <w:rPr>
          <w:rFonts w:hint="eastAsia" w:ascii="宋体" w:hAnsi="宋体" w:cs="宋体"/>
          <w:color w:val="auto"/>
          <w:spacing w:val="-8"/>
          <w:sz w:val="24"/>
          <w:szCs w:val="24"/>
          <w:highlight w:val="none"/>
        </w:rPr>
        <w:t>计算完成某一阶段或某一工序的期限。</w:t>
      </w:r>
      <w:r>
        <w:rPr>
          <w:rFonts w:hint="eastAsia" w:ascii="宋体" w:hAnsi="宋体" w:cs="宋体"/>
          <w:color w:val="auto"/>
          <w:sz w:val="24"/>
          <w:szCs w:val="24"/>
          <w:highlight w:val="none"/>
        </w:rPr>
        <w:t xml:space="preserve">按工期网络计划的一般线路和关键线路分为一般节点工期和关键节点工期。 </w:t>
      </w:r>
    </w:p>
    <w:p>
      <w:pPr>
        <w:pStyle w:val="33"/>
        <w:tabs>
          <w:tab w:val="left" w:pos="1310"/>
        </w:tabs>
        <w:spacing w:line="364" w:lineRule="auto"/>
        <w:ind w:firstLine="468"/>
        <w:rPr>
          <w:rFonts w:hint="eastAsia" w:ascii="宋体" w:hAnsi="宋体" w:cs="宋体"/>
          <w:b/>
          <w:color w:val="auto"/>
          <w:spacing w:val="-4"/>
          <w:w w:val="99"/>
          <w:sz w:val="24"/>
          <w:szCs w:val="24"/>
          <w:highlight w:val="none"/>
        </w:rPr>
      </w:pPr>
      <w:r>
        <w:rPr>
          <w:rFonts w:hint="eastAsia" w:ascii="宋体" w:hAnsi="宋体" w:cs="宋体"/>
          <w:color w:val="auto"/>
          <w:spacing w:val="-3"/>
          <w:sz w:val="24"/>
          <w:szCs w:val="24"/>
          <w:highlight w:val="none"/>
        </w:rPr>
        <w:t>（19）“通知”指合同中所提及的各方之间传达意思表示的方式，包括但不限于申请、</w:t>
      </w:r>
      <w:r>
        <w:rPr>
          <w:rFonts w:hint="eastAsia" w:ascii="宋体" w:hAnsi="宋体" w:cs="宋体"/>
          <w:color w:val="auto"/>
          <w:spacing w:val="-11"/>
          <w:sz w:val="24"/>
          <w:szCs w:val="24"/>
          <w:highlight w:val="none"/>
        </w:rPr>
        <w:t>报告、同意、答复、批准、指令、证书、决定，等等。除本合同专用条款有特别约定外，只有</w:t>
      </w:r>
      <w:r>
        <w:rPr>
          <w:rFonts w:hint="eastAsia" w:ascii="宋体" w:hAnsi="宋体" w:cs="宋体"/>
          <w:color w:val="auto"/>
          <w:spacing w:val="-4"/>
          <w:sz w:val="24"/>
          <w:szCs w:val="24"/>
          <w:highlight w:val="none"/>
        </w:rPr>
        <w:t>采用书面形式的通知才有效。</w:t>
      </w:r>
      <w:r>
        <w:rPr>
          <w:rFonts w:hint="eastAsia" w:ascii="宋体" w:hAnsi="宋体" w:cs="宋体"/>
          <w:b/>
          <w:color w:val="auto"/>
          <w:spacing w:val="-4"/>
          <w:w w:val="99"/>
          <w:sz w:val="24"/>
          <w:szCs w:val="24"/>
          <w:highlight w:val="none"/>
        </w:rPr>
        <w:t xml:space="preserve"> </w:t>
      </w:r>
    </w:p>
    <w:p>
      <w:pPr>
        <w:pStyle w:val="33"/>
        <w:tabs>
          <w:tab w:val="left" w:pos="1310"/>
        </w:tabs>
        <w:spacing w:line="364" w:lineRule="auto"/>
        <w:ind w:firstLine="468"/>
        <w:rPr>
          <w:rFonts w:hint="eastAsia" w:ascii="宋体" w:hAnsi="宋体" w:cs="宋体"/>
          <w:b/>
          <w:color w:val="auto"/>
          <w:spacing w:val="-4"/>
          <w:w w:val="99"/>
          <w:sz w:val="24"/>
          <w:szCs w:val="24"/>
          <w:highlight w:val="none"/>
        </w:rPr>
      </w:pPr>
      <w:r>
        <w:rPr>
          <w:rFonts w:hint="eastAsia" w:ascii="宋体" w:hAnsi="宋体" w:cs="宋体"/>
          <w:b w:val="0"/>
          <w:color w:val="auto"/>
          <w:spacing w:val="-3"/>
          <w:w w:val="100"/>
          <w:sz w:val="24"/>
          <w:szCs w:val="24"/>
          <w:highlight w:val="none"/>
          <w:lang w:val="en-US" w:eastAsia="zh-CN"/>
        </w:rPr>
        <w:t>（20）“</w:t>
      </w:r>
      <w:r>
        <w:rPr>
          <w:rFonts w:hint="eastAsia"/>
          <w:color w:val="auto"/>
          <w:sz w:val="24"/>
          <w:szCs w:val="24"/>
          <w:highlight w:val="none"/>
          <w:lang w:val="en-US" w:eastAsia="zh-CN"/>
        </w:rPr>
        <w:t>工程变更</w:t>
      </w:r>
      <w:r>
        <w:rPr>
          <w:rFonts w:hint="eastAsia" w:ascii="宋体" w:hAnsi="宋体" w:cs="宋体"/>
          <w:b w:val="0"/>
          <w:color w:val="auto"/>
          <w:spacing w:val="-3"/>
          <w:w w:val="100"/>
          <w:sz w:val="24"/>
          <w:szCs w:val="24"/>
          <w:highlight w:val="none"/>
          <w:lang w:val="en-US" w:eastAsia="zh-CN"/>
        </w:rPr>
        <w:t>”</w:t>
      </w:r>
      <w:r>
        <w:rPr>
          <w:rFonts w:hint="eastAsia" w:ascii="宋体" w:hAnsi="宋体" w:cs="宋体"/>
          <w:b/>
          <w:color w:val="auto"/>
          <w:spacing w:val="-4"/>
          <w:w w:val="99"/>
          <w:sz w:val="24"/>
          <w:szCs w:val="24"/>
          <w:highlight w:val="none"/>
        </w:rPr>
        <w:t xml:space="preserve"> </w:t>
      </w:r>
      <w:r>
        <w:rPr>
          <w:rFonts w:hint="eastAsia" w:ascii="Calibri" w:hAnsi="Calibri" w:eastAsia="宋体" w:cs="Times New Roman"/>
          <w:b w:val="0"/>
          <w:color w:val="auto"/>
          <w:spacing w:val="0"/>
          <w:w w:val="100"/>
          <w:sz w:val="24"/>
          <w:szCs w:val="24"/>
          <w:highlight w:val="none"/>
        </w:rPr>
        <w:t>指承包人根据监理签发设计文件及监理变更指令进行的、在合同工作范围内各种类型的变更，包括合同工作内容的增减、合同工程量的变化、因地质原因引起的设计更改、根据实际情况引起的结构物尺寸、标高的更改、合同外的任何工作等。</w:t>
      </w:r>
    </w:p>
    <w:p>
      <w:pPr>
        <w:pStyle w:val="33"/>
        <w:tabs>
          <w:tab w:val="left" w:pos="1310"/>
        </w:tabs>
        <w:spacing w:line="364" w:lineRule="auto"/>
        <w:ind w:firstLine="468"/>
        <w:rPr>
          <w:rFonts w:hint="eastAsia" w:ascii="宋体" w:hAnsi="宋体" w:cs="宋体"/>
          <w:b w:val="0"/>
          <w:color w:val="auto"/>
          <w:spacing w:val="-3"/>
          <w:w w:val="100"/>
          <w:sz w:val="24"/>
          <w:szCs w:val="24"/>
          <w:highlight w:val="none"/>
          <w:lang w:val="en-US" w:eastAsia="zh-CN"/>
        </w:rPr>
      </w:pPr>
      <w:r>
        <w:rPr>
          <w:rFonts w:hint="eastAsia" w:ascii="宋体" w:hAnsi="宋体" w:cs="宋体"/>
          <w:b w:val="0"/>
          <w:color w:val="auto"/>
          <w:spacing w:val="-3"/>
          <w:w w:val="100"/>
          <w:sz w:val="24"/>
          <w:szCs w:val="24"/>
          <w:highlight w:val="none"/>
          <w:lang w:val="en-US" w:eastAsia="zh-CN"/>
        </w:rPr>
        <w:t>（21）“</w:t>
      </w:r>
      <w:r>
        <w:rPr>
          <w:rFonts w:hint="eastAsia"/>
          <w:color w:val="auto"/>
          <w:sz w:val="24"/>
          <w:szCs w:val="24"/>
          <w:highlight w:val="none"/>
          <w:lang w:val="en-US" w:eastAsia="zh-CN"/>
        </w:rPr>
        <w:t>工程计量</w:t>
      </w:r>
      <w:r>
        <w:rPr>
          <w:rFonts w:hint="eastAsia" w:ascii="宋体" w:hAnsi="宋体" w:cs="宋体"/>
          <w:b w:val="0"/>
          <w:color w:val="auto"/>
          <w:spacing w:val="-3"/>
          <w:w w:val="100"/>
          <w:sz w:val="24"/>
          <w:szCs w:val="24"/>
          <w:highlight w:val="none"/>
          <w:lang w:val="en-US" w:eastAsia="zh-CN"/>
        </w:rPr>
        <w:t>”指工程所要完成的工程实体数量为依据，对工程实体的数量做出正确的计算，并以一定的计量单位表述进行工程计量，即工程量的计算，以此作为确定工程造价的基础。</w:t>
      </w:r>
    </w:p>
    <w:p>
      <w:pPr>
        <w:pStyle w:val="33"/>
        <w:tabs>
          <w:tab w:val="left" w:pos="1310"/>
        </w:tabs>
        <w:spacing w:line="364" w:lineRule="auto"/>
        <w:ind w:firstLine="468"/>
        <w:rPr>
          <w:rFonts w:hint="eastAsia" w:ascii="宋体" w:hAnsi="宋体" w:cs="宋体"/>
          <w:b w:val="0"/>
          <w:color w:val="auto"/>
          <w:spacing w:val="-3"/>
          <w:w w:val="100"/>
          <w:sz w:val="24"/>
          <w:szCs w:val="24"/>
          <w:highlight w:val="none"/>
          <w:lang w:val="en-US" w:eastAsia="zh-CN"/>
        </w:rPr>
      </w:pPr>
      <w:r>
        <w:rPr>
          <w:rFonts w:hint="eastAsia" w:ascii="宋体" w:hAnsi="宋体" w:cs="宋体"/>
          <w:b w:val="0"/>
          <w:color w:val="auto"/>
          <w:spacing w:val="-3"/>
          <w:w w:val="100"/>
          <w:sz w:val="24"/>
          <w:szCs w:val="24"/>
          <w:highlight w:val="none"/>
          <w:lang w:val="en-US" w:eastAsia="zh-CN"/>
        </w:rPr>
        <w:t>（22）“</w:t>
      </w:r>
      <w:r>
        <w:rPr>
          <w:rFonts w:hint="eastAsia"/>
          <w:color w:val="auto"/>
          <w:sz w:val="24"/>
          <w:szCs w:val="24"/>
          <w:highlight w:val="none"/>
          <w:lang w:val="en-US" w:eastAsia="zh-CN"/>
        </w:rPr>
        <w:t>见证取样</w:t>
      </w:r>
      <w:r>
        <w:rPr>
          <w:rFonts w:hint="eastAsia" w:ascii="宋体" w:hAnsi="宋体" w:cs="宋体"/>
          <w:b w:val="0"/>
          <w:color w:val="auto"/>
          <w:spacing w:val="-3"/>
          <w:w w:val="100"/>
          <w:sz w:val="24"/>
          <w:szCs w:val="24"/>
          <w:highlight w:val="none"/>
          <w:lang w:val="en-US" w:eastAsia="zh-CN"/>
        </w:rPr>
        <w:t>”指在承包单位按规定自检的基础上，在建设单位、监理单位的试验检测人员见证下，由施工人员在现场取样。</w:t>
      </w:r>
    </w:p>
    <w:p>
      <w:pPr>
        <w:pStyle w:val="33"/>
        <w:tabs>
          <w:tab w:val="left" w:pos="1310"/>
        </w:tabs>
        <w:spacing w:line="364" w:lineRule="auto"/>
        <w:ind w:firstLine="468"/>
        <w:rPr>
          <w:rFonts w:hint="eastAsia" w:ascii="宋体" w:hAnsi="宋体" w:cs="宋体"/>
          <w:b w:val="0"/>
          <w:color w:val="auto"/>
          <w:spacing w:val="-3"/>
          <w:w w:val="100"/>
          <w:sz w:val="24"/>
          <w:szCs w:val="24"/>
          <w:highlight w:val="none"/>
          <w:lang w:val="en-US" w:eastAsia="zh-CN"/>
        </w:rPr>
      </w:pPr>
      <w:r>
        <w:rPr>
          <w:rFonts w:hint="eastAsia" w:ascii="宋体" w:hAnsi="宋体" w:cs="宋体"/>
          <w:b w:val="0"/>
          <w:color w:val="auto"/>
          <w:spacing w:val="-3"/>
          <w:w w:val="100"/>
          <w:sz w:val="24"/>
          <w:szCs w:val="24"/>
          <w:highlight w:val="none"/>
          <w:lang w:val="en-US" w:eastAsia="zh-CN"/>
        </w:rPr>
        <w:t>（23）“</w:t>
      </w:r>
      <w:r>
        <w:rPr>
          <w:rFonts w:hint="eastAsia"/>
          <w:color w:val="auto"/>
          <w:sz w:val="24"/>
          <w:szCs w:val="24"/>
          <w:highlight w:val="none"/>
          <w:lang w:val="en-US" w:eastAsia="zh-CN"/>
        </w:rPr>
        <w:t>巡视监理人员</w:t>
      </w:r>
      <w:r>
        <w:rPr>
          <w:rFonts w:hint="eastAsia" w:ascii="宋体" w:hAnsi="宋体" w:cs="宋体"/>
          <w:b w:val="0"/>
          <w:color w:val="auto"/>
          <w:spacing w:val="-3"/>
          <w:w w:val="100"/>
          <w:sz w:val="24"/>
          <w:szCs w:val="24"/>
          <w:highlight w:val="none"/>
          <w:lang w:val="en-US" w:eastAsia="zh-CN"/>
        </w:rPr>
        <w:t>”指对于正在施工的部位，或者工序在现场进行时，监理人员的定期或不定期的监督</w:t>
      </w:r>
      <w:r>
        <w:rPr>
          <w:rFonts w:hint="eastAsia" w:ascii="宋体" w:hAnsi="宋体" w:cs="宋体"/>
          <w:color w:val="auto"/>
          <w:spacing w:val="-3"/>
          <w:sz w:val="24"/>
          <w:szCs w:val="24"/>
          <w:highlight w:val="none"/>
        </w:rPr>
        <w:t>工作的监理人员</w:t>
      </w:r>
      <w:r>
        <w:rPr>
          <w:rFonts w:hint="eastAsia" w:ascii="宋体" w:hAnsi="宋体" w:cs="宋体"/>
          <w:b w:val="0"/>
          <w:color w:val="auto"/>
          <w:spacing w:val="-3"/>
          <w:w w:val="100"/>
          <w:sz w:val="24"/>
          <w:szCs w:val="24"/>
          <w:highlight w:val="none"/>
          <w:lang w:val="en-US" w:eastAsia="zh-CN"/>
        </w:rPr>
        <w:t>。</w:t>
      </w:r>
    </w:p>
    <w:p>
      <w:pPr>
        <w:pStyle w:val="33"/>
        <w:tabs>
          <w:tab w:val="left" w:pos="1310"/>
        </w:tabs>
        <w:spacing w:line="364" w:lineRule="auto"/>
        <w:ind w:firstLine="468"/>
        <w:rPr>
          <w:rFonts w:hint="eastAsia" w:ascii="宋体" w:hAnsi="宋体" w:cs="宋体"/>
          <w:b w:val="0"/>
          <w:color w:val="auto"/>
          <w:spacing w:val="-3"/>
          <w:w w:val="100"/>
          <w:sz w:val="24"/>
          <w:szCs w:val="24"/>
          <w:highlight w:val="none"/>
          <w:lang w:val="en-US" w:eastAsia="zh-CN"/>
        </w:rPr>
      </w:pPr>
      <w:r>
        <w:rPr>
          <w:rFonts w:hint="eastAsia" w:ascii="宋体" w:hAnsi="宋体" w:cs="宋体"/>
          <w:b w:val="0"/>
          <w:color w:val="auto"/>
          <w:spacing w:val="-3"/>
          <w:w w:val="100"/>
          <w:sz w:val="24"/>
          <w:szCs w:val="24"/>
          <w:highlight w:val="none"/>
          <w:lang w:val="en-US" w:eastAsia="zh-CN"/>
        </w:rPr>
        <w:t>（24）“</w:t>
      </w:r>
      <w:r>
        <w:rPr>
          <w:rFonts w:hint="eastAsia"/>
          <w:color w:val="auto"/>
          <w:sz w:val="24"/>
          <w:szCs w:val="24"/>
          <w:highlight w:val="none"/>
          <w:lang w:val="en-US" w:eastAsia="zh-CN"/>
        </w:rPr>
        <w:t>平行检验</w:t>
      </w:r>
      <w:r>
        <w:rPr>
          <w:rFonts w:hint="eastAsia" w:ascii="宋体" w:hAnsi="宋体" w:cs="宋体"/>
          <w:b w:val="0"/>
          <w:color w:val="auto"/>
          <w:spacing w:val="-3"/>
          <w:w w:val="100"/>
          <w:sz w:val="24"/>
          <w:szCs w:val="24"/>
          <w:highlight w:val="none"/>
          <w:lang w:val="en-US" w:eastAsia="zh-CN"/>
        </w:rPr>
        <w:t>”指项目监理机构利用一定的检查或检测手段，在承包单位自检的基础上，按照一定的比例独立进行检查或检测的活动。平行检验作为工程建设监理在质量过程控制中处于重要的手段，同时也是其他行业进行质量控制的重要方法。</w:t>
      </w:r>
    </w:p>
    <w:p>
      <w:pPr>
        <w:pStyle w:val="33"/>
        <w:tabs>
          <w:tab w:val="left" w:pos="1310"/>
        </w:tabs>
        <w:spacing w:line="364" w:lineRule="auto"/>
        <w:ind w:firstLine="468"/>
        <w:rPr>
          <w:rFonts w:hint="eastAsia" w:ascii="宋体" w:hAnsi="宋体" w:cs="宋体"/>
          <w:b w:val="0"/>
          <w:color w:val="auto"/>
          <w:spacing w:val="-3"/>
          <w:w w:val="100"/>
          <w:sz w:val="24"/>
          <w:szCs w:val="24"/>
          <w:highlight w:val="none"/>
          <w:lang w:val="en-US" w:eastAsia="zh-CN"/>
        </w:rPr>
      </w:pPr>
      <w:r>
        <w:rPr>
          <w:rFonts w:hint="eastAsia" w:ascii="宋体" w:hAnsi="宋体" w:cs="宋体"/>
          <w:b w:val="0"/>
          <w:color w:val="auto"/>
          <w:spacing w:val="-3"/>
          <w:w w:val="100"/>
          <w:sz w:val="24"/>
          <w:szCs w:val="24"/>
          <w:highlight w:val="none"/>
          <w:lang w:val="en-US" w:eastAsia="zh-CN"/>
        </w:rPr>
        <w:t>（25）“</w:t>
      </w:r>
      <w:r>
        <w:rPr>
          <w:rFonts w:hint="eastAsia"/>
          <w:color w:val="auto"/>
          <w:sz w:val="24"/>
          <w:szCs w:val="24"/>
          <w:highlight w:val="none"/>
          <w:lang w:val="en-US" w:eastAsia="zh-CN"/>
        </w:rPr>
        <w:t>设备监造</w:t>
      </w:r>
      <w:r>
        <w:rPr>
          <w:rFonts w:hint="eastAsia" w:ascii="宋体" w:hAnsi="宋体" w:cs="宋体"/>
          <w:b w:val="0"/>
          <w:color w:val="auto"/>
          <w:spacing w:val="-3"/>
          <w:w w:val="100"/>
          <w:sz w:val="24"/>
          <w:szCs w:val="24"/>
          <w:highlight w:val="none"/>
          <w:lang w:val="en-US" w:eastAsia="zh-CN"/>
        </w:rPr>
        <w:t>”指承担设备监造工作的单位（以下简称监造）受项目法人或建设单位（以下简称委托人）的委托，按照设备供货合同的要求，坚持客观公正、诚信科学的原则，对工程项目所需设备在制造和生产过程中的工艺流程、制造质量及设备制造单位的质量体系进行监督，并对委托人负责的服务。</w:t>
      </w:r>
    </w:p>
    <w:p>
      <w:pPr>
        <w:pStyle w:val="33"/>
        <w:tabs>
          <w:tab w:val="left" w:pos="1310"/>
        </w:tabs>
        <w:spacing w:line="364" w:lineRule="auto"/>
        <w:ind w:firstLine="468"/>
        <w:rPr>
          <w:rFonts w:hint="eastAsia" w:ascii="宋体" w:hAnsi="宋体" w:cs="宋体"/>
          <w:b w:val="0"/>
          <w:color w:val="auto"/>
          <w:spacing w:val="-3"/>
          <w:w w:val="100"/>
          <w:sz w:val="24"/>
          <w:szCs w:val="24"/>
          <w:highlight w:val="none"/>
          <w:lang w:val="en-US" w:eastAsia="zh-CN"/>
        </w:rPr>
      </w:pPr>
      <w:r>
        <w:rPr>
          <w:rFonts w:hint="eastAsia" w:ascii="宋体" w:hAnsi="宋体" w:cs="宋体"/>
          <w:b w:val="0"/>
          <w:color w:val="auto"/>
          <w:spacing w:val="-3"/>
          <w:w w:val="100"/>
          <w:sz w:val="24"/>
          <w:szCs w:val="24"/>
          <w:highlight w:val="none"/>
          <w:lang w:val="en-US" w:eastAsia="zh-CN"/>
        </w:rPr>
        <w:t>（26）“</w:t>
      </w:r>
      <w:r>
        <w:rPr>
          <w:rFonts w:hint="eastAsia"/>
          <w:color w:val="auto"/>
          <w:sz w:val="24"/>
          <w:szCs w:val="24"/>
          <w:highlight w:val="none"/>
          <w:lang w:val="en-US" w:eastAsia="zh-CN"/>
        </w:rPr>
        <w:t>费用索赔</w:t>
      </w:r>
      <w:r>
        <w:rPr>
          <w:rFonts w:hint="eastAsia" w:ascii="宋体" w:hAnsi="宋体" w:cs="宋体"/>
          <w:b w:val="0"/>
          <w:color w:val="auto"/>
          <w:spacing w:val="-3"/>
          <w:w w:val="100"/>
          <w:sz w:val="24"/>
          <w:szCs w:val="24"/>
          <w:highlight w:val="none"/>
          <w:lang w:val="en-US" w:eastAsia="zh-CN"/>
        </w:rPr>
        <w:t>”指承包单位在由于外界干扰事件的影响使自身工程成本增加而蒙受经济损失的情况下，按照合同规定提出的要求补偿损失的要求。</w:t>
      </w:r>
    </w:p>
    <w:p>
      <w:pPr>
        <w:pStyle w:val="33"/>
        <w:tabs>
          <w:tab w:val="left" w:pos="1310"/>
        </w:tabs>
        <w:spacing w:line="364" w:lineRule="auto"/>
        <w:ind w:firstLine="468"/>
        <w:rPr>
          <w:rFonts w:hint="eastAsia" w:ascii="宋体" w:hAnsi="宋体" w:cs="宋体"/>
          <w:b w:val="0"/>
          <w:color w:val="auto"/>
          <w:spacing w:val="-3"/>
          <w:w w:val="100"/>
          <w:sz w:val="24"/>
          <w:szCs w:val="24"/>
          <w:highlight w:val="none"/>
          <w:lang w:val="en-US" w:eastAsia="zh-CN"/>
        </w:rPr>
      </w:pPr>
      <w:r>
        <w:rPr>
          <w:rFonts w:hint="eastAsia" w:ascii="宋体" w:hAnsi="宋体" w:cs="宋体"/>
          <w:b w:val="0"/>
          <w:color w:val="auto"/>
          <w:spacing w:val="-3"/>
          <w:w w:val="100"/>
          <w:sz w:val="24"/>
          <w:szCs w:val="24"/>
          <w:highlight w:val="none"/>
          <w:lang w:val="en-US" w:eastAsia="zh-CN"/>
        </w:rPr>
        <w:t>（27）“</w:t>
      </w:r>
      <w:r>
        <w:rPr>
          <w:rFonts w:hint="eastAsia"/>
          <w:color w:val="auto"/>
          <w:sz w:val="24"/>
          <w:szCs w:val="24"/>
          <w:highlight w:val="none"/>
          <w:lang w:val="en-US" w:eastAsia="zh-CN"/>
        </w:rPr>
        <w:t>重大事故</w:t>
      </w:r>
      <w:r>
        <w:rPr>
          <w:rFonts w:hint="eastAsia" w:ascii="宋体" w:hAnsi="宋体" w:cs="宋体"/>
          <w:b w:val="0"/>
          <w:color w:val="auto"/>
          <w:spacing w:val="-3"/>
          <w:w w:val="100"/>
          <w:sz w:val="24"/>
          <w:szCs w:val="24"/>
          <w:highlight w:val="none"/>
          <w:lang w:val="en-US" w:eastAsia="zh-CN"/>
        </w:rPr>
        <w:t>”指造成10人以上30人以下死亡，或者50人以上100人以下重伤，或者5000万元以上1亿元以下直接经济损失的事故。</w:t>
      </w:r>
    </w:p>
    <w:p>
      <w:pPr>
        <w:pStyle w:val="33"/>
        <w:tabs>
          <w:tab w:val="left" w:pos="1310"/>
        </w:tabs>
        <w:spacing w:line="364" w:lineRule="auto"/>
        <w:ind w:firstLine="468"/>
        <w:rPr>
          <w:rFonts w:hint="eastAsia" w:ascii="宋体" w:hAnsi="宋体" w:cs="宋体"/>
          <w:b w:val="0"/>
          <w:color w:val="auto"/>
          <w:spacing w:val="-3"/>
          <w:w w:val="100"/>
          <w:sz w:val="24"/>
          <w:szCs w:val="24"/>
          <w:highlight w:val="none"/>
          <w:lang w:val="en-US" w:eastAsia="zh-CN"/>
        </w:rPr>
      </w:pPr>
      <w:r>
        <w:rPr>
          <w:rFonts w:hint="eastAsia" w:ascii="宋体" w:hAnsi="宋体" w:cs="宋体"/>
          <w:b w:val="0"/>
          <w:color w:val="auto"/>
          <w:spacing w:val="-3"/>
          <w:w w:val="100"/>
          <w:sz w:val="24"/>
          <w:szCs w:val="24"/>
          <w:highlight w:val="none"/>
          <w:lang w:val="en-US" w:eastAsia="zh-CN"/>
        </w:rPr>
        <w:t>（28）“</w:t>
      </w:r>
      <w:r>
        <w:rPr>
          <w:rFonts w:hint="eastAsia"/>
          <w:color w:val="auto"/>
          <w:sz w:val="24"/>
          <w:szCs w:val="24"/>
          <w:highlight w:val="none"/>
          <w:lang w:val="en-US" w:eastAsia="zh-CN"/>
        </w:rPr>
        <w:t>一般事故</w:t>
      </w:r>
      <w:r>
        <w:rPr>
          <w:rFonts w:hint="eastAsia" w:ascii="宋体" w:hAnsi="宋体" w:cs="宋体"/>
          <w:b w:val="0"/>
          <w:color w:val="auto"/>
          <w:spacing w:val="-3"/>
          <w:w w:val="100"/>
          <w:sz w:val="24"/>
          <w:szCs w:val="24"/>
          <w:highlight w:val="none"/>
          <w:lang w:val="en-US" w:eastAsia="zh-CN"/>
        </w:rPr>
        <w:t>”是指造成3人以下死亡，或者10人以下重伤，或者1000万元以下直接经济损失的事故。</w:t>
      </w:r>
    </w:p>
    <w:p>
      <w:pPr>
        <w:pStyle w:val="33"/>
        <w:tabs>
          <w:tab w:val="left" w:pos="1310"/>
        </w:tabs>
        <w:spacing w:line="362" w:lineRule="auto"/>
        <w:ind w:firstLine="470"/>
        <w:rPr>
          <w:rFonts w:ascii="宋体" w:hAnsi="宋体" w:cs="宋体"/>
          <w:b/>
          <w:color w:val="auto"/>
          <w:spacing w:val="-3"/>
          <w:highlight w:val="none"/>
        </w:rPr>
      </w:pPr>
      <w:r>
        <w:rPr>
          <w:rFonts w:hint="eastAsia" w:ascii="宋体" w:hAnsi="宋体" w:cs="宋体"/>
          <w:b/>
          <w:bCs/>
          <w:color w:val="auto"/>
          <w:spacing w:val="-3"/>
          <w:sz w:val="24"/>
          <w:szCs w:val="24"/>
          <w:highlight w:val="none"/>
        </w:rPr>
        <w:t>第二条</w:t>
      </w:r>
      <w:r>
        <w:rPr>
          <w:rFonts w:ascii="宋体" w:hAnsi="宋体" w:cs="宋体"/>
          <w:b/>
          <w:bCs/>
          <w:color w:val="auto"/>
          <w:spacing w:val="-3"/>
          <w:sz w:val="24"/>
          <w:szCs w:val="24"/>
          <w:highlight w:val="none"/>
        </w:rPr>
        <w:t xml:space="preserve"> </w:t>
      </w:r>
      <w:r>
        <w:rPr>
          <w:rFonts w:hint="eastAsia" w:ascii="宋体" w:hAnsi="宋体" w:cs="宋体"/>
          <w:b/>
          <w:bCs/>
          <w:color w:val="auto"/>
          <w:spacing w:val="-3"/>
          <w:sz w:val="24"/>
          <w:szCs w:val="24"/>
          <w:highlight w:val="none"/>
        </w:rPr>
        <w:t>本合同适用的法律法规及监理依据</w:t>
      </w:r>
      <w:r>
        <w:rPr>
          <w:rFonts w:ascii="宋体" w:hAnsi="宋体" w:cs="宋体"/>
          <w:b/>
          <w:bCs/>
          <w:color w:val="auto"/>
          <w:spacing w:val="-3"/>
          <w:sz w:val="24"/>
          <w:szCs w:val="24"/>
          <w:highlight w:val="none"/>
        </w:rPr>
        <w:t xml:space="preserve">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（一）适用法规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3"/>
          <w:sz w:val="24"/>
          <w:szCs w:val="24"/>
          <w:highlight w:val="none"/>
        </w:rPr>
        <w:t>《中华人民共和国民法典》</w:t>
      </w:r>
      <w:r>
        <w:rPr>
          <w:rFonts w:hint="eastAsia" w:ascii="宋体" w:hAnsi="宋体" w:cs="宋体"/>
          <w:color w:val="auto"/>
          <w:sz w:val="24"/>
          <w:szCs w:val="24"/>
          <w:highlight w:val="none"/>
        </w:rPr>
        <w:t xml:space="preserve">、《中华人民共和国建筑法》及其他相关法律；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3"/>
          <w:sz w:val="24"/>
          <w:szCs w:val="24"/>
          <w:highlight w:val="none"/>
        </w:rPr>
        <w:t>《建设工程质量管理条例》</w:t>
      </w:r>
      <w:r>
        <w:rPr>
          <w:rFonts w:hint="eastAsia" w:ascii="宋体" w:hAnsi="宋体" w:cs="宋体"/>
          <w:color w:val="auto"/>
          <w:sz w:val="24"/>
          <w:szCs w:val="24"/>
          <w:highlight w:val="none"/>
        </w:rPr>
        <w:t xml:space="preserve">及其它有关的法规、条例、规章；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3、广东省及</w:t>
      </w:r>
      <w:r>
        <w:rPr>
          <w:rFonts w:hint="eastAsia" w:ascii="宋体" w:hAnsi="宋体" w:cs="宋体"/>
          <w:color w:val="auto"/>
          <w:spacing w:val="-3"/>
          <w:sz w:val="24"/>
          <w:szCs w:val="24"/>
          <w:highlight w:val="none"/>
        </w:rPr>
        <w:t>广州市</w:t>
      </w:r>
      <w:r>
        <w:rPr>
          <w:rFonts w:hint="eastAsia" w:ascii="宋体" w:hAnsi="宋体" w:cs="宋体"/>
          <w:color w:val="auto"/>
          <w:sz w:val="24"/>
          <w:szCs w:val="24"/>
          <w:highlight w:val="none"/>
        </w:rPr>
        <w:t xml:space="preserve">有关工程建设管理方面的规定和办法。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（二）监理</w:t>
      </w:r>
      <w:r>
        <w:rPr>
          <w:rFonts w:hint="eastAsia" w:ascii="宋体" w:hAnsi="宋体" w:cs="宋体"/>
          <w:color w:val="auto"/>
          <w:spacing w:val="-3"/>
          <w:sz w:val="24"/>
          <w:szCs w:val="24"/>
          <w:highlight w:val="none"/>
        </w:rPr>
        <w:t>依据</w:t>
      </w:r>
      <w:r>
        <w:rPr>
          <w:rFonts w:hint="eastAsia" w:ascii="宋体" w:hAnsi="宋体" w:cs="宋体"/>
          <w:color w:val="auto"/>
          <w:sz w:val="24"/>
          <w:szCs w:val="24"/>
          <w:highlight w:val="none"/>
        </w:rPr>
        <w:t xml:space="preserve">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1、本委托</w:t>
      </w:r>
      <w:r>
        <w:rPr>
          <w:rFonts w:hint="eastAsia" w:ascii="宋体" w:hAnsi="宋体" w:cs="宋体"/>
          <w:color w:val="auto"/>
          <w:spacing w:val="-3"/>
          <w:sz w:val="24"/>
          <w:szCs w:val="24"/>
          <w:highlight w:val="none"/>
        </w:rPr>
        <w:t>监理</w:t>
      </w:r>
      <w:r>
        <w:rPr>
          <w:rFonts w:hint="eastAsia" w:ascii="宋体" w:hAnsi="宋体" w:cs="宋体"/>
          <w:color w:val="auto"/>
          <w:sz w:val="24"/>
          <w:szCs w:val="24"/>
          <w:highlight w:val="none"/>
        </w:rPr>
        <w:t xml:space="preserve">合同；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2、委托人和承包人签订的合同及补充协议或备忘录；</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15"/>
          <w:sz w:val="24"/>
          <w:szCs w:val="24"/>
          <w:highlight w:val="none"/>
        </w:rPr>
        <w:t>、</w:t>
      </w:r>
      <w:r>
        <w:rPr>
          <w:rFonts w:hint="eastAsia" w:ascii="宋体" w:hAnsi="宋体" w:cs="宋体"/>
          <w:color w:val="auto"/>
          <w:sz w:val="24"/>
          <w:szCs w:val="24"/>
          <w:highlight w:val="none"/>
        </w:rPr>
        <w:t xml:space="preserve">经委托人审查认可的本工程正式的工程地质勘察报告、施工图纸、说明以及会审记录、有关工程洽商的技术、施工洽商记录、设计文件及设计修改和变更文件；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4、省、市现行的有关工程预结算定额和文件；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pacing w:val="-7"/>
          <w:sz w:val="24"/>
          <w:szCs w:val="24"/>
          <w:highlight w:val="none"/>
        </w:rPr>
        <w:t>、国家和广州地区现行的设计规</w:t>
      </w:r>
      <w:r>
        <w:rPr>
          <w:rFonts w:hint="eastAsia" w:ascii="宋体" w:hAnsi="宋体" w:cs="宋体"/>
          <w:color w:val="auto"/>
          <w:sz w:val="24"/>
          <w:szCs w:val="24"/>
          <w:highlight w:val="none"/>
        </w:rPr>
        <w:t>范（规程）、建筑工程</w:t>
      </w:r>
      <w:r>
        <w:rPr>
          <w:rFonts w:hint="eastAsia" w:ascii="宋体" w:hAnsi="宋体" w:cs="宋体"/>
          <w:color w:val="auto"/>
          <w:spacing w:val="-8"/>
          <w:sz w:val="24"/>
          <w:szCs w:val="24"/>
          <w:highlight w:val="none"/>
        </w:rPr>
        <w:t>质量检验评定标准、施工和验收规</w:t>
      </w:r>
      <w:r>
        <w:rPr>
          <w:rFonts w:hint="eastAsia" w:ascii="宋体" w:hAnsi="宋体" w:cs="宋体"/>
          <w:color w:val="auto"/>
          <w:sz w:val="24"/>
          <w:szCs w:val="24"/>
          <w:highlight w:val="none"/>
        </w:rPr>
        <w:t xml:space="preserve">范；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pacing w:val="-3"/>
          <w:sz w:val="24"/>
          <w:szCs w:val="24"/>
          <w:highlight w:val="none"/>
        </w:rPr>
        <w:t>《建设工程监理规范》</w:t>
      </w:r>
      <w:r>
        <w:rPr>
          <w:rFonts w:hint="eastAsia" w:ascii="宋体" w:hAnsi="宋体" w:cs="宋体"/>
          <w:color w:val="auto"/>
          <w:sz w:val="24"/>
          <w:szCs w:val="24"/>
          <w:highlight w:val="none"/>
        </w:rPr>
        <w:t xml:space="preserve">（GB50319—2013）；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7、经委托人</w:t>
      </w:r>
      <w:r>
        <w:rPr>
          <w:rFonts w:hint="eastAsia" w:ascii="宋体" w:hAnsi="宋体" w:cs="宋体"/>
          <w:color w:val="auto"/>
          <w:spacing w:val="-3"/>
          <w:sz w:val="24"/>
          <w:szCs w:val="24"/>
          <w:highlight w:val="none"/>
        </w:rPr>
        <w:t>审批</w:t>
      </w:r>
      <w:r>
        <w:rPr>
          <w:rFonts w:hint="eastAsia" w:ascii="宋体" w:hAnsi="宋体" w:cs="宋体"/>
          <w:color w:val="auto"/>
          <w:sz w:val="24"/>
          <w:szCs w:val="24"/>
          <w:highlight w:val="none"/>
        </w:rPr>
        <w:t xml:space="preserve">认可，由监理人编制的监理规划；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8、适用的法律、行政法规及部门规章，与工程有关的规范、标准、规程。</w:t>
      </w:r>
    </w:p>
    <w:p>
      <w:pPr>
        <w:spacing w:line="362"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第四条 监理范围、监理工作内容及监理机构</w:t>
      </w:r>
      <w:r>
        <w:rPr>
          <w:rFonts w:hint="eastAsia" w:ascii="宋体" w:hAnsi="宋体" w:cs="宋体"/>
          <w:color w:val="auto"/>
          <w:sz w:val="24"/>
          <w:szCs w:val="24"/>
          <w:highlight w:val="none"/>
        </w:rPr>
        <w:t xml:space="preserve">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（一）监理范围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1、包括但不限于以下内容：</w:t>
      </w:r>
      <w:r>
        <w:rPr>
          <w:rFonts w:hint="eastAsia"/>
          <w:color w:val="auto"/>
          <w:sz w:val="24"/>
          <w:szCs w:val="24"/>
          <w:highlight w:val="none"/>
        </w:rPr>
        <w:t>施工准备阶段、施工阶段、工程收尾阶段（包括但不限于竣工验收、整改、工程移交及实物移交等）及工程质量保修阶段的质量控制、职业健康、安全生产及环境监督管理、投资控制、进度控制、合同管理、信息管理、组织协调、协助建设单位进行档案整理、归档及管理等监理工作。</w:t>
      </w:r>
      <w:r>
        <w:rPr>
          <w:rFonts w:hint="eastAsia" w:ascii="宋体" w:hAnsi="宋体" w:cs="宋体"/>
          <w:color w:val="auto"/>
          <w:sz w:val="24"/>
          <w:szCs w:val="24"/>
          <w:highlight w:val="none"/>
        </w:rPr>
        <w:t xml:space="preserve">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2、除上述工作范围外，监理人还须按委托人的要求提前进场参与开工前期的准备和筹划工作，协助委托人制定工程管理办法、各参建方职责及有关事务性工作等。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3、监理服务期自本合同生效之日起至本合同工程质量缺陷责任期满且本合同工程竣工结算完毕并完成工程竣工档案备案</w:t>
      </w:r>
      <w:r>
        <w:rPr>
          <w:rFonts w:hint="eastAsia" w:ascii="宋体" w:hAnsi="宋体" w:cs="宋体"/>
          <w:color w:val="auto"/>
          <w:spacing w:val="-14"/>
          <w:sz w:val="24"/>
          <w:szCs w:val="24"/>
          <w:highlight w:val="none"/>
        </w:rPr>
        <w:t>后</w:t>
      </w:r>
      <w:r>
        <w:rPr>
          <w:rFonts w:hint="eastAsia" w:ascii="宋体" w:hAnsi="宋体" w:cs="宋体"/>
          <w:color w:val="auto"/>
          <w:sz w:val="24"/>
          <w:szCs w:val="24"/>
          <w:highlight w:val="none"/>
        </w:rPr>
        <w:t xml:space="preserve">经委托人审定满 60 日且双方的责任义务履行完毕时止（以后到日期为准）。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（二）监理人监理工作内容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1、建设工程监理一般规定： </w:t>
      </w:r>
    </w:p>
    <w:p>
      <w:pPr>
        <w:tabs>
          <w:tab w:val="left" w:pos="1310"/>
        </w:tabs>
        <w:spacing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（1）实行总</w:t>
      </w:r>
      <w:r>
        <w:rPr>
          <w:rFonts w:hint="eastAsia" w:ascii="宋体" w:hAnsi="宋体" w:cs="宋体"/>
          <w:color w:val="auto"/>
          <w:spacing w:val="-3"/>
          <w:sz w:val="24"/>
          <w:szCs w:val="24"/>
          <w:highlight w:val="none"/>
        </w:rPr>
        <w:t>监理工程师</w:t>
      </w:r>
      <w:r>
        <w:rPr>
          <w:rFonts w:hint="eastAsia" w:ascii="宋体" w:hAnsi="宋体" w:cs="宋体"/>
          <w:color w:val="auto"/>
          <w:sz w:val="24"/>
          <w:szCs w:val="24"/>
          <w:highlight w:val="none"/>
        </w:rPr>
        <w:t>负责制。</w:t>
      </w:r>
      <w:r>
        <w:rPr>
          <w:rFonts w:ascii="宋体" w:hAnsi="宋体" w:cs="宋体"/>
          <w:color w:val="auto"/>
          <w:sz w:val="24"/>
          <w:szCs w:val="24"/>
          <w:highlight w:val="none"/>
        </w:rPr>
        <w:t xml:space="preserve"> </w:t>
      </w:r>
    </w:p>
    <w:p>
      <w:pPr>
        <w:tabs>
          <w:tab w:val="left" w:pos="1310"/>
        </w:tabs>
        <w:spacing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（2）监理人应公正、独立、自主地开展监理工作，维护委托人的合法权益。</w:t>
      </w:r>
    </w:p>
    <w:p>
      <w:pPr>
        <w:pStyle w:val="33"/>
        <w:tabs>
          <w:tab w:val="left" w:pos="1310"/>
        </w:tabs>
        <w:spacing w:line="364"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（3）监理人除应按《建设工程监理规范》（GB50319-2013）</w:t>
      </w:r>
      <w:r>
        <w:rPr>
          <w:rFonts w:hint="eastAsia" w:ascii="宋体" w:hAnsi="宋体" w:cs="宋体"/>
          <w:color w:val="auto"/>
          <w:spacing w:val="-2"/>
          <w:sz w:val="24"/>
          <w:szCs w:val="24"/>
          <w:highlight w:val="none"/>
        </w:rPr>
        <w:t>履行监理职责外，还应符合</w:t>
      </w:r>
      <w:r>
        <w:rPr>
          <w:rFonts w:hint="eastAsia" w:ascii="宋体" w:hAnsi="宋体" w:cs="宋体"/>
          <w:color w:val="auto"/>
          <w:sz w:val="24"/>
          <w:szCs w:val="24"/>
          <w:highlight w:val="none"/>
        </w:rPr>
        <w:t xml:space="preserve">国家现行的有关强制性标准、规范的规定。 </w:t>
      </w:r>
    </w:p>
    <w:p>
      <w:pPr>
        <w:pStyle w:val="33"/>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2、负责</w:t>
      </w:r>
      <w:r>
        <w:rPr>
          <w:rFonts w:hint="eastAsia" w:ascii="宋体" w:hAnsi="宋体" w:cs="宋体"/>
          <w:color w:val="auto"/>
          <w:spacing w:val="-3"/>
          <w:sz w:val="24"/>
          <w:szCs w:val="24"/>
          <w:highlight w:val="none"/>
        </w:rPr>
        <w:t>施工准备</w:t>
      </w:r>
      <w:r>
        <w:rPr>
          <w:rFonts w:hint="eastAsia" w:ascii="宋体" w:hAnsi="宋体" w:cs="宋体"/>
          <w:color w:val="auto"/>
          <w:sz w:val="24"/>
          <w:szCs w:val="24"/>
          <w:highlight w:val="none"/>
        </w:rPr>
        <w:t xml:space="preserve">阶段的监理工作，包括但不限于以下内容： </w:t>
      </w:r>
    </w:p>
    <w:p>
      <w:pPr>
        <w:tabs>
          <w:tab w:val="left" w:pos="1310"/>
        </w:tabs>
        <w:spacing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（1）协助</w:t>
      </w:r>
      <w:r>
        <w:rPr>
          <w:rFonts w:hint="eastAsia" w:ascii="宋体" w:hAnsi="宋体" w:cs="宋体"/>
          <w:color w:val="auto"/>
          <w:spacing w:val="-3"/>
          <w:sz w:val="24"/>
          <w:szCs w:val="24"/>
          <w:highlight w:val="none"/>
        </w:rPr>
        <w:t>进行</w:t>
      </w:r>
      <w:r>
        <w:rPr>
          <w:rFonts w:hint="eastAsia" w:ascii="宋体" w:hAnsi="宋体" w:cs="宋体"/>
          <w:color w:val="auto"/>
          <w:sz w:val="24"/>
          <w:szCs w:val="24"/>
          <w:highlight w:val="none"/>
        </w:rPr>
        <w:t>工程报建相关工作；</w:t>
      </w:r>
      <w:r>
        <w:rPr>
          <w:rFonts w:ascii="宋体" w:hAnsi="宋体" w:cs="宋体"/>
          <w:color w:val="auto"/>
          <w:sz w:val="24"/>
          <w:szCs w:val="24"/>
          <w:highlight w:val="none"/>
        </w:rPr>
        <w:t xml:space="preserve"> </w:t>
      </w:r>
    </w:p>
    <w:p>
      <w:pPr>
        <w:pStyle w:val="33"/>
        <w:tabs>
          <w:tab w:val="left" w:pos="1310"/>
        </w:tabs>
        <w:spacing w:line="364" w:lineRule="auto"/>
        <w:ind w:firstLine="476" w:firstLineChars="0"/>
        <w:rPr>
          <w:rFonts w:ascii="宋体" w:hAnsi="宋体" w:cs="宋体"/>
          <w:color w:val="auto"/>
          <w:sz w:val="24"/>
          <w:szCs w:val="24"/>
          <w:highlight w:val="none"/>
        </w:rPr>
      </w:pPr>
      <w:r>
        <w:rPr>
          <w:rFonts w:hint="eastAsia" w:ascii="宋体" w:hAnsi="宋体" w:cs="宋体"/>
          <w:color w:val="auto"/>
          <w:spacing w:val="-1"/>
          <w:sz w:val="24"/>
          <w:szCs w:val="24"/>
          <w:highlight w:val="none"/>
        </w:rPr>
        <w:t>（2）参加</w:t>
      </w:r>
      <w:r>
        <w:rPr>
          <w:rFonts w:hint="eastAsia" w:ascii="宋体" w:hAnsi="宋体" w:cs="宋体"/>
          <w:color w:val="auto"/>
          <w:spacing w:val="-3"/>
          <w:sz w:val="24"/>
          <w:szCs w:val="24"/>
          <w:highlight w:val="none"/>
        </w:rPr>
        <w:t>设计</w:t>
      </w:r>
      <w:r>
        <w:rPr>
          <w:rFonts w:hint="eastAsia" w:ascii="宋体" w:hAnsi="宋体" w:cs="宋体"/>
          <w:color w:val="auto"/>
          <w:spacing w:val="-1"/>
          <w:sz w:val="24"/>
          <w:szCs w:val="24"/>
          <w:highlight w:val="none"/>
        </w:rPr>
        <w:t xml:space="preserve">交底，对图纸中存在的问题通过委托人向设计单位提出书面意见和建议， </w:t>
      </w:r>
      <w:r>
        <w:rPr>
          <w:rFonts w:hint="eastAsia" w:ascii="宋体" w:hAnsi="宋体" w:cs="宋体"/>
          <w:color w:val="auto"/>
          <w:sz w:val="24"/>
          <w:szCs w:val="24"/>
          <w:highlight w:val="none"/>
        </w:rPr>
        <w:t xml:space="preserve">做好图纸会审记录并提交给委托人； </w:t>
      </w:r>
    </w:p>
    <w:p>
      <w:pPr>
        <w:spacing w:line="362"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（3）审查承包人报送的施工组织设计</w:t>
      </w:r>
      <w:r>
        <w:rPr>
          <w:rFonts w:ascii="宋体" w:hAnsi="宋体" w:cs="宋体"/>
          <w:color w:val="auto"/>
          <w:spacing w:val="-1"/>
          <w:sz w:val="24"/>
          <w:szCs w:val="24"/>
          <w:highlight w:val="none"/>
        </w:rPr>
        <w:t>(</w:t>
      </w:r>
      <w:r>
        <w:rPr>
          <w:rFonts w:hint="eastAsia" w:ascii="宋体" w:hAnsi="宋体" w:cs="宋体"/>
          <w:color w:val="auto"/>
          <w:spacing w:val="-1"/>
          <w:sz w:val="24"/>
          <w:szCs w:val="24"/>
          <w:highlight w:val="none"/>
        </w:rPr>
        <w:t>方案</w:t>
      </w:r>
      <w:r>
        <w:rPr>
          <w:rFonts w:ascii="宋体" w:hAnsi="宋体" w:cs="宋体"/>
          <w:color w:val="auto"/>
          <w:spacing w:val="-1"/>
          <w:sz w:val="24"/>
          <w:szCs w:val="24"/>
          <w:highlight w:val="none"/>
        </w:rPr>
        <w:t>)</w:t>
      </w:r>
      <w:r>
        <w:rPr>
          <w:rFonts w:hint="eastAsia" w:ascii="宋体" w:hAnsi="宋体" w:cs="宋体"/>
          <w:color w:val="auto"/>
          <w:spacing w:val="-1"/>
          <w:sz w:val="24"/>
          <w:szCs w:val="24"/>
          <w:highlight w:val="none"/>
        </w:rPr>
        <w:t>；制定监理规划及监理实施细则并报委托人</w:t>
      </w:r>
      <w:r>
        <w:rPr>
          <w:rFonts w:hint="eastAsia" w:ascii="宋体" w:hAnsi="宋体" w:cs="宋体"/>
          <w:color w:val="auto"/>
          <w:sz w:val="24"/>
          <w:szCs w:val="24"/>
          <w:highlight w:val="none"/>
        </w:rPr>
        <w:t>审定。</w:t>
      </w:r>
      <w:r>
        <w:rPr>
          <w:rFonts w:ascii="宋体" w:hAnsi="宋体" w:cs="宋体"/>
          <w:color w:val="auto"/>
          <w:sz w:val="24"/>
          <w:szCs w:val="24"/>
          <w:highlight w:val="none"/>
        </w:rPr>
        <w:t xml:space="preserve"> </w:t>
      </w:r>
    </w:p>
    <w:p>
      <w:pPr>
        <w:spacing w:line="364"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（4）负责协调承包人进场前的现场准备和制定勘察清障方案，为承包人进场制定前期准</w:t>
      </w:r>
      <w:r>
        <w:rPr>
          <w:rFonts w:hint="eastAsia" w:ascii="宋体" w:hAnsi="宋体" w:cs="宋体"/>
          <w:color w:val="auto"/>
          <w:sz w:val="24"/>
          <w:szCs w:val="24"/>
          <w:highlight w:val="none"/>
        </w:rPr>
        <w:t>备方案并组织实施。</w:t>
      </w:r>
      <w:r>
        <w:rPr>
          <w:rFonts w:ascii="宋体" w:hAnsi="宋体" w:cs="宋体"/>
          <w:color w:val="auto"/>
          <w:sz w:val="24"/>
          <w:szCs w:val="24"/>
          <w:highlight w:val="none"/>
        </w:rPr>
        <w:t xml:space="preserve"> </w:t>
      </w:r>
    </w:p>
    <w:p>
      <w:pPr>
        <w:spacing w:line="362"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（5）审查由承包人编制，并经承包人的技术部门审批盖章的施工组织设计、施工方案及</w:t>
      </w:r>
      <w:r>
        <w:rPr>
          <w:rFonts w:hint="eastAsia" w:ascii="宋体" w:hAnsi="宋体" w:cs="宋体"/>
          <w:color w:val="auto"/>
          <w:sz w:val="24"/>
          <w:szCs w:val="24"/>
          <w:highlight w:val="none"/>
        </w:rPr>
        <w:t>施工进度计划，并督促检查实施；协助审批各单项工程开工报告。</w:t>
      </w:r>
      <w:r>
        <w:rPr>
          <w:rFonts w:ascii="宋体" w:hAnsi="宋体" w:cs="宋体"/>
          <w:color w:val="auto"/>
          <w:sz w:val="24"/>
          <w:szCs w:val="24"/>
          <w:highlight w:val="none"/>
        </w:rPr>
        <w:t xml:space="preserve"> </w:t>
      </w:r>
    </w:p>
    <w:p>
      <w:pPr>
        <w:spacing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（6）审查承包人及委托人提供的材料和设备清单及其所列的规格与质量。</w:t>
      </w:r>
      <w:r>
        <w:rPr>
          <w:rFonts w:ascii="宋体" w:hAnsi="宋体" w:cs="宋体"/>
          <w:color w:val="auto"/>
          <w:sz w:val="24"/>
          <w:szCs w:val="24"/>
          <w:highlight w:val="none"/>
        </w:rPr>
        <w:t xml:space="preserve"> </w:t>
      </w:r>
    </w:p>
    <w:p>
      <w:pPr>
        <w:pStyle w:val="33"/>
        <w:numPr>
          <w:ilvl w:val="255"/>
          <w:numId w:val="0"/>
        </w:numPr>
        <w:tabs>
          <w:tab w:val="left" w:pos="1190"/>
        </w:tabs>
        <w:spacing w:line="362" w:lineRule="auto"/>
        <w:ind w:left="480"/>
        <w:rPr>
          <w:rFonts w:ascii="宋体" w:hAnsi="宋体" w:cs="宋体"/>
          <w:color w:val="auto"/>
          <w:sz w:val="24"/>
          <w:szCs w:val="24"/>
          <w:highlight w:val="none"/>
        </w:rPr>
      </w:pPr>
      <w:r>
        <w:rPr>
          <w:rFonts w:hint="eastAsia" w:ascii="宋体" w:hAnsi="宋体" w:cs="宋体"/>
          <w:color w:val="auto"/>
          <w:sz w:val="24"/>
          <w:szCs w:val="24"/>
          <w:highlight w:val="none"/>
        </w:rPr>
        <w:t xml:space="preserve">3、施工阶段的监理工作，包括但不限于以下内容： </w:t>
      </w:r>
    </w:p>
    <w:p>
      <w:pPr>
        <w:spacing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r>
        <w:rPr>
          <w:rFonts w:ascii="宋体" w:hAnsi="宋体" w:cs="宋体"/>
          <w:color w:val="auto"/>
          <w:sz w:val="24"/>
          <w:szCs w:val="24"/>
          <w:highlight w:val="none"/>
        </w:rPr>
        <w:t xml:space="preserve"> </w:t>
      </w:r>
    </w:p>
    <w:p>
      <w:pPr>
        <w:spacing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督促承包人严格按进度计划实施，检查承包人填报的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w:t>
      </w:r>
      <w:r>
        <w:rPr>
          <w:rFonts w:ascii="宋体" w:hAnsi="宋体" w:cs="宋体"/>
          <w:color w:val="auto"/>
          <w:sz w:val="24"/>
          <w:szCs w:val="24"/>
          <w:highlight w:val="none"/>
        </w:rPr>
        <w:t xml:space="preserve"> </w:t>
      </w:r>
    </w:p>
    <w:p>
      <w:pPr>
        <w:spacing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对用于本工程的主要材料、设备等进行检查、检验，对未经监理人员验收或验收不合格的工程材料、构配件、设备，监理人员应拒绝签认，并应签发监理工程师通知单，书面通知承包人限期将不合格的工程材料、构配件、设备撤出现场。</w:t>
      </w:r>
      <w:r>
        <w:rPr>
          <w:rFonts w:ascii="宋体" w:hAnsi="宋体" w:cs="宋体"/>
          <w:color w:val="auto"/>
          <w:sz w:val="24"/>
          <w:szCs w:val="24"/>
          <w:highlight w:val="none"/>
        </w:rPr>
        <w:t xml:space="preserve"> </w:t>
      </w:r>
    </w:p>
    <w:p>
      <w:pPr>
        <w:spacing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总监理工程师应安排监理人员对施工过程进行巡视和检查。对基础工程中土方回填，混凝土灌注桩浇筑，地下连续墙、土钉墙、后浇带及其他结构混凝土、防水混凝土浇筑，卷材防水层细部构造处理，钢结构安装和主体结构工程中梁柱节点钢筋隐蔽过程，混凝土浇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预应力张拉，装配式结构安装，钢结构安装，网架结构安装，索膜安装等，应安排监理员进行旁站，做好旁站监理记录和监理日记，保存旁站监理原始资料。旁站监理人员应当认真履行职责，</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对需要实施旁站监理的关键部位、关键工序在施工现场跟班监督，及时发现和处理旁站监理过程中出现的问题，责令施工企业进行整改。</w:t>
      </w:r>
      <w:r>
        <w:rPr>
          <w:rFonts w:ascii="宋体" w:hAnsi="宋体" w:cs="宋体"/>
          <w:color w:val="auto"/>
          <w:sz w:val="24"/>
          <w:szCs w:val="24"/>
          <w:highlight w:val="none"/>
        </w:rPr>
        <w:t xml:space="preserve"> </w:t>
      </w:r>
    </w:p>
    <w:p>
      <w:pPr>
        <w:spacing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（5）根据承包人报送的隐蔽工程报验申请表和自检结果进行现场检查，符合要求予以签认。</w:t>
      </w:r>
      <w:r>
        <w:rPr>
          <w:rFonts w:ascii="宋体" w:hAnsi="宋体" w:cs="宋体"/>
          <w:color w:val="auto"/>
          <w:sz w:val="24"/>
          <w:szCs w:val="24"/>
          <w:highlight w:val="none"/>
        </w:rPr>
        <w:t xml:space="preserve"> </w:t>
      </w:r>
    </w:p>
    <w:p>
      <w:pPr>
        <w:spacing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（6）对工程发生质量、安全事故按相关规定保护好现场并及时处理，向委托人提交有关工程质量、安全事故的书面报告，并应将完整的事故处理记录整理归档。</w:t>
      </w:r>
      <w:r>
        <w:rPr>
          <w:rFonts w:ascii="宋体" w:hAnsi="宋体" w:cs="宋体"/>
          <w:color w:val="auto"/>
          <w:sz w:val="24"/>
          <w:szCs w:val="24"/>
          <w:highlight w:val="none"/>
        </w:rPr>
        <w:t xml:space="preserve"> </w:t>
      </w:r>
    </w:p>
    <w:p>
      <w:pPr>
        <w:spacing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（7）根据《广州市建设工程文明施工管理规定》（</w:t>
      </w:r>
      <w:r>
        <w:rPr>
          <w:rFonts w:hint="eastAsia" w:ascii="宋体" w:hAnsi="宋体" w:cs="宋体"/>
          <w:color w:val="auto"/>
          <w:spacing w:val="-5"/>
          <w:sz w:val="24"/>
          <w:szCs w:val="24"/>
          <w:highlight w:val="none"/>
        </w:rPr>
        <w:t>广州市人民政府令第</w:t>
      </w:r>
      <w:r>
        <w:rPr>
          <w:rFonts w:ascii="宋体" w:hAnsi="宋体" w:cs="宋体"/>
          <w:color w:val="auto"/>
          <w:spacing w:val="-5"/>
          <w:sz w:val="24"/>
          <w:szCs w:val="24"/>
          <w:highlight w:val="none"/>
        </w:rPr>
        <w:t xml:space="preserve"> </w:t>
      </w:r>
      <w:r>
        <w:rPr>
          <w:rFonts w:ascii="宋体" w:hAnsi="宋体" w:cs="宋体"/>
          <w:color w:val="auto"/>
          <w:sz w:val="24"/>
          <w:szCs w:val="24"/>
          <w:highlight w:val="none"/>
        </w:rPr>
        <w:t>62</w:t>
      </w:r>
      <w:r>
        <w:rPr>
          <w:rFonts w:ascii="宋体" w:hAnsi="宋体" w:cs="宋体"/>
          <w:color w:val="auto"/>
          <w:spacing w:val="-24"/>
          <w:sz w:val="24"/>
          <w:szCs w:val="24"/>
          <w:highlight w:val="none"/>
        </w:rPr>
        <w:t xml:space="preserve"> </w:t>
      </w:r>
      <w:r>
        <w:rPr>
          <w:rFonts w:hint="eastAsia" w:ascii="宋体" w:hAnsi="宋体" w:cs="宋体"/>
          <w:color w:val="auto"/>
          <w:spacing w:val="-24"/>
          <w:sz w:val="24"/>
          <w:szCs w:val="24"/>
          <w:highlight w:val="none"/>
        </w:rPr>
        <w:t>号</w:t>
      </w:r>
      <w:r>
        <w:rPr>
          <w:rFonts w:hint="eastAsia" w:ascii="宋体" w:hAnsi="宋体" w:cs="宋体"/>
          <w:color w:val="auto"/>
          <w:sz w:val="24"/>
          <w:szCs w:val="24"/>
          <w:highlight w:val="none"/>
        </w:rPr>
        <w:t>）</w:t>
      </w:r>
      <w:r>
        <w:rPr>
          <w:rFonts w:hint="eastAsia" w:ascii="宋体" w:hAnsi="宋体" w:cs="宋体"/>
          <w:color w:val="auto"/>
          <w:spacing w:val="-5"/>
          <w:sz w:val="24"/>
          <w:szCs w:val="24"/>
          <w:highlight w:val="none"/>
        </w:rPr>
        <w:t>的规定，</w:t>
      </w:r>
      <w:r>
        <w:rPr>
          <w:rFonts w:hint="eastAsia" w:ascii="宋体" w:hAnsi="宋体" w:cs="宋体"/>
          <w:color w:val="auto"/>
          <w:sz w:val="24"/>
          <w:szCs w:val="24"/>
          <w:highlight w:val="none"/>
        </w:rPr>
        <w:t>监理人在对本工程实施监理的时候，应当履行下列管理责任：</w:t>
      </w:r>
      <w:r>
        <w:rPr>
          <w:rFonts w:ascii="宋体" w:hAnsi="宋体" w:cs="宋体"/>
          <w:color w:val="auto"/>
          <w:sz w:val="24"/>
          <w:szCs w:val="24"/>
          <w:highlight w:val="none"/>
        </w:rPr>
        <w:t xml:space="preserve"> </w:t>
      </w:r>
    </w:p>
    <w:p>
      <w:pPr>
        <w:pStyle w:val="11"/>
        <w:spacing w:after="0" w:line="362" w:lineRule="auto"/>
        <w:ind w:firstLine="456" w:firstLineChars="200"/>
        <w:rPr>
          <w:rFonts w:ascii="宋体" w:hAnsi="宋体" w:cs="宋体"/>
          <w:color w:val="auto"/>
          <w:sz w:val="24"/>
          <w:szCs w:val="24"/>
          <w:highlight w:val="none"/>
        </w:rPr>
      </w:pPr>
      <w:r>
        <w:rPr>
          <w:rFonts w:hint="eastAsia" w:ascii="宋体" w:hAnsi="宋体" w:cs="宋体"/>
          <w:color w:val="auto"/>
          <w:spacing w:val="-6"/>
          <w:sz w:val="24"/>
          <w:szCs w:val="24"/>
          <w:highlight w:val="none"/>
        </w:rPr>
        <w:t>①审核施工单位拟定的施工组织设计文件，督促施工单位落实文明施工管理措施，审核确</w:t>
      </w:r>
      <w:r>
        <w:rPr>
          <w:rFonts w:hint="eastAsia" w:ascii="宋体" w:hAnsi="宋体" w:cs="宋体"/>
          <w:color w:val="auto"/>
          <w:sz w:val="24"/>
          <w:szCs w:val="24"/>
          <w:highlight w:val="none"/>
        </w:rPr>
        <w:t xml:space="preserve">认施工单位文明施工措施费用使用情况。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②实施监理过程中，发现施工单位有违反文明施工管理规定的，应当要求施工单位整改； 施工单位拒不整改的，应当要求施工单位暂停施工，并向委托人报告。 </w:t>
      </w:r>
    </w:p>
    <w:p>
      <w:pPr>
        <w:pStyle w:val="11"/>
        <w:spacing w:after="0" w:line="364"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③施工单位违反文明施工管理规定拒不整改或者不停止施工的，及时向工程行政管理部门</w:t>
      </w:r>
      <w:r>
        <w:rPr>
          <w:rFonts w:hint="eastAsia" w:ascii="宋体" w:hAnsi="宋体" w:cs="宋体"/>
          <w:color w:val="auto"/>
          <w:sz w:val="24"/>
          <w:szCs w:val="24"/>
          <w:highlight w:val="none"/>
        </w:rPr>
        <w:t xml:space="preserve">报告。 </w:t>
      </w:r>
    </w:p>
    <w:p>
      <w:pPr>
        <w:spacing w:line="364"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（8）根据《广州市建筑施工实名制管理办法》</w:t>
      </w:r>
      <w:r>
        <w:rPr>
          <w:rFonts w:hint="eastAsia" w:ascii="宋体" w:hAnsi="宋体" w:cs="宋体"/>
          <w:color w:val="auto"/>
          <w:sz w:val="24"/>
          <w:szCs w:val="24"/>
          <w:highlight w:val="none"/>
        </w:rPr>
        <w:t>（穗建规字</w:t>
      </w:r>
      <w:r>
        <w:rPr>
          <w:rFonts w:ascii="宋体" w:hAnsi="宋体" w:cs="宋体"/>
          <w:color w:val="auto"/>
          <w:sz w:val="24"/>
          <w:szCs w:val="24"/>
          <w:highlight w:val="none"/>
        </w:rPr>
        <w:t>[2020]18</w:t>
      </w:r>
      <w:r>
        <w:rPr>
          <w:rFonts w:ascii="宋体" w:hAnsi="宋体" w:cs="宋体"/>
          <w:color w:val="auto"/>
          <w:spacing w:val="-32"/>
          <w:sz w:val="24"/>
          <w:szCs w:val="24"/>
          <w:highlight w:val="none"/>
        </w:rPr>
        <w:t xml:space="preserve"> </w:t>
      </w:r>
      <w:r>
        <w:rPr>
          <w:rFonts w:hint="eastAsia" w:ascii="宋体" w:hAnsi="宋体" w:cs="宋体"/>
          <w:color w:val="auto"/>
          <w:spacing w:val="-32"/>
          <w:sz w:val="24"/>
          <w:szCs w:val="24"/>
          <w:highlight w:val="none"/>
        </w:rPr>
        <w:t>号</w:t>
      </w:r>
      <w:r>
        <w:rPr>
          <w:rFonts w:hint="eastAsia" w:ascii="宋体" w:hAnsi="宋体" w:cs="宋体"/>
          <w:color w:val="auto"/>
          <w:spacing w:val="-5"/>
          <w:sz w:val="24"/>
          <w:szCs w:val="24"/>
          <w:highlight w:val="none"/>
        </w:rPr>
        <w:t>）</w:t>
      </w:r>
      <w:r>
        <w:rPr>
          <w:rFonts w:hint="eastAsia" w:ascii="宋体" w:hAnsi="宋体" w:cs="宋体"/>
          <w:color w:val="auto"/>
          <w:spacing w:val="-4"/>
          <w:sz w:val="24"/>
          <w:szCs w:val="24"/>
          <w:highlight w:val="none"/>
        </w:rPr>
        <w:t>和《广州市建设</w:t>
      </w:r>
      <w:r>
        <w:rPr>
          <w:rFonts w:hint="eastAsia" w:ascii="宋体" w:hAnsi="宋体" w:cs="宋体"/>
          <w:color w:val="auto"/>
          <w:spacing w:val="-5"/>
          <w:sz w:val="24"/>
          <w:szCs w:val="24"/>
          <w:highlight w:val="none"/>
        </w:rPr>
        <w:t>领域工人工资支付分账管理实施细则》</w:t>
      </w:r>
      <w:r>
        <w:rPr>
          <w:rFonts w:hint="eastAsia" w:ascii="宋体" w:hAnsi="宋体" w:cs="宋体"/>
          <w:color w:val="auto"/>
          <w:sz w:val="24"/>
          <w:szCs w:val="24"/>
          <w:highlight w:val="none"/>
        </w:rPr>
        <w:t>（穗建规字</w:t>
      </w:r>
      <w:r>
        <w:rPr>
          <w:rFonts w:ascii="宋体" w:hAnsi="宋体" w:cs="宋体"/>
          <w:color w:val="auto"/>
          <w:sz w:val="24"/>
          <w:szCs w:val="24"/>
          <w:highlight w:val="none"/>
        </w:rPr>
        <w:t>[2020]37</w:t>
      </w:r>
      <w:r>
        <w:rPr>
          <w:rFonts w:ascii="宋体" w:hAnsi="宋体" w:cs="宋体"/>
          <w:color w:val="auto"/>
          <w:spacing w:val="-30"/>
          <w:sz w:val="24"/>
          <w:szCs w:val="24"/>
          <w:highlight w:val="none"/>
        </w:rPr>
        <w:t xml:space="preserve"> </w:t>
      </w:r>
      <w:r>
        <w:rPr>
          <w:rFonts w:hint="eastAsia" w:ascii="宋体" w:hAnsi="宋体" w:cs="宋体"/>
          <w:color w:val="auto"/>
          <w:spacing w:val="-30"/>
          <w:sz w:val="24"/>
          <w:szCs w:val="24"/>
          <w:highlight w:val="none"/>
        </w:rPr>
        <w:t>号</w:t>
      </w:r>
      <w:r>
        <w:rPr>
          <w:rFonts w:hint="eastAsia" w:ascii="宋体" w:hAnsi="宋体" w:cs="宋体"/>
          <w:color w:val="auto"/>
          <w:spacing w:val="-39"/>
          <w:sz w:val="24"/>
          <w:szCs w:val="24"/>
          <w:highlight w:val="none"/>
        </w:rPr>
        <w:t>）</w:t>
      </w:r>
      <w:r>
        <w:rPr>
          <w:rFonts w:hint="eastAsia" w:ascii="宋体" w:hAnsi="宋体" w:cs="宋体"/>
          <w:color w:val="auto"/>
          <w:spacing w:val="-7"/>
          <w:sz w:val="24"/>
          <w:szCs w:val="24"/>
          <w:highlight w:val="none"/>
        </w:rPr>
        <w:t>的规定，监理人在对本工程实</w:t>
      </w:r>
      <w:r>
        <w:rPr>
          <w:rFonts w:hint="eastAsia" w:ascii="宋体" w:hAnsi="宋体" w:cs="宋体"/>
          <w:color w:val="auto"/>
          <w:sz w:val="24"/>
          <w:szCs w:val="24"/>
          <w:highlight w:val="none"/>
        </w:rPr>
        <w:t>施监理的时候，应当履行下列管理责任：</w:t>
      </w:r>
      <w:r>
        <w:rPr>
          <w:rFonts w:ascii="宋体" w:hAnsi="宋体" w:cs="宋体"/>
          <w:color w:val="auto"/>
          <w:sz w:val="24"/>
          <w:szCs w:val="24"/>
          <w:highlight w:val="none"/>
        </w:rPr>
        <w:t xml:space="preserve"> </w:t>
      </w:r>
    </w:p>
    <w:p>
      <w:pPr>
        <w:pStyle w:val="11"/>
        <w:spacing w:after="0" w:line="362"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①督促施工单位落实实名制及工人工资分账管理制度，如施工单位未按规定执行的，应当</w:t>
      </w:r>
      <w:r>
        <w:rPr>
          <w:rFonts w:hint="eastAsia" w:ascii="宋体" w:hAnsi="宋体" w:cs="宋体"/>
          <w:color w:val="auto"/>
          <w:sz w:val="24"/>
          <w:szCs w:val="24"/>
          <w:highlight w:val="none"/>
        </w:rPr>
        <w:t xml:space="preserve">要求施工单位整改；施工单位拒不整改的，须立即向委托人及工程行政管理部门报告。 </w:t>
      </w:r>
    </w:p>
    <w:p>
      <w:pPr>
        <w:pStyle w:val="11"/>
        <w:spacing w:after="0" w:line="362" w:lineRule="auto"/>
        <w:ind w:firstLine="456" w:firstLineChars="200"/>
        <w:rPr>
          <w:rFonts w:ascii="宋体" w:hAnsi="宋体" w:cs="宋体"/>
          <w:color w:val="auto"/>
          <w:sz w:val="24"/>
          <w:szCs w:val="24"/>
          <w:highlight w:val="none"/>
        </w:rPr>
      </w:pPr>
      <w:r>
        <w:rPr>
          <w:rFonts w:hint="eastAsia" w:ascii="宋体" w:hAnsi="宋体" w:cs="宋体"/>
          <w:color w:val="auto"/>
          <w:spacing w:val="-6"/>
          <w:sz w:val="24"/>
          <w:szCs w:val="24"/>
          <w:highlight w:val="none"/>
        </w:rPr>
        <w:t>②审核施工单位报送的工人考勤、工资结算和支付等管理台账。如工人工资支付账户内资</w:t>
      </w:r>
      <w:r>
        <w:rPr>
          <w:rFonts w:hint="eastAsia" w:ascii="宋体" w:hAnsi="宋体" w:cs="宋体"/>
          <w:color w:val="auto"/>
          <w:spacing w:val="-9"/>
          <w:sz w:val="24"/>
          <w:szCs w:val="24"/>
          <w:highlight w:val="none"/>
        </w:rPr>
        <w:t>金少于应付支付工人工资的，监理人应督促施工单位及时补足，确保工人工资按时足额支付。</w:t>
      </w:r>
      <w:r>
        <w:rPr>
          <w:rFonts w:hint="eastAsia" w:ascii="宋体" w:hAnsi="宋体" w:cs="宋体"/>
          <w:color w:val="auto"/>
          <w:sz w:val="24"/>
          <w:szCs w:val="24"/>
          <w:highlight w:val="none"/>
        </w:rPr>
        <w:t xml:space="preserve"> </w:t>
      </w:r>
    </w:p>
    <w:p>
      <w:pPr>
        <w:pStyle w:val="11"/>
        <w:spacing w:after="0" w:line="364" w:lineRule="auto"/>
        <w:ind w:firstLine="452" w:firstLineChars="200"/>
        <w:rPr>
          <w:rFonts w:ascii="宋体" w:hAnsi="宋体" w:cs="宋体"/>
          <w:color w:val="auto"/>
          <w:spacing w:val="-5"/>
          <w:sz w:val="24"/>
          <w:szCs w:val="24"/>
          <w:highlight w:val="none"/>
        </w:rPr>
      </w:pPr>
      <w:r>
        <w:rPr>
          <w:rFonts w:hint="eastAsia" w:ascii="宋体" w:hAnsi="宋体" w:cs="宋体"/>
          <w:color w:val="auto"/>
          <w:spacing w:val="-7"/>
          <w:sz w:val="24"/>
          <w:szCs w:val="24"/>
          <w:highlight w:val="none"/>
        </w:rPr>
        <w:t>③实施监理过程中，发现施工单位违反上述规定，存在拖欠工人工资、工人工资支付信息</w:t>
      </w:r>
      <w:r>
        <w:rPr>
          <w:rFonts w:hint="eastAsia" w:ascii="宋体" w:hAnsi="宋体" w:cs="宋体"/>
          <w:color w:val="auto"/>
          <w:spacing w:val="-14"/>
          <w:sz w:val="24"/>
          <w:szCs w:val="24"/>
          <w:highlight w:val="none"/>
        </w:rPr>
        <w:t>与实名制登记的用工信息严重不符、约定的工程进度款中的工人工资款比例低于参照比例下限、</w:t>
      </w:r>
      <w:r>
        <w:rPr>
          <w:rFonts w:hint="eastAsia" w:ascii="宋体" w:hAnsi="宋体" w:cs="宋体"/>
          <w:color w:val="auto"/>
          <w:spacing w:val="-5"/>
          <w:sz w:val="24"/>
          <w:szCs w:val="24"/>
          <w:highlight w:val="none"/>
        </w:rPr>
        <w:t>工资支付专用账户发生异常情况等，应当要求施工单位立即整改并及时向委托人报告；如发现</w:t>
      </w:r>
      <w:r>
        <w:rPr>
          <w:rFonts w:hint="eastAsia" w:ascii="宋体" w:hAnsi="宋体" w:cs="宋体"/>
          <w:color w:val="auto"/>
          <w:spacing w:val="-10"/>
          <w:sz w:val="24"/>
          <w:szCs w:val="24"/>
          <w:highlight w:val="none"/>
        </w:rPr>
        <w:t xml:space="preserve">施工单位转包或者违法分包造成拖欠工人工资的，须立即上报委托人及工程行政管理部门严肃处理。 </w:t>
      </w:r>
    </w:p>
    <w:p>
      <w:pPr>
        <w:pStyle w:val="11"/>
        <w:spacing w:after="0" w:line="364"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④审核确认工程完工及施工单位结清工人工资的情况，配合施工单位办理工人工资支付专</w:t>
      </w:r>
      <w:r>
        <w:rPr>
          <w:rFonts w:hint="eastAsia" w:ascii="宋体" w:hAnsi="宋体" w:cs="宋体"/>
          <w:color w:val="auto"/>
          <w:sz w:val="24"/>
          <w:szCs w:val="24"/>
          <w:highlight w:val="none"/>
        </w:rPr>
        <w:t xml:space="preserve">用账户撤销手续。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pacing w:val="-1"/>
          <w:sz w:val="24"/>
          <w:szCs w:val="24"/>
          <w:highlight w:val="none"/>
        </w:rPr>
        <w:t>、监理人应严格按广州市、增城区有关施工现场余泥渣土排放、建筑垃圾运输管理、市</w:t>
      </w:r>
      <w:r>
        <w:rPr>
          <w:rFonts w:hint="eastAsia" w:ascii="宋体" w:hAnsi="宋体" w:cs="宋体"/>
          <w:color w:val="auto"/>
          <w:spacing w:val="-10"/>
          <w:sz w:val="24"/>
          <w:szCs w:val="24"/>
          <w:highlight w:val="none"/>
        </w:rPr>
        <w:t>容卫生、文明施工管理规定的标准和要求，加强对承包人的监督和检查。监理人必须对施工承</w:t>
      </w:r>
      <w:r>
        <w:rPr>
          <w:rFonts w:hint="eastAsia" w:ascii="宋体" w:hAnsi="宋体" w:cs="宋体"/>
          <w:color w:val="auto"/>
          <w:spacing w:val="-6"/>
          <w:sz w:val="24"/>
          <w:szCs w:val="24"/>
          <w:highlight w:val="none"/>
        </w:rPr>
        <w:t>包人的土石方专业工程分包合同、建筑垃圾运输合同进行备案和跟踪管理。检查发现问题，应</w:t>
      </w:r>
      <w:r>
        <w:rPr>
          <w:rFonts w:hint="eastAsia" w:ascii="宋体" w:hAnsi="宋体" w:cs="宋体"/>
          <w:color w:val="auto"/>
          <w:spacing w:val="-7"/>
          <w:sz w:val="24"/>
          <w:szCs w:val="24"/>
          <w:highlight w:val="none"/>
        </w:rPr>
        <w:t>立即发出监理通知予以制止。监理人还必须审查余泥渣土、建筑垃圾运输单位的资质，发现问</w:t>
      </w:r>
      <w:r>
        <w:rPr>
          <w:rFonts w:hint="eastAsia" w:ascii="宋体" w:hAnsi="宋体" w:cs="宋体"/>
          <w:color w:val="auto"/>
          <w:spacing w:val="-9"/>
          <w:sz w:val="24"/>
          <w:szCs w:val="24"/>
          <w:highlight w:val="none"/>
        </w:rPr>
        <w:t>题立即予以制止，并同时向委托人、建设主管部门、余泥渣土排放主管部门及城管部门一并报</w:t>
      </w:r>
      <w:r>
        <w:rPr>
          <w:rFonts w:hint="eastAsia" w:ascii="宋体" w:hAnsi="宋体" w:cs="宋体"/>
          <w:color w:val="auto"/>
          <w:spacing w:val="-10"/>
          <w:sz w:val="24"/>
          <w:szCs w:val="24"/>
          <w:highlight w:val="none"/>
        </w:rPr>
        <w:t>告。监理人对每台出泥运输车应当现场做好出泥登记和双方签名确认，以供城市管理部门和建</w:t>
      </w:r>
      <w:r>
        <w:rPr>
          <w:rFonts w:hint="eastAsia" w:ascii="宋体" w:hAnsi="宋体" w:cs="宋体"/>
          <w:color w:val="auto"/>
          <w:sz w:val="24"/>
          <w:szCs w:val="24"/>
          <w:highlight w:val="none"/>
        </w:rPr>
        <w:t xml:space="preserve">设主管部门随时抽查。 </w:t>
      </w:r>
    </w:p>
    <w:p>
      <w:pPr>
        <w:pStyle w:val="11"/>
        <w:spacing w:after="0" w:line="362"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 xml:space="preserve">、工程造价控制工作，包括但不限于以下工作：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）监理人应每日统计承包人实际完成的工程量，并记录于监理日志中。</w:t>
      </w:r>
      <w:r>
        <w:rPr>
          <w:rFonts w:ascii="宋体" w:hAnsi="宋体" w:cs="宋体"/>
          <w:color w:val="auto"/>
          <w:sz w:val="24"/>
          <w:szCs w:val="24"/>
          <w:highlight w:val="none"/>
        </w:rPr>
        <w:t xml:space="preserve"> </w:t>
      </w:r>
    </w:p>
    <w:p>
      <w:pPr>
        <w:pStyle w:val="11"/>
        <w:spacing w:after="0" w:line="362"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w:t>
      </w:r>
      <w:r>
        <w:rPr>
          <w:rFonts w:ascii="宋体" w:hAnsi="宋体" w:cs="宋体"/>
          <w:color w:val="auto"/>
          <w:spacing w:val="-1"/>
          <w:sz w:val="24"/>
          <w:szCs w:val="24"/>
          <w:highlight w:val="none"/>
        </w:rPr>
        <w:t>2</w:t>
      </w:r>
      <w:r>
        <w:rPr>
          <w:rFonts w:hint="eastAsia" w:ascii="宋体" w:hAnsi="宋体" w:cs="宋体"/>
          <w:color w:val="auto"/>
          <w:spacing w:val="-1"/>
          <w:sz w:val="24"/>
          <w:szCs w:val="24"/>
          <w:highlight w:val="none"/>
        </w:rPr>
        <w:t>）复核当期验收合格的工程量，按施工合同的约定审核承包人提交的工程量清单和工</w:t>
      </w:r>
      <w:r>
        <w:rPr>
          <w:rFonts w:hint="eastAsia" w:ascii="宋体" w:hAnsi="宋体" w:cs="宋体"/>
          <w:color w:val="auto"/>
          <w:sz w:val="24"/>
          <w:szCs w:val="24"/>
          <w:highlight w:val="none"/>
        </w:rPr>
        <w:t>程款支付申请表并报委托人。</w:t>
      </w:r>
      <w:r>
        <w:rPr>
          <w:rFonts w:ascii="宋体" w:hAnsi="宋体" w:cs="宋体"/>
          <w:color w:val="auto"/>
          <w:sz w:val="24"/>
          <w:szCs w:val="24"/>
          <w:highlight w:val="none"/>
        </w:rPr>
        <w:t xml:space="preserve"> </w:t>
      </w:r>
    </w:p>
    <w:p>
      <w:pPr>
        <w:pStyle w:val="11"/>
        <w:spacing w:after="0" w:line="362"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w:t>
      </w:r>
      <w:r>
        <w:rPr>
          <w:rFonts w:ascii="宋体" w:hAnsi="宋体" w:cs="宋体"/>
          <w:color w:val="auto"/>
          <w:spacing w:val="-1"/>
          <w:sz w:val="24"/>
          <w:szCs w:val="24"/>
          <w:highlight w:val="none"/>
        </w:rPr>
        <w:t>3</w:t>
      </w:r>
      <w:r>
        <w:rPr>
          <w:rFonts w:hint="eastAsia" w:ascii="宋体" w:hAnsi="宋体" w:cs="宋体"/>
          <w:color w:val="auto"/>
          <w:spacing w:val="-1"/>
          <w:sz w:val="24"/>
          <w:szCs w:val="24"/>
          <w:highlight w:val="none"/>
        </w:rPr>
        <w:t>）依据施工合同有关条款、施工图，对工程项目造价目标进行风险分析，并应制定防</w:t>
      </w:r>
      <w:r>
        <w:rPr>
          <w:rFonts w:hint="eastAsia" w:ascii="宋体" w:hAnsi="宋体" w:cs="宋体"/>
          <w:color w:val="auto"/>
          <w:sz w:val="24"/>
          <w:szCs w:val="24"/>
          <w:highlight w:val="none"/>
        </w:rPr>
        <w:t>范性对策。</w:t>
      </w:r>
      <w:r>
        <w:rPr>
          <w:rFonts w:ascii="宋体" w:hAnsi="宋体" w:cs="宋体"/>
          <w:color w:val="auto"/>
          <w:sz w:val="24"/>
          <w:szCs w:val="24"/>
          <w:highlight w:val="none"/>
        </w:rPr>
        <w:t xml:space="preserve">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6、按区及委托人关于工程变更、签证管理的相关规定，从造价、项目的功能要求、质量和工期等方面对</w:t>
      </w:r>
      <w:r>
        <w:rPr>
          <w:rFonts w:hint="eastAsia" w:ascii="宋体" w:hAnsi="宋体" w:cs="宋体"/>
          <w:color w:val="auto"/>
          <w:spacing w:val="-3"/>
          <w:sz w:val="24"/>
          <w:szCs w:val="24"/>
          <w:highlight w:val="none"/>
        </w:rPr>
        <w:t>工程</w:t>
      </w:r>
      <w:r>
        <w:rPr>
          <w:rFonts w:hint="eastAsia" w:ascii="宋体" w:hAnsi="宋体" w:cs="宋体"/>
          <w:color w:val="auto"/>
          <w:sz w:val="24"/>
          <w:szCs w:val="24"/>
          <w:highlight w:val="none"/>
        </w:rPr>
        <w:t xml:space="preserve">变更、签证进行审核，并督促相关单位按经审定的变更、签证实施。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7、按监理规范向委托人提交监理月报，内容包括但不限于本月工程实施概况，工程计量及支付情况，工程变更、签证及索赔情况，监理工作小结等。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8、工程收尾阶段，包括竣工收尾、验收、整改、移交、结算、考核评价等方面的监理工作，包括但不限于以下内容：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（1）依据有关法律、法规、工程建设强制性标准、设计文件及施工合同，对承包人报送的竣工资料进行审查，并对工程质量进行竣工预验收。对存在的问题，应及时要求承包人整改。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1"/>
          <w:sz w:val="24"/>
          <w:szCs w:val="24"/>
          <w:highlight w:val="none"/>
        </w:rPr>
        <w:t>参加由委托人组织的竣工验收。对验收中提出的整改问题，督促承包人进行整改。</w:t>
      </w:r>
      <w:r>
        <w:rPr>
          <w:rFonts w:hint="eastAsia" w:ascii="宋体" w:hAnsi="宋体" w:cs="宋体"/>
          <w:color w:val="auto"/>
          <w:sz w:val="24"/>
          <w:szCs w:val="24"/>
          <w:highlight w:val="none"/>
        </w:rPr>
        <w:t>工程质量符合</w:t>
      </w:r>
      <w:r>
        <w:rPr>
          <w:rFonts w:hint="eastAsia" w:ascii="宋体" w:hAnsi="宋体" w:cs="宋体"/>
          <w:color w:val="auto"/>
          <w:spacing w:val="-3"/>
          <w:sz w:val="24"/>
          <w:szCs w:val="24"/>
          <w:highlight w:val="none"/>
        </w:rPr>
        <w:t>要求</w:t>
      </w:r>
      <w:r>
        <w:rPr>
          <w:rFonts w:hint="eastAsia" w:ascii="宋体" w:hAnsi="宋体" w:cs="宋体"/>
          <w:color w:val="auto"/>
          <w:sz w:val="24"/>
          <w:szCs w:val="24"/>
          <w:highlight w:val="none"/>
        </w:rPr>
        <w:t xml:space="preserve">，会同参加验收的各方签署竣工验收报告。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1"/>
          <w:sz w:val="24"/>
          <w:szCs w:val="24"/>
          <w:highlight w:val="none"/>
        </w:rPr>
        <w:t>根据有关文件规定，督促检查承包人完成各阶段及全套竣工图的工作和整理各种必</w:t>
      </w:r>
      <w:r>
        <w:rPr>
          <w:rFonts w:hint="eastAsia" w:ascii="宋体" w:hAnsi="宋体" w:cs="宋体"/>
          <w:color w:val="auto"/>
          <w:sz w:val="24"/>
          <w:szCs w:val="24"/>
          <w:highlight w:val="none"/>
        </w:rPr>
        <w:t xml:space="preserve">须归档的资料，办理工程竣工档案备案手续。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（4）负责对项目实施过程中形成的声像材料按区及委托人有关规定进行归档整理后，移交</w:t>
      </w:r>
      <w:r>
        <w:rPr>
          <w:rFonts w:hint="eastAsia" w:ascii="宋体" w:hAnsi="宋体" w:cs="宋体"/>
          <w:color w:val="auto"/>
          <w:spacing w:val="-3"/>
          <w:sz w:val="24"/>
          <w:szCs w:val="24"/>
          <w:highlight w:val="none"/>
        </w:rPr>
        <w:t>委托人</w:t>
      </w:r>
      <w:r>
        <w:rPr>
          <w:rFonts w:hint="eastAsia" w:ascii="宋体" w:hAnsi="宋体" w:cs="宋体"/>
          <w:color w:val="auto"/>
          <w:sz w:val="24"/>
          <w:szCs w:val="24"/>
          <w:highlight w:val="none"/>
        </w:rPr>
        <w:t xml:space="preserve">。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（5）组织或协助委托人、承包人和产权管理单位对项目进行移交。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（6）按委托人</w:t>
      </w:r>
      <w:r>
        <w:rPr>
          <w:rFonts w:hint="eastAsia" w:ascii="宋体" w:hAnsi="宋体" w:cs="宋体"/>
          <w:color w:val="auto"/>
          <w:spacing w:val="-3"/>
          <w:sz w:val="24"/>
          <w:szCs w:val="24"/>
          <w:highlight w:val="none"/>
        </w:rPr>
        <w:t>施工</w:t>
      </w:r>
      <w:r>
        <w:rPr>
          <w:rFonts w:hint="eastAsia" w:ascii="宋体" w:hAnsi="宋体" w:cs="宋体"/>
          <w:color w:val="auto"/>
          <w:sz w:val="24"/>
          <w:szCs w:val="24"/>
          <w:highlight w:val="none"/>
        </w:rPr>
        <w:t>类合同结算编审要求及区有关规定组织编制及办理建设项目工程结算</w:t>
      </w:r>
      <w:r>
        <w:rPr>
          <w:rFonts w:hint="eastAsia" w:ascii="宋体" w:hAnsi="宋体" w:cs="宋体"/>
          <w:color w:val="auto"/>
          <w:spacing w:val="-8"/>
          <w:sz w:val="24"/>
          <w:szCs w:val="24"/>
          <w:highlight w:val="none"/>
        </w:rPr>
        <w:t xml:space="preserve">。工程完工经验收通过后 </w:t>
      </w:r>
      <w:r>
        <w:rPr>
          <w:rFonts w:hint="eastAsia" w:ascii="宋体" w:hAnsi="宋体" w:cs="宋体"/>
          <w:color w:val="auto"/>
          <w:sz w:val="24"/>
          <w:szCs w:val="24"/>
          <w:highlight w:val="none"/>
        </w:rPr>
        <w:t>45</w:t>
      </w:r>
      <w:r>
        <w:rPr>
          <w:rFonts w:hint="eastAsia" w:ascii="宋体" w:hAnsi="宋体" w:cs="宋体"/>
          <w:color w:val="auto"/>
          <w:spacing w:val="-7"/>
          <w:sz w:val="24"/>
          <w:szCs w:val="24"/>
          <w:highlight w:val="none"/>
        </w:rPr>
        <w:t xml:space="preserve"> 天内督促承包人提交工程结算文件，并在收到承包人结算资料后二十</w:t>
      </w:r>
      <w:r>
        <w:rPr>
          <w:rFonts w:hint="eastAsia" w:ascii="宋体" w:hAnsi="宋体" w:cs="宋体"/>
          <w:color w:val="auto"/>
          <w:spacing w:val="-3"/>
          <w:sz w:val="24"/>
          <w:szCs w:val="24"/>
          <w:highlight w:val="none"/>
        </w:rPr>
        <w:t>日内</w:t>
      </w:r>
      <w:r>
        <w:rPr>
          <w:rFonts w:hint="eastAsia" w:ascii="宋体" w:hAnsi="宋体" w:cs="宋体"/>
          <w:color w:val="auto"/>
          <w:spacing w:val="-7"/>
          <w:sz w:val="24"/>
          <w:szCs w:val="24"/>
          <w:highlight w:val="none"/>
        </w:rPr>
        <w:t xml:space="preserve">，根据相关合同约定完成审核并提交委托人。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pacing w:val="-1"/>
          <w:sz w:val="24"/>
          <w:szCs w:val="24"/>
          <w:highlight w:val="none"/>
        </w:rPr>
        <w:t>、督促承包人在工程保修期内对工程进行保修，对委托人提出的工程质量缺陷进行检查</w:t>
      </w:r>
      <w:r>
        <w:rPr>
          <w:rFonts w:hint="eastAsia" w:ascii="宋体" w:hAnsi="宋体" w:cs="宋体"/>
          <w:color w:val="auto"/>
          <w:spacing w:val="-10"/>
          <w:sz w:val="24"/>
          <w:szCs w:val="24"/>
          <w:highlight w:val="none"/>
        </w:rPr>
        <w:t>和记录，对承包人进行修复的工程质量进行验收，合格后予以签认。对工程质量缺陷原因进行</w:t>
      </w:r>
      <w:r>
        <w:rPr>
          <w:rFonts w:hint="eastAsia" w:ascii="宋体" w:hAnsi="宋体" w:cs="宋体"/>
          <w:color w:val="auto"/>
          <w:spacing w:val="-7"/>
          <w:sz w:val="24"/>
          <w:szCs w:val="24"/>
          <w:highlight w:val="none"/>
        </w:rPr>
        <w:t>调查分析并确定责任归属，对非承包人原因造成的工程质量缺陷，监理人员应核实修复工程的</w:t>
      </w:r>
      <w:r>
        <w:rPr>
          <w:rFonts w:hint="eastAsia" w:ascii="宋体" w:hAnsi="宋体" w:cs="宋体"/>
          <w:color w:val="auto"/>
          <w:sz w:val="24"/>
          <w:szCs w:val="24"/>
          <w:highlight w:val="none"/>
        </w:rPr>
        <w:t xml:space="preserve">费用和签署工程款支付证书，并报委托人。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color w:val="auto"/>
          <w:spacing w:val="-11"/>
          <w:sz w:val="24"/>
          <w:szCs w:val="24"/>
          <w:highlight w:val="none"/>
        </w:rPr>
        <w:t>、在整个监理服务期内，定期组织、主持现场工程协调会议，负责协调各承包人的配合</w:t>
      </w:r>
      <w:r>
        <w:rPr>
          <w:rFonts w:hint="eastAsia" w:ascii="宋体" w:hAnsi="宋体" w:cs="宋体"/>
          <w:color w:val="auto"/>
          <w:sz w:val="24"/>
          <w:szCs w:val="24"/>
          <w:highlight w:val="none"/>
        </w:rPr>
        <w:t>穿插施工</w:t>
      </w:r>
      <w:r>
        <w:rPr>
          <w:rFonts w:hint="eastAsia" w:ascii="宋体" w:hAnsi="宋体" w:cs="宋体"/>
          <w:color w:val="auto"/>
          <w:spacing w:val="-3"/>
          <w:sz w:val="24"/>
          <w:szCs w:val="24"/>
          <w:highlight w:val="none"/>
        </w:rPr>
        <w:t>安排</w:t>
      </w:r>
      <w:r>
        <w:rPr>
          <w:rFonts w:hint="eastAsia" w:ascii="宋体" w:hAnsi="宋体" w:cs="宋体"/>
          <w:color w:val="auto"/>
          <w:sz w:val="24"/>
          <w:szCs w:val="24"/>
          <w:highlight w:val="none"/>
        </w:rPr>
        <w:t xml:space="preserve">。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11、其他为完成本工程建设所需要的监理工作。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（三）项目监理机构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3"/>
          <w:sz w:val="24"/>
          <w:szCs w:val="24"/>
          <w:highlight w:val="none"/>
        </w:rPr>
        <w:t xml:space="preserve">、本项目监理机构配备情况见附件 </w:t>
      </w:r>
      <w:r>
        <w:rPr>
          <w:rFonts w:hint="eastAsia" w:ascii="宋体" w:hAnsi="宋体" w:cs="宋体"/>
          <w:color w:val="auto"/>
          <w:sz w:val="24"/>
          <w:szCs w:val="24"/>
          <w:highlight w:val="none"/>
        </w:rPr>
        <w:t>1</w:t>
      </w:r>
      <w:r>
        <w:rPr>
          <w:rFonts w:hint="eastAsia" w:ascii="宋体" w:hAnsi="宋体" w:cs="宋体"/>
          <w:color w:val="auto"/>
          <w:spacing w:val="-8"/>
          <w:sz w:val="24"/>
          <w:szCs w:val="24"/>
          <w:highlight w:val="none"/>
        </w:rPr>
        <w:t xml:space="preserve"> 附表，监理人必须按该附表在施工现场建立项目监</w:t>
      </w:r>
      <w:r>
        <w:rPr>
          <w:rFonts w:hint="eastAsia" w:ascii="宋体" w:hAnsi="宋体" w:cs="宋体"/>
          <w:color w:val="auto"/>
          <w:spacing w:val="-10"/>
          <w:sz w:val="24"/>
          <w:szCs w:val="24"/>
          <w:highlight w:val="none"/>
        </w:rPr>
        <w:t>理机构，监理人</w:t>
      </w:r>
      <w:r>
        <w:rPr>
          <w:rFonts w:hint="eastAsia" w:ascii="宋体" w:hAnsi="宋体" w:cs="宋体"/>
          <w:color w:val="auto"/>
          <w:spacing w:val="-8"/>
          <w:sz w:val="24"/>
          <w:szCs w:val="24"/>
          <w:highlight w:val="none"/>
        </w:rPr>
        <w:t>应向委托人提供监理机</w:t>
      </w:r>
      <w:r>
        <w:rPr>
          <w:rFonts w:hint="eastAsia" w:ascii="宋体" w:hAnsi="宋体" w:cs="宋体"/>
          <w:color w:val="auto"/>
          <w:spacing w:val="-10"/>
          <w:sz w:val="24"/>
          <w:szCs w:val="24"/>
          <w:highlight w:val="none"/>
        </w:rPr>
        <w:t>构配备人员的资质证书。项目监理机构在完成委托监理</w:t>
      </w:r>
      <w:r>
        <w:rPr>
          <w:rFonts w:hint="eastAsia" w:ascii="宋体" w:hAnsi="宋体" w:cs="宋体"/>
          <w:color w:val="auto"/>
          <w:sz w:val="24"/>
          <w:szCs w:val="24"/>
          <w:highlight w:val="none"/>
        </w:rPr>
        <w:t xml:space="preserve">合同约定的监理工作后可撤离施工现场。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1"/>
          <w:sz w:val="24"/>
          <w:szCs w:val="24"/>
          <w:highlight w:val="none"/>
        </w:rPr>
        <w:t>、监理人必须在委托人发出进场通知后，按委托人具体的要求进场，并立即开始履行本合同约定的服务。监理人必须按照其投标文件和监理规划的承诺，足额、按时派驻监理人员（见合同附件 1）和投入设备，并且本合同履行期间，监理人不得派驻本项目的监理人员参与委托人作为业主的其他建设项目。</w:t>
      </w:r>
      <w:r>
        <w:rPr>
          <w:rFonts w:hint="eastAsia" w:ascii="宋体" w:hAnsi="宋体" w:cs="宋体"/>
          <w:color w:val="auto"/>
          <w:sz w:val="24"/>
          <w:szCs w:val="24"/>
          <w:highlight w:val="none"/>
        </w:rPr>
        <w:t xml:space="preserve">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3、监理人派驻到</w:t>
      </w:r>
      <w:r>
        <w:rPr>
          <w:rFonts w:hint="eastAsia" w:ascii="宋体" w:hAnsi="宋体" w:cs="宋体"/>
          <w:color w:val="auto"/>
          <w:spacing w:val="-3"/>
          <w:sz w:val="24"/>
          <w:szCs w:val="24"/>
          <w:highlight w:val="none"/>
        </w:rPr>
        <w:t>项目</w:t>
      </w:r>
      <w:r>
        <w:rPr>
          <w:rFonts w:hint="eastAsia" w:ascii="宋体" w:hAnsi="宋体" w:cs="宋体"/>
          <w:color w:val="auto"/>
          <w:sz w:val="24"/>
          <w:szCs w:val="24"/>
          <w:highlight w:val="none"/>
        </w:rPr>
        <w:t xml:space="preserve">所在地履行监理服务的监理人员，必须常驻现场。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4、监理人应对其驻地监理人员的人身安全承担责任。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5、监理人在工程监理全过程中必须派驻至少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名注册造价工程师提供驻场服务，并按委托人要求建立施工阶段工程预算台账。 </w:t>
      </w:r>
    </w:p>
    <w:p>
      <w:pPr>
        <w:pStyle w:val="11"/>
        <w:spacing w:after="0" w:line="362" w:lineRule="auto"/>
        <w:ind w:firstLine="482" w:firstLineChars="200"/>
        <w:rPr>
          <w:rFonts w:ascii="宋体" w:hAnsi="宋体" w:cs="宋体"/>
          <w:b/>
          <w:color w:val="auto"/>
          <w:highlight w:val="none"/>
        </w:rPr>
      </w:pPr>
      <w:r>
        <w:rPr>
          <w:rFonts w:hint="eastAsia" w:ascii="宋体" w:hAnsi="宋体" w:cs="宋体"/>
          <w:b/>
          <w:bCs/>
          <w:color w:val="auto"/>
          <w:sz w:val="24"/>
          <w:szCs w:val="24"/>
          <w:highlight w:val="none"/>
        </w:rPr>
        <w:t>第五条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监理人应履行的义务包括但不限于：</w:t>
      </w:r>
      <w:r>
        <w:rPr>
          <w:rFonts w:ascii="宋体" w:hAnsi="宋体" w:cs="宋体"/>
          <w:b/>
          <w:bCs/>
          <w:color w:val="auto"/>
          <w:sz w:val="24"/>
          <w:szCs w:val="24"/>
          <w:highlight w:val="none"/>
        </w:rPr>
        <w:t xml:space="preserve">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pacing w:val="-48"/>
          <w:sz w:val="24"/>
          <w:szCs w:val="24"/>
          <w:highlight w:val="none"/>
        </w:rPr>
        <w:t>）</w:t>
      </w:r>
      <w:r>
        <w:rPr>
          <w:rFonts w:hint="eastAsia" w:ascii="宋体" w:hAnsi="宋体" w:cs="宋体"/>
          <w:color w:val="auto"/>
          <w:spacing w:val="-3"/>
          <w:sz w:val="24"/>
          <w:szCs w:val="24"/>
          <w:highlight w:val="none"/>
        </w:rPr>
        <w:t>监理人在本合同履行期内必须接受委托人有关项目管理机构职权规定的约束，监理</w:t>
      </w:r>
      <w:r>
        <w:rPr>
          <w:rFonts w:hint="eastAsia" w:ascii="宋体" w:hAnsi="宋体" w:cs="宋体"/>
          <w:color w:val="auto"/>
          <w:spacing w:val="-6"/>
          <w:sz w:val="24"/>
          <w:szCs w:val="24"/>
          <w:highlight w:val="none"/>
        </w:rPr>
        <w:t>人应对提供本项目服务的人员经常进行检查、指导、管理及后方支持，对他们完成的服务承担</w:t>
      </w:r>
      <w:r>
        <w:rPr>
          <w:rFonts w:hint="eastAsia" w:ascii="宋体" w:hAnsi="宋体" w:cs="宋体"/>
          <w:color w:val="auto"/>
          <w:sz w:val="24"/>
          <w:szCs w:val="24"/>
          <w:highlight w:val="none"/>
        </w:rPr>
        <w:t>责任。</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pacing w:val="-3"/>
          <w:sz w:val="24"/>
          <w:szCs w:val="24"/>
          <w:highlight w:val="none"/>
        </w:rPr>
        <w:t xml:space="preserve">监理人必须在收到图纸、勘察资料等技术文件后 14 日内向委托人提供针对本合同工程特点、重点、难点的《监理规划》、相应的《监理实施细则》，经委托人审核批准后执行。如委托人要求监理人对《监理规划》等进行调整，监理人必须在 3 个日内完成调整并报委托人审批。 </w:t>
      </w:r>
    </w:p>
    <w:p>
      <w:pPr>
        <w:pStyle w:val="11"/>
        <w:spacing w:after="0" w:line="36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（三）委托人委托监理人承担本合同工程范围内的协调管理工作，包括工程施工的进场、勘察、设计、退场、质量、进度及其他相关工作</w:t>
      </w:r>
      <w:r>
        <w:rPr>
          <w:rFonts w:hint="eastAsia" w:ascii="宋体" w:hAnsi="宋体" w:cs="宋体"/>
          <w:color w:val="auto"/>
          <w:sz w:val="24"/>
          <w:szCs w:val="24"/>
          <w:highlight w:val="none"/>
          <w:lang w:eastAsia="zh-CN"/>
        </w:rPr>
        <w:t>，内容包括</w:t>
      </w:r>
      <w:r>
        <w:rPr>
          <w:rFonts w:hint="eastAsia" w:ascii="宋体" w:hAnsi="宋体" w:cs="宋体"/>
          <w:color w:val="auto"/>
          <w:sz w:val="24"/>
          <w:szCs w:val="24"/>
          <w:highlight w:val="none"/>
          <w:lang w:val="en-US" w:eastAsia="zh-CN"/>
        </w:rPr>
        <w:t>但不限于</w:t>
      </w:r>
      <w:r>
        <w:rPr>
          <w:rFonts w:hint="eastAsia" w:ascii="宋体" w:hAnsi="宋体" w:cs="宋体"/>
          <w:color w:val="auto"/>
          <w:sz w:val="24"/>
          <w:szCs w:val="24"/>
          <w:highlight w:val="none"/>
          <w:lang w:eastAsia="zh-CN"/>
        </w:rPr>
        <w:t>：</w:t>
      </w:r>
    </w:p>
    <w:p>
      <w:pPr>
        <w:pStyle w:val="11"/>
        <w:spacing w:after="0" w:line="362"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）熟悉工程设计文件，并参加由委托人主持的图纸会审和设计交底会议；</w:t>
      </w:r>
    </w:p>
    <w:p>
      <w:pPr>
        <w:pStyle w:val="11"/>
        <w:spacing w:after="0" w:line="362"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）参加由委托人主持的第一次工地会议；主持监理例会并根据工程需要主持或参加专题会议；</w:t>
      </w:r>
    </w:p>
    <w:p>
      <w:pPr>
        <w:pStyle w:val="11"/>
        <w:spacing w:after="0" w:line="362"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）审查施工承包人提交的施工组织设计，重点审查其中的质量安全技术措施、专项施工方案与工程建设强制性标准的符合性；</w:t>
      </w:r>
    </w:p>
    <w:p>
      <w:pPr>
        <w:pStyle w:val="11"/>
        <w:spacing w:after="0" w:line="362"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 xml:space="preserve">）检查施工承包人工程质量、安全生产管理制度及组织机构和人员资格； </w:t>
      </w:r>
    </w:p>
    <w:p>
      <w:pPr>
        <w:pStyle w:val="11"/>
        <w:spacing w:after="0" w:line="362"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）检查施工承包人专职安全生产管理人员的配备情况；</w:t>
      </w:r>
    </w:p>
    <w:p>
      <w:pPr>
        <w:pStyle w:val="11"/>
        <w:spacing w:after="0" w:line="362"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）审查施工承包人提交的施工进度计划，核查承包人对施工进度计划的调整；</w:t>
      </w:r>
    </w:p>
    <w:p>
      <w:pPr>
        <w:pStyle w:val="11"/>
        <w:spacing w:after="0" w:line="362"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）检查施工承包人的试验室；</w:t>
      </w:r>
    </w:p>
    <w:p>
      <w:pPr>
        <w:pStyle w:val="11"/>
        <w:spacing w:after="0" w:line="362"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）审核施工分包人资质条件；</w:t>
      </w:r>
    </w:p>
    <w:p>
      <w:pPr>
        <w:pStyle w:val="11"/>
        <w:spacing w:after="0" w:line="362"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）查验施工承包人的施工测量放线成果；</w:t>
      </w:r>
    </w:p>
    <w:p>
      <w:pPr>
        <w:pStyle w:val="11"/>
        <w:spacing w:after="0" w:line="36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审查工程开工条件，对条件具备的签发开工令。</w:t>
      </w:r>
    </w:p>
    <w:p>
      <w:pPr>
        <w:pStyle w:val="11"/>
        <w:spacing w:after="0" w:line="362"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（四</w:t>
      </w:r>
      <w:r>
        <w:rPr>
          <w:rFonts w:hint="eastAsia" w:ascii="宋体" w:hAnsi="宋体" w:cs="宋体"/>
          <w:color w:val="auto"/>
          <w:spacing w:val="-24"/>
          <w:sz w:val="24"/>
          <w:szCs w:val="24"/>
          <w:highlight w:val="none"/>
        </w:rPr>
        <w:t>）</w:t>
      </w:r>
      <w:r>
        <w:rPr>
          <w:rFonts w:hint="eastAsia" w:ascii="宋体" w:hAnsi="宋体" w:cs="宋体"/>
          <w:color w:val="auto"/>
          <w:spacing w:val="-6"/>
          <w:sz w:val="24"/>
          <w:szCs w:val="24"/>
          <w:highlight w:val="none"/>
        </w:rPr>
        <w:t>监理工程师在本合同工程中，对工程质量、投资与进度进行控制，办理合同约定的</w:t>
      </w:r>
      <w:r>
        <w:rPr>
          <w:rFonts w:hint="eastAsia" w:ascii="宋体" w:hAnsi="宋体" w:cs="宋体"/>
          <w:color w:val="auto"/>
          <w:sz w:val="24"/>
          <w:szCs w:val="24"/>
          <w:highlight w:val="none"/>
        </w:rPr>
        <w:t>各项手续。监理工程师在办理各种手续时，不得扣压和延误。</w:t>
      </w:r>
      <w:r>
        <w:rPr>
          <w:rFonts w:hint="eastAsia" w:ascii="宋体" w:hAnsi="宋体" w:cs="宋体"/>
          <w:color w:val="auto"/>
          <w:sz w:val="24"/>
          <w:szCs w:val="24"/>
          <w:highlight w:val="none"/>
          <w:lang w:val="en-US" w:eastAsia="zh-CN"/>
        </w:rPr>
        <w:t>内容包括但不限于：</w:t>
      </w:r>
    </w:p>
    <w:p>
      <w:pPr>
        <w:pStyle w:val="11"/>
        <w:spacing w:after="0"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）审查施工承包人报送的工程材料、构配件、设备质量证明文件的有效性和符合性，并按规定对用于工程的材料采取平行检验或见证取样方式进行抽检；</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）审核施工承包人提交的工程款支付申请，签发或出具工程款支付证书，并报委托人审核、批准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pPr>
        <w:pStyle w:val="11"/>
        <w:spacing w:after="0"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在任何情况下（包括合同另有约定的情况），凡涉及工程变更、工程量增减、议价、索赔、处理事故、改变工期、改变技术标准、改变重大施工方案等及一切有关费用的问题，均需与委托人共同商定，报委托人批准。</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内容包括但不限于：</w:t>
      </w:r>
    </w:p>
    <w:p>
      <w:pPr>
        <w:pStyle w:val="11"/>
        <w:spacing w:after="0"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）审查施工承包人提交的采用新材料、新工艺、新技术、新设备的论证材料及相关验收标准；</w:t>
      </w:r>
    </w:p>
    <w:p>
      <w:pPr>
        <w:pStyle w:val="11"/>
        <w:spacing w:after="0"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）验收隐蔽工程、分部分项工程；</w:t>
      </w:r>
    </w:p>
    <w:p>
      <w:pPr>
        <w:pStyle w:val="11"/>
        <w:spacing w:after="0" w:line="362"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审查施工承包人提交的工程变更申请，协调处理施工进度调整、费用索赔、合同争议等事项</w:t>
      </w:r>
      <w:r>
        <w:rPr>
          <w:rFonts w:hint="eastAsia" w:ascii="宋体" w:hAnsi="宋体" w:cs="宋体"/>
          <w:color w:val="auto"/>
          <w:sz w:val="24"/>
          <w:szCs w:val="24"/>
          <w:highlight w:val="none"/>
          <w:lang w:val="en-US" w:eastAsia="zh-CN"/>
        </w:rPr>
        <w:t>。</w:t>
      </w:r>
    </w:p>
    <w:p>
      <w:pPr>
        <w:pStyle w:val="11"/>
        <w:spacing w:line="362"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cs="宋体"/>
          <w:color w:val="auto"/>
          <w:sz w:val="24"/>
          <w:szCs w:val="24"/>
          <w:highlight w:val="none"/>
        </w:rPr>
        <w:t>（六</w:t>
      </w:r>
      <w:r>
        <w:rPr>
          <w:rFonts w:hint="eastAsia" w:ascii="宋体" w:hAnsi="宋体" w:cs="宋体"/>
          <w:color w:val="auto"/>
          <w:spacing w:val="-32"/>
          <w:sz w:val="24"/>
          <w:szCs w:val="24"/>
          <w:highlight w:val="none"/>
        </w:rPr>
        <w:t>）</w:t>
      </w:r>
      <w:r>
        <w:rPr>
          <w:rFonts w:hint="eastAsia" w:ascii="宋体" w:hAnsi="宋体" w:cs="宋体"/>
          <w:color w:val="auto"/>
          <w:spacing w:val="-5"/>
          <w:sz w:val="24"/>
          <w:szCs w:val="24"/>
          <w:highlight w:val="none"/>
        </w:rPr>
        <w:t>监理人必须</w:t>
      </w:r>
      <w:r>
        <w:rPr>
          <w:rFonts w:hint="eastAsia" w:ascii="宋体" w:hAnsi="宋体" w:cs="宋体"/>
          <w:color w:val="auto"/>
          <w:sz w:val="24"/>
          <w:szCs w:val="24"/>
          <w:highlight w:val="none"/>
        </w:rPr>
        <w:t>不折不扣</w:t>
      </w:r>
      <w:r>
        <w:rPr>
          <w:rFonts w:hint="eastAsia" w:ascii="宋体" w:hAnsi="宋体" w:cs="宋体"/>
          <w:color w:val="auto"/>
          <w:spacing w:val="-5"/>
          <w:sz w:val="24"/>
          <w:szCs w:val="24"/>
          <w:highlight w:val="none"/>
        </w:rPr>
        <w:t>地履行其工作职责，不得推托或耽误，不能有不履行或不完全</w:t>
      </w:r>
      <w:r>
        <w:rPr>
          <w:rFonts w:hint="eastAsia" w:ascii="宋体" w:hAnsi="宋体" w:cs="宋体"/>
          <w:color w:val="auto"/>
          <w:sz w:val="24"/>
          <w:szCs w:val="24"/>
          <w:highlight w:val="none"/>
        </w:rPr>
        <w:t xml:space="preserve">履行职务的行为，否则，必须承担相应的违约责任。 </w:t>
      </w:r>
      <w:r>
        <w:rPr>
          <w:rFonts w:hint="eastAsia" w:ascii="宋体" w:hAnsi="宋体" w:cs="宋体"/>
          <w:color w:val="auto"/>
          <w:spacing w:val="-5"/>
          <w:sz w:val="24"/>
          <w:szCs w:val="24"/>
          <w:highlight w:val="none"/>
        </w:rPr>
        <w:t>工作</w:t>
      </w:r>
      <w:r>
        <w:rPr>
          <w:rFonts w:hint="eastAsia" w:ascii="宋体" w:hAnsi="宋体" w:eastAsia="宋体" w:cs="宋体"/>
          <w:color w:val="auto"/>
          <w:kern w:val="2"/>
          <w:sz w:val="24"/>
          <w:szCs w:val="24"/>
          <w:highlight w:val="none"/>
        </w:rPr>
        <w:t>履行职责</w:t>
      </w:r>
      <w:r>
        <w:rPr>
          <w:rFonts w:hint="eastAsia" w:ascii="宋体" w:hAnsi="宋体" w:eastAsia="宋体" w:cs="宋体"/>
          <w:color w:val="auto"/>
          <w:kern w:val="2"/>
          <w:sz w:val="24"/>
          <w:szCs w:val="24"/>
          <w:highlight w:val="none"/>
          <w:lang w:val="en-US" w:eastAsia="zh-CN"/>
        </w:rPr>
        <w:t>要求如下：</w:t>
      </w:r>
    </w:p>
    <w:p>
      <w:pPr>
        <w:pStyle w:val="11"/>
        <w:spacing w:line="36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监理人应遵循职业道德准则和行为规范，严格按照法律法规、工程建设有关标准及本合同履行职责。</w:t>
      </w:r>
    </w:p>
    <w:p>
      <w:pPr>
        <w:adjustRightInd w:val="0"/>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当委托人与承包人之间的合同争议提交仲裁机构仲裁或人民法院审理时，监理人应提供必要的证明资料。</w:t>
      </w:r>
    </w:p>
    <w:p>
      <w:pPr>
        <w:adjustRightInd w:val="0"/>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监理人应在专用条件约定的授权范围内，处理委托人与承包人所签订合同的变更事宜。如果变更超过授权范围，应以书面形式报委托人批准。在紧急情况下，为了保护财产和人身安全，监理人所发出的指令未能事先报委托人批准时，应在发出指令后的24小时内以书面形式报委托人。</w:t>
      </w:r>
    </w:p>
    <w:p>
      <w:pPr>
        <w:pStyle w:val="11"/>
        <w:spacing w:after="0" w:line="36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 xml:space="preserve"> 除专用条件另有约定外，监理人发现承包人的人员不能胜任本职工作的，有权要求承包人予以调换。</w:t>
      </w:r>
    </w:p>
    <w:p>
      <w:pPr>
        <w:pStyle w:val="11"/>
        <w:spacing w:after="0" w:line="36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（七）对于委托人及承包人书面提交并要求作出决定的事宜，监理人应在 3 日内作出书面答复，对影响施工现场进度的事项应在24小时内作出具有明确处理意见的书面答复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内容包括但不限于：</w:t>
      </w:r>
    </w:p>
    <w:p>
      <w:pPr>
        <w:pStyle w:val="11"/>
        <w:spacing w:after="0"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）在巡视、旁站和检验过程中，发现工程质量、施工安全存在事故隐患的，要求施工承包人整改并报委托人；</w:t>
      </w:r>
    </w:p>
    <w:p>
      <w:pPr>
        <w:pStyle w:val="11"/>
        <w:spacing w:after="0" w:line="36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）经委托人同意，签发工程暂停令和复工令</w:t>
      </w:r>
      <w:r>
        <w:rPr>
          <w:rFonts w:hint="eastAsia" w:ascii="宋体" w:hAnsi="宋体" w:cs="宋体"/>
          <w:color w:val="auto"/>
          <w:sz w:val="24"/>
          <w:szCs w:val="24"/>
          <w:highlight w:val="none"/>
          <w:lang w:eastAsia="zh-CN"/>
        </w:rPr>
        <w:t>。</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（八）监理人应在监理服务期内，办理派驻到项目所在地人员人身和自备财产的有关保险。如果监理人不办理上述保险，则应对有关风险及后果自负其责。 </w:t>
      </w:r>
    </w:p>
    <w:p>
      <w:pPr>
        <w:pStyle w:val="11"/>
        <w:spacing w:after="0" w:line="362"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（九）在本合同履行期内，监理人应在现场保留工作所用的图纸、报告及记录监理工作的相关文件。工程竣工后，应当按照档案管理规定将监理有关文件归档。</w:t>
      </w:r>
      <w:r>
        <w:rPr>
          <w:rFonts w:hint="eastAsia" w:ascii="宋体" w:hAnsi="宋体" w:cs="宋体"/>
          <w:color w:val="auto"/>
          <w:sz w:val="24"/>
          <w:szCs w:val="24"/>
          <w:highlight w:val="none"/>
          <w:lang w:val="en-US" w:eastAsia="zh-CN"/>
        </w:rPr>
        <w:t>内容包括但不限于：</w:t>
      </w:r>
    </w:p>
    <w:p>
      <w:pPr>
        <w:pStyle w:val="11"/>
        <w:spacing w:after="0"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审查施工承包人提交的竣工验收申请，编写工程质量评估报告；</w:t>
      </w:r>
    </w:p>
    <w:p>
      <w:pPr>
        <w:pStyle w:val="11"/>
        <w:spacing w:after="0"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）参加工程竣工验收，签署竣工验收意见；</w:t>
      </w:r>
    </w:p>
    <w:p>
      <w:pPr>
        <w:pStyle w:val="11"/>
        <w:spacing w:after="0"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）审查施工承包人提交的竣工结算申请并报委托人；</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）编制、整理工程监理归档文件并报委托人。 </w:t>
      </w:r>
    </w:p>
    <w:p>
      <w:pPr>
        <w:pStyle w:val="11"/>
        <w:spacing w:after="0" w:line="362"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第九条 </w:t>
      </w:r>
      <w:r>
        <w:rPr>
          <w:rFonts w:hint="eastAsia" w:ascii="宋体" w:hAnsi="宋体" w:cs="宋体"/>
          <w:color w:val="auto"/>
          <w:sz w:val="24"/>
          <w:szCs w:val="24"/>
          <w:highlight w:val="none"/>
        </w:rPr>
        <w:t>委托人根据需要有权指令监理人协调部分外部关系，委托人对此无需支付任何报酬。</w:t>
      </w:r>
      <w:r>
        <w:rPr>
          <w:rFonts w:hint="eastAsia" w:ascii="宋体" w:hAnsi="宋体" w:cs="宋体"/>
          <w:b/>
          <w:color w:val="auto"/>
          <w:w w:val="99"/>
          <w:sz w:val="24"/>
          <w:szCs w:val="24"/>
          <w:highlight w:val="none"/>
        </w:rPr>
        <w:t xml:space="preserve"> </w:t>
      </w:r>
    </w:p>
    <w:p>
      <w:pPr>
        <w:pStyle w:val="11"/>
        <w:spacing w:after="0" w:line="362" w:lineRule="auto"/>
        <w:ind w:firstLine="482" w:firstLineChars="200"/>
        <w:rPr>
          <w:rFonts w:hint="eastAsia" w:ascii="宋体" w:hAnsi="宋体" w:cs="宋体"/>
          <w:color w:val="auto"/>
          <w:sz w:val="24"/>
          <w:szCs w:val="24"/>
          <w:highlight w:val="none"/>
          <w:u w:val="single"/>
          <w:lang w:val="en-US" w:eastAsia="zh-CN"/>
        </w:rPr>
      </w:pPr>
      <w:r>
        <w:rPr>
          <w:rFonts w:hint="eastAsia" w:ascii="宋体" w:hAnsi="宋体" w:cs="宋体"/>
          <w:b/>
          <w:color w:val="auto"/>
          <w:sz w:val="24"/>
          <w:szCs w:val="24"/>
          <w:highlight w:val="none"/>
        </w:rPr>
        <w:t xml:space="preserve">第十五条 </w:t>
      </w:r>
      <w:r>
        <w:rPr>
          <w:rFonts w:hint="eastAsia" w:ascii="宋体" w:hAnsi="宋体" w:cs="宋体"/>
          <w:color w:val="auto"/>
          <w:sz w:val="24"/>
          <w:szCs w:val="24"/>
          <w:highlight w:val="none"/>
        </w:rPr>
        <w:t>双方同意不执行标准条款第十五条，</w:t>
      </w:r>
      <w:r>
        <w:rPr>
          <w:rFonts w:hint="eastAsia" w:ascii="宋体" w:hAnsi="宋体" w:cs="宋体"/>
          <w:color w:val="auto"/>
          <w:sz w:val="24"/>
          <w:szCs w:val="24"/>
          <w:highlight w:val="none"/>
          <w:u w:val="single"/>
          <w:lang w:val="en-US" w:eastAsia="zh-CN"/>
        </w:rPr>
        <w:t>监理人不得向委托人索取任何经济补偿。监理人应自行解决住宿，不得与承包人同食同住，其他满足本合同约定监理工作需要的办公、交通、通讯、生活等设施全部由监理人自行解决，其费用已包含在监理报酬中。</w:t>
      </w:r>
    </w:p>
    <w:p>
      <w:pPr>
        <w:pStyle w:val="11"/>
        <w:spacing w:after="0" w:line="362"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项目监理机构应根据工程项目类别、规模、技术复杂程度、工程项目所在地的环境条件，按委托监理合同的约定，配备满足监理工作需要的常规检测设备和工具。并自行配备足够实施监理工作的计算机辅助管理。</w:t>
      </w:r>
    </w:p>
    <w:p>
      <w:pPr>
        <w:pStyle w:val="11"/>
        <w:spacing w:line="362"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第十六条 </w:t>
      </w:r>
      <w:r>
        <w:rPr>
          <w:rFonts w:hint="eastAsia" w:ascii="宋体" w:hAnsi="宋体" w:cs="宋体"/>
          <w:color w:val="auto"/>
          <w:sz w:val="24"/>
          <w:szCs w:val="24"/>
          <w:highlight w:val="none"/>
        </w:rPr>
        <w:t>在监理服务期间，委托人不免费向监理人提供工作人员和服务人员。</w:t>
      </w:r>
    </w:p>
    <w:p>
      <w:pPr>
        <w:spacing w:line="364"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第二十六条 </w:t>
      </w:r>
      <w:r>
        <w:rPr>
          <w:rFonts w:hint="eastAsia" w:ascii="宋体" w:hAnsi="宋体" w:cs="宋体"/>
          <w:color w:val="auto"/>
          <w:sz w:val="24"/>
          <w:szCs w:val="24"/>
          <w:highlight w:val="none"/>
        </w:rPr>
        <w:t xml:space="preserve">监理人的违约责任：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pacing w:val="-32"/>
          <w:sz w:val="24"/>
          <w:szCs w:val="24"/>
          <w:highlight w:val="none"/>
        </w:rPr>
        <w:t>）</w:t>
      </w:r>
      <w:r>
        <w:rPr>
          <w:rFonts w:hint="eastAsia" w:ascii="宋体" w:hAnsi="宋体" w:cs="宋体"/>
          <w:color w:val="auto"/>
          <w:spacing w:val="-5"/>
          <w:sz w:val="24"/>
          <w:szCs w:val="24"/>
          <w:highlight w:val="none"/>
        </w:rPr>
        <w:t>监理人违反本合同的约定，应当按约定向委托人承担相应的违约责任，承担违约责</w:t>
      </w:r>
      <w:r>
        <w:rPr>
          <w:rFonts w:hint="eastAsia" w:ascii="宋体" w:hAnsi="宋体" w:cs="宋体"/>
          <w:color w:val="auto"/>
          <w:sz w:val="24"/>
          <w:szCs w:val="24"/>
          <w:highlight w:val="none"/>
        </w:rPr>
        <w:t xml:space="preserve">任方式包括但不限于：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书面警告。监理人未履行或未按时履行义务或未按质履行义务或不执行委托人（含主管人员）的指令时，委托人有权向监理人发出书面警告，每一次书面警告，监理人必须向委托人支付违约金1000元。监理人必须在书面警告限定的时间内履行义务，否则应承担 1 次一般违约责任。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2、一般违约责任。监理人按本合同约定应当承担一般违约责任时，每一次必须向委托人支付违约金</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 xml:space="preserve">000元。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3、严重违约责任。监理人按本合同约定应当承担严重违约责任时，每一次必须向委托人支付违约金</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万元/次。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pacing w:val="-16"/>
          <w:sz w:val="24"/>
          <w:szCs w:val="24"/>
          <w:highlight w:val="none"/>
        </w:rPr>
        <w:t>、部</w:t>
      </w:r>
      <w:r>
        <w:rPr>
          <w:rFonts w:hint="eastAsia" w:ascii="宋体" w:hAnsi="宋体" w:cs="宋体"/>
          <w:color w:val="auto"/>
          <w:sz w:val="24"/>
          <w:szCs w:val="24"/>
          <w:highlight w:val="none"/>
        </w:rPr>
        <w:t>分解除合同。委</w:t>
      </w:r>
      <w:r>
        <w:rPr>
          <w:rFonts w:hint="eastAsia" w:ascii="宋体" w:hAnsi="宋体" w:cs="宋体"/>
          <w:color w:val="auto"/>
          <w:spacing w:val="-16"/>
          <w:sz w:val="24"/>
          <w:szCs w:val="24"/>
          <w:highlight w:val="none"/>
        </w:rPr>
        <w:t>托人向监理人发</w:t>
      </w:r>
      <w:r>
        <w:rPr>
          <w:rFonts w:hint="eastAsia" w:ascii="宋体" w:hAnsi="宋体" w:cs="宋体"/>
          <w:color w:val="auto"/>
          <w:sz w:val="24"/>
          <w:szCs w:val="24"/>
          <w:highlight w:val="none"/>
        </w:rPr>
        <w:t>出部分解除合同的通知后，本合同部分解除即生效， 监理人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单位承接该部</w:t>
      </w:r>
      <w:r>
        <w:rPr>
          <w:rFonts w:hint="eastAsia" w:ascii="宋体" w:hAnsi="宋体" w:cs="宋体"/>
          <w:color w:val="auto"/>
          <w:spacing w:val="-10"/>
          <w:sz w:val="24"/>
          <w:szCs w:val="24"/>
          <w:highlight w:val="none"/>
        </w:rPr>
        <w:t>分</w:t>
      </w:r>
      <w:r>
        <w:rPr>
          <w:rFonts w:hint="eastAsia" w:ascii="宋体" w:hAnsi="宋体" w:cs="宋体"/>
          <w:color w:val="auto"/>
          <w:sz w:val="24"/>
          <w:szCs w:val="24"/>
          <w:highlight w:val="none"/>
        </w:rPr>
        <w:t xml:space="preserve">工程，监理人不得影响或阻碍新的监理单位办理进场手续和相关工作。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5、解除合同。委托人向监理人发出解除合同的通知后，本合同即解除，监理人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pacing w:val="-1"/>
          <w:sz w:val="24"/>
          <w:szCs w:val="24"/>
          <w:highlight w:val="none"/>
        </w:rPr>
        <w:t>、赔偿损失。因监理人违约或工作失误给委托人造成损失的，监理人应向委托人赔偿与</w:t>
      </w:r>
      <w:r>
        <w:rPr>
          <w:rFonts w:hint="eastAsia" w:ascii="宋体" w:hAnsi="宋体" w:cs="宋体"/>
          <w:color w:val="auto"/>
          <w:spacing w:val="-6"/>
          <w:sz w:val="24"/>
          <w:szCs w:val="24"/>
          <w:highlight w:val="none"/>
        </w:rPr>
        <w:t>违约有直接或</w:t>
      </w:r>
      <w:r>
        <w:rPr>
          <w:rFonts w:hint="eastAsia" w:ascii="宋体" w:hAnsi="宋体" w:cs="宋体"/>
          <w:color w:val="auto"/>
          <w:sz w:val="24"/>
          <w:szCs w:val="24"/>
          <w:highlight w:val="none"/>
        </w:rPr>
        <w:t>间接</w:t>
      </w:r>
      <w:r>
        <w:rPr>
          <w:rFonts w:hint="eastAsia" w:ascii="宋体" w:hAnsi="宋体" w:cs="宋体"/>
          <w:color w:val="auto"/>
          <w:spacing w:val="-6"/>
          <w:sz w:val="24"/>
          <w:szCs w:val="24"/>
          <w:highlight w:val="none"/>
        </w:rPr>
        <w:t>因果关系的所有损失，损失赔偿总额不应超过监理报酬总额，但如果损失是</w:t>
      </w:r>
      <w:r>
        <w:rPr>
          <w:rFonts w:hint="eastAsia" w:ascii="宋体" w:hAnsi="宋体" w:cs="宋体"/>
          <w:color w:val="auto"/>
          <w:sz w:val="24"/>
          <w:szCs w:val="24"/>
          <w:highlight w:val="none"/>
        </w:rPr>
        <w:t xml:space="preserve">由于监理人故意或严重渎职造成的，监理人应承担全部损失的赔偿责任。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7、每三次书面警告则另行追加一次一般违约责任，每三次一般违约责任则另行追加一次严重违约责任。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pacing w:val="-1"/>
          <w:sz w:val="24"/>
          <w:szCs w:val="24"/>
          <w:highlight w:val="none"/>
        </w:rPr>
        <w:t>、当监理人无正当理由不履行或没有充分履行其相关承诺及监理义务时，除应承担前述</w:t>
      </w:r>
      <w:r>
        <w:rPr>
          <w:rFonts w:hint="eastAsia" w:ascii="宋体" w:hAnsi="宋体" w:cs="宋体"/>
          <w:color w:val="auto"/>
          <w:spacing w:val="-9"/>
          <w:sz w:val="24"/>
          <w:szCs w:val="24"/>
          <w:highlight w:val="none"/>
        </w:rPr>
        <w:t>约定的违约责任外，委托人还可给予其通报批评、作不良记录及报相关主管部门处理等处罚措</w:t>
      </w:r>
      <w:r>
        <w:rPr>
          <w:rFonts w:hint="eastAsia" w:ascii="宋体" w:hAnsi="宋体" w:cs="宋体"/>
          <w:color w:val="auto"/>
          <w:sz w:val="24"/>
          <w:szCs w:val="24"/>
          <w:highlight w:val="none"/>
        </w:rPr>
        <w:t xml:space="preserve">施。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pacing w:val="-1"/>
          <w:sz w:val="24"/>
          <w:szCs w:val="24"/>
          <w:highlight w:val="none"/>
        </w:rPr>
        <w:t>、当监理人出现严重违约时，委托人可给予其通报批评；当累计出现三次严重违约或者</w:t>
      </w:r>
      <w:r>
        <w:rPr>
          <w:rFonts w:hint="eastAsia" w:ascii="宋体" w:hAnsi="宋体" w:cs="宋体"/>
          <w:color w:val="auto"/>
          <w:spacing w:val="-6"/>
          <w:sz w:val="24"/>
          <w:szCs w:val="24"/>
          <w:highlight w:val="none"/>
        </w:rPr>
        <w:t>关键节点工期滞后</w:t>
      </w:r>
      <w:r>
        <w:rPr>
          <w:rFonts w:hint="eastAsia" w:ascii="宋体" w:hAnsi="宋体" w:cs="宋体"/>
          <w:color w:val="auto"/>
          <w:sz w:val="24"/>
          <w:szCs w:val="24"/>
          <w:highlight w:val="none"/>
        </w:rPr>
        <w:t>20</w:t>
      </w:r>
      <w:r>
        <w:rPr>
          <w:rFonts w:hint="eastAsia" w:ascii="宋体" w:hAnsi="宋体" w:cs="宋体"/>
          <w:color w:val="auto"/>
          <w:spacing w:val="-8"/>
          <w:sz w:val="24"/>
          <w:szCs w:val="24"/>
          <w:highlight w:val="none"/>
        </w:rPr>
        <w:t>天以上时，委托人有权要求监理人的法定代表人或其授权代表人驻场办</w:t>
      </w:r>
      <w:r>
        <w:rPr>
          <w:rFonts w:hint="eastAsia" w:ascii="宋体" w:hAnsi="宋体" w:cs="宋体"/>
          <w:color w:val="auto"/>
          <w:spacing w:val="-10"/>
          <w:sz w:val="24"/>
          <w:szCs w:val="24"/>
          <w:highlight w:val="none"/>
        </w:rPr>
        <w:t>公，直至其监理工作达到委托人满意时方可离场；累计出现四次严重违约时，委托人可给予其</w:t>
      </w:r>
      <w:r>
        <w:rPr>
          <w:rFonts w:hint="eastAsia" w:ascii="宋体" w:hAnsi="宋体" w:cs="宋体"/>
          <w:color w:val="auto"/>
          <w:spacing w:val="-6"/>
          <w:sz w:val="24"/>
          <w:szCs w:val="24"/>
          <w:highlight w:val="none"/>
        </w:rPr>
        <w:t>不良记录并报相关主管部门处理等处罚措施；累计出现五次严重违约时，委托人可单方面解除</w:t>
      </w:r>
      <w:r>
        <w:rPr>
          <w:rFonts w:hint="eastAsia" w:ascii="宋体" w:hAnsi="宋体" w:cs="宋体"/>
          <w:color w:val="auto"/>
          <w:sz w:val="24"/>
          <w:szCs w:val="24"/>
          <w:highlight w:val="none"/>
        </w:rPr>
        <w:t>合同。</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（二）监理组织管理方面的违约责任：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1"/>
          <w:sz w:val="24"/>
          <w:szCs w:val="24"/>
          <w:highlight w:val="none"/>
        </w:rPr>
        <w:t>、监理人承诺主动支持委托人的工作，对委托人的指令和书面通知，若无正当理由又未</w:t>
      </w:r>
      <w:r>
        <w:rPr>
          <w:rFonts w:hint="eastAsia" w:ascii="宋体" w:hAnsi="宋体" w:cs="宋体"/>
          <w:color w:val="auto"/>
          <w:spacing w:val="-10"/>
          <w:sz w:val="24"/>
          <w:szCs w:val="24"/>
          <w:highlight w:val="none"/>
        </w:rPr>
        <w:t>提前报告、得到认可，而公开或变相拒不执行的，第一次按一般违约处理；第二次以后，每违</w:t>
      </w:r>
      <w:r>
        <w:rPr>
          <w:rFonts w:hint="eastAsia" w:ascii="宋体" w:hAnsi="宋体" w:cs="宋体"/>
          <w:color w:val="auto"/>
          <w:sz w:val="24"/>
          <w:szCs w:val="24"/>
          <w:highlight w:val="none"/>
        </w:rPr>
        <w:t xml:space="preserve">反一次按一次严重违约处理；同时，监理人还要承担由此造成的一切经济损失。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2、监理人不遵守委托人所制订的各项制度、规定的，由监理人按所触犯制度、规定的有关规定承担违约责任。所触犯制度、规定没有明确规定的，由委托人参照前款的约定处理。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pacing w:val="-32"/>
          <w:sz w:val="24"/>
          <w:szCs w:val="24"/>
          <w:highlight w:val="none"/>
        </w:rPr>
        <w:t>）</w:t>
      </w:r>
      <w:r>
        <w:rPr>
          <w:rFonts w:hint="eastAsia" w:ascii="宋体" w:hAnsi="宋体" w:cs="宋体"/>
          <w:color w:val="auto"/>
          <w:spacing w:val="-4"/>
          <w:sz w:val="24"/>
          <w:szCs w:val="24"/>
          <w:highlight w:val="none"/>
        </w:rPr>
        <w:t>监理人未按报价文件及承诺建立组织架构、派驻监理人员和投入设备，监理人必须按委托人要求限期整改，并承担相应违约责任。派驻监理人员需提供身份证复印件（原件核对） 以及</w:t>
      </w:r>
      <w:r>
        <w:rPr>
          <w:rFonts w:hint="eastAsia" w:ascii="宋体" w:hAnsi="宋体" w:cs="宋体"/>
          <w:color w:val="auto"/>
          <w:sz w:val="24"/>
          <w:szCs w:val="24"/>
          <w:highlight w:val="none"/>
        </w:rPr>
        <w:t xml:space="preserve">其属监理人单位员工的社保证明原件，报委托人审核、备案。具体约定为：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3"/>
          <w:sz w:val="24"/>
          <w:szCs w:val="24"/>
          <w:highlight w:val="none"/>
        </w:rPr>
        <w:t xml:space="preserve">、在委托人书面通知监理人进场后 </w:t>
      </w:r>
      <w:r>
        <w:rPr>
          <w:rFonts w:hint="eastAsia" w:ascii="宋体" w:hAnsi="宋体" w:cs="宋体"/>
          <w:color w:val="auto"/>
          <w:sz w:val="24"/>
          <w:szCs w:val="24"/>
          <w:highlight w:val="none"/>
        </w:rPr>
        <w:t>3</w:t>
      </w:r>
      <w:r>
        <w:rPr>
          <w:rFonts w:hint="eastAsia" w:ascii="宋体" w:hAnsi="宋体" w:cs="宋体"/>
          <w:color w:val="auto"/>
          <w:spacing w:val="-7"/>
          <w:sz w:val="24"/>
          <w:szCs w:val="24"/>
          <w:highlight w:val="none"/>
        </w:rPr>
        <w:t xml:space="preserve"> 日内，监理人的主要监理人员未能</w:t>
      </w:r>
      <w:r>
        <w:rPr>
          <w:rFonts w:hint="eastAsia" w:ascii="宋体" w:hAnsi="宋体" w:cs="宋体"/>
          <w:color w:val="auto"/>
          <w:spacing w:val="-10"/>
          <w:sz w:val="24"/>
          <w:szCs w:val="24"/>
          <w:highlight w:val="none"/>
        </w:rPr>
        <w:t>足额到位，或到位后又离开，造成该岗位空缺。委托人一旦发现，将要求监理人做出书面解释</w:t>
      </w:r>
      <w:r>
        <w:rPr>
          <w:rFonts w:hint="eastAsia" w:ascii="宋体" w:hAnsi="宋体" w:cs="宋体"/>
          <w:color w:val="auto"/>
          <w:spacing w:val="-7"/>
          <w:sz w:val="24"/>
          <w:szCs w:val="24"/>
          <w:highlight w:val="none"/>
        </w:rPr>
        <w:t xml:space="preserve">并保证人员限期到位，同时监理人每岗位承担一般违约责任 </w:t>
      </w:r>
      <w:r>
        <w:rPr>
          <w:rFonts w:hint="eastAsia" w:ascii="宋体" w:hAnsi="宋体" w:cs="宋体"/>
          <w:color w:val="auto"/>
          <w:sz w:val="24"/>
          <w:szCs w:val="24"/>
          <w:highlight w:val="none"/>
        </w:rPr>
        <w:t>1</w:t>
      </w:r>
      <w:r>
        <w:rPr>
          <w:rFonts w:hint="eastAsia" w:ascii="宋体" w:hAnsi="宋体" w:cs="宋体"/>
          <w:color w:val="auto"/>
          <w:spacing w:val="-14"/>
          <w:sz w:val="24"/>
          <w:szCs w:val="24"/>
          <w:highlight w:val="none"/>
        </w:rPr>
        <w:t xml:space="preserve"> 次；如果监理人拒不配合，未在</w:t>
      </w:r>
      <w:r>
        <w:rPr>
          <w:rFonts w:hint="eastAsia" w:ascii="宋体" w:hAnsi="宋体" w:cs="宋体"/>
          <w:color w:val="auto"/>
          <w:spacing w:val="-5"/>
          <w:sz w:val="24"/>
          <w:szCs w:val="24"/>
          <w:highlight w:val="none"/>
        </w:rPr>
        <w:t xml:space="preserve">委托人提出限期改正的期限内进行整改的，监理人应每岗位承担严重违约责任 </w:t>
      </w:r>
      <w:r>
        <w:rPr>
          <w:rFonts w:hint="eastAsia" w:ascii="宋体" w:hAnsi="宋体" w:cs="宋体"/>
          <w:color w:val="auto"/>
          <w:sz w:val="24"/>
          <w:szCs w:val="24"/>
          <w:highlight w:val="none"/>
        </w:rPr>
        <w:t>1</w:t>
      </w:r>
      <w:r>
        <w:rPr>
          <w:rFonts w:hint="eastAsia" w:ascii="宋体" w:hAnsi="宋体" w:cs="宋体"/>
          <w:color w:val="auto"/>
          <w:spacing w:val="-19"/>
          <w:sz w:val="24"/>
          <w:szCs w:val="24"/>
          <w:highlight w:val="none"/>
        </w:rPr>
        <w:t xml:space="preserve"> 次，直至解除</w:t>
      </w:r>
      <w:r>
        <w:rPr>
          <w:rFonts w:hint="eastAsia" w:ascii="宋体" w:hAnsi="宋体" w:cs="宋体"/>
          <w:color w:val="auto"/>
          <w:sz w:val="24"/>
          <w:szCs w:val="24"/>
          <w:highlight w:val="none"/>
        </w:rPr>
        <w:t xml:space="preserve">合同，并要求监理人承担由此造成的委托人损失。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1"/>
          <w:sz w:val="24"/>
          <w:szCs w:val="24"/>
          <w:highlight w:val="none"/>
        </w:rPr>
        <w:t>、监理人必须严格按照报价文件与承诺投入监理人员，调换监理人员必须提出书面报告</w:t>
      </w:r>
      <w:r>
        <w:rPr>
          <w:rFonts w:hint="eastAsia" w:ascii="宋体" w:hAnsi="宋体" w:cs="宋体"/>
          <w:color w:val="auto"/>
          <w:spacing w:val="-7"/>
          <w:sz w:val="24"/>
          <w:szCs w:val="24"/>
          <w:highlight w:val="none"/>
        </w:rPr>
        <w:t>并附上替代人员的所有证明资料，经委托人审核书面同意后才能调换</w:t>
      </w:r>
      <w:r>
        <w:rPr>
          <w:rFonts w:hint="eastAsia" w:ascii="宋体" w:hAnsi="宋体" w:cs="宋体"/>
          <w:color w:val="auto"/>
          <w:spacing w:val="-4"/>
          <w:sz w:val="24"/>
          <w:szCs w:val="24"/>
          <w:highlight w:val="none"/>
        </w:rPr>
        <w:t>。委托人要求监理人更换</w:t>
      </w:r>
      <w:r>
        <w:rPr>
          <w:rFonts w:hint="eastAsia" w:ascii="宋体" w:hAnsi="宋体" w:cs="宋体"/>
          <w:color w:val="auto"/>
          <w:spacing w:val="-7"/>
          <w:sz w:val="24"/>
          <w:szCs w:val="24"/>
          <w:highlight w:val="none"/>
        </w:rPr>
        <w:t>个别监理人员时，监理人在接到委托人通知后三天内安排更换到位，否则，监理人应按下表的</w:t>
      </w:r>
      <w:r>
        <w:rPr>
          <w:rFonts w:hint="eastAsia" w:ascii="宋体" w:hAnsi="宋体" w:cs="宋体"/>
          <w:color w:val="auto"/>
          <w:sz w:val="24"/>
          <w:szCs w:val="24"/>
          <w:highlight w:val="none"/>
        </w:rPr>
        <w:t xml:space="preserve">约定承担违约责任。 </w:t>
      </w:r>
    </w:p>
    <w:tbl>
      <w:tblPr>
        <w:tblStyle w:val="23"/>
        <w:tblW w:w="86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5437"/>
        <w:gridCol w:w="2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83" w:type="dxa"/>
            <w:vAlign w:val="center"/>
          </w:tcPr>
          <w:p>
            <w:pPr>
              <w:pStyle w:val="31"/>
              <w:rPr>
                <w:rFonts w:hint="default" w:ascii="宋体" w:hAnsi="宋体" w:cs="宋体"/>
                <w:color w:val="auto"/>
                <w:sz w:val="24"/>
                <w:szCs w:val="24"/>
                <w:highlight w:val="none"/>
              </w:rPr>
            </w:pPr>
            <w:r>
              <w:rPr>
                <w:rFonts w:ascii="宋体" w:hAnsi="宋体" w:cs="宋体"/>
                <w:color w:val="auto"/>
                <w:sz w:val="24"/>
                <w:szCs w:val="24"/>
                <w:highlight w:val="none"/>
              </w:rPr>
              <w:t>序号</w:t>
            </w:r>
          </w:p>
        </w:tc>
        <w:tc>
          <w:tcPr>
            <w:tcW w:w="5437" w:type="dxa"/>
            <w:vAlign w:val="center"/>
          </w:tcPr>
          <w:p>
            <w:pPr>
              <w:pStyle w:val="31"/>
              <w:jc w:val="center"/>
              <w:rPr>
                <w:rFonts w:hint="default" w:ascii="宋体" w:hAnsi="宋体" w:cs="宋体"/>
                <w:color w:val="auto"/>
                <w:sz w:val="24"/>
                <w:szCs w:val="24"/>
                <w:highlight w:val="none"/>
              </w:rPr>
            </w:pPr>
            <w:r>
              <w:rPr>
                <w:rFonts w:ascii="宋体" w:hAnsi="宋体" w:cs="宋体"/>
                <w:color w:val="auto"/>
                <w:sz w:val="24"/>
                <w:szCs w:val="24"/>
                <w:highlight w:val="none"/>
              </w:rPr>
              <w:t>违约项目</w:t>
            </w:r>
          </w:p>
        </w:tc>
        <w:tc>
          <w:tcPr>
            <w:tcW w:w="2524" w:type="dxa"/>
            <w:vAlign w:val="center"/>
          </w:tcPr>
          <w:p>
            <w:pPr>
              <w:pStyle w:val="31"/>
              <w:rPr>
                <w:rFonts w:hint="default" w:ascii="宋体" w:hAnsi="宋体" w:cs="宋体"/>
                <w:color w:val="auto"/>
                <w:sz w:val="24"/>
                <w:szCs w:val="24"/>
                <w:highlight w:val="none"/>
              </w:rPr>
            </w:pPr>
            <w:r>
              <w:rPr>
                <w:rFonts w:ascii="宋体" w:hAnsi="宋体" w:cs="宋体"/>
                <w:color w:val="auto"/>
                <w:sz w:val="24"/>
                <w:szCs w:val="24"/>
                <w:highlight w:val="none"/>
              </w:rPr>
              <w:t>违约金（元/人·次）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683" w:type="dxa"/>
            <w:vAlign w:val="center"/>
          </w:tcPr>
          <w:p>
            <w:pPr>
              <w:pStyle w:val="31"/>
              <w:spacing w:before="1"/>
              <w:ind w:left="171" w:right="59"/>
              <w:jc w:val="center"/>
              <w:rPr>
                <w:rFonts w:hint="default" w:ascii="宋体" w:hAnsi="宋体" w:cs="宋体"/>
                <w:color w:val="auto"/>
                <w:szCs w:val="21"/>
                <w:highlight w:val="none"/>
              </w:rPr>
            </w:pPr>
            <w:r>
              <w:rPr>
                <w:rFonts w:ascii="宋体" w:hAnsi="宋体" w:cs="宋体"/>
                <w:color w:val="auto"/>
                <w:szCs w:val="21"/>
                <w:highlight w:val="none"/>
              </w:rPr>
              <w:t>1</w:t>
            </w:r>
          </w:p>
        </w:tc>
        <w:tc>
          <w:tcPr>
            <w:tcW w:w="5437" w:type="dxa"/>
            <w:vAlign w:val="center"/>
          </w:tcPr>
          <w:p>
            <w:pPr>
              <w:pStyle w:val="31"/>
              <w:spacing w:before="1"/>
              <w:ind w:left="107"/>
              <w:rPr>
                <w:rFonts w:hint="default" w:ascii="宋体" w:hAnsi="宋体" w:cs="宋体"/>
                <w:color w:val="auto"/>
                <w:szCs w:val="21"/>
                <w:highlight w:val="none"/>
              </w:rPr>
            </w:pPr>
            <w:r>
              <w:rPr>
                <w:rFonts w:ascii="宋体" w:hAnsi="宋体" w:cs="宋体"/>
                <w:color w:val="auto"/>
                <w:szCs w:val="21"/>
                <w:highlight w:val="none"/>
              </w:rPr>
              <w:t>监理人自行调换或未按照委托人要求及时更换项目总监。</w:t>
            </w:r>
          </w:p>
        </w:tc>
        <w:tc>
          <w:tcPr>
            <w:tcW w:w="2524" w:type="dxa"/>
            <w:vAlign w:val="center"/>
          </w:tcPr>
          <w:p>
            <w:pPr>
              <w:pStyle w:val="31"/>
              <w:spacing w:before="1"/>
              <w:ind w:right="10"/>
              <w:jc w:val="center"/>
              <w:rPr>
                <w:rFonts w:hint="default" w:ascii="宋体" w:hAnsi="宋体" w:cs="宋体"/>
                <w:color w:val="auto"/>
                <w:szCs w:val="21"/>
                <w:highlight w:val="none"/>
              </w:rPr>
            </w:pPr>
            <w:r>
              <w:rPr>
                <w:rFonts w:ascii="宋体" w:hAnsi="宋体" w:cs="宋体"/>
                <w:color w:val="auto"/>
                <w:szCs w:val="21"/>
                <w:highlight w:val="none"/>
              </w:rPr>
              <w:t>本合同监理报酬总额的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83" w:type="dxa"/>
            <w:vAlign w:val="center"/>
          </w:tcPr>
          <w:p>
            <w:pPr>
              <w:pStyle w:val="31"/>
              <w:ind w:left="171" w:right="59"/>
              <w:jc w:val="center"/>
              <w:rPr>
                <w:rFonts w:hint="default" w:ascii="宋体" w:hAnsi="宋体" w:cs="宋体"/>
                <w:color w:val="auto"/>
                <w:szCs w:val="21"/>
                <w:highlight w:val="none"/>
              </w:rPr>
            </w:pPr>
            <w:r>
              <w:rPr>
                <w:rFonts w:ascii="宋体" w:hAnsi="宋体" w:cs="宋体"/>
                <w:color w:val="auto"/>
                <w:szCs w:val="21"/>
                <w:highlight w:val="none"/>
              </w:rPr>
              <w:t>2</w:t>
            </w:r>
          </w:p>
        </w:tc>
        <w:tc>
          <w:tcPr>
            <w:tcW w:w="5437" w:type="dxa"/>
            <w:vAlign w:val="center"/>
          </w:tcPr>
          <w:p>
            <w:pPr>
              <w:pStyle w:val="31"/>
              <w:spacing w:before="1"/>
              <w:ind w:left="107"/>
              <w:rPr>
                <w:rFonts w:hint="default" w:ascii="宋体" w:hAnsi="宋体" w:cs="宋体"/>
                <w:color w:val="auto"/>
                <w:szCs w:val="21"/>
                <w:highlight w:val="none"/>
              </w:rPr>
            </w:pPr>
            <w:r>
              <w:rPr>
                <w:rFonts w:ascii="宋体" w:hAnsi="宋体" w:cs="宋体"/>
                <w:color w:val="auto"/>
                <w:szCs w:val="21"/>
                <w:highlight w:val="none"/>
              </w:rPr>
              <w:t>监理人自行调换或未按照委托人要求及时更换项目总工或总监代表。</w:t>
            </w:r>
          </w:p>
        </w:tc>
        <w:tc>
          <w:tcPr>
            <w:tcW w:w="2524" w:type="dxa"/>
            <w:vAlign w:val="center"/>
          </w:tcPr>
          <w:p>
            <w:pPr>
              <w:pStyle w:val="31"/>
              <w:ind w:right="10"/>
              <w:jc w:val="center"/>
              <w:rPr>
                <w:rFonts w:hint="default" w:ascii="宋体" w:hAnsi="宋体" w:cs="宋体"/>
                <w:color w:val="auto"/>
                <w:szCs w:val="21"/>
                <w:highlight w:val="none"/>
              </w:rPr>
            </w:pPr>
            <w:r>
              <w:rPr>
                <w:rFonts w:ascii="宋体" w:hAnsi="宋体" w:cs="宋体"/>
                <w:color w:val="auto"/>
                <w:szCs w:val="21"/>
                <w:highlight w:val="none"/>
              </w:rPr>
              <w:t>本合同监理报酬总额的 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683" w:type="dxa"/>
            <w:vAlign w:val="center"/>
          </w:tcPr>
          <w:p>
            <w:pPr>
              <w:pStyle w:val="31"/>
              <w:spacing w:before="1"/>
              <w:ind w:left="171" w:right="59"/>
              <w:jc w:val="center"/>
              <w:rPr>
                <w:rFonts w:hint="default" w:ascii="宋体" w:hAnsi="宋体" w:cs="宋体"/>
                <w:color w:val="auto"/>
                <w:szCs w:val="21"/>
                <w:highlight w:val="none"/>
              </w:rPr>
            </w:pPr>
            <w:r>
              <w:rPr>
                <w:rFonts w:ascii="宋体" w:hAnsi="宋体" w:cs="宋体"/>
                <w:color w:val="auto"/>
                <w:szCs w:val="21"/>
                <w:highlight w:val="none"/>
              </w:rPr>
              <w:t>3</w:t>
            </w:r>
          </w:p>
        </w:tc>
        <w:tc>
          <w:tcPr>
            <w:tcW w:w="5437" w:type="dxa"/>
            <w:vAlign w:val="center"/>
          </w:tcPr>
          <w:p>
            <w:pPr>
              <w:pStyle w:val="31"/>
              <w:spacing w:before="1"/>
              <w:ind w:left="107"/>
              <w:rPr>
                <w:rFonts w:hint="default" w:ascii="宋体" w:hAnsi="宋体" w:cs="宋体"/>
                <w:color w:val="auto"/>
                <w:szCs w:val="21"/>
                <w:highlight w:val="none"/>
              </w:rPr>
            </w:pPr>
            <w:r>
              <w:rPr>
                <w:rFonts w:ascii="宋体" w:hAnsi="宋体" w:cs="宋体"/>
                <w:color w:val="auto"/>
                <w:szCs w:val="21"/>
                <w:highlight w:val="none"/>
              </w:rPr>
              <w:t>监理人自行调换或未按照委托人要求及时更换专业监理工</w:t>
            </w:r>
          </w:p>
          <w:p>
            <w:pPr>
              <w:pStyle w:val="31"/>
              <w:spacing w:before="141"/>
              <w:ind w:left="107"/>
              <w:rPr>
                <w:rFonts w:hint="default" w:ascii="宋体" w:hAnsi="宋体" w:cs="宋体"/>
                <w:color w:val="auto"/>
                <w:szCs w:val="21"/>
                <w:highlight w:val="none"/>
              </w:rPr>
            </w:pPr>
            <w:r>
              <w:rPr>
                <w:rFonts w:ascii="宋体" w:hAnsi="宋体" w:cs="宋体"/>
                <w:color w:val="auto"/>
                <w:szCs w:val="21"/>
                <w:highlight w:val="none"/>
              </w:rPr>
              <w:t>程师。</w:t>
            </w:r>
          </w:p>
        </w:tc>
        <w:tc>
          <w:tcPr>
            <w:tcW w:w="2524" w:type="dxa"/>
            <w:vAlign w:val="center"/>
          </w:tcPr>
          <w:p>
            <w:pPr>
              <w:pStyle w:val="31"/>
              <w:spacing w:before="1"/>
              <w:ind w:left="108"/>
              <w:rPr>
                <w:rFonts w:hint="default" w:ascii="宋体" w:hAnsi="宋体" w:cs="宋体"/>
                <w:color w:val="auto"/>
                <w:szCs w:val="21"/>
                <w:highlight w:val="none"/>
              </w:rPr>
            </w:pPr>
            <w:r>
              <w:rPr>
                <w:rFonts w:ascii="宋体" w:hAnsi="宋体" w:cs="宋体"/>
                <w:color w:val="auto"/>
                <w:szCs w:val="21"/>
                <w:highlight w:val="none"/>
              </w:rPr>
              <w:t>本合同监理报酬总额的0.1%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83" w:type="dxa"/>
            <w:vAlign w:val="center"/>
          </w:tcPr>
          <w:p>
            <w:pPr>
              <w:pStyle w:val="31"/>
              <w:spacing w:before="1"/>
              <w:ind w:left="171" w:right="59"/>
              <w:jc w:val="center"/>
              <w:rPr>
                <w:rFonts w:hint="default" w:ascii="宋体" w:hAnsi="宋体" w:cs="宋体"/>
                <w:color w:val="auto"/>
                <w:szCs w:val="21"/>
                <w:highlight w:val="none"/>
              </w:rPr>
            </w:pPr>
            <w:r>
              <w:rPr>
                <w:rFonts w:ascii="宋体" w:hAnsi="宋体" w:cs="宋体"/>
                <w:color w:val="auto"/>
                <w:szCs w:val="21"/>
                <w:highlight w:val="none"/>
              </w:rPr>
              <w:t>4</w:t>
            </w:r>
          </w:p>
        </w:tc>
        <w:tc>
          <w:tcPr>
            <w:tcW w:w="5437" w:type="dxa"/>
            <w:vAlign w:val="center"/>
          </w:tcPr>
          <w:p>
            <w:pPr>
              <w:pStyle w:val="31"/>
              <w:spacing w:before="1"/>
              <w:ind w:left="107" w:right="-15"/>
              <w:rPr>
                <w:rFonts w:hint="default" w:ascii="宋体" w:hAnsi="宋体" w:cs="宋体"/>
                <w:color w:val="auto"/>
                <w:szCs w:val="21"/>
                <w:highlight w:val="none"/>
              </w:rPr>
            </w:pPr>
            <w:r>
              <w:rPr>
                <w:rFonts w:ascii="宋体" w:hAnsi="宋体" w:cs="宋体"/>
                <w:color w:val="auto"/>
                <w:spacing w:val="-7"/>
                <w:szCs w:val="21"/>
                <w:highlight w:val="none"/>
              </w:rPr>
              <w:t>监理人自行调换或未按照委托人要求及时更换造价工程师。</w:t>
            </w:r>
          </w:p>
        </w:tc>
        <w:tc>
          <w:tcPr>
            <w:tcW w:w="2524" w:type="dxa"/>
            <w:vAlign w:val="center"/>
          </w:tcPr>
          <w:p>
            <w:pPr>
              <w:pStyle w:val="31"/>
              <w:spacing w:before="1"/>
              <w:ind w:left="108"/>
              <w:rPr>
                <w:rFonts w:hint="default" w:ascii="宋体" w:hAnsi="宋体" w:cs="宋体"/>
                <w:color w:val="auto"/>
                <w:szCs w:val="21"/>
                <w:highlight w:val="none"/>
              </w:rPr>
            </w:pPr>
            <w:r>
              <w:rPr>
                <w:rFonts w:ascii="宋体" w:hAnsi="宋体" w:cs="宋体"/>
                <w:color w:val="auto"/>
                <w:szCs w:val="21"/>
                <w:highlight w:val="none"/>
              </w:rPr>
              <w:t>本合同监理报酬总额的0.1%</w:t>
            </w:r>
          </w:p>
        </w:tc>
      </w:tr>
    </w:tbl>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1"/>
          <w:sz w:val="24"/>
          <w:szCs w:val="24"/>
          <w:highlight w:val="none"/>
        </w:rPr>
        <w:t>、项目总监若需离开施工现场需报委托人批准，在其请假离开的时间段内应书面委托其</w:t>
      </w:r>
      <w:r>
        <w:rPr>
          <w:rFonts w:hint="eastAsia" w:ascii="宋体" w:hAnsi="宋体" w:cs="宋体"/>
          <w:color w:val="auto"/>
          <w:spacing w:val="-3"/>
          <w:sz w:val="24"/>
          <w:szCs w:val="24"/>
          <w:highlight w:val="none"/>
        </w:rPr>
        <w:t>他驻场监理工程师</w:t>
      </w:r>
      <w:r>
        <w:rPr>
          <w:rFonts w:hint="eastAsia" w:ascii="宋体" w:hAnsi="宋体" w:cs="宋体"/>
          <w:color w:val="auto"/>
          <w:sz w:val="24"/>
          <w:szCs w:val="24"/>
          <w:highlight w:val="none"/>
        </w:rPr>
        <w:t>（需具有相应资质和能力</w:t>
      </w:r>
      <w:r>
        <w:rPr>
          <w:rFonts w:hint="eastAsia" w:ascii="宋体" w:hAnsi="宋体" w:cs="宋体"/>
          <w:color w:val="auto"/>
          <w:spacing w:val="-24"/>
          <w:sz w:val="24"/>
          <w:szCs w:val="24"/>
          <w:highlight w:val="none"/>
        </w:rPr>
        <w:t>）</w:t>
      </w:r>
      <w:r>
        <w:rPr>
          <w:rFonts w:hint="eastAsia" w:ascii="宋体" w:hAnsi="宋体" w:cs="宋体"/>
          <w:color w:val="auto"/>
          <w:spacing w:val="-6"/>
          <w:sz w:val="24"/>
          <w:szCs w:val="24"/>
          <w:highlight w:val="none"/>
        </w:rPr>
        <w:t>全权代表其行使职权；否则每违约一次，委托人</w:t>
      </w:r>
      <w:r>
        <w:rPr>
          <w:rFonts w:hint="eastAsia" w:ascii="宋体" w:hAnsi="宋体" w:cs="宋体"/>
          <w:color w:val="auto"/>
          <w:spacing w:val="-7"/>
          <w:sz w:val="24"/>
          <w:szCs w:val="24"/>
          <w:highlight w:val="none"/>
        </w:rPr>
        <w:t xml:space="preserve">将要求监理人承担 </w:t>
      </w:r>
      <w:r>
        <w:rPr>
          <w:rFonts w:hint="eastAsia" w:ascii="宋体" w:hAnsi="宋体" w:cs="宋体"/>
          <w:color w:val="auto"/>
          <w:sz w:val="24"/>
          <w:szCs w:val="24"/>
          <w:highlight w:val="none"/>
        </w:rPr>
        <w:t>1</w:t>
      </w:r>
      <w:r>
        <w:rPr>
          <w:rFonts w:hint="eastAsia" w:ascii="宋体" w:hAnsi="宋体" w:cs="宋体"/>
          <w:color w:val="auto"/>
          <w:spacing w:val="-8"/>
          <w:sz w:val="24"/>
          <w:szCs w:val="24"/>
          <w:highlight w:val="none"/>
        </w:rPr>
        <w:t xml:space="preserve"> 次一般违约责任。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pacing w:val="-4"/>
          <w:sz w:val="24"/>
          <w:szCs w:val="24"/>
          <w:highlight w:val="none"/>
        </w:rPr>
        <w:t xml:space="preserve">、其他监理人员需离开施工现场 </w:t>
      </w:r>
      <w:r>
        <w:rPr>
          <w:rFonts w:hint="eastAsia" w:ascii="宋体" w:hAnsi="宋体" w:cs="宋体"/>
          <w:color w:val="auto"/>
          <w:sz w:val="24"/>
          <w:szCs w:val="24"/>
          <w:highlight w:val="none"/>
        </w:rPr>
        <w:t>1</w:t>
      </w:r>
      <w:r>
        <w:rPr>
          <w:rFonts w:hint="eastAsia" w:ascii="宋体" w:hAnsi="宋体" w:cs="宋体"/>
          <w:color w:val="auto"/>
          <w:spacing w:val="-8"/>
          <w:sz w:val="24"/>
          <w:szCs w:val="24"/>
          <w:highlight w:val="none"/>
        </w:rPr>
        <w:t xml:space="preserve"> 日以上需报委托人批准，在其请假离开的时间段内应</w:t>
      </w:r>
      <w:r>
        <w:rPr>
          <w:rFonts w:hint="eastAsia" w:ascii="宋体" w:hAnsi="宋体" w:cs="宋体"/>
          <w:color w:val="auto"/>
          <w:spacing w:val="-6"/>
          <w:sz w:val="24"/>
          <w:szCs w:val="24"/>
          <w:highlight w:val="none"/>
        </w:rPr>
        <w:t>书面委托其他驻场监理代表全权代表其行使相应职权；否则，每违约一次，委托人将要求监理</w:t>
      </w:r>
      <w:r>
        <w:rPr>
          <w:rFonts w:hint="eastAsia" w:ascii="宋体" w:hAnsi="宋体" w:cs="宋体"/>
          <w:color w:val="auto"/>
          <w:spacing w:val="-16"/>
          <w:sz w:val="24"/>
          <w:szCs w:val="24"/>
          <w:highlight w:val="none"/>
        </w:rPr>
        <w:t xml:space="preserve">人承担 </w:t>
      </w:r>
      <w:r>
        <w:rPr>
          <w:rFonts w:hint="eastAsia" w:ascii="宋体" w:hAnsi="宋体" w:cs="宋体"/>
          <w:color w:val="auto"/>
          <w:sz w:val="24"/>
          <w:szCs w:val="24"/>
          <w:highlight w:val="none"/>
        </w:rPr>
        <w:t>1</w:t>
      </w:r>
      <w:r>
        <w:rPr>
          <w:rFonts w:hint="eastAsia" w:ascii="宋体" w:hAnsi="宋体" w:cs="宋体"/>
          <w:color w:val="auto"/>
          <w:spacing w:val="-8"/>
          <w:sz w:val="24"/>
          <w:szCs w:val="24"/>
          <w:highlight w:val="none"/>
        </w:rPr>
        <w:t xml:space="preserve"> 次一般违约责任。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5、委托人可以对驻场监理人员进行考勤，如项目总监每月请假日数累计超过 4 日，监理人必须承担 1 次一般违约责任；如其他监理人员每月请假日数累计超过 6 日，且请假总人数全月累计超过监理人数的 10%，监理人必须承担 1 次一般违约责任。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pacing w:val="-1"/>
          <w:sz w:val="24"/>
          <w:szCs w:val="24"/>
          <w:highlight w:val="none"/>
        </w:rPr>
        <w:t>、委托人要求</w:t>
      </w:r>
      <w:r>
        <w:rPr>
          <w:rFonts w:hint="eastAsia" w:ascii="宋体" w:hAnsi="宋体" w:cs="宋体"/>
          <w:color w:val="auto"/>
          <w:sz w:val="24"/>
          <w:szCs w:val="24"/>
          <w:highlight w:val="none"/>
        </w:rPr>
        <w:t>项目</w:t>
      </w:r>
      <w:r>
        <w:rPr>
          <w:rFonts w:hint="eastAsia" w:ascii="宋体" w:hAnsi="宋体" w:cs="宋体"/>
          <w:color w:val="auto"/>
          <w:spacing w:val="-1"/>
          <w:sz w:val="24"/>
          <w:szCs w:val="24"/>
          <w:highlight w:val="none"/>
        </w:rPr>
        <w:t>总监等主要监理人员必须参加的会议，项目总监等主要监理人员必须</w:t>
      </w:r>
      <w:r>
        <w:rPr>
          <w:rFonts w:hint="eastAsia" w:ascii="宋体" w:hAnsi="宋体" w:cs="宋体"/>
          <w:color w:val="auto"/>
          <w:spacing w:val="-9"/>
          <w:sz w:val="24"/>
          <w:szCs w:val="24"/>
          <w:highlight w:val="none"/>
        </w:rPr>
        <w:t>到会。未经委托人同意不到会或不按期到会的，应向委托人说明理由，拒不说明理由的，监理</w:t>
      </w:r>
      <w:r>
        <w:rPr>
          <w:rFonts w:hint="eastAsia" w:ascii="宋体" w:hAnsi="宋体" w:cs="宋体"/>
          <w:color w:val="auto"/>
          <w:spacing w:val="-11"/>
          <w:sz w:val="24"/>
          <w:szCs w:val="24"/>
          <w:highlight w:val="none"/>
        </w:rPr>
        <w:t xml:space="preserve">人应当承担 </w:t>
      </w:r>
      <w:r>
        <w:rPr>
          <w:rFonts w:hint="eastAsia" w:ascii="宋体" w:hAnsi="宋体" w:cs="宋体"/>
          <w:color w:val="auto"/>
          <w:sz w:val="24"/>
          <w:szCs w:val="24"/>
          <w:highlight w:val="none"/>
        </w:rPr>
        <w:t>1</w:t>
      </w:r>
      <w:r>
        <w:rPr>
          <w:rFonts w:hint="eastAsia" w:ascii="宋体" w:hAnsi="宋体" w:cs="宋体"/>
          <w:color w:val="auto"/>
          <w:spacing w:val="-8"/>
          <w:sz w:val="24"/>
          <w:szCs w:val="24"/>
          <w:highlight w:val="none"/>
        </w:rPr>
        <w:t xml:space="preserve"> 次一般违约责任。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pacing w:val="-1"/>
          <w:sz w:val="24"/>
          <w:szCs w:val="24"/>
          <w:highlight w:val="none"/>
        </w:rPr>
        <w:t>、在委托人、建设行政主管部门组织的现场检查中，总监理工程师累计不在现场每月应</w:t>
      </w:r>
      <w:r>
        <w:rPr>
          <w:rFonts w:hint="eastAsia" w:ascii="宋体" w:hAnsi="宋体" w:cs="宋体"/>
          <w:color w:val="auto"/>
          <w:spacing w:val="-16"/>
          <w:sz w:val="24"/>
          <w:szCs w:val="24"/>
          <w:highlight w:val="none"/>
        </w:rPr>
        <w:t xml:space="preserve">不超过 </w:t>
      </w:r>
      <w:r>
        <w:rPr>
          <w:rFonts w:hint="eastAsia" w:ascii="宋体" w:hAnsi="宋体" w:cs="宋体"/>
          <w:color w:val="auto"/>
          <w:sz w:val="24"/>
          <w:szCs w:val="24"/>
          <w:highlight w:val="none"/>
        </w:rPr>
        <w:t>2</w:t>
      </w:r>
      <w:r>
        <w:rPr>
          <w:rFonts w:hint="eastAsia" w:ascii="宋体" w:hAnsi="宋体" w:cs="宋体"/>
          <w:color w:val="auto"/>
          <w:spacing w:val="-13"/>
          <w:sz w:val="24"/>
          <w:szCs w:val="24"/>
          <w:highlight w:val="none"/>
        </w:rPr>
        <w:t xml:space="preserve"> 次，专业监理工程师累计不在现场每月应少于 </w:t>
      </w:r>
      <w:r>
        <w:rPr>
          <w:rFonts w:hint="eastAsia" w:ascii="宋体" w:hAnsi="宋体" w:cs="宋体"/>
          <w:color w:val="auto"/>
          <w:sz w:val="24"/>
          <w:szCs w:val="24"/>
          <w:highlight w:val="none"/>
        </w:rPr>
        <w:t>2</w:t>
      </w:r>
      <w:r>
        <w:rPr>
          <w:rFonts w:hint="eastAsia" w:ascii="宋体" w:hAnsi="宋体" w:cs="宋体"/>
          <w:color w:val="auto"/>
          <w:spacing w:val="-13"/>
          <w:sz w:val="24"/>
          <w:szCs w:val="24"/>
          <w:highlight w:val="none"/>
        </w:rPr>
        <w:t xml:space="preserve"> 次。否则，每发生一次，监理人承担</w:t>
      </w:r>
      <w:r>
        <w:rPr>
          <w:rFonts w:hint="eastAsia" w:ascii="宋体" w:hAnsi="宋体" w:cs="宋体"/>
          <w:color w:val="auto"/>
          <w:sz w:val="24"/>
          <w:szCs w:val="24"/>
          <w:highlight w:val="none"/>
        </w:rPr>
        <w:t xml:space="preserve">1 次一般违约责任。每发生二次，监理人承担严重违约责任 1 次。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8、检测仪器及设备等在监理责任期间，不能保持良好运作性能的，监理人应及时更换，否则，每件每日扣减1000 元监理费。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（四）履行监理职责方面的违约责任：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1、监理人在自己职责范围内应当作出决定的事项故意拖延或者不作出明确的处理意见，委托人发出书面警告后，监理人在整改期限内仍不加以改正的，委托人有权要求监理人承担一般违约责任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次，造成损失的监理人应承担相应的责任。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2、承包人未按承诺投入机械、设备、材料等，监理人对此不进行有效检查、督促、处理，</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不向委托人报告，被委托人发现后，委托人有权给予书面警告并限期改正，监理人拒不限期改正的，应承担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次一般违约责任。</w:t>
      </w:r>
      <w:r>
        <w:rPr>
          <w:rFonts w:ascii="宋体" w:hAnsi="宋体" w:cs="宋体"/>
          <w:color w:val="auto"/>
          <w:sz w:val="24"/>
          <w:szCs w:val="24"/>
          <w:highlight w:val="none"/>
        </w:rPr>
        <w:t xml:space="preserve">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3、对于承包人每次进场材料，监理人不进行检查和登记；对已进场的材料，监理人不按有关规定及时进行抽查、送检的，每发生一次，监理人承担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次一般违约责任。如由此出现不合格材料使用于工程上并造成质量缺陷，监理人必须承担一般违约责任 1 次。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次一般违约责任。</w:t>
      </w:r>
      <w:r>
        <w:rPr>
          <w:rFonts w:ascii="宋体" w:hAnsi="宋体" w:cs="宋体"/>
          <w:color w:val="auto"/>
          <w:sz w:val="24"/>
          <w:szCs w:val="24"/>
          <w:highlight w:val="none"/>
        </w:rPr>
        <w:t xml:space="preserve">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次，情节严重的承担严重</w:t>
      </w:r>
      <w:r>
        <w:rPr>
          <w:rFonts w:hint="eastAsia" w:ascii="宋体" w:hAnsi="宋体" w:cs="宋体"/>
          <w:color w:val="auto"/>
          <w:sz w:val="24"/>
          <w:szCs w:val="24"/>
          <w:highlight w:val="none"/>
        </w:rPr>
        <w:t xml:space="preserve">违约责任 1 次，同时，承包人和监理人应赔偿委托人的经济损失。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6、监理人怠于履行工程质量控制监理工作，导致工程质量事故的，每发生一次，监理人承担严重违约责任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次。工程出现其他质量问题或缺陷，监理人负有责任的，每发生一次，监</w:t>
      </w:r>
      <w:r>
        <w:rPr>
          <w:rFonts w:hint="eastAsia" w:ascii="宋体" w:hAnsi="宋体" w:cs="宋体"/>
          <w:color w:val="auto"/>
          <w:sz w:val="24"/>
          <w:szCs w:val="24"/>
          <w:highlight w:val="none"/>
        </w:rPr>
        <w:t>理人承担一般违约责任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次。工程发生重大质量、安全事故，监理人负有责任的，委托人有权</w:t>
      </w:r>
      <w:r>
        <w:rPr>
          <w:rFonts w:hint="eastAsia" w:ascii="宋体" w:hAnsi="宋体" w:cs="宋体"/>
          <w:color w:val="auto"/>
          <w:sz w:val="24"/>
          <w:szCs w:val="24"/>
          <w:highlight w:val="none"/>
        </w:rPr>
        <w:t xml:space="preserve">视情况的严重程度要求监理人承担违约责任，直至部分或全部解除合同。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7、由于监理人未及时向承包人发出整改通知并积极督促承包人实施整改而对整个工程的按期完工不能起到有效监管作用，致使工程施工的关键工期比计划滞后3</w:t>
      </w:r>
      <w:r>
        <w:rPr>
          <w:rFonts w:ascii="宋体" w:hAnsi="宋体" w:cs="宋体"/>
          <w:color w:val="auto"/>
          <w:sz w:val="24"/>
          <w:szCs w:val="24"/>
          <w:highlight w:val="none"/>
        </w:rPr>
        <w:t xml:space="preserve"> 日以上</w:t>
      </w:r>
      <w:r>
        <w:rPr>
          <w:rFonts w:hint="eastAsia" w:ascii="宋体" w:hAnsi="宋体" w:cs="宋体"/>
          <w:color w:val="auto"/>
          <w:sz w:val="24"/>
          <w:szCs w:val="24"/>
          <w:highlight w:val="none"/>
        </w:rPr>
        <w:t>（含3</w:t>
      </w:r>
      <w:r>
        <w:rPr>
          <w:rFonts w:ascii="宋体" w:hAnsi="宋体" w:cs="宋体"/>
          <w:color w:val="auto"/>
          <w:sz w:val="24"/>
          <w:szCs w:val="24"/>
          <w:highlight w:val="none"/>
        </w:rPr>
        <w:t xml:space="preserve"> 日</w:t>
      </w:r>
      <w:r>
        <w:rPr>
          <w:rFonts w:hint="eastAsia" w:ascii="宋体" w:hAnsi="宋体" w:cs="宋体"/>
          <w:color w:val="auto"/>
          <w:sz w:val="24"/>
          <w:szCs w:val="24"/>
          <w:highlight w:val="none"/>
        </w:rPr>
        <w:t>）的，监理人必须承担一般违约责任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次；出现关键工期滞后 </w:t>
      </w:r>
      <w:r>
        <w:rPr>
          <w:rFonts w:hint="eastAsia" w:ascii="宋体" w:hAnsi="宋体" w:cs="宋体"/>
          <w:color w:val="auto"/>
          <w:sz w:val="24"/>
          <w:szCs w:val="24"/>
          <w:highlight w:val="none"/>
        </w:rPr>
        <w:t>5</w:t>
      </w:r>
      <w:r>
        <w:rPr>
          <w:rFonts w:ascii="宋体" w:hAnsi="宋体" w:cs="宋体"/>
          <w:color w:val="auto"/>
          <w:sz w:val="24"/>
          <w:szCs w:val="24"/>
          <w:highlight w:val="none"/>
        </w:rPr>
        <w:t xml:space="preserve"> 天以上</w:t>
      </w:r>
      <w:r>
        <w:rPr>
          <w:rFonts w:hint="eastAsia" w:ascii="宋体" w:hAnsi="宋体" w:cs="宋体"/>
          <w:color w:val="auto"/>
          <w:sz w:val="24"/>
          <w:szCs w:val="24"/>
          <w:highlight w:val="none"/>
        </w:rPr>
        <w:t>（含</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5</w:t>
      </w:r>
      <w:r>
        <w:rPr>
          <w:rFonts w:ascii="宋体" w:hAnsi="宋体" w:cs="宋体"/>
          <w:color w:val="auto"/>
          <w:sz w:val="24"/>
          <w:szCs w:val="24"/>
          <w:highlight w:val="none"/>
        </w:rPr>
        <w:t xml:space="preserve"> 天</w:t>
      </w:r>
      <w:r>
        <w:rPr>
          <w:rFonts w:hint="eastAsia" w:ascii="宋体" w:hAnsi="宋体" w:cs="宋体"/>
          <w:color w:val="auto"/>
          <w:sz w:val="24"/>
          <w:szCs w:val="24"/>
          <w:highlight w:val="none"/>
        </w:rPr>
        <w:t>）的，监理人必须承担严重违约责任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次；出现关键线路工期滞后 </w:t>
      </w:r>
      <w:r>
        <w:rPr>
          <w:rFonts w:hint="eastAsia" w:ascii="宋体" w:hAnsi="宋体" w:cs="宋体"/>
          <w:color w:val="auto"/>
          <w:sz w:val="24"/>
          <w:szCs w:val="24"/>
          <w:highlight w:val="none"/>
        </w:rPr>
        <w:t>10</w:t>
      </w:r>
      <w:r>
        <w:rPr>
          <w:rFonts w:ascii="宋体" w:hAnsi="宋体" w:cs="宋体"/>
          <w:color w:val="auto"/>
          <w:sz w:val="24"/>
          <w:szCs w:val="24"/>
          <w:highlight w:val="none"/>
        </w:rPr>
        <w:t xml:space="preserve"> 天以上</w:t>
      </w:r>
      <w:r>
        <w:rPr>
          <w:rFonts w:hint="eastAsia" w:ascii="宋体" w:hAnsi="宋体" w:cs="宋体"/>
          <w:color w:val="auto"/>
          <w:sz w:val="24"/>
          <w:szCs w:val="24"/>
          <w:highlight w:val="none"/>
        </w:rPr>
        <w:t>（含</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10</w:t>
      </w:r>
      <w:r>
        <w:rPr>
          <w:rFonts w:ascii="宋体" w:hAnsi="宋体" w:cs="宋体"/>
          <w:color w:val="auto"/>
          <w:sz w:val="24"/>
          <w:szCs w:val="24"/>
          <w:highlight w:val="none"/>
        </w:rPr>
        <w:t xml:space="preserve"> 天</w:t>
      </w:r>
      <w:r>
        <w:rPr>
          <w:rFonts w:hint="eastAsia" w:ascii="宋体" w:hAnsi="宋体" w:cs="宋体"/>
          <w:color w:val="auto"/>
          <w:sz w:val="24"/>
          <w:szCs w:val="24"/>
          <w:highlight w:val="none"/>
        </w:rPr>
        <w:t xml:space="preserve">）的，委托人有权部分或全部解除合同。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8、对于承包人提交的现场签证资料，监理人未有准确、真实的现场原始记录或不进行现场复核就给予签认，经委托人检查，发现签认的文件有误的，除立即改正外，监理人承担一般违约责任 1 次；对签证错误有可能给委托人造成直接经济损失 10 万元（含 10 万元）以上的，按严重违约</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次处理；如因监理人故意造成的，则按本合同专用</w:t>
      </w:r>
      <w:r>
        <w:rPr>
          <w:rFonts w:hint="eastAsia" w:ascii="宋体" w:hAnsi="宋体" w:cs="宋体"/>
          <w:color w:val="auto"/>
          <w:sz w:val="24"/>
          <w:szCs w:val="24"/>
          <w:highlight w:val="none"/>
        </w:rPr>
        <w:t>条款第</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26</w:t>
      </w:r>
      <w:r>
        <w:rPr>
          <w:rFonts w:ascii="宋体" w:hAnsi="宋体" w:cs="宋体"/>
          <w:color w:val="auto"/>
          <w:sz w:val="24"/>
          <w:szCs w:val="24"/>
          <w:highlight w:val="none"/>
        </w:rPr>
        <w:t xml:space="preserve"> 条</w:t>
      </w:r>
      <w:r>
        <w:rPr>
          <w:rFonts w:hint="eastAsia" w:ascii="宋体" w:hAnsi="宋体" w:cs="宋体"/>
          <w:color w:val="auto"/>
          <w:sz w:val="24"/>
          <w:szCs w:val="24"/>
          <w:highlight w:val="none"/>
        </w:rPr>
        <w:t>（一）款</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 项执</w:t>
      </w:r>
      <w:r>
        <w:rPr>
          <w:rFonts w:hint="eastAsia" w:ascii="宋体" w:hAnsi="宋体" w:cs="宋体"/>
          <w:color w:val="auto"/>
          <w:sz w:val="24"/>
          <w:szCs w:val="24"/>
          <w:highlight w:val="none"/>
        </w:rPr>
        <w:t>行；对于现场签证（含工程数量、单价等）未经过监理人注册造价工程师审核、或经过注册造价工程师审核但未在规定时间内报送委托人，除必须立即改正外，每累计出现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2</w:t>
      </w:r>
      <w:r>
        <w:rPr>
          <w:rFonts w:ascii="宋体" w:hAnsi="宋体" w:cs="宋体"/>
          <w:color w:val="auto"/>
          <w:sz w:val="24"/>
          <w:szCs w:val="24"/>
          <w:highlight w:val="none"/>
        </w:rPr>
        <w:t xml:space="preserve"> 次，监理人必</w:t>
      </w:r>
      <w:r>
        <w:rPr>
          <w:rFonts w:hint="eastAsia" w:ascii="宋体" w:hAnsi="宋体" w:cs="宋体"/>
          <w:color w:val="auto"/>
          <w:sz w:val="24"/>
          <w:szCs w:val="24"/>
          <w:highlight w:val="none"/>
        </w:rPr>
        <w:t xml:space="preserve">须承担一般违约责任 1 次。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次一般违约责任，情节严重的，委托人可视情况要求监理人承担严重违约责任。对承包人提交的施工方案、设计变更等技术文件，监理人应当在</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3</w:t>
      </w:r>
      <w:r>
        <w:rPr>
          <w:rFonts w:ascii="宋体" w:hAnsi="宋体" w:cs="宋体"/>
          <w:color w:val="auto"/>
          <w:sz w:val="24"/>
          <w:szCs w:val="24"/>
          <w:highlight w:val="none"/>
        </w:rPr>
        <w:t xml:space="preserve"> 日内予以批复，监理人未及</w:t>
      </w:r>
      <w:r>
        <w:rPr>
          <w:rFonts w:hint="eastAsia" w:ascii="宋体" w:hAnsi="宋体" w:cs="宋体"/>
          <w:color w:val="auto"/>
          <w:sz w:val="24"/>
          <w:szCs w:val="24"/>
          <w:highlight w:val="none"/>
        </w:rPr>
        <w:t>时批复的，视延误程度，监理人承担一般违约责任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次或严重违约责任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次；须转报委托人审</w:t>
      </w:r>
      <w:r>
        <w:rPr>
          <w:rFonts w:hint="eastAsia" w:ascii="宋体" w:hAnsi="宋体" w:cs="宋体"/>
          <w:color w:val="auto"/>
          <w:sz w:val="24"/>
          <w:szCs w:val="24"/>
          <w:highlight w:val="none"/>
        </w:rPr>
        <w:t>批的，监理人应在</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3</w:t>
      </w:r>
      <w:r>
        <w:rPr>
          <w:rFonts w:ascii="宋体" w:hAnsi="宋体" w:cs="宋体"/>
          <w:color w:val="auto"/>
          <w:sz w:val="24"/>
          <w:szCs w:val="24"/>
          <w:highlight w:val="none"/>
        </w:rPr>
        <w:t xml:space="preserve"> 日内出具审核意见报委托人，监理人未在 </w:t>
      </w:r>
      <w:r>
        <w:rPr>
          <w:rFonts w:hint="eastAsia" w:ascii="宋体" w:hAnsi="宋体" w:cs="宋体"/>
          <w:color w:val="auto"/>
          <w:sz w:val="24"/>
          <w:szCs w:val="24"/>
          <w:highlight w:val="none"/>
        </w:rPr>
        <w:t>3</w:t>
      </w:r>
      <w:r>
        <w:rPr>
          <w:rFonts w:ascii="宋体" w:hAnsi="宋体" w:cs="宋体"/>
          <w:color w:val="auto"/>
          <w:sz w:val="24"/>
          <w:szCs w:val="24"/>
          <w:highlight w:val="none"/>
        </w:rPr>
        <w:t xml:space="preserve"> 日内报委托人或未出具审核意</w:t>
      </w:r>
      <w:r>
        <w:rPr>
          <w:rFonts w:hint="eastAsia" w:ascii="宋体" w:hAnsi="宋体" w:cs="宋体"/>
          <w:color w:val="auto"/>
          <w:sz w:val="24"/>
          <w:szCs w:val="24"/>
          <w:highlight w:val="none"/>
        </w:rPr>
        <w:t>见的，监理人除必须限期改正外，监理人必须承担一般违约责任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次。承包人提交给监理人审</w:t>
      </w:r>
      <w:r>
        <w:rPr>
          <w:rFonts w:hint="eastAsia" w:ascii="宋体" w:hAnsi="宋体" w:cs="宋体"/>
          <w:color w:val="auto"/>
          <w:sz w:val="24"/>
          <w:szCs w:val="24"/>
          <w:highlight w:val="none"/>
        </w:rPr>
        <w:t>核的资料或文件存在错误须承包人改正的，监理人应将所有错误一次性要求承包人改正，监理人要求承包人反复修改拖延时间的，委托人有权给予书面警告并限期改正，监理人拒不限期改正的，应承担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次一般违约责任。</w:t>
      </w:r>
      <w:r>
        <w:rPr>
          <w:rFonts w:ascii="宋体" w:hAnsi="宋体" w:cs="宋体"/>
          <w:color w:val="auto"/>
          <w:sz w:val="24"/>
          <w:szCs w:val="24"/>
          <w:highlight w:val="none"/>
        </w:rPr>
        <w:t xml:space="preserve">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10、监理人未履行本合同约定的文明施工管理责任的，委托人可发出书面警告要求其限期改正，委托人发出书面警告后，监理人在整改期限内仍不加以改正的，每发生一次，监理人承担一次一般违约责任。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监理人应当承担一般违约责任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次，情节严重的应承</w:t>
      </w:r>
      <w:r>
        <w:rPr>
          <w:rFonts w:hint="eastAsia" w:ascii="宋体" w:hAnsi="宋体" w:cs="宋体"/>
          <w:color w:val="auto"/>
          <w:sz w:val="24"/>
          <w:szCs w:val="24"/>
          <w:highlight w:val="none"/>
        </w:rPr>
        <w:t>担严重违约责任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次，给委托人造成损失</w:t>
      </w:r>
      <w:r>
        <w:rPr>
          <w:rFonts w:hint="eastAsia" w:ascii="宋体" w:hAnsi="宋体" w:cs="宋体"/>
          <w:color w:val="auto"/>
          <w:sz w:val="24"/>
          <w:szCs w:val="24"/>
          <w:highlight w:val="none"/>
        </w:rPr>
        <w:t xml:space="preserve">的，应当赔偿损失。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12、对于承包人提交的请款报告，监理人不按实际完成的工作量进行审核，或不按本合同要求签署拨款意见，被审查发现后，必须限期改正，如监理人审核的当期支付金额超过经过委托人复核的实际应付金额</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5％以上的，监理人必须承担一般违约责任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次，超过 </w:t>
      </w:r>
      <w:r>
        <w:rPr>
          <w:rFonts w:hint="eastAsia" w:ascii="宋体" w:hAnsi="宋体" w:cs="宋体"/>
          <w:color w:val="auto"/>
          <w:sz w:val="24"/>
          <w:szCs w:val="24"/>
          <w:highlight w:val="none"/>
        </w:rPr>
        <w:t>10%的，应承担严重违约责任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次。若由此给委托人造成 </w:t>
      </w:r>
      <w:r>
        <w:rPr>
          <w:rFonts w:hint="eastAsia" w:ascii="宋体" w:hAnsi="宋体" w:cs="宋体"/>
          <w:color w:val="auto"/>
          <w:sz w:val="24"/>
          <w:szCs w:val="24"/>
          <w:highlight w:val="none"/>
        </w:rPr>
        <w:t>50</w:t>
      </w:r>
      <w:r>
        <w:rPr>
          <w:rFonts w:ascii="宋体" w:hAnsi="宋体" w:cs="宋体"/>
          <w:color w:val="auto"/>
          <w:sz w:val="24"/>
          <w:szCs w:val="24"/>
          <w:highlight w:val="none"/>
        </w:rPr>
        <w:t xml:space="preserve"> 万元以上</w:t>
      </w:r>
      <w:r>
        <w:rPr>
          <w:rFonts w:hint="eastAsia" w:ascii="宋体" w:hAnsi="宋体" w:cs="宋体"/>
          <w:color w:val="auto"/>
          <w:sz w:val="24"/>
          <w:szCs w:val="24"/>
          <w:highlight w:val="none"/>
        </w:rPr>
        <w:t>（含</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50</w:t>
      </w:r>
      <w:r>
        <w:rPr>
          <w:rFonts w:ascii="宋体" w:hAnsi="宋体" w:cs="宋体"/>
          <w:color w:val="auto"/>
          <w:sz w:val="24"/>
          <w:szCs w:val="24"/>
          <w:highlight w:val="none"/>
        </w:rPr>
        <w:t xml:space="preserve"> 万元</w:t>
      </w:r>
      <w:r>
        <w:rPr>
          <w:rFonts w:hint="eastAsia" w:ascii="宋体" w:hAnsi="宋体" w:cs="宋体"/>
          <w:color w:val="auto"/>
          <w:sz w:val="24"/>
          <w:szCs w:val="24"/>
          <w:highlight w:val="none"/>
        </w:rPr>
        <w:t xml:space="preserve">）损失的，监理人除必须承担相应的经济赔偿外，委托人将视情况部分或全部解除合同。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13、监理人同时发生本合同专用条款第</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26</w:t>
      </w:r>
      <w:r>
        <w:rPr>
          <w:rFonts w:ascii="宋体" w:hAnsi="宋体" w:cs="宋体"/>
          <w:color w:val="auto"/>
          <w:sz w:val="24"/>
          <w:szCs w:val="24"/>
          <w:highlight w:val="none"/>
        </w:rPr>
        <w:t xml:space="preserve"> 条</w:t>
      </w:r>
      <w:r>
        <w:rPr>
          <w:rFonts w:hint="eastAsia" w:ascii="宋体" w:hAnsi="宋体" w:cs="宋体"/>
          <w:color w:val="auto"/>
          <w:sz w:val="24"/>
          <w:szCs w:val="24"/>
          <w:highlight w:val="none"/>
        </w:rPr>
        <w:t>（四）款</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8、9、11、12</w:t>
      </w:r>
      <w:r>
        <w:rPr>
          <w:rFonts w:ascii="宋体" w:hAnsi="宋体" w:cs="宋体"/>
          <w:color w:val="auto"/>
          <w:sz w:val="24"/>
          <w:szCs w:val="24"/>
          <w:highlight w:val="none"/>
        </w:rPr>
        <w:t xml:space="preserve"> 项约定的违约行为且</w:t>
      </w:r>
      <w:r>
        <w:rPr>
          <w:rFonts w:hint="eastAsia" w:ascii="宋体" w:hAnsi="宋体" w:cs="宋体"/>
          <w:color w:val="auto"/>
          <w:sz w:val="24"/>
          <w:szCs w:val="24"/>
          <w:highlight w:val="none"/>
        </w:rPr>
        <w:t>情节严重的，视同监理人和承包人串通作假，委托人有权单方解除合同，造成委托人损失的，</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委托人有权按本合同专用条款第</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26</w:t>
      </w:r>
      <w:r>
        <w:rPr>
          <w:rFonts w:ascii="宋体" w:hAnsi="宋体" w:cs="宋体"/>
          <w:color w:val="auto"/>
          <w:sz w:val="24"/>
          <w:szCs w:val="24"/>
          <w:highlight w:val="none"/>
        </w:rPr>
        <w:t xml:space="preserve"> 条</w:t>
      </w:r>
      <w:r>
        <w:rPr>
          <w:rFonts w:hint="eastAsia" w:ascii="宋体" w:hAnsi="宋体" w:cs="宋体"/>
          <w:color w:val="auto"/>
          <w:sz w:val="24"/>
          <w:szCs w:val="24"/>
          <w:highlight w:val="none"/>
        </w:rPr>
        <w:t>（一）款</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6</w:t>
      </w:r>
      <w:r>
        <w:rPr>
          <w:rFonts w:ascii="宋体" w:hAnsi="宋体" w:cs="宋体"/>
          <w:color w:val="auto"/>
          <w:sz w:val="24"/>
          <w:szCs w:val="24"/>
          <w:highlight w:val="none"/>
        </w:rPr>
        <w:t xml:space="preserve"> 项的约定要求监理人承担赔偿责任。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监理人应设立专职安全管理人员，督促承包人建立安全生产保障体系，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次一般违约责任。由此而发生安全生产事故，或被上级主管部门通报批评、被新闻媒体曝光的，监理人应承担严重违约责任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次；情节严重的，委托人有权部分或全部解除合同。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15、本项目实施过程中，若发生重大安全责任事故，经核实监理单人负有管理责任的，监理人按每发生一次计人民币十万元承担违约责任。违约金按实际发生计算，没有上限。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16、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除去税金）。具体约定为：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（1）因监理人原因造成工程投资增加的，委托人将根据工程投资的增加额与原计划投资额的比例，按相应比例双倍扣减监理报酬；若增加工程投资比例超过原计划投资额的 20%</w:t>
      </w:r>
      <w:r>
        <w:rPr>
          <w:rFonts w:hint="eastAsia" w:ascii="宋体" w:hAnsi="宋体" w:cs="宋体"/>
          <w:color w:val="auto"/>
          <w:spacing w:val="-6"/>
          <w:sz w:val="24"/>
          <w:szCs w:val="24"/>
          <w:highlight w:val="none"/>
        </w:rPr>
        <w:t>时，</w:t>
      </w:r>
      <w:r>
        <w:rPr>
          <w:rFonts w:ascii="宋体" w:hAnsi="宋体" w:cs="宋体"/>
          <w:color w:val="auto"/>
          <w:spacing w:val="-6"/>
          <w:sz w:val="24"/>
          <w:szCs w:val="24"/>
          <w:highlight w:val="none"/>
        </w:rPr>
        <w:t xml:space="preserve"> </w:t>
      </w:r>
      <w:r>
        <w:rPr>
          <w:rFonts w:hint="eastAsia" w:ascii="宋体" w:hAnsi="宋体" w:cs="宋体"/>
          <w:color w:val="auto"/>
          <w:spacing w:val="-2"/>
          <w:sz w:val="24"/>
          <w:szCs w:val="24"/>
          <w:highlight w:val="none"/>
        </w:rPr>
        <w:t>委托人有权单方解除本合同，并要求监理人赔偿委托人由此遭受的实际损失中的</w:t>
      </w:r>
      <w:r>
        <w:rPr>
          <w:rFonts w:ascii="宋体" w:hAnsi="宋体" w:cs="宋体"/>
          <w:color w:val="auto"/>
          <w:spacing w:val="-2"/>
          <w:sz w:val="24"/>
          <w:szCs w:val="24"/>
          <w:highlight w:val="none"/>
        </w:rPr>
        <w:t xml:space="preserve"> </w:t>
      </w:r>
      <w:r>
        <w:rPr>
          <w:rFonts w:hint="eastAsia" w:ascii="宋体" w:hAnsi="宋体" w:cs="宋体"/>
          <w:color w:val="auto"/>
          <w:sz w:val="24"/>
          <w:szCs w:val="24"/>
          <w:highlight w:val="none"/>
        </w:rPr>
        <w:t xml:space="preserve">50%。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6"/>
          <w:sz w:val="24"/>
          <w:szCs w:val="24"/>
          <w:highlight w:val="none"/>
        </w:rPr>
        <w:t>因监理人责任导致工期延误，其中分段工期延误日数占该段总工期的</w:t>
      </w:r>
      <w:r>
        <w:rPr>
          <w:rFonts w:ascii="宋体" w:hAnsi="宋体" w:cs="宋体"/>
          <w:color w:val="auto"/>
          <w:spacing w:val="-6"/>
          <w:sz w:val="24"/>
          <w:szCs w:val="24"/>
          <w:highlight w:val="none"/>
        </w:rPr>
        <w:t xml:space="preserve"> </w:t>
      </w:r>
      <w:r>
        <w:rPr>
          <w:rFonts w:hint="eastAsia" w:ascii="宋体" w:hAnsi="宋体" w:cs="宋体"/>
          <w:color w:val="auto"/>
          <w:sz w:val="24"/>
          <w:szCs w:val="24"/>
          <w:highlight w:val="none"/>
        </w:rPr>
        <w:t>30%</w:t>
      </w:r>
      <w:r>
        <w:rPr>
          <w:rFonts w:hint="eastAsia" w:ascii="宋体" w:hAnsi="宋体" w:cs="宋体"/>
          <w:color w:val="auto"/>
          <w:spacing w:val="-14"/>
          <w:sz w:val="24"/>
          <w:szCs w:val="24"/>
          <w:highlight w:val="none"/>
        </w:rPr>
        <w:t>时，则委</w:t>
      </w:r>
      <w:r>
        <w:rPr>
          <w:rFonts w:hint="eastAsia" w:ascii="宋体" w:hAnsi="宋体" w:cs="宋体"/>
          <w:color w:val="auto"/>
          <w:spacing w:val="-7"/>
          <w:sz w:val="24"/>
          <w:szCs w:val="24"/>
          <w:highlight w:val="none"/>
        </w:rPr>
        <w:t>托人有权扣除该分段工程监理报酬的</w:t>
      </w:r>
      <w:r>
        <w:rPr>
          <w:rFonts w:ascii="宋体" w:hAnsi="宋体" w:cs="宋体"/>
          <w:color w:val="auto"/>
          <w:spacing w:val="-7"/>
          <w:sz w:val="24"/>
          <w:szCs w:val="24"/>
          <w:highlight w:val="none"/>
        </w:rPr>
        <w:t xml:space="preserve"> </w:t>
      </w:r>
      <w:r>
        <w:rPr>
          <w:rFonts w:hint="eastAsia" w:ascii="宋体" w:hAnsi="宋体" w:cs="宋体"/>
          <w:color w:val="auto"/>
          <w:sz w:val="24"/>
          <w:szCs w:val="24"/>
          <w:highlight w:val="none"/>
        </w:rPr>
        <w:t>60%；</w:t>
      </w:r>
      <w:r>
        <w:rPr>
          <w:rFonts w:hint="eastAsia" w:ascii="宋体" w:hAnsi="宋体" w:cs="宋体"/>
          <w:color w:val="auto"/>
          <w:spacing w:val="-3"/>
          <w:sz w:val="24"/>
          <w:szCs w:val="24"/>
          <w:highlight w:val="none"/>
        </w:rPr>
        <w:t>分段工期延误日数达到该段总工期的</w:t>
      </w:r>
      <w:r>
        <w:rPr>
          <w:rFonts w:ascii="宋体" w:hAnsi="宋体" w:cs="宋体"/>
          <w:color w:val="auto"/>
          <w:spacing w:val="-3"/>
          <w:sz w:val="24"/>
          <w:szCs w:val="24"/>
          <w:highlight w:val="none"/>
        </w:rPr>
        <w:t xml:space="preserve"> </w:t>
      </w:r>
      <w:r>
        <w:rPr>
          <w:rFonts w:hint="eastAsia" w:ascii="宋体" w:hAnsi="宋体" w:cs="宋体"/>
          <w:color w:val="auto"/>
          <w:sz w:val="24"/>
          <w:szCs w:val="24"/>
          <w:highlight w:val="none"/>
        </w:rPr>
        <w:t>50%时，则委</w:t>
      </w:r>
      <w:r>
        <w:rPr>
          <w:rFonts w:hint="eastAsia" w:ascii="宋体" w:hAnsi="宋体" w:cs="宋体"/>
          <w:color w:val="auto"/>
          <w:spacing w:val="-8"/>
          <w:sz w:val="24"/>
          <w:szCs w:val="24"/>
          <w:highlight w:val="none"/>
        </w:rPr>
        <w:t>托人有权单方解除本合同。因监理人责任导致工程竣工拖延的，依据拖延的日数，监理人应每</w:t>
      </w:r>
      <w:r>
        <w:rPr>
          <w:rFonts w:hint="eastAsia" w:ascii="宋体" w:hAnsi="宋体" w:cs="宋体"/>
          <w:color w:val="auto"/>
          <w:spacing w:val="-9"/>
          <w:sz w:val="24"/>
          <w:szCs w:val="24"/>
          <w:highlight w:val="none"/>
        </w:rPr>
        <w:t>日按监理报酬总额的</w:t>
      </w:r>
      <w:r>
        <w:rPr>
          <w:rFonts w:ascii="宋体" w:hAnsi="宋体" w:cs="宋体"/>
          <w:color w:val="auto"/>
          <w:spacing w:val="-9"/>
          <w:sz w:val="24"/>
          <w:szCs w:val="24"/>
          <w:highlight w:val="none"/>
        </w:rPr>
        <w:t xml:space="preserve"> </w:t>
      </w:r>
      <w:r>
        <w:rPr>
          <w:rFonts w:hint="eastAsia" w:ascii="宋体" w:hAnsi="宋体" w:cs="宋体"/>
          <w:color w:val="auto"/>
          <w:sz w:val="24"/>
          <w:szCs w:val="24"/>
          <w:highlight w:val="none"/>
        </w:rPr>
        <w:t>0.05%</w:t>
      </w:r>
      <w:r>
        <w:rPr>
          <w:rFonts w:hint="eastAsia" w:ascii="宋体" w:hAnsi="宋体" w:cs="宋体"/>
          <w:color w:val="auto"/>
          <w:spacing w:val="-3"/>
          <w:sz w:val="24"/>
          <w:szCs w:val="24"/>
          <w:highlight w:val="none"/>
        </w:rPr>
        <w:t>向委托人支付违约金。由于监理人责任导致工期延误，致使委托人要承担赔偿第三方责任的，监理人必须承担赔偿委托人由此遭受的实际损失。</w:t>
      </w:r>
      <w:r>
        <w:rPr>
          <w:rFonts w:ascii="宋体" w:hAnsi="宋体" w:cs="宋体"/>
          <w:color w:val="auto"/>
          <w:spacing w:val="-3"/>
          <w:sz w:val="24"/>
          <w:szCs w:val="24"/>
          <w:highlight w:val="none"/>
        </w:rPr>
        <w:t xml:space="preserve">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因监理人责任造成质量事故，需要返工的，监理人应承担</w:t>
      </w:r>
      <w:r>
        <w:rPr>
          <w:rFonts w:ascii="宋体" w:hAnsi="宋体" w:cs="宋体"/>
          <w:color w:val="auto"/>
          <w:spacing w:val="-2"/>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pacing w:val="-8"/>
          <w:sz w:val="24"/>
          <w:szCs w:val="24"/>
          <w:highlight w:val="none"/>
        </w:rPr>
        <w:t xml:space="preserve"> 次严重违约责任并双倍</w:t>
      </w:r>
      <w:r>
        <w:rPr>
          <w:rFonts w:hint="eastAsia" w:ascii="宋体" w:hAnsi="宋体" w:cs="宋体"/>
          <w:color w:val="auto"/>
          <w:spacing w:val="-7"/>
          <w:sz w:val="24"/>
          <w:szCs w:val="24"/>
          <w:highlight w:val="none"/>
        </w:rPr>
        <w:t>扣减该部分的监理报酬，同时监理人应赔偿委托人的实际损失；情节严重的，委托人有权单方</w:t>
      </w:r>
      <w:r>
        <w:rPr>
          <w:rFonts w:hint="eastAsia" w:ascii="宋体" w:hAnsi="宋体" w:cs="宋体"/>
          <w:color w:val="auto"/>
          <w:sz w:val="24"/>
          <w:szCs w:val="24"/>
          <w:highlight w:val="none"/>
        </w:rPr>
        <w:t xml:space="preserve">面解除合同，并有权要求监理人赔偿委托人由此遭受的经济损失。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17、对于工程施工过程中出现的工程变更，如当月由委托人确定的工程变更的单价或总价较监理人审定的单价或总价存在正负 10%以上的情况累计出现 2 宗以上（含 2 宗），监理人应当承担 1 次一般违约责任。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18、对于承包人不按时提交工程结算文件，监理人不按合同约定采取有效措施的，监理人应承担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次一般违约责任。监理人应在收到施工单位报送的结算书及必要的支持材料后20</w:t>
      </w:r>
      <w:r>
        <w:rPr>
          <w:rFonts w:ascii="宋体" w:hAnsi="宋体" w:cs="宋体"/>
          <w:color w:val="auto"/>
          <w:sz w:val="24"/>
          <w:szCs w:val="24"/>
          <w:highlight w:val="none"/>
        </w:rPr>
        <w:t xml:space="preserve"> 日</w:t>
      </w:r>
      <w:r>
        <w:rPr>
          <w:rFonts w:hint="eastAsia" w:ascii="宋体" w:hAnsi="宋体" w:cs="宋体"/>
          <w:color w:val="auto"/>
          <w:sz w:val="24"/>
          <w:szCs w:val="24"/>
          <w:highlight w:val="none"/>
        </w:rPr>
        <w:t>内完成结算书初审工作，并上报委托人审核。否则，每拖延一天，支付</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2000</w:t>
      </w:r>
      <w:r>
        <w:rPr>
          <w:rFonts w:ascii="宋体" w:hAnsi="宋体" w:cs="宋体"/>
          <w:color w:val="auto"/>
          <w:sz w:val="24"/>
          <w:szCs w:val="24"/>
          <w:highlight w:val="none"/>
        </w:rPr>
        <w:t xml:space="preserve"> 元违约金，以此</w:t>
      </w:r>
      <w:r>
        <w:rPr>
          <w:rFonts w:hint="eastAsia" w:ascii="宋体" w:hAnsi="宋体" w:cs="宋体"/>
          <w:color w:val="auto"/>
          <w:sz w:val="24"/>
          <w:szCs w:val="24"/>
          <w:highlight w:val="none"/>
        </w:rPr>
        <w:t xml:space="preserve">累计。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（五）其他方面的违约责任：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监理人必须加强对监理人员职业操守、廉政建设的培训和教育，本项目监理人员利用职业身份“吃、拿、卡、要”或有其他违反职业操守及廉政建设相关规定的，一经查实，监理人应立即清退该监理人员，并承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次严重违约，情节严重的，委托人有权部分或全部解除合同</w:t>
      </w:r>
      <w:r>
        <w:rPr>
          <w:rFonts w:hint="eastAsia" w:ascii="宋体" w:hAnsi="宋体" w:cs="宋体"/>
          <w:color w:val="auto"/>
          <w:sz w:val="24"/>
          <w:szCs w:val="24"/>
          <w:highlight w:val="none"/>
        </w:rPr>
        <w:t xml:space="preserve">并有权向有关部门反映情况，同时将上述违反职业道德的行为通过新闻媒体公诸于众，情节严重者移交司法机关追究法律责任。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2、工程监理资料收集不齐、管理混乱的，监理人承担一般违约责任；缺损原始记录的， 每件文件扣减 1000 元监理费。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3、除上述约定之外，监理人有违反合同约定的其他义务的，均构成违约，委托人有权视具体情况给予书面警告并限期改正，监理人拒不限期改正的，应承担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次一般违约责任，情节严重的，应承担 1 次严重违约责任。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监理人应配合完成第三方质量安全评估工作。根据每次评估结果，经评估确定为一般违约情况的，监理人应按合同约定承担一次一般违约责任；经评估确定为严重违约情况的，监理人应按合同约定承担一次严重违约责任。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（六）委托人以书面形式作出的违约处理决定一经送达监理人立即生效。监理人如有足够证据证明不应由其承担违约责任的，应在收到违约处理决定后 3 天内以书面形式向委托人提出异议并附上有关证据；委托人在收到监理人的异议后</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15</w:t>
      </w:r>
      <w:r>
        <w:rPr>
          <w:rFonts w:ascii="宋体" w:hAnsi="宋体" w:cs="宋体"/>
          <w:color w:val="auto"/>
          <w:sz w:val="24"/>
          <w:szCs w:val="24"/>
          <w:highlight w:val="none"/>
        </w:rPr>
        <w:t xml:space="preserve"> 天内审核完毕且</w:t>
      </w:r>
      <w:r>
        <w:rPr>
          <w:rFonts w:hint="eastAsia" w:ascii="宋体" w:hAnsi="宋体" w:cs="宋体"/>
          <w:color w:val="auto"/>
          <w:sz w:val="24"/>
          <w:szCs w:val="24"/>
          <w:highlight w:val="none"/>
        </w:rPr>
        <w:t xml:space="preserve">作出书面决定并通知监理人。 </w:t>
      </w:r>
    </w:p>
    <w:p>
      <w:pPr>
        <w:pStyle w:val="11"/>
        <w:spacing w:after="0" w:line="364"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第二十七条 </w:t>
      </w:r>
      <w:r>
        <w:rPr>
          <w:rFonts w:hint="eastAsia" w:ascii="宋体" w:hAnsi="宋体" w:cs="宋体"/>
          <w:color w:val="auto"/>
          <w:sz w:val="24"/>
          <w:szCs w:val="24"/>
          <w:highlight w:val="none"/>
        </w:rPr>
        <w:t>双方一致同意不适用本合同标准条款第 27 条的约定，承包人对质量和工期的违约，如监理人存在过错的，应按本合同相关约定承担违约责任。</w:t>
      </w:r>
      <w:r>
        <w:rPr>
          <w:rFonts w:ascii="宋体" w:hAnsi="宋体" w:cs="宋体"/>
          <w:color w:val="auto"/>
          <w:sz w:val="24"/>
          <w:szCs w:val="24"/>
          <w:highlight w:val="none"/>
        </w:rPr>
        <w:t xml:space="preserve"> </w:t>
      </w:r>
    </w:p>
    <w:p>
      <w:pPr>
        <w:pStyle w:val="11"/>
        <w:spacing w:after="0" w:line="364"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第三十一条 </w:t>
      </w:r>
      <w:r>
        <w:rPr>
          <w:rFonts w:hint="eastAsia" w:ascii="宋体" w:hAnsi="宋体" w:cs="宋体"/>
          <w:color w:val="auto"/>
          <w:sz w:val="24"/>
          <w:szCs w:val="24"/>
          <w:highlight w:val="none"/>
        </w:rPr>
        <w:t>双方一致同意不适用本合同标准条款第 31 条的约定，由于委托人或承包人的原因使监理工作受到阻碍或延误，则监理人应当将此情况与可能产生的影响及时通知委托人，</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完成监理业务的时间相应延长，监理人的报酬不变。</w:t>
      </w:r>
      <w:r>
        <w:rPr>
          <w:rFonts w:ascii="宋体" w:hAnsi="宋体" w:cs="宋体"/>
          <w:color w:val="auto"/>
          <w:sz w:val="24"/>
          <w:szCs w:val="24"/>
          <w:highlight w:val="none"/>
        </w:rPr>
        <w:t xml:space="preserve"> </w:t>
      </w:r>
    </w:p>
    <w:p>
      <w:pPr>
        <w:pStyle w:val="11"/>
        <w:spacing w:after="0" w:line="364" w:lineRule="auto"/>
        <w:ind w:firstLine="478" w:firstLineChars="200"/>
        <w:rPr>
          <w:rFonts w:ascii="宋体" w:hAnsi="宋体" w:cs="宋体"/>
          <w:color w:val="auto"/>
          <w:sz w:val="24"/>
          <w:szCs w:val="24"/>
          <w:highlight w:val="none"/>
        </w:rPr>
      </w:pPr>
      <w:r>
        <w:rPr>
          <w:rFonts w:hint="eastAsia" w:ascii="宋体" w:hAnsi="宋体" w:cs="宋体"/>
          <w:b/>
          <w:color w:val="auto"/>
          <w:spacing w:val="-1"/>
          <w:sz w:val="24"/>
          <w:szCs w:val="24"/>
          <w:highlight w:val="none"/>
        </w:rPr>
        <w:t xml:space="preserve">第三十二条 </w:t>
      </w:r>
      <w:r>
        <w:rPr>
          <w:rFonts w:hint="eastAsia" w:ascii="宋体" w:hAnsi="宋体" w:cs="宋体"/>
          <w:color w:val="auto"/>
          <w:sz w:val="24"/>
          <w:szCs w:val="24"/>
          <w:highlight w:val="none"/>
        </w:rPr>
        <w:t>双方一致同意不适用本合同标准条款第</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32</w:t>
      </w:r>
      <w:r>
        <w:rPr>
          <w:rFonts w:ascii="宋体" w:hAnsi="宋体" w:cs="宋体"/>
          <w:color w:val="auto"/>
          <w:sz w:val="24"/>
          <w:szCs w:val="24"/>
          <w:highlight w:val="none"/>
        </w:rPr>
        <w:t xml:space="preserve"> 条的约定，在实际情况发生变化， </w:t>
      </w:r>
      <w:r>
        <w:rPr>
          <w:rFonts w:hint="eastAsia" w:ascii="宋体" w:hAnsi="宋体" w:cs="宋体"/>
          <w:color w:val="auto"/>
          <w:sz w:val="24"/>
          <w:szCs w:val="24"/>
          <w:highlight w:val="none"/>
        </w:rPr>
        <w:t>使得监理人不能全部或部分执行监理业务时，监理人应当立即通知委托人，该监理业务的完成时间应予延长。当恢复执行监理业务时，监理人应当立即恢复执行监理业务，监理人的报酬不变。</w:t>
      </w:r>
      <w:r>
        <w:rPr>
          <w:rFonts w:ascii="宋体" w:hAnsi="宋体" w:cs="宋体"/>
          <w:color w:val="auto"/>
          <w:sz w:val="24"/>
          <w:szCs w:val="24"/>
          <w:highlight w:val="none"/>
        </w:rPr>
        <w:t xml:space="preserve"> </w:t>
      </w:r>
    </w:p>
    <w:p>
      <w:pPr>
        <w:pStyle w:val="11"/>
        <w:spacing w:after="0" w:line="44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第三十三条 </w:t>
      </w:r>
      <w:r>
        <w:rPr>
          <w:rFonts w:hint="eastAsia" w:ascii="宋体" w:hAnsi="宋体" w:cs="宋体"/>
          <w:color w:val="auto"/>
          <w:sz w:val="24"/>
          <w:szCs w:val="24"/>
          <w:highlight w:val="none"/>
        </w:rPr>
        <w:t>双方一致同意不适用本合同标准条款第 33 条的约定，本合同的有效期一直至本合同工程质量缺陷责任期满且本合同工程竣工结算完毕并完成工程竣工档案备案后经委托人审定满</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60</w:t>
      </w:r>
      <w:r>
        <w:rPr>
          <w:rFonts w:ascii="宋体" w:hAnsi="宋体" w:cs="宋体"/>
          <w:color w:val="auto"/>
          <w:sz w:val="24"/>
          <w:szCs w:val="24"/>
          <w:highlight w:val="none"/>
        </w:rPr>
        <w:t xml:space="preserve"> 日并且双方的责任、</w:t>
      </w:r>
      <w:r>
        <w:rPr>
          <w:rFonts w:hint="eastAsia" w:ascii="宋体" w:hAnsi="宋体" w:cs="宋体"/>
          <w:color w:val="auto"/>
          <w:sz w:val="24"/>
          <w:szCs w:val="24"/>
          <w:highlight w:val="none"/>
        </w:rPr>
        <w:t>义务履行完毕时才终止。本合同工程保修期间，监理人仍须承担监理责任。</w:t>
      </w:r>
      <w:r>
        <w:rPr>
          <w:rFonts w:ascii="宋体" w:hAnsi="宋体" w:cs="宋体"/>
          <w:color w:val="auto"/>
          <w:sz w:val="24"/>
          <w:szCs w:val="24"/>
          <w:highlight w:val="none"/>
        </w:rPr>
        <w:t xml:space="preserve"> </w:t>
      </w:r>
    </w:p>
    <w:p>
      <w:pPr>
        <w:pStyle w:val="11"/>
        <w:spacing w:after="0" w:line="44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第三十四条 </w:t>
      </w:r>
      <w:r>
        <w:rPr>
          <w:rFonts w:hint="eastAsia" w:ascii="宋体" w:hAnsi="宋体" w:cs="宋体"/>
          <w:color w:val="auto"/>
          <w:sz w:val="24"/>
          <w:szCs w:val="24"/>
          <w:highlight w:val="none"/>
        </w:rPr>
        <w:t>双方一致同意不适用本合同标准条款第 34</w:t>
      </w:r>
      <w:r>
        <w:rPr>
          <w:rFonts w:ascii="宋体" w:hAnsi="宋体" w:cs="宋体"/>
          <w:color w:val="auto"/>
          <w:sz w:val="24"/>
          <w:szCs w:val="24"/>
          <w:highlight w:val="none"/>
        </w:rPr>
        <w:t xml:space="preserve"> 条的约定，本合同未经双方协商</w:t>
      </w:r>
      <w:r>
        <w:rPr>
          <w:rFonts w:hint="eastAsia" w:ascii="宋体" w:hAnsi="宋体" w:cs="宋体"/>
          <w:color w:val="auto"/>
          <w:sz w:val="24"/>
          <w:szCs w:val="24"/>
          <w:highlight w:val="none"/>
        </w:rPr>
        <w:t xml:space="preserve">一致，不得变更或解除。委托人根据本合同的约定单方面部分或全部解除本合同的，自委托人书面通知监理人时起部分或全部解除本合同即生效。 </w:t>
      </w:r>
    </w:p>
    <w:p>
      <w:pPr>
        <w:pStyle w:val="11"/>
        <w:spacing w:after="0"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本合同的修改（包括服务范围的修改），只能以双方书面同意的方式进行。</w:t>
      </w:r>
    </w:p>
    <w:p>
      <w:pPr>
        <w:pStyle w:val="11"/>
        <w:spacing w:after="0" w:line="440" w:lineRule="exact"/>
        <w:ind w:firstLine="478"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 xml:space="preserve">第三十五条 </w:t>
      </w:r>
      <w:r>
        <w:rPr>
          <w:rFonts w:hint="eastAsia" w:ascii="宋体" w:hAnsi="宋体" w:cs="宋体"/>
          <w:color w:val="auto"/>
          <w:sz w:val="24"/>
          <w:szCs w:val="24"/>
          <w:highlight w:val="none"/>
        </w:rPr>
        <w:t>双方一致同意不适用本合同标准条款第</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35</w:t>
      </w:r>
      <w:r>
        <w:rPr>
          <w:rFonts w:ascii="宋体" w:hAnsi="宋体" w:cs="宋体"/>
          <w:color w:val="auto"/>
          <w:sz w:val="24"/>
          <w:szCs w:val="24"/>
          <w:highlight w:val="none"/>
        </w:rPr>
        <w:t xml:space="preserve"> 条的约定。</w:t>
      </w:r>
      <w:r>
        <w:rPr>
          <w:rFonts w:hint="eastAsia" w:ascii="宋体" w:hAnsi="宋体" w:cs="宋体"/>
          <w:b/>
          <w:color w:val="auto"/>
          <w:spacing w:val="-10"/>
          <w:w w:val="99"/>
          <w:sz w:val="24"/>
          <w:szCs w:val="24"/>
          <w:highlight w:val="none"/>
        </w:rPr>
        <w:t xml:space="preserve"> </w:t>
      </w:r>
    </w:p>
    <w:p>
      <w:pPr>
        <w:pStyle w:val="11"/>
        <w:spacing w:after="0" w:line="440" w:lineRule="exact"/>
        <w:ind w:firstLine="478"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 xml:space="preserve">第三十六条 </w:t>
      </w:r>
      <w:r>
        <w:rPr>
          <w:rFonts w:hint="eastAsia" w:ascii="宋体" w:hAnsi="宋体" w:cs="宋体"/>
          <w:color w:val="auto"/>
          <w:spacing w:val="-5"/>
          <w:sz w:val="24"/>
          <w:szCs w:val="24"/>
          <w:highlight w:val="none"/>
        </w:rPr>
        <w:t>双方一致同意不适用本合同标准条款第</w:t>
      </w:r>
      <w:r>
        <w:rPr>
          <w:rFonts w:ascii="宋体" w:hAnsi="宋体" w:cs="宋体"/>
          <w:color w:val="auto"/>
          <w:spacing w:val="-5"/>
          <w:sz w:val="24"/>
          <w:szCs w:val="24"/>
          <w:highlight w:val="none"/>
        </w:rPr>
        <w:t xml:space="preserve"> </w:t>
      </w:r>
      <w:r>
        <w:rPr>
          <w:rFonts w:hint="eastAsia" w:ascii="宋体" w:hAnsi="宋体" w:cs="宋体"/>
          <w:color w:val="auto"/>
          <w:sz w:val="24"/>
          <w:szCs w:val="24"/>
          <w:highlight w:val="none"/>
        </w:rPr>
        <w:t>36</w:t>
      </w:r>
      <w:r>
        <w:rPr>
          <w:rFonts w:ascii="宋体" w:hAnsi="宋体" w:cs="宋体"/>
          <w:color w:val="auto"/>
          <w:spacing w:val="-10"/>
          <w:sz w:val="24"/>
          <w:szCs w:val="24"/>
          <w:highlight w:val="none"/>
        </w:rPr>
        <w:t xml:space="preserve"> 条的约定。</w:t>
      </w:r>
      <w:r>
        <w:rPr>
          <w:rFonts w:ascii="宋体" w:hAnsi="宋体" w:cs="宋体"/>
          <w:b/>
          <w:color w:val="auto"/>
          <w:spacing w:val="-10"/>
          <w:w w:val="99"/>
          <w:sz w:val="24"/>
          <w:szCs w:val="24"/>
          <w:highlight w:val="none"/>
        </w:rPr>
        <w:t xml:space="preserve"> </w:t>
      </w:r>
    </w:p>
    <w:p>
      <w:pPr>
        <w:pStyle w:val="11"/>
        <w:spacing w:after="0"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第三十七条 </w:t>
      </w:r>
      <w:r>
        <w:rPr>
          <w:rFonts w:hint="eastAsia" w:ascii="宋体" w:hAnsi="宋体" w:cs="宋体"/>
          <w:color w:val="auto"/>
          <w:sz w:val="24"/>
          <w:szCs w:val="24"/>
          <w:highlight w:val="none"/>
        </w:rPr>
        <w:t>双方一致同意不适用本合同标准条款第 37 条的约定，当监理人无正当理由而又未履行监理义务时，按本合同专用条款第 26 条的约定处理。</w:t>
      </w:r>
      <w:r>
        <w:rPr>
          <w:rFonts w:hint="eastAsia" w:ascii="宋体" w:hAnsi="宋体" w:cs="宋体"/>
          <w:b/>
          <w:color w:val="auto"/>
          <w:w w:val="99"/>
          <w:sz w:val="24"/>
          <w:szCs w:val="24"/>
          <w:highlight w:val="none"/>
        </w:rPr>
        <w:t xml:space="preserve"> </w:t>
      </w:r>
    </w:p>
    <w:p>
      <w:pPr>
        <w:pStyle w:val="11"/>
        <w:spacing w:after="0" w:line="44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第三十九条 </w:t>
      </w:r>
      <w:r>
        <w:rPr>
          <w:rFonts w:hint="eastAsia" w:ascii="宋体" w:hAnsi="宋体" w:cs="宋体"/>
          <w:color w:val="auto"/>
          <w:spacing w:val="-4"/>
          <w:sz w:val="24"/>
          <w:szCs w:val="24"/>
          <w:highlight w:val="none"/>
        </w:rPr>
        <w:t>双</w:t>
      </w:r>
      <w:r>
        <w:rPr>
          <w:rFonts w:hint="eastAsia" w:ascii="宋体" w:hAnsi="宋体" w:cs="宋体"/>
          <w:color w:val="auto"/>
          <w:sz w:val="24"/>
          <w:szCs w:val="24"/>
          <w:highlight w:val="none"/>
        </w:rPr>
        <w:t>方一致同意不适用本合同标准条款第</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39</w:t>
      </w:r>
      <w:r>
        <w:rPr>
          <w:rFonts w:ascii="宋体" w:hAnsi="宋体" w:cs="宋体"/>
          <w:color w:val="auto"/>
          <w:sz w:val="24"/>
          <w:szCs w:val="24"/>
          <w:highlight w:val="none"/>
        </w:rPr>
        <w:t xml:space="preserve"> 条的约定，监理报酬的计算方法、</w:t>
      </w:r>
      <w:r>
        <w:rPr>
          <w:rFonts w:hint="eastAsia" w:ascii="宋体" w:hAnsi="宋体" w:cs="宋体"/>
          <w:color w:val="auto"/>
          <w:sz w:val="24"/>
          <w:szCs w:val="24"/>
          <w:highlight w:val="none"/>
        </w:rPr>
        <w:t xml:space="preserve">支付时间与金额按本条以下约定执行： </w:t>
      </w:r>
    </w:p>
    <w:p>
      <w:pPr>
        <w:pStyle w:val="11"/>
        <w:spacing w:after="0"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（一）监理报酬的计取 </w:t>
      </w:r>
    </w:p>
    <w:p>
      <w:pPr>
        <w:widowControl/>
        <w:numPr>
          <w:ilvl w:val="255"/>
          <w:numId w:val="0"/>
        </w:numPr>
        <w:tabs>
          <w:tab w:val="left" w:pos="1190"/>
        </w:tabs>
        <w:spacing w:line="440" w:lineRule="exact"/>
        <w:ind w:firstLine="452" w:firstLineChars="200"/>
        <w:jc w:val="left"/>
        <w:rPr>
          <w:rFonts w:ascii="宋体" w:hAnsi="宋体" w:cs="宋体"/>
          <w:color w:val="auto"/>
          <w:sz w:val="24"/>
          <w:szCs w:val="24"/>
          <w:highlight w:val="none"/>
          <w:u w:val="single"/>
        </w:rPr>
      </w:pPr>
      <w:r>
        <w:rPr>
          <w:rFonts w:hint="eastAsia" w:ascii="宋体" w:hAnsi="宋体" w:cs="宋体"/>
          <w:color w:val="auto"/>
          <w:spacing w:val="-7"/>
          <w:sz w:val="24"/>
          <w:szCs w:val="24"/>
          <w:highlight w:val="none"/>
        </w:rPr>
        <w:t>1、</w:t>
      </w:r>
      <w:r>
        <w:rPr>
          <w:rFonts w:hint="eastAsia" w:ascii="宋体" w:hAnsi="宋体" w:cs="宋体"/>
          <w:color w:val="auto"/>
          <w:sz w:val="24"/>
          <w:szCs w:val="24"/>
          <w:highlight w:val="none"/>
        </w:rPr>
        <w:t>本合同工程监理报酬总额（含增值税）暂定为大写人民币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rPr>
        <w:t xml:space="preserve">       元（小写：    元）</w:t>
      </w:r>
      <w:r>
        <w:rPr>
          <w:rFonts w:hint="eastAsia" w:ascii="宋体" w:hAnsi="宋体" w:cs="宋体"/>
          <w:color w:val="auto"/>
          <w:sz w:val="24"/>
          <w:szCs w:val="24"/>
          <w:highlight w:val="none"/>
        </w:rPr>
        <w:t>，其中不含税金额</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，增值税金额</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w:t>
      </w:r>
    </w:p>
    <w:p>
      <w:pPr>
        <w:widowControl/>
        <w:numPr>
          <w:ilvl w:val="255"/>
          <w:numId w:val="0"/>
        </w:numPr>
        <w:tabs>
          <w:tab w:val="left" w:pos="1190"/>
        </w:tabs>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最终结算监理费按下列二个金额中最低者为准执行。</w:t>
      </w:r>
    </w:p>
    <w:p>
      <w:pPr>
        <w:widowControl/>
        <w:numPr>
          <w:ilvl w:val="255"/>
          <w:numId w:val="0"/>
        </w:numPr>
        <w:tabs>
          <w:tab w:val="left" w:pos="1190"/>
        </w:tabs>
        <w:spacing w:line="440" w:lineRule="exact"/>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（1）以经委托人或委托人委托的第三方审核单位或增城区财政投资评审中心（如有）审定的结算价中建筑安装工程费作为计费基数，计算公式为：参照发改价格[2007]670号文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增城区发展和改革局联合发文（增财【2009】59号）执行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计算的监理收费基价结合各调整系数得到的价格×（1-中标下浮率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其中，</w:t>
      </w:r>
      <w:r>
        <w:rPr>
          <w:rFonts w:hint="eastAsia" w:ascii="宋体" w:hAnsi="宋体" w:cs="宋体"/>
          <w:color w:val="auto"/>
          <w:sz w:val="24"/>
          <w:szCs w:val="24"/>
          <w:highlight w:val="none"/>
          <w:u w:val="single"/>
        </w:rPr>
        <w:t>专业调整系数、工程复杂程度调整系数、高程调整系数</w:t>
      </w:r>
      <w:r>
        <w:rPr>
          <w:rFonts w:hint="eastAsia" w:ascii="宋体" w:hAnsi="宋体" w:cs="宋体"/>
          <w:color w:val="auto"/>
          <w:sz w:val="24"/>
          <w:szCs w:val="24"/>
          <w:highlight w:val="none"/>
          <w:u w:val="single"/>
          <w:lang w:val="en-US" w:eastAsia="zh-CN"/>
        </w:rPr>
        <w:t>参照</w:t>
      </w:r>
      <w:r>
        <w:rPr>
          <w:rFonts w:hint="eastAsia" w:ascii="宋体" w:hAnsi="宋体" w:cs="宋体"/>
          <w:color w:val="auto"/>
          <w:sz w:val="24"/>
          <w:szCs w:val="24"/>
          <w:highlight w:val="none"/>
          <w:u w:val="single"/>
        </w:rPr>
        <w:t>发改价格[2007]670号文</w:t>
      </w:r>
      <w:r>
        <w:rPr>
          <w:rFonts w:hint="eastAsia" w:ascii="宋体" w:hAnsi="宋体" w:cs="宋体"/>
          <w:color w:val="auto"/>
          <w:sz w:val="24"/>
          <w:szCs w:val="24"/>
          <w:highlight w:val="none"/>
          <w:u w:val="single"/>
          <w:lang w:val="en-US" w:eastAsia="zh-CN"/>
        </w:rPr>
        <w:t>规定执行</w:t>
      </w:r>
      <w:r>
        <w:rPr>
          <w:rFonts w:hint="eastAsia" w:ascii="宋体" w:hAnsi="宋体" w:cs="宋体"/>
          <w:color w:val="auto"/>
          <w:sz w:val="24"/>
          <w:szCs w:val="24"/>
          <w:highlight w:val="none"/>
        </w:rPr>
        <w:t>。</w:t>
      </w:r>
    </w:p>
    <w:p>
      <w:pPr>
        <w:widowControl/>
        <w:numPr>
          <w:ilvl w:val="255"/>
          <w:numId w:val="0"/>
        </w:numPr>
        <w:tabs>
          <w:tab w:val="left" w:pos="1190"/>
        </w:tabs>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（2）以经委托人或委托人委托的第三方审核单位或增城区财政投资评审中心（如有）审定的</w:t>
      </w:r>
      <w:r>
        <w:rPr>
          <w:rFonts w:hint="eastAsia" w:ascii="宋体" w:hAnsi="宋体" w:cs="宋体"/>
          <w:color w:val="auto"/>
          <w:sz w:val="24"/>
          <w:szCs w:val="24"/>
          <w:highlight w:val="none"/>
          <w:lang w:val="en-US" w:eastAsia="zh-CN"/>
        </w:rPr>
        <w:t>预算</w:t>
      </w:r>
      <w:r>
        <w:rPr>
          <w:rFonts w:hint="eastAsia" w:ascii="宋体" w:hAnsi="宋体" w:cs="宋体"/>
          <w:color w:val="auto"/>
          <w:sz w:val="24"/>
          <w:szCs w:val="24"/>
          <w:highlight w:val="none"/>
        </w:rPr>
        <w:t>评审报告中建筑安装工程费作为计费基数，计算公式为：参照发改价格[2007]670号文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增城区发展和改革局联合发文（增财【2009】59号）执行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计算的监理收费基价结合各调整系数得到的价格×（1-中标下浮率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其中，</w:t>
      </w:r>
      <w:r>
        <w:rPr>
          <w:rFonts w:hint="eastAsia" w:ascii="宋体" w:hAnsi="宋体" w:cs="宋体"/>
          <w:color w:val="auto"/>
          <w:sz w:val="24"/>
          <w:szCs w:val="24"/>
          <w:highlight w:val="none"/>
          <w:u w:val="single"/>
        </w:rPr>
        <w:t>专业调整系数、工程复杂程度调整系数、高程调整系数</w:t>
      </w:r>
      <w:r>
        <w:rPr>
          <w:rFonts w:hint="eastAsia" w:ascii="宋体" w:hAnsi="宋体" w:cs="宋体"/>
          <w:color w:val="auto"/>
          <w:sz w:val="24"/>
          <w:szCs w:val="24"/>
          <w:highlight w:val="none"/>
          <w:u w:val="single"/>
          <w:lang w:val="en-US" w:eastAsia="zh-CN"/>
        </w:rPr>
        <w:t>参照</w:t>
      </w:r>
      <w:r>
        <w:rPr>
          <w:rFonts w:hint="eastAsia" w:ascii="宋体" w:hAnsi="宋体" w:cs="宋体"/>
          <w:color w:val="auto"/>
          <w:sz w:val="24"/>
          <w:szCs w:val="24"/>
          <w:highlight w:val="none"/>
          <w:u w:val="single"/>
        </w:rPr>
        <w:t>发改价格[2007]670号文</w:t>
      </w:r>
      <w:r>
        <w:rPr>
          <w:rFonts w:hint="eastAsia" w:ascii="宋体" w:hAnsi="宋体" w:cs="宋体"/>
          <w:color w:val="auto"/>
          <w:sz w:val="24"/>
          <w:szCs w:val="24"/>
          <w:highlight w:val="none"/>
          <w:u w:val="single"/>
          <w:lang w:val="en-US" w:eastAsia="zh-CN"/>
        </w:rPr>
        <w:t>规定执行</w:t>
      </w:r>
      <w:r>
        <w:rPr>
          <w:rFonts w:hint="eastAsia" w:ascii="宋体" w:hAnsi="宋体" w:cs="宋体"/>
          <w:color w:val="auto"/>
          <w:sz w:val="24"/>
          <w:szCs w:val="24"/>
          <w:highlight w:val="none"/>
        </w:rPr>
        <w:t>。</w:t>
      </w:r>
    </w:p>
    <w:p>
      <w:pPr>
        <w:pStyle w:val="11"/>
        <w:spacing w:after="0"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2、在本合同约定的监理范围内，监理人不得以任何理由要求附加工作和额外工作的监理报酬。 </w:t>
      </w:r>
    </w:p>
    <w:p>
      <w:pPr>
        <w:pStyle w:val="11"/>
        <w:spacing w:after="0"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3、在本合同约定的监理范围内，当工程量增加、或设计变更或设计规模变化时，监理人工作的变化均应视为本合同约定的监理工作。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4、除非双方另有约定，本合同约定的服务期间，各种费率和费用不因物价变动而给予弥补或调整。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pacing w:val="-1"/>
          <w:sz w:val="24"/>
          <w:szCs w:val="24"/>
          <w:highlight w:val="none"/>
        </w:rPr>
        <w:t>、在本合同约定的监理范围内，非因监理人原因造成工程延期，致使监理服务期出现延</w:t>
      </w:r>
      <w:r>
        <w:rPr>
          <w:rFonts w:hint="eastAsia" w:ascii="宋体" w:hAnsi="宋体" w:cs="宋体"/>
          <w:color w:val="auto"/>
          <w:sz w:val="24"/>
          <w:szCs w:val="24"/>
          <w:highlight w:val="none"/>
        </w:rPr>
        <w:t xml:space="preserve">长，监理人的责任期也应相应延长，本合同监理报酬总额不作调整，双方另有约定的除外。 </w:t>
      </w:r>
    </w:p>
    <w:p>
      <w:pPr>
        <w:pStyle w:val="11"/>
        <w:spacing w:after="0" w:line="365"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6、如在工程实施期间，因国家政策变化、政府对本合同工程的计划调整或不可抗力等非</w:t>
      </w:r>
      <w:r>
        <w:rPr>
          <w:rFonts w:hint="eastAsia" w:ascii="宋体" w:hAnsi="宋体" w:cs="宋体"/>
          <w:color w:val="auto"/>
          <w:spacing w:val="-7"/>
          <w:sz w:val="24"/>
          <w:szCs w:val="24"/>
          <w:highlight w:val="none"/>
        </w:rPr>
        <w:t>委托人原因造成本合同工程停建的，则监理人必须接受终止服务并积极配合委托人做好善后工</w:t>
      </w:r>
      <w:r>
        <w:rPr>
          <w:rFonts w:hint="eastAsia" w:ascii="宋体" w:hAnsi="宋体" w:cs="宋体"/>
          <w:color w:val="auto"/>
          <w:sz w:val="24"/>
          <w:szCs w:val="24"/>
          <w:highlight w:val="none"/>
        </w:rPr>
        <w:t xml:space="preserve">作，按已实际完成的监理服务内容和本合同的相关约定结清监理报酬。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7、如在工程实施期间，因任何原因造成本合同工程中间停工而导致监理人必须二次或多</w:t>
      </w:r>
      <w:r>
        <w:rPr>
          <w:rFonts w:hint="eastAsia" w:ascii="宋体" w:hAnsi="宋体" w:cs="宋体"/>
          <w:color w:val="auto"/>
          <w:spacing w:val="-1"/>
          <w:sz w:val="24"/>
          <w:szCs w:val="24"/>
          <w:highlight w:val="none"/>
        </w:rPr>
        <w:t>次进出场，监理报酬总额将不会因此而有所调整，相关费用亦已经包含在本合同监理报酬中。</w:t>
      </w:r>
      <w:r>
        <w:rPr>
          <w:rFonts w:hint="eastAsia" w:ascii="宋体" w:hAnsi="宋体" w:cs="宋体"/>
          <w:color w:val="auto"/>
          <w:spacing w:val="-4"/>
          <w:sz w:val="24"/>
          <w:szCs w:val="24"/>
          <w:highlight w:val="none"/>
        </w:rPr>
        <w:t>本合同监理报酬含项目全部监理咨询工作所需的全部费用：监理人完成合同规定全部监理工作所需的各类人员的动员/</w:t>
      </w:r>
      <w:r>
        <w:rPr>
          <w:rFonts w:hint="eastAsia" w:ascii="宋体" w:hAnsi="宋体" w:cs="宋体"/>
          <w:color w:val="auto"/>
          <w:spacing w:val="-7"/>
          <w:sz w:val="24"/>
          <w:szCs w:val="24"/>
          <w:highlight w:val="none"/>
        </w:rPr>
        <w:t>复员费、各类设备和仪器的进场</w:t>
      </w:r>
      <w:r>
        <w:rPr>
          <w:rFonts w:hint="eastAsia" w:ascii="宋体" w:hAnsi="宋体" w:cs="宋体"/>
          <w:color w:val="auto"/>
          <w:sz w:val="24"/>
          <w:szCs w:val="24"/>
          <w:highlight w:val="none"/>
        </w:rPr>
        <w:t>/</w:t>
      </w:r>
      <w:r>
        <w:rPr>
          <w:rFonts w:hint="eastAsia" w:ascii="宋体" w:hAnsi="宋体" w:cs="宋体"/>
          <w:color w:val="auto"/>
          <w:spacing w:val="-8"/>
          <w:sz w:val="24"/>
          <w:szCs w:val="24"/>
          <w:highlight w:val="none"/>
        </w:rPr>
        <w:t>退场费、各项准备工作的费用、临时</w:t>
      </w:r>
      <w:r>
        <w:rPr>
          <w:rFonts w:hint="eastAsia" w:ascii="宋体" w:hAnsi="宋体" w:cs="宋体"/>
          <w:color w:val="auto"/>
          <w:spacing w:val="-9"/>
          <w:sz w:val="24"/>
          <w:szCs w:val="24"/>
          <w:highlight w:val="none"/>
        </w:rPr>
        <w:t>设施费、差旅费、人员</w:t>
      </w:r>
      <w:r>
        <w:rPr>
          <w:rFonts w:hint="eastAsia" w:ascii="宋体" w:hAnsi="宋体" w:cs="宋体"/>
          <w:color w:val="auto"/>
          <w:sz w:val="24"/>
          <w:szCs w:val="24"/>
          <w:highlight w:val="none"/>
        </w:rPr>
        <w:t>/</w:t>
      </w:r>
      <w:r>
        <w:rPr>
          <w:rFonts w:hint="eastAsia" w:ascii="宋体" w:hAnsi="宋体" w:cs="宋体"/>
          <w:color w:val="auto"/>
          <w:spacing w:val="-8"/>
          <w:sz w:val="24"/>
          <w:szCs w:val="24"/>
          <w:highlight w:val="none"/>
        </w:rPr>
        <w:t>劳务费</w:t>
      </w:r>
      <w:r>
        <w:rPr>
          <w:rFonts w:hint="eastAsia" w:ascii="宋体" w:hAnsi="宋体" w:cs="宋体"/>
          <w:color w:val="auto"/>
          <w:sz w:val="24"/>
          <w:szCs w:val="24"/>
          <w:highlight w:val="none"/>
        </w:rPr>
        <w:t>（</w:t>
      </w:r>
      <w:r>
        <w:rPr>
          <w:rFonts w:hint="eastAsia" w:ascii="宋体" w:hAnsi="宋体" w:cs="宋体"/>
          <w:color w:val="auto"/>
          <w:spacing w:val="-10"/>
          <w:sz w:val="24"/>
          <w:szCs w:val="24"/>
          <w:highlight w:val="none"/>
        </w:rPr>
        <w:t>内容包括但不限于：工资、补贴、津贴、福利、奖金、医疗、</w:t>
      </w:r>
      <w:r>
        <w:rPr>
          <w:rFonts w:hint="eastAsia" w:ascii="宋体" w:hAnsi="宋体" w:cs="宋体"/>
          <w:color w:val="auto"/>
          <w:spacing w:val="-7"/>
          <w:sz w:val="24"/>
          <w:szCs w:val="24"/>
          <w:highlight w:val="none"/>
        </w:rPr>
        <w:t>保健、劳保、保险及其他各种相关费用</w:t>
      </w:r>
      <w:r>
        <w:rPr>
          <w:rFonts w:hint="eastAsia" w:ascii="宋体" w:hAnsi="宋体" w:cs="宋体"/>
          <w:color w:val="auto"/>
          <w:spacing w:val="-10"/>
          <w:sz w:val="24"/>
          <w:szCs w:val="24"/>
          <w:highlight w:val="none"/>
        </w:rPr>
        <w:t>）</w:t>
      </w:r>
      <w:r>
        <w:rPr>
          <w:rFonts w:hint="eastAsia" w:ascii="宋体" w:hAnsi="宋体" w:cs="宋体"/>
          <w:color w:val="auto"/>
          <w:spacing w:val="-9"/>
          <w:sz w:val="24"/>
          <w:szCs w:val="24"/>
          <w:highlight w:val="none"/>
        </w:rPr>
        <w:t>、交通、工具、财务费用、消耗品、各种办公费、食</w:t>
      </w:r>
      <w:r>
        <w:rPr>
          <w:rFonts w:hint="eastAsia" w:ascii="宋体" w:hAnsi="宋体" w:cs="宋体"/>
          <w:color w:val="auto"/>
          <w:spacing w:val="-8"/>
          <w:sz w:val="24"/>
          <w:szCs w:val="24"/>
          <w:highlight w:val="none"/>
        </w:rPr>
        <w:t>宿费、办公场所租赁</w:t>
      </w:r>
      <w:r>
        <w:rPr>
          <w:rFonts w:hint="eastAsia" w:ascii="宋体" w:hAnsi="宋体" w:cs="宋体"/>
          <w:color w:val="auto"/>
          <w:sz w:val="24"/>
          <w:szCs w:val="24"/>
          <w:highlight w:val="none"/>
        </w:rPr>
        <w:t>/</w:t>
      </w:r>
      <w:r>
        <w:rPr>
          <w:rFonts w:hint="eastAsia" w:ascii="宋体" w:hAnsi="宋体" w:cs="宋体"/>
          <w:color w:val="auto"/>
          <w:spacing w:val="-9"/>
          <w:sz w:val="24"/>
          <w:szCs w:val="24"/>
          <w:highlight w:val="none"/>
        </w:rPr>
        <w:t>使用费、交通费、各种工作设备及仪器及机械的购置</w:t>
      </w:r>
      <w:r>
        <w:rPr>
          <w:rFonts w:hint="eastAsia" w:ascii="宋体" w:hAnsi="宋体" w:cs="宋体"/>
          <w:color w:val="auto"/>
          <w:sz w:val="24"/>
          <w:szCs w:val="24"/>
          <w:highlight w:val="none"/>
        </w:rPr>
        <w:t>/使用/折旧/维修等费用、各种车辆的购置/使用/折旧/维修等费用、各种取证费用、知识产权使用费、完成工作</w:t>
      </w:r>
      <w:r>
        <w:rPr>
          <w:rFonts w:hint="eastAsia" w:ascii="宋体" w:hAnsi="宋体" w:cs="宋体"/>
          <w:color w:val="auto"/>
          <w:spacing w:val="-6"/>
          <w:sz w:val="24"/>
          <w:szCs w:val="24"/>
          <w:highlight w:val="none"/>
        </w:rPr>
        <w:t>所需的相关的批准与许可的费用、工作协调费、资料使用和购买的费用、成果报告编制费、出</w:t>
      </w:r>
      <w:r>
        <w:rPr>
          <w:rFonts w:hint="eastAsia" w:ascii="宋体" w:hAnsi="宋体" w:cs="宋体"/>
          <w:color w:val="auto"/>
          <w:spacing w:val="-12"/>
          <w:sz w:val="24"/>
          <w:szCs w:val="24"/>
          <w:highlight w:val="none"/>
        </w:rPr>
        <w:t>版费、会议费、技术支持与现场服务费、各种管理费、各种津贴、社会保险、医疗保险、人身</w:t>
      </w:r>
      <w:r>
        <w:rPr>
          <w:rFonts w:hint="eastAsia" w:ascii="宋体" w:hAnsi="宋体" w:cs="宋体"/>
          <w:color w:val="auto"/>
          <w:spacing w:val="-11"/>
          <w:sz w:val="24"/>
          <w:szCs w:val="24"/>
          <w:highlight w:val="none"/>
        </w:rPr>
        <w:t>保险、财产保险、第三方责任险及其他各种保险的费用、各种风险的费用</w:t>
      </w:r>
      <w:r>
        <w:rPr>
          <w:rFonts w:hint="eastAsia" w:ascii="宋体" w:hAnsi="宋体" w:cs="宋体"/>
          <w:color w:val="auto"/>
          <w:sz w:val="24"/>
          <w:szCs w:val="24"/>
          <w:highlight w:val="none"/>
        </w:rPr>
        <w:t>（包括但不限于外界/周边环境的变化和影响、各种技术资料及其他资料的准确性和真实性和充足性的影响、各种</w:t>
      </w:r>
      <w:r>
        <w:rPr>
          <w:rFonts w:hint="eastAsia" w:ascii="宋体" w:hAnsi="宋体" w:cs="宋体"/>
          <w:color w:val="auto"/>
          <w:spacing w:val="-2"/>
          <w:sz w:val="24"/>
          <w:szCs w:val="24"/>
          <w:highlight w:val="none"/>
        </w:rPr>
        <w:t>人为因素的干扰和影响，及其他各种影响和干扰</w:t>
      </w:r>
      <w:r>
        <w:rPr>
          <w:rFonts w:hint="eastAsia" w:ascii="宋体" w:hAnsi="宋体" w:cs="宋体"/>
          <w:color w:val="auto"/>
          <w:spacing w:val="-20"/>
          <w:sz w:val="24"/>
          <w:szCs w:val="24"/>
          <w:highlight w:val="none"/>
        </w:rPr>
        <w:t>）</w:t>
      </w:r>
      <w:r>
        <w:rPr>
          <w:rFonts w:hint="eastAsia" w:ascii="宋体" w:hAnsi="宋体" w:cs="宋体"/>
          <w:color w:val="auto"/>
          <w:spacing w:val="-9"/>
          <w:sz w:val="24"/>
          <w:szCs w:val="24"/>
          <w:highlight w:val="none"/>
        </w:rPr>
        <w:t>、各种税费、利润、政府各部门及其他相关</w:t>
      </w:r>
      <w:r>
        <w:rPr>
          <w:rFonts w:hint="eastAsia" w:ascii="宋体" w:hAnsi="宋体" w:cs="宋体"/>
          <w:color w:val="auto"/>
          <w:spacing w:val="-19"/>
          <w:sz w:val="24"/>
          <w:szCs w:val="24"/>
          <w:highlight w:val="none"/>
        </w:rPr>
        <w:t>的单位和实体收取的各种费用、财务费用、可能出现的各种变动因素而导致的价格上涨和增加、</w:t>
      </w:r>
      <w:r>
        <w:rPr>
          <w:rFonts w:hint="eastAsia" w:ascii="宋体" w:hAnsi="宋体" w:cs="宋体"/>
          <w:color w:val="auto"/>
          <w:sz w:val="24"/>
          <w:szCs w:val="24"/>
          <w:highlight w:val="none"/>
        </w:rPr>
        <w:t xml:space="preserve">各种加班的费用、各种杂费及其它一切与履行本合同有关的费用（包括在合同中明确说明和/ 或未明确说明的应补偿给监理人的其它费用）。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（二）监理报酬的支付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1"/>
          <w:sz w:val="24"/>
          <w:szCs w:val="24"/>
          <w:highlight w:val="none"/>
        </w:rPr>
        <w:t>、监理合同签订，监理人提供经委托人审批的监理规划、监理实施细则，项目监理人员</w:t>
      </w:r>
      <w:r>
        <w:rPr>
          <w:rFonts w:hint="eastAsia" w:ascii="宋体" w:hAnsi="宋体" w:cs="宋体"/>
          <w:color w:val="auto"/>
          <w:spacing w:val="-3"/>
          <w:sz w:val="24"/>
          <w:szCs w:val="24"/>
          <w:highlight w:val="none"/>
        </w:rPr>
        <w:t xml:space="preserve">组织机构经委托人审核备案，在施工单位进场后 </w:t>
      </w:r>
      <w:r>
        <w:rPr>
          <w:rFonts w:hint="eastAsia" w:ascii="宋体" w:hAnsi="宋体" w:cs="宋体"/>
          <w:color w:val="auto"/>
          <w:spacing w:val="-9"/>
          <w:sz w:val="24"/>
          <w:szCs w:val="24"/>
          <w:highlight w:val="none"/>
        </w:rPr>
        <w:t>，委托人一次性支付监理人首期监理</w:t>
      </w:r>
      <w:r>
        <w:rPr>
          <w:rFonts w:hint="eastAsia" w:ascii="宋体" w:hAnsi="宋体" w:cs="宋体"/>
          <w:color w:val="auto"/>
          <w:sz w:val="24"/>
          <w:szCs w:val="24"/>
          <w:highlight w:val="none"/>
        </w:rPr>
        <w:t>费（本</w:t>
      </w:r>
      <w:r>
        <w:rPr>
          <w:rFonts w:hint="eastAsia" w:ascii="宋体" w:hAnsi="宋体" w:cs="宋体"/>
          <w:color w:val="auto"/>
          <w:spacing w:val="-9"/>
          <w:sz w:val="24"/>
          <w:szCs w:val="24"/>
          <w:highlight w:val="none"/>
        </w:rPr>
        <w:t xml:space="preserve">监理合同暂定总价的 </w:t>
      </w:r>
      <w:r>
        <w:rPr>
          <w:rFonts w:hint="eastAsia" w:ascii="宋体" w:hAnsi="宋体" w:cs="宋体"/>
          <w:color w:val="auto"/>
          <w:sz w:val="24"/>
          <w:szCs w:val="24"/>
          <w:highlight w:val="none"/>
        </w:rPr>
        <w:t xml:space="preserve">10%）；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2、工程量完成至 30%，委托人支付至本监理合同暂定总价的 20%；</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3、工程量完成至 50%，委托人支付至本监理合同暂定总价的 30%；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4、工程量完成至 80%，委托人支付至本监理合同暂定总价的60%；</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5、工程完工，现场建设完成并调试和试运行验收合格后，委托人支付至本监理合同暂定总价的 80%；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6、工程竣工验收合格并经主管部门备案后，委托人支付至本监理合同暂定总价的90%； </w:t>
      </w:r>
    </w:p>
    <w:p>
      <w:pPr>
        <w:pStyle w:val="11"/>
        <w:spacing w:after="0"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7、工程结算后，委托人支付至本工程监理费结算价的 97%；</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pacing w:val="-14"/>
          <w:sz w:val="24"/>
          <w:szCs w:val="24"/>
          <w:highlight w:val="none"/>
        </w:rPr>
        <w:t>、</w:t>
      </w:r>
      <w:r>
        <w:rPr>
          <w:rFonts w:hint="eastAsia" w:ascii="宋体" w:hAnsi="宋体" w:cs="宋体"/>
          <w:color w:val="auto"/>
          <w:sz w:val="24"/>
          <w:szCs w:val="24"/>
          <w:highlight w:val="none"/>
        </w:rPr>
        <w:t xml:space="preserve">待工程质量缺陷责任期满，监理人协助委托人完成工程竣工档案备案后支付该项目监理费结算价的余款（不计利息）。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pacing w:val="-12"/>
          <w:sz w:val="24"/>
          <w:szCs w:val="24"/>
          <w:highlight w:val="none"/>
        </w:rPr>
        <w:t xml:space="preserve">、监理人应在委托人支付款项前向委托人提供合格的增值税专用发票及相应的付款材料， </w:t>
      </w:r>
      <w:r>
        <w:rPr>
          <w:rFonts w:hint="eastAsia" w:ascii="宋体" w:hAnsi="宋体" w:cs="宋体"/>
          <w:color w:val="auto"/>
          <w:spacing w:val="-5"/>
          <w:sz w:val="24"/>
          <w:szCs w:val="24"/>
          <w:highlight w:val="none"/>
        </w:rPr>
        <w:t xml:space="preserve">否则委托人有权延期付款且无需承担任何责任。支付进度监理费时，需附监理人盖章确认的违约台账，如有违约罚金，委托人有权从应付款项中直接扣除当期监理费对应的违约金。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10、监理人指定收款账户：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户 名 ：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开户行：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银行账号：  </w:t>
      </w:r>
    </w:p>
    <w:p>
      <w:pPr>
        <w:pStyle w:val="11"/>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纳税人识别号：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11.经双方同意，上述所有款项均由项目业主</w:t>
      </w:r>
      <w:r>
        <w:rPr>
          <w:rFonts w:hint="eastAsia" w:ascii="宋体" w:hAnsi="宋体"/>
          <w:strike w:val="0"/>
          <w:color w:val="auto"/>
          <w:sz w:val="24"/>
          <w:highlight w:val="none"/>
          <w:u w:val="single"/>
          <w:lang w:eastAsia="zh-CN"/>
        </w:rPr>
        <w:t>广州市增城排水有限公司</w:t>
      </w:r>
      <w:r>
        <w:rPr>
          <w:rFonts w:hint="eastAsia" w:ascii="宋体" w:hAnsi="宋体" w:cs="宋体"/>
          <w:color w:val="auto"/>
          <w:sz w:val="24"/>
          <w:szCs w:val="24"/>
          <w:highlight w:val="none"/>
        </w:rPr>
        <w:t>支付，付款前监理人应向</w:t>
      </w:r>
      <w:r>
        <w:rPr>
          <w:rFonts w:hint="eastAsia" w:ascii="宋体" w:hAnsi="宋体"/>
          <w:strike w:val="0"/>
          <w:color w:val="auto"/>
          <w:sz w:val="24"/>
          <w:highlight w:val="none"/>
          <w:u w:val="single"/>
          <w:lang w:eastAsia="zh-CN"/>
        </w:rPr>
        <w:t>广州市增城排水有限公司</w:t>
      </w:r>
      <w:r>
        <w:rPr>
          <w:rFonts w:hint="eastAsia" w:ascii="宋体" w:hAnsi="宋体" w:cs="宋体"/>
          <w:color w:val="auto"/>
          <w:sz w:val="24"/>
          <w:szCs w:val="24"/>
          <w:highlight w:val="none"/>
        </w:rPr>
        <w:t>提供符合要求的请款资料并</w:t>
      </w:r>
      <w:r>
        <w:rPr>
          <w:rFonts w:hint="eastAsia" w:ascii="宋体" w:hAnsi="宋体" w:cs="宋体"/>
          <w:color w:val="auto"/>
          <w:sz w:val="24"/>
          <w:szCs w:val="24"/>
          <w:highlight w:val="none"/>
          <w:lang w:eastAsia="zh-CN"/>
        </w:rPr>
        <w:t>按</w:t>
      </w:r>
      <w:r>
        <w:rPr>
          <w:rFonts w:hint="eastAsia" w:ascii="宋体" w:hAnsi="宋体"/>
          <w:strike w:val="0"/>
          <w:color w:val="auto"/>
          <w:sz w:val="24"/>
          <w:highlight w:val="none"/>
          <w:u w:val="single"/>
          <w:lang w:eastAsia="zh-CN"/>
        </w:rPr>
        <w:t>业主单位要求</w:t>
      </w:r>
      <w:r>
        <w:rPr>
          <w:rFonts w:hint="eastAsia" w:ascii="宋体" w:hAnsi="宋体" w:cs="宋体"/>
          <w:color w:val="auto"/>
          <w:sz w:val="24"/>
          <w:szCs w:val="24"/>
          <w:highlight w:val="none"/>
        </w:rPr>
        <w:t>开具合</w:t>
      </w:r>
      <w:r>
        <w:rPr>
          <w:rFonts w:hint="eastAsia" w:ascii="宋体" w:hAnsi="宋体" w:cs="宋体"/>
          <w:color w:val="auto"/>
          <w:sz w:val="24"/>
          <w:szCs w:val="24"/>
          <w:highlight w:val="none"/>
          <w:lang w:eastAsia="zh-CN"/>
        </w:rPr>
        <w:t>法合</w:t>
      </w:r>
      <w:r>
        <w:rPr>
          <w:rFonts w:hint="eastAsia" w:ascii="宋体" w:hAnsi="宋体" w:cs="宋体"/>
          <w:color w:val="auto"/>
          <w:sz w:val="24"/>
          <w:szCs w:val="24"/>
          <w:highlight w:val="none"/>
        </w:rPr>
        <w:t>规有效的增值税专用发票。业主单位在规定时间内向增城区财政部门或国家开发银行提出支付申请手续后即视为已经按期支付。开票信息如下：</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户名：</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纳税人识别号：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开户银行：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账号：</w:t>
      </w:r>
    </w:p>
    <w:p>
      <w:pPr>
        <w:pStyle w:val="11"/>
        <w:spacing w:after="0" w:line="364"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第四十一条 </w:t>
      </w:r>
      <w:r>
        <w:rPr>
          <w:rFonts w:hint="eastAsia" w:ascii="宋体" w:hAnsi="宋体" w:cs="宋体"/>
          <w:color w:val="auto"/>
          <w:sz w:val="24"/>
          <w:szCs w:val="24"/>
          <w:highlight w:val="none"/>
        </w:rPr>
        <w:t xml:space="preserve">委托人与监理人双方同意用人民币支付本合同涉及的相关款项。 </w:t>
      </w:r>
    </w:p>
    <w:p>
      <w:pPr>
        <w:pStyle w:val="11"/>
        <w:spacing w:after="0" w:line="364"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第四十二条 </w:t>
      </w:r>
      <w:r>
        <w:rPr>
          <w:rFonts w:hint="eastAsia" w:ascii="宋体" w:hAnsi="宋体" w:cs="宋体"/>
          <w:color w:val="auto"/>
          <w:sz w:val="24"/>
          <w:szCs w:val="24"/>
          <w:highlight w:val="none"/>
        </w:rPr>
        <w:t xml:space="preserve">双方一致同意不适用本合同标准条款第 42 条的约定，监理人申请委托人付款的，应按委托人规定办理请款手续。 </w:t>
      </w:r>
    </w:p>
    <w:p>
      <w:pPr>
        <w:pStyle w:val="11"/>
        <w:spacing w:after="0" w:line="364"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第四十三条 </w:t>
      </w:r>
      <w:r>
        <w:rPr>
          <w:rFonts w:hint="eastAsia" w:ascii="宋体" w:hAnsi="宋体" w:cs="宋体"/>
          <w:color w:val="auto"/>
          <w:sz w:val="24"/>
          <w:szCs w:val="24"/>
          <w:highlight w:val="none"/>
        </w:rPr>
        <w:t xml:space="preserve">双方一致同意不适用本合同标准条款第 43 条的约定，委托的建设工程监理所必要的监理人员出外考察、材料设备复试、监造，其费用支出由监理人负责解决。 </w:t>
      </w:r>
    </w:p>
    <w:p>
      <w:pPr>
        <w:pStyle w:val="11"/>
        <w:spacing w:after="0" w:line="364"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第四十九条 </w:t>
      </w:r>
      <w:r>
        <w:rPr>
          <w:rFonts w:hint="eastAsia" w:ascii="宋体" w:hAnsi="宋体" w:cs="宋体"/>
          <w:color w:val="auto"/>
          <w:spacing w:val="-1"/>
          <w:sz w:val="24"/>
          <w:szCs w:val="24"/>
          <w:highlight w:val="none"/>
        </w:rPr>
        <w:t>因履行本合同发生或与本合同有关的争议，双方当事人应友好协商解决。协</w:t>
      </w:r>
      <w:r>
        <w:rPr>
          <w:rFonts w:hint="eastAsia" w:ascii="宋体" w:hAnsi="宋体" w:cs="宋体"/>
          <w:color w:val="auto"/>
          <w:spacing w:val="-12"/>
          <w:sz w:val="24"/>
          <w:szCs w:val="24"/>
          <w:highlight w:val="none"/>
        </w:rPr>
        <w:t>商不成的，向工程所在地人民法院起诉，但诉讼不影响委托人同其他监理单位另行签订监理合</w:t>
      </w:r>
      <w:r>
        <w:rPr>
          <w:rFonts w:hint="eastAsia" w:ascii="宋体" w:hAnsi="宋体" w:cs="宋体"/>
          <w:color w:val="auto"/>
          <w:sz w:val="24"/>
          <w:szCs w:val="24"/>
          <w:highlight w:val="none"/>
        </w:rPr>
        <w:t xml:space="preserve">同。 </w:t>
      </w:r>
    </w:p>
    <w:p>
      <w:pPr>
        <w:pStyle w:val="11"/>
        <w:spacing w:after="0" w:line="360" w:lineRule="auto"/>
        <w:ind w:firstLine="482" w:firstLineChars="200"/>
        <w:rPr>
          <w:rFonts w:ascii="宋体" w:hAnsi="宋体" w:cs="宋体"/>
          <w:b/>
          <w:color w:val="auto"/>
          <w:highlight w:val="none"/>
        </w:rPr>
      </w:pPr>
      <w:r>
        <w:rPr>
          <w:rFonts w:hint="eastAsia" w:ascii="宋体" w:hAnsi="宋体" w:cs="宋体"/>
          <w:b/>
          <w:bCs/>
          <w:color w:val="auto"/>
          <w:sz w:val="24"/>
          <w:szCs w:val="24"/>
          <w:highlight w:val="none"/>
        </w:rPr>
        <w:t>第五十条</w:t>
      </w: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补充条款</w:t>
      </w:r>
      <w:r>
        <w:rPr>
          <w:rFonts w:ascii="宋体" w:hAnsi="宋体" w:cs="宋体"/>
          <w:b/>
          <w:bCs/>
          <w:color w:val="auto"/>
          <w:sz w:val="24"/>
          <w:szCs w:val="24"/>
          <w:highlight w:val="none"/>
        </w:rPr>
        <w:t xml:space="preserve">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（一）施工阶段的造价投资控制：监理人进场时必须派驻至少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名注册造价工程师提供驻场服务，并接受建设单位统一工作安排，并要求建立施工阶段工程预算台账，具体要求和模式另定。 </w:t>
      </w:r>
    </w:p>
    <w:p>
      <w:pPr>
        <w:pStyle w:val="11"/>
        <w:numPr>
          <w:ilvl w:val="-1"/>
          <w:numId w:val="0"/>
        </w:numPr>
        <w:spacing w:after="0" w:line="364"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eastAsia="宋体" w:cs="宋体"/>
          <w:color w:val="auto"/>
          <w:sz w:val="24"/>
          <w:szCs w:val="24"/>
          <w:highlight w:val="none"/>
          <w:lang w:val="en-US" w:eastAsia="zh-CN"/>
        </w:rPr>
        <w:t>中标后至整个合同履行期间，监理人派驻的人员除满足本工程招标文件的要求外，还应按照发包人对本项目工程管理的需求单独派驻2名技术人员进驻发包人管理机构负责与监理相关的协调工作并自行配备车辆，上述人员及用车费用由承包人统一在报价中考虑，发包人不另行支付该费用。</w:t>
      </w:r>
    </w:p>
    <w:p>
      <w:pPr>
        <w:pStyle w:val="11"/>
        <w:numPr>
          <w:ilvl w:val="-1"/>
          <w:numId w:val="0"/>
        </w:numPr>
        <w:spacing w:after="0" w:line="364"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虽然有本合同《</w:t>
      </w:r>
      <w:r>
        <w:rPr>
          <w:rFonts w:hint="eastAsia" w:ascii="宋体" w:hAnsi="宋体" w:eastAsia="宋体" w:cs="宋体"/>
          <w:color w:val="auto"/>
          <w:spacing w:val="0"/>
          <w:sz w:val="24"/>
          <w:szCs w:val="24"/>
          <w:highlight w:val="none"/>
        </w:rPr>
        <w:t>拟委派监理人员一览表</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的规定，但不因此免除监理单位根据工程建设的实际需要而配备专业技术高、知识丰富的监理人员，以此提供监理服务水平和服务质量的责任和义务，在工程实施过程中，本项目业主将在服务水平和服务质量等方面对监理人员进行考核，不能满足工程监理实际需要的监理人员，委托人有权要求监理单位更换，直至满足工程建设的需要。</w:t>
      </w:r>
    </w:p>
    <w:p>
      <w:pPr>
        <w:pStyle w:val="11"/>
        <w:numPr>
          <w:ilvl w:val="-1"/>
          <w:numId w:val="0"/>
        </w:numPr>
        <w:spacing w:after="0" w:line="364"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w:t>
      </w:r>
      <w:r>
        <w:rPr>
          <w:rFonts w:hint="eastAsia" w:ascii="宋体" w:hAnsi="宋体" w:eastAsia="宋体" w:cs="宋体"/>
          <w:color w:val="auto"/>
          <w:spacing w:val="0"/>
          <w:sz w:val="24"/>
          <w:szCs w:val="24"/>
          <w:highlight w:val="none"/>
          <w:lang w:val="en-US" w:eastAsia="zh-CN"/>
        </w:rPr>
        <w:t>监理中所需一切检测仪器、仪表等监理工具由监理人负责。投入的监理常规性检验、检测仪器清单（见附表）。</w:t>
      </w:r>
    </w:p>
    <w:p>
      <w:pPr>
        <w:pStyle w:val="11"/>
        <w:numPr>
          <w:ilvl w:val="-1"/>
          <w:numId w:val="0"/>
        </w:numPr>
        <w:spacing w:after="0" w:line="364"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r>
        <w:rPr>
          <w:rFonts w:hint="eastAsia" w:ascii="宋体" w:hAnsi="宋体" w:eastAsia="宋体" w:cs="宋体"/>
          <w:color w:val="auto"/>
          <w:spacing w:val="0"/>
          <w:sz w:val="24"/>
          <w:szCs w:val="24"/>
          <w:highlight w:val="none"/>
          <w:lang w:val="en-US" w:eastAsia="zh-CN"/>
        </w:rPr>
        <w:t>监理方须在保障监理工作人员人身安全的前提下开展工作，对于监理工作人员的人身伤亡由监理方承担责任。</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 xml:space="preserve">）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2</w:t>
      </w:r>
      <w:r>
        <w:rPr>
          <w:rFonts w:ascii="宋体" w:hAnsi="宋体" w:cs="宋体"/>
          <w:color w:val="auto"/>
          <w:sz w:val="24"/>
          <w:szCs w:val="24"/>
          <w:highlight w:val="none"/>
        </w:rPr>
        <w:t xml:space="preserve"> 天内到达现场，履行监理职责。如监理人在保修期内不履行监</w:t>
      </w:r>
      <w:r>
        <w:rPr>
          <w:rFonts w:hint="eastAsia" w:ascii="宋体" w:hAnsi="宋体" w:cs="宋体"/>
          <w:color w:val="auto"/>
          <w:sz w:val="24"/>
          <w:szCs w:val="24"/>
          <w:highlight w:val="none"/>
        </w:rPr>
        <w:t xml:space="preserve">理职责的，委托人有权不支付余款。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）广州市相关管理规定为本合同组成部分，各方均应执行。</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）由于监理人采取有效监管措施，致使工程施工的关键工期比计划提前</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5</w:t>
      </w:r>
      <w:r>
        <w:rPr>
          <w:rFonts w:ascii="宋体" w:hAnsi="宋体" w:cs="宋体"/>
          <w:color w:val="auto"/>
          <w:sz w:val="24"/>
          <w:szCs w:val="24"/>
          <w:highlight w:val="none"/>
        </w:rPr>
        <w:t xml:space="preserve"> 日以上</w:t>
      </w:r>
      <w:r>
        <w:rPr>
          <w:rFonts w:hint="eastAsia" w:ascii="宋体" w:hAnsi="宋体" w:cs="宋体"/>
          <w:color w:val="auto"/>
          <w:sz w:val="24"/>
          <w:szCs w:val="24"/>
          <w:highlight w:val="none"/>
        </w:rPr>
        <w:t>（含5</w:t>
      </w:r>
      <w:r>
        <w:rPr>
          <w:rFonts w:ascii="宋体" w:hAnsi="宋体" w:cs="宋体"/>
          <w:color w:val="auto"/>
          <w:sz w:val="24"/>
          <w:szCs w:val="24"/>
          <w:highlight w:val="none"/>
        </w:rPr>
        <w:t xml:space="preserve"> 日</w:t>
      </w:r>
      <w:r>
        <w:rPr>
          <w:rFonts w:hint="eastAsia" w:ascii="宋体" w:hAnsi="宋体" w:cs="宋体"/>
          <w:color w:val="auto"/>
          <w:sz w:val="24"/>
          <w:szCs w:val="24"/>
          <w:highlight w:val="none"/>
        </w:rPr>
        <w:t>）的，可抵扣监理人一般违约责任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次；关键工期提前 </w:t>
      </w:r>
      <w:r>
        <w:rPr>
          <w:rFonts w:hint="eastAsia" w:ascii="宋体" w:hAnsi="宋体" w:cs="宋体"/>
          <w:color w:val="auto"/>
          <w:sz w:val="24"/>
          <w:szCs w:val="24"/>
          <w:highlight w:val="none"/>
        </w:rPr>
        <w:t>10</w:t>
      </w:r>
      <w:r>
        <w:rPr>
          <w:rFonts w:ascii="宋体" w:hAnsi="宋体" w:cs="宋体"/>
          <w:color w:val="auto"/>
          <w:sz w:val="24"/>
          <w:szCs w:val="24"/>
          <w:highlight w:val="none"/>
        </w:rPr>
        <w:t xml:space="preserve"> 天以上</w:t>
      </w:r>
      <w:r>
        <w:rPr>
          <w:rFonts w:hint="eastAsia" w:ascii="宋体" w:hAnsi="宋体" w:cs="宋体"/>
          <w:color w:val="auto"/>
          <w:sz w:val="24"/>
          <w:szCs w:val="24"/>
          <w:highlight w:val="none"/>
        </w:rPr>
        <w:t>（含</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10</w:t>
      </w:r>
      <w:r>
        <w:rPr>
          <w:rFonts w:ascii="宋体" w:hAnsi="宋体" w:cs="宋体"/>
          <w:color w:val="auto"/>
          <w:sz w:val="24"/>
          <w:szCs w:val="24"/>
          <w:highlight w:val="none"/>
        </w:rPr>
        <w:t xml:space="preserve"> 天</w:t>
      </w:r>
      <w:r>
        <w:rPr>
          <w:rFonts w:hint="eastAsia" w:ascii="宋体" w:hAnsi="宋体" w:cs="宋体"/>
          <w:color w:val="auto"/>
          <w:sz w:val="24"/>
          <w:szCs w:val="24"/>
          <w:highlight w:val="none"/>
        </w:rPr>
        <w:t>）的，可抵扣监理人严重违约责任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次；关键线路工期提前 </w:t>
      </w:r>
      <w:r>
        <w:rPr>
          <w:rFonts w:hint="eastAsia" w:ascii="宋体" w:hAnsi="宋体" w:cs="宋体"/>
          <w:color w:val="auto"/>
          <w:sz w:val="24"/>
          <w:szCs w:val="24"/>
          <w:highlight w:val="none"/>
        </w:rPr>
        <w:t>20</w:t>
      </w:r>
      <w:r>
        <w:rPr>
          <w:rFonts w:ascii="宋体" w:hAnsi="宋体" w:cs="宋体"/>
          <w:color w:val="auto"/>
          <w:sz w:val="24"/>
          <w:szCs w:val="24"/>
          <w:highlight w:val="none"/>
        </w:rPr>
        <w:t xml:space="preserve"> 天以上</w:t>
      </w:r>
      <w:r>
        <w:rPr>
          <w:rFonts w:hint="eastAsia" w:ascii="宋体" w:hAnsi="宋体" w:cs="宋体"/>
          <w:color w:val="auto"/>
          <w:sz w:val="24"/>
          <w:szCs w:val="24"/>
          <w:highlight w:val="none"/>
        </w:rPr>
        <w:t>（含</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20</w:t>
      </w:r>
      <w:r>
        <w:rPr>
          <w:rFonts w:ascii="宋体" w:hAnsi="宋体" w:cs="宋体"/>
          <w:color w:val="auto"/>
          <w:sz w:val="24"/>
          <w:szCs w:val="24"/>
          <w:highlight w:val="none"/>
        </w:rPr>
        <w:t xml:space="preserve"> 天</w:t>
      </w:r>
      <w:r>
        <w:rPr>
          <w:rFonts w:hint="eastAsia" w:ascii="宋体" w:hAnsi="宋体" w:cs="宋体"/>
          <w:color w:val="auto"/>
          <w:sz w:val="24"/>
          <w:szCs w:val="24"/>
          <w:highlight w:val="none"/>
        </w:rPr>
        <w:t xml:space="preserve">）的，可抵扣监理人严重违约责任 2 次。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rPr>
        <w:t>）由于监理人提出合理化建议，优化技术方案，被委托人采纳并实施，节约投资 10万元以上（含）的，可抵扣监理人一般违约责任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次；节约投资 </w:t>
      </w:r>
      <w:r>
        <w:rPr>
          <w:rFonts w:hint="eastAsia" w:ascii="宋体" w:hAnsi="宋体" w:cs="宋体"/>
          <w:color w:val="auto"/>
          <w:sz w:val="24"/>
          <w:szCs w:val="24"/>
          <w:highlight w:val="none"/>
        </w:rPr>
        <w:t>30</w:t>
      </w:r>
      <w:r>
        <w:rPr>
          <w:rFonts w:ascii="宋体" w:hAnsi="宋体" w:cs="宋体"/>
          <w:color w:val="auto"/>
          <w:sz w:val="24"/>
          <w:szCs w:val="24"/>
          <w:highlight w:val="none"/>
        </w:rPr>
        <w:t xml:space="preserve"> 万元以上</w:t>
      </w:r>
      <w:r>
        <w:rPr>
          <w:rFonts w:hint="eastAsia" w:ascii="宋体" w:hAnsi="宋体" w:cs="宋体"/>
          <w:color w:val="auto"/>
          <w:sz w:val="24"/>
          <w:szCs w:val="24"/>
          <w:highlight w:val="none"/>
        </w:rPr>
        <w:t>（含）的，可抵扣监理人一般违约责任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2</w:t>
      </w:r>
      <w:r>
        <w:rPr>
          <w:rFonts w:ascii="宋体" w:hAnsi="宋体" w:cs="宋体"/>
          <w:color w:val="auto"/>
          <w:sz w:val="24"/>
          <w:szCs w:val="24"/>
          <w:highlight w:val="none"/>
        </w:rPr>
        <w:t xml:space="preserve"> 次；节约投资 </w:t>
      </w:r>
      <w:r>
        <w:rPr>
          <w:rFonts w:hint="eastAsia" w:ascii="宋体" w:hAnsi="宋体" w:cs="宋体"/>
          <w:color w:val="auto"/>
          <w:sz w:val="24"/>
          <w:szCs w:val="24"/>
          <w:highlight w:val="none"/>
        </w:rPr>
        <w:t>50</w:t>
      </w:r>
      <w:r>
        <w:rPr>
          <w:rFonts w:ascii="宋体" w:hAnsi="宋体" w:cs="宋体"/>
          <w:color w:val="auto"/>
          <w:sz w:val="24"/>
          <w:szCs w:val="24"/>
          <w:highlight w:val="none"/>
        </w:rPr>
        <w:t xml:space="preserve"> 万元以上</w:t>
      </w:r>
      <w:r>
        <w:rPr>
          <w:rFonts w:hint="eastAsia" w:ascii="宋体" w:hAnsi="宋体" w:cs="宋体"/>
          <w:color w:val="auto"/>
          <w:sz w:val="24"/>
          <w:szCs w:val="24"/>
          <w:highlight w:val="none"/>
        </w:rPr>
        <w:t>（含）的，可抵扣监理人严重违约责任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1次；节约投资 100 万元以上（含）的，可抵扣监理人严重违约责任 2 次。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十一</w:t>
      </w:r>
      <w:r>
        <w:rPr>
          <w:rFonts w:hint="eastAsia" w:ascii="宋体" w:hAnsi="宋体" w:cs="宋体"/>
          <w:color w:val="auto"/>
          <w:sz w:val="24"/>
          <w:szCs w:val="24"/>
          <w:highlight w:val="none"/>
        </w:rPr>
        <w:t>）监理人认真履行安全文明施工管理责任，得到委托人及建设主管部门书面表彰的，</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可抵扣监理人严重违约责任</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 次；取得市安全文明样板工地的，可抵扣监理人严重违约责任 </w:t>
      </w:r>
      <w:r>
        <w:rPr>
          <w:rFonts w:hint="eastAsia" w:ascii="宋体" w:hAnsi="宋体" w:cs="宋体"/>
          <w:color w:val="auto"/>
          <w:sz w:val="24"/>
          <w:szCs w:val="24"/>
          <w:highlight w:val="none"/>
        </w:rPr>
        <w:t xml:space="preserve">2 次（如本工程有工地创优市优指标硬性要求的除外）。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十二</w:t>
      </w:r>
      <w:r>
        <w:rPr>
          <w:rFonts w:hint="eastAsia" w:ascii="宋体" w:hAnsi="宋体" w:cs="宋体"/>
          <w:color w:val="auto"/>
          <w:sz w:val="24"/>
          <w:szCs w:val="24"/>
          <w:highlight w:val="none"/>
        </w:rPr>
        <w:t xml:space="preserve">）监理人在委托人组织的项目检查评分取得 90 分（含）以上的，可抵扣监理人一般违约责任 1 次。项目监理人员就本项目受到委托人及建设主管部门表彰的，每人次可抵扣监理人严重违约责任 1 次；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十三</w:t>
      </w:r>
      <w:r>
        <w:rPr>
          <w:rFonts w:hint="eastAsia" w:ascii="宋体" w:hAnsi="宋体" w:cs="宋体"/>
          <w:color w:val="auto"/>
          <w:sz w:val="24"/>
          <w:szCs w:val="24"/>
          <w:highlight w:val="none"/>
        </w:rPr>
        <w:t>）监理人抵扣的违约处罚，可按照合同相应条款，在实际已发生的违约罚金内返还。如项目完工后，实际可抵扣的监理人违约责任多于实际处罚的违约责任，原则上不予经济奖励，</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委托方视情况给予通报表扬。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 xml:space="preserve">）如本合同需缴纳合同印花税，监理人需在有关税务部门规定期限及结清本合同费用前，按规定代缴属委托人缴纳的部分，代缴后委托人按代缴金额实报实销。监理人未按规定期限代缴印花税的，因此产生的滞纳金由监理人承担。 </w:t>
      </w:r>
    </w:p>
    <w:p>
      <w:pPr>
        <w:pStyle w:val="11"/>
        <w:spacing w:after="0" w:line="307" w:lineRule="exact"/>
        <w:ind w:firstLine="480" w:firstLineChars="200"/>
        <w:rPr>
          <w:color w:val="auto"/>
          <w:highlight w:val="none"/>
        </w:rPr>
      </w:pPr>
      <w:r>
        <w:rPr>
          <w:rFonts w:hint="eastAsia" w:ascii="宋体" w:hAnsi="宋体" w:cs="宋体"/>
          <w:color w:val="auto"/>
          <w:sz w:val="24"/>
          <w:szCs w:val="24"/>
          <w:highlight w:val="none"/>
        </w:rPr>
        <w:t>（此页以下无正文</w:t>
      </w:r>
      <w:r>
        <w:rPr>
          <w:color w:val="auto"/>
          <w:highlight w:val="none"/>
        </w:rPr>
        <w:t xml:space="preserve">） </w:t>
      </w:r>
    </w:p>
    <w:p>
      <w:pPr>
        <w:pStyle w:val="11"/>
        <w:spacing w:after="0" w:line="364" w:lineRule="auto"/>
        <w:ind w:firstLine="460" w:firstLineChars="200"/>
        <w:rPr>
          <w:rFonts w:ascii="宋体" w:hAnsi="宋体" w:cs="宋体"/>
          <w:color w:val="auto"/>
          <w:spacing w:val="-5"/>
          <w:sz w:val="24"/>
          <w:szCs w:val="24"/>
          <w:highlight w:val="none"/>
        </w:rPr>
      </w:pPr>
    </w:p>
    <w:p>
      <w:pPr>
        <w:pStyle w:val="11"/>
        <w:spacing w:after="0" w:line="364" w:lineRule="auto"/>
        <w:ind w:firstLine="460" w:firstLineChars="200"/>
        <w:rPr>
          <w:rFonts w:ascii="宋体" w:hAnsi="宋体" w:cs="宋体"/>
          <w:color w:val="auto"/>
          <w:spacing w:val="-5"/>
          <w:sz w:val="24"/>
          <w:szCs w:val="24"/>
          <w:highlight w:val="none"/>
        </w:rPr>
      </w:pPr>
      <w:r>
        <w:rPr>
          <w:rFonts w:hint="eastAsia" w:ascii="宋体" w:hAnsi="宋体" w:cs="宋体"/>
          <w:color w:val="auto"/>
          <w:spacing w:val="-5"/>
          <w:sz w:val="24"/>
          <w:szCs w:val="24"/>
          <w:highlight w:val="none"/>
        </w:rPr>
        <w:t xml:space="preserve">附件一：拟委派监理人员一览表 </w:t>
      </w:r>
    </w:p>
    <w:p>
      <w:pPr>
        <w:pStyle w:val="11"/>
        <w:spacing w:after="0" w:line="364" w:lineRule="auto"/>
        <w:ind w:firstLine="460" w:firstLineChars="200"/>
        <w:rPr>
          <w:rFonts w:hint="eastAsia" w:ascii="宋体" w:hAnsi="宋体" w:cs="宋体"/>
          <w:color w:val="auto"/>
          <w:spacing w:val="-5"/>
          <w:sz w:val="24"/>
          <w:szCs w:val="24"/>
          <w:highlight w:val="none"/>
        </w:rPr>
      </w:pPr>
      <w:r>
        <w:rPr>
          <w:rFonts w:hint="eastAsia" w:ascii="宋体" w:hAnsi="宋体" w:cs="宋体"/>
          <w:color w:val="auto"/>
          <w:spacing w:val="-5"/>
          <w:sz w:val="24"/>
          <w:szCs w:val="24"/>
          <w:highlight w:val="none"/>
        </w:rPr>
        <w:t>附件二：</w:t>
      </w:r>
      <w:r>
        <w:rPr>
          <w:rFonts w:hint="eastAsia" w:ascii="宋体" w:hAnsi="宋体" w:cs="宋体"/>
          <w:color w:val="auto"/>
          <w:spacing w:val="-5"/>
          <w:sz w:val="24"/>
          <w:szCs w:val="24"/>
          <w:highlight w:val="none"/>
          <w:lang w:val="en-US" w:eastAsia="zh-CN"/>
        </w:rPr>
        <w:t>监理常规性检验、检测仪器清单</w:t>
      </w:r>
    </w:p>
    <w:p>
      <w:pPr>
        <w:pStyle w:val="11"/>
        <w:spacing w:after="0" w:line="364" w:lineRule="auto"/>
        <w:ind w:firstLine="460" w:firstLineChars="200"/>
        <w:rPr>
          <w:rFonts w:ascii="宋体" w:hAnsi="宋体" w:cs="宋体"/>
          <w:color w:val="auto"/>
          <w:spacing w:val="-5"/>
          <w:sz w:val="24"/>
          <w:szCs w:val="24"/>
          <w:highlight w:val="none"/>
        </w:rPr>
        <w:sectPr>
          <w:pgSz w:w="12240" w:h="15840"/>
          <w:pgMar w:top="1440" w:right="1803" w:bottom="1440" w:left="1803" w:header="0" w:footer="623" w:gutter="0"/>
          <w:pgNumType w:fmt="decimal"/>
          <w:cols w:space="720" w:num="1"/>
        </w:sectPr>
      </w:pPr>
      <w:r>
        <w:rPr>
          <w:rFonts w:hint="eastAsia" w:ascii="宋体" w:hAnsi="宋体" w:cs="宋体"/>
          <w:color w:val="auto"/>
          <w:spacing w:val="-5"/>
          <w:sz w:val="24"/>
          <w:szCs w:val="24"/>
          <w:highlight w:val="none"/>
        </w:rPr>
        <w:t>附件</w:t>
      </w:r>
      <w:r>
        <w:rPr>
          <w:rFonts w:hint="eastAsia" w:ascii="宋体" w:hAnsi="宋体" w:cs="宋体"/>
          <w:color w:val="auto"/>
          <w:spacing w:val="-5"/>
          <w:sz w:val="24"/>
          <w:szCs w:val="24"/>
          <w:highlight w:val="none"/>
          <w:lang w:val="en-US" w:eastAsia="zh-CN"/>
        </w:rPr>
        <w:t>三</w:t>
      </w:r>
      <w:r>
        <w:rPr>
          <w:rFonts w:hint="eastAsia" w:ascii="宋体" w:hAnsi="宋体" w:cs="宋体"/>
          <w:color w:val="auto"/>
          <w:spacing w:val="-5"/>
          <w:sz w:val="24"/>
          <w:szCs w:val="24"/>
          <w:highlight w:val="none"/>
        </w:rPr>
        <w:t>：建设工程廉政责任书</w:t>
      </w:r>
    </w:p>
    <w:p>
      <w:pPr>
        <w:pStyle w:val="5"/>
        <w:spacing w:before="0" w:after="0"/>
        <w:ind w:firstLine="560" w:firstLineChars="200"/>
        <w:rPr>
          <w:color w:val="auto"/>
          <w:highlight w:val="none"/>
        </w:rPr>
      </w:pPr>
      <w:bookmarkStart w:id="581" w:name="_Toc1341"/>
      <w:r>
        <w:rPr>
          <w:color w:val="auto"/>
          <w:highlight w:val="none"/>
        </w:rPr>
        <w:t>附件</w:t>
      </w:r>
      <w:r>
        <w:rPr>
          <w:rFonts w:hint="eastAsia"/>
          <w:color w:val="auto"/>
          <w:highlight w:val="none"/>
        </w:rPr>
        <w:t>一</w:t>
      </w:r>
      <w:r>
        <w:rPr>
          <w:color w:val="auto"/>
          <w:highlight w:val="none"/>
        </w:rPr>
        <w:t>：拟委派监理人员一览表</w:t>
      </w:r>
      <w:bookmarkEnd w:id="581"/>
      <w:r>
        <w:rPr>
          <w:color w:val="auto"/>
          <w:w w:val="98"/>
          <w:highlight w:val="none"/>
        </w:rPr>
        <w:t xml:space="preserve"> </w:t>
      </w:r>
    </w:p>
    <w:p>
      <w:pPr>
        <w:ind w:firstLine="643" w:firstLineChars="200"/>
        <w:jc w:val="center"/>
        <w:rPr>
          <w:b/>
          <w:color w:val="auto"/>
          <w:sz w:val="32"/>
          <w:highlight w:val="none"/>
        </w:rPr>
      </w:pPr>
      <w:r>
        <w:rPr>
          <w:b/>
          <w:color w:val="auto"/>
          <w:sz w:val="32"/>
          <w:highlight w:val="none"/>
        </w:rPr>
        <w:t>拟委派监理人员一览表</w:t>
      </w:r>
      <w:r>
        <w:rPr>
          <w:b/>
          <w:color w:val="auto"/>
          <w:w w:val="98"/>
          <w:sz w:val="32"/>
          <w:highlight w:val="none"/>
        </w:rPr>
        <w:t xml:space="preserve"> </w:t>
      </w:r>
    </w:p>
    <w:tbl>
      <w:tblPr>
        <w:tblStyle w:val="23"/>
        <w:tblpPr w:leftFromText="180" w:rightFromText="180" w:vertAnchor="text" w:horzAnchor="page" w:tblpX="1137" w:tblpY="207"/>
        <w:tblOverlap w:val="never"/>
        <w:tblW w:w="93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
        <w:gridCol w:w="649"/>
        <w:gridCol w:w="1073"/>
        <w:gridCol w:w="1602"/>
        <w:gridCol w:w="770"/>
        <w:gridCol w:w="675"/>
        <w:gridCol w:w="968"/>
        <w:gridCol w:w="791"/>
        <w:gridCol w:w="722"/>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976" w:type="dxa"/>
            <w:vMerge w:val="restart"/>
            <w:vAlign w:val="center"/>
          </w:tcPr>
          <w:p>
            <w:pPr>
              <w:pStyle w:val="31"/>
              <w:jc w:val="center"/>
              <w:rPr>
                <w:rFonts w:hint="default"/>
                <w:b/>
                <w:color w:val="auto"/>
                <w:sz w:val="20"/>
                <w:szCs w:val="20"/>
                <w:highlight w:val="none"/>
              </w:rPr>
            </w:pPr>
            <w:r>
              <w:rPr>
                <w:b/>
                <w:color w:val="auto"/>
                <w:spacing w:val="53"/>
                <w:sz w:val="20"/>
                <w:szCs w:val="20"/>
                <w:highlight w:val="none"/>
              </w:rPr>
              <w:t>职务</w:t>
            </w:r>
          </w:p>
        </w:tc>
        <w:tc>
          <w:tcPr>
            <w:tcW w:w="649" w:type="dxa"/>
            <w:vMerge w:val="restart"/>
            <w:vAlign w:val="center"/>
          </w:tcPr>
          <w:p>
            <w:pPr>
              <w:pStyle w:val="31"/>
              <w:jc w:val="center"/>
              <w:rPr>
                <w:rFonts w:hint="default"/>
                <w:b/>
                <w:color w:val="auto"/>
                <w:sz w:val="20"/>
                <w:szCs w:val="20"/>
                <w:highlight w:val="none"/>
              </w:rPr>
            </w:pPr>
            <w:r>
              <w:rPr>
                <w:b/>
                <w:color w:val="auto"/>
                <w:sz w:val="20"/>
                <w:szCs w:val="20"/>
                <w:highlight w:val="none"/>
              </w:rPr>
              <w:t>姓名</w:t>
            </w:r>
          </w:p>
        </w:tc>
        <w:tc>
          <w:tcPr>
            <w:tcW w:w="1073" w:type="dxa"/>
            <w:vMerge w:val="restart"/>
            <w:vAlign w:val="center"/>
          </w:tcPr>
          <w:p>
            <w:pPr>
              <w:pStyle w:val="31"/>
              <w:jc w:val="center"/>
              <w:rPr>
                <w:rFonts w:hint="default"/>
                <w:b/>
                <w:color w:val="auto"/>
                <w:sz w:val="20"/>
                <w:szCs w:val="20"/>
                <w:highlight w:val="none"/>
              </w:rPr>
            </w:pPr>
            <w:r>
              <w:rPr>
                <w:b/>
                <w:color w:val="auto"/>
                <w:spacing w:val="53"/>
                <w:sz w:val="20"/>
                <w:szCs w:val="20"/>
                <w:highlight w:val="none"/>
              </w:rPr>
              <w:t>职称</w:t>
            </w:r>
          </w:p>
        </w:tc>
        <w:tc>
          <w:tcPr>
            <w:tcW w:w="4015" w:type="dxa"/>
            <w:gridSpan w:val="4"/>
            <w:vAlign w:val="center"/>
          </w:tcPr>
          <w:p>
            <w:pPr>
              <w:pStyle w:val="31"/>
              <w:jc w:val="center"/>
              <w:rPr>
                <w:rFonts w:hint="default"/>
                <w:b/>
                <w:color w:val="auto"/>
                <w:sz w:val="20"/>
                <w:szCs w:val="20"/>
                <w:highlight w:val="none"/>
              </w:rPr>
            </w:pPr>
            <w:r>
              <w:rPr>
                <w:b/>
                <w:color w:val="auto"/>
                <w:sz w:val="20"/>
                <w:szCs w:val="20"/>
                <w:highlight w:val="none"/>
              </w:rPr>
              <w:t>执业或职业资格证明</w:t>
            </w:r>
          </w:p>
        </w:tc>
        <w:tc>
          <w:tcPr>
            <w:tcW w:w="1513" w:type="dxa"/>
            <w:gridSpan w:val="2"/>
            <w:vAlign w:val="center"/>
          </w:tcPr>
          <w:p>
            <w:pPr>
              <w:pStyle w:val="31"/>
              <w:rPr>
                <w:rFonts w:hint="default"/>
                <w:b/>
                <w:color w:val="auto"/>
                <w:sz w:val="20"/>
                <w:szCs w:val="20"/>
                <w:highlight w:val="none"/>
              </w:rPr>
            </w:pPr>
            <w:r>
              <w:rPr>
                <w:b/>
                <w:color w:val="auto"/>
                <w:sz w:val="20"/>
                <w:szCs w:val="20"/>
                <w:highlight w:val="none"/>
              </w:rPr>
              <w:t>目前参与工程数量（含本工程）</w:t>
            </w:r>
          </w:p>
        </w:tc>
        <w:tc>
          <w:tcPr>
            <w:tcW w:w="1171" w:type="dxa"/>
            <w:vMerge w:val="restart"/>
            <w:vAlign w:val="center"/>
          </w:tcPr>
          <w:p>
            <w:pPr>
              <w:pStyle w:val="31"/>
              <w:jc w:val="center"/>
              <w:rPr>
                <w:rFonts w:hint="default"/>
                <w:b/>
                <w:color w:val="auto"/>
                <w:sz w:val="20"/>
                <w:szCs w:val="20"/>
                <w:highlight w:val="none"/>
              </w:rPr>
            </w:pPr>
            <w:r>
              <w:rPr>
                <w:b/>
                <w:color w:val="auto"/>
                <w:sz w:val="20"/>
                <w:szCs w:val="20"/>
                <w:highlight w:val="none"/>
              </w:rPr>
              <w:t>手机号码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76" w:type="dxa"/>
            <w:vMerge w:val="continue"/>
            <w:vAlign w:val="center"/>
          </w:tcPr>
          <w:p>
            <w:pPr>
              <w:spacing w:line="440" w:lineRule="exact"/>
              <w:ind w:firstLine="400" w:firstLineChars="200"/>
              <w:rPr>
                <w:color w:val="auto"/>
                <w:sz w:val="20"/>
                <w:szCs w:val="20"/>
                <w:highlight w:val="none"/>
              </w:rPr>
            </w:pPr>
          </w:p>
        </w:tc>
        <w:tc>
          <w:tcPr>
            <w:tcW w:w="649" w:type="dxa"/>
            <w:vMerge w:val="continue"/>
            <w:vAlign w:val="center"/>
          </w:tcPr>
          <w:p>
            <w:pPr>
              <w:spacing w:line="440" w:lineRule="exact"/>
              <w:ind w:firstLine="400" w:firstLineChars="200"/>
              <w:rPr>
                <w:color w:val="auto"/>
                <w:sz w:val="20"/>
                <w:szCs w:val="20"/>
                <w:highlight w:val="none"/>
              </w:rPr>
            </w:pPr>
          </w:p>
        </w:tc>
        <w:tc>
          <w:tcPr>
            <w:tcW w:w="1073" w:type="dxa"/>
            <w:vMerge w:val="continue"/>
            <w:vAlign w:val="center"/>
          </w:tcPr>
          <w:p>
            <w:pPr>
              <w:ind w:firstLine="400" w:firstLineChars="200"/>
              <w:rPr>
                <w:color w:val="auto"/>
                <w:sz w:val="20"/>
                <w:szCs w:val="20"/>
                <w:highlight w:val="none"/>
              </w:rPr>
            </w:pPr>
          </w:p>
        </w:tc>
        <w:tc>
          <w:tcPr>
            <w:tcW w:w="1602" w:type="dxa"/>
            <w:vAlign w:val="center"/>
          </w:tcPr>
          <w:p>
            <w:pPr>
              <w:pStyle w:val="31"/>
              <w:ind w:firstLine="402" w:firstLineChars="200"/>
              <w:rPr>
                <w:rFonts w:hint="default"/>
                <w:b/>
                <w:color w:val="auto"/>
                <w:sz w:val="20"/>
                <w:szCs w:val="20"/>
                <w:highlight w:val="none"/>
              </w:rPr>
            </w:pPr>
            <w:r>
              <w:rPr>
                <w:b/>
                <w:color w:val="auto"/>
                <w:sz w:val="20"/>
                <w:szCs w:val="20"/>
                <w:highlight w:val="none"/>
              </w:rPr>
              <w:t>证书名称</w:t>
            </w:r>
          </w:p>
        </w:tc>
        <w:tc>
          <w:tcPr>
            <w:tcW w:w="770" w:type="dxa"/>
            <w:vAlign w:val="center"/>
          </w:tcPr>
          <w:p>
            <w:pPr>
              <w:pStyle w:val="31"/>
              <w:jc w:val="center"/>
              <w:rPr>
                <w:rFonts w:hint="default"/>
                <w:b/>
                <w:color w:val="auto"/>
                <w:sz w:val="20"/>
                <w:szCs w:val="20"/>
                <w:highlight w:val="none"/>
              </w:rPr>
            </w:pPr>
            <w:r>
              <w:rPr>
                <w:b/>
                <w:color w:val="auto"/>
                <w:sz w:val="20"/>
                <w:szCs w:val="20"/>
                <w:highlight w:val="none"/>
              </w:rPr>
              <w:t>级别</w:t>
            </w:r>
          </w:p>
        </w:tc>
        <w:tc>
          <w:tcPr>
            <w:tcW w:w="675" w:type="dxa"/>
            <w:vAlign w:val="center"/>
          </w:tcPr>
          <w:p>
            <w:pPr>
              <w:pStyle w:val="31"/>
              <w:jc w:val="center"/>
              <w:rPr>
                <w:rFonts w:hint="default"/>
                <w:b/>
                <w:color w:val="auto"/>
                <w:sz w:val="20"/>
                <w:szCs w:val="20"/>
                <w:highlight w:val="none"/>
              </w:rPr>
            </w:pPr>
            <w:r>
              <w:rPr>
                <w:b/>
                <w:color w:val="auto"/>
                <w:sz w:val="20"/>
                <w:szCs w:val="20"/>
                <w:highlight w:val="none"/>
              </w:rPr>
              <w:t>证号</w:t>
            </w:r>
          </w:p>
        </w:tc>
        <w:tc>
          <w:tcPr>
            <w:tcW w:w="968" w:type="dxa"/>
            <w:vAlign w:val="center"/>
          </w:tcPr>
          <w:p>
            <w:pPr>
              <w:pStyle w:val="31"/>
              <w:jc w:val="center"/>
              <w:rPr>
                <w:rFonts w:hint="default"/>
                <w:b/>
                <w:color w:val="auto"/>
                <w:sz w:val="20"/>
                <w:szCs w:val="20"/>
                <w:highlight w:val="none"/>
              </w:rPr>
            </w:pPr>
            <w:r>
              <w:rPr>
                <w:b/>
                <w:color w:val="auto"/>
                <w:sz w:val="20"/>
                <w:szCs w:val="20"/>
                <w:highlight w:val="none"/>
              </w:rPr>
              <w:t>专业</w:t>
            </w:r>
          </w:p>
        </w:tc>
        <w:tc>
          <w:tcPr>
            <w:tcW w:w="791" w:type="dxa"/>
            <w:vAlign w:val="center"/>
          </w:tcPr>
          <w:p>
            <w:pPr>
              <w:pStyle w:val="31"/>
              <w:jc w:val="center"/>
              <w:rPr>
                <w:rFonts w:hint="default"/>
                <w:b/>
                <w:color w:val="auto"/>
                <w:sz w:val="20"/>
                <w:szCs w:val="20"/>
                <w:highlight w:val="none"/>
              </w:rPr>
            </w:pPr>
            <w:r>
              <w:rPr>
                <w:b/>
                <w:color w:val="auto"/>
                <w:sz w:val="20"/>
                <w:szCs w:val="20"/>
                <w:highlight w:val="none"/>
              </w:rPr>
              <w:t>数量</w:t>
            </w:r>
          </w:p>
        </w:tc>
        <w:tc>
          <w:tcPr>
            <w:tcW w:w="722" w:type="dxa"/>
            <w:vAlign w:val="center"/>
          </w:tcPr>
          <w:p>
            <w:pPr>
              <w:pStyle w:val="31"/>
              <w:jc w:val="center"/>
              <w:rPr>
                <w:rFonts w:hint="default"/>
                <w:b/>
                <w:color w:val="auto"/>
                <w:sz w:val="20"/>
                <w:szCs w:val="20"/>
                <w:highlight w:val="none"/>
              </w:rPr>
            </w:pPr>
            <w:r>
              <w:rPr>
                <w:b/>
                <w:color w:val="auto"/>
                <w:sz w:val="20"/>
                <w:szCs w:val="20"/>
                <w:highlight w:val="none"/>
              </w:rPr>
              <w:t>名称</w:t>
            </w:r>
          </w:p>
        </w:tc>
        <w:tc>
          <w:tcPr>
            <w:tcW w:w="1171" w:type="dxa"/>
            <w:vMerge w:val="continue"/>
            <w:vAlign w:val="center"/>
          </w:tcPr>
          <w:p>
            <w:pPr>
              <w:pStyle w:val="31"/>
              <w:ind w:firstLine="402" w:firstLineChars="200"/>
              <w:rPr>
                <w:rFonts w:hint="default"/>
                <w:b/>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976" w:type="dxa"/>
            <w:vAlign w:val="center"/>
          </w:tcPr>
          <w:p>
            <w:pPr>
              <w:ind w:firstLine="400" w:firstLineChars="200"/>
              <w:rPr>
                <w:color w:val="auto"/>
                <w:sz w:val="20"/>
                <w:szCs w:val="20"/>
                <w:highlight w:val="none"/>
              </w:rPr>
            </w:pPr>
          </w:p>
        </w:tc>
        <w:tc>
          <w:tcPr>
            <w:tcW w:w="649" w:type="dxa"/>
            <w:vAlign w:val="center"/>
          </w:tcPr>
          <w:p>
            <w:pPr>
              <w:ind w:firstLine="400" w:firstLineChars="200"/>
              <w:rPr>
                <w:color w:val="auto"/>
                <w:sz w:val="20"/>
                <w:szCs w:val="20"/>
                <w:highlight w:val="none"/>
              </w:rPr>
            </w:pPr>
          </w:p>
        </w:tc>
        <w:tc>
          <w:tcPr>
            <w:tcW w:w="1073" w:type="dxa"/>
            <w:vAlign w:val="center"/>
          </w:tcPr>
          <w:p>
            <w:pPr>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976" w:type="dxa"/>
            <w:vAlign w:val="center"/>
          </w:tcPr>
          <w:p>
            <w:pPr>
              <w:ind w:firstLine="400" w:firstLineChars="200"/>
              <w:rPr>
                <w:color w:val="auto"/>
                <w:sz w:val="20"/>
                <w:szCs w:val="20"/>
                <w:highlight w:val="none"/>
              </w:rPr>
            </w:pPr>
          </w:p>
        </w:tc>
        <w:tc>
          <w:tcPr>
            <w:tcW w:w="649" w:type="dxa"/>
            <w:vAlign w:val="center"/>
          </w:tcPr>
          <w:p>
            <w:pPr>
              <w:ind w:firstLine="400" w:firstLineChars="200"/>
              <w:rPr>
                <w:color w:val="auto"/>
                <w:sz w:val="20"/>
                <w:szCs w:val="20"/>
                <w:highlight w:val="none"/>
              </w:rPr>
            </w:pPr>
          </w:p>
        </w:tc>
        <w:tc>
          <w:tcPr>
            <w:tcW w:w="1073" w:type="dxa"/>
            <w:vAlign w:val="center"/>
          </w:tcPr>
          <w:p>
            <w:pPr>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Align w:val="center"/>
          </w:tcPr>
          <w:p>
            <w:pPr>
              <w:spacing w:line="440" w:lineRule="exact"/>
              <w:ind w:firstLine="400" w:firstLineChars="200"/>
              <w:rPr>
                <w:color w:val="auto"/>
                <w:sz w:val="20"/>
                <w:szCs w:val="20"/>
                <w:highlight w:val="none"/>
              </w:rPr>
            </w:pPr>
          </w:p>
        </w:tc>
        <w:tc>
          <w:tcPr>
            <w:tcW w:w="649" w:type="dxa"/>
            <w:vAlign w:val="center"/>
          </w:tcPr>
          <w:p>
            <w:pPr>
              <w:spacing w:line="440" w:lineRule="exact"/>
              <w:ind w:firstLine="400" w:firstLineChars="200"/>
              <w:rPr>
                <w:color w:val="auto"/>
                <w:sz w:val="20"/>
                <w:szCs w:val="20"/>
                <w:highlight w:val="none"/>
              </w:rPr>
            </w:pPr>
          </w:p>
        </w:tc>
        <w:tc>
          <w:tcPr>
            <w:tcW w:w="1073" w:type="dxa"/>
            <w:vAlign w:val="center"/>
          </w:tcPr>
          <w:p>
            <w:pPr>
              <w:spacing w:line="440" w:lineRule="exact"/>
              <w:ind w:firstLine="400" w:firstLineChars="200"/>
              <w:rPr>
                <w:color w:val="auto"/>
                <w:sz w:val="20"/>
                <w:szCs w:val="20"/>
                <w:highlight w:val="none"/>
              </w:rPr>
            </w:pPr>
          </w:p>
        </w:tc>
        <w:tc>
          <w:tcPr>
            <w:tcW w:w="1602" w:type="dxa"/>
            <w:vAlign w:val="center"/>
          </w:tcPr>
          <w:p>
            <w:pPr>
              <w:ind w:firstLine="400" w:firstLineChars="200"/>
              <w:rPr>
                <w:color w:val="auto"/>
                <w:sz w:val="20"/>
                <w:szCs w:val="20"/>
                <w:highlight w:val="none"/>
              </w:rPr>
            </w:pPr>
          </w:p>
        </w:tc>
        <w:tc>
          <w:tcPr>
            <w:tcW w:w="770" w:type="dxa"/>
            <w:vAlign w:val="center"/>
          </w:tcPr>
          <w:p>
            <w:pPr>
              <w:ind w:firstLine="400" w:firstLineChars="200"/>
              <w:rPr>
                <w:color w:val="auto"/>
                <w:sz w:val="20"/>
                <w:szCs w:val="20"/>
                <w:highlight w:val="none"/>
              </w:rPr>
            </w:pPr>
          </w:p>
        </w:tc>
        <w:tc>
          <w:tcPr>
            <w:tcW w:w="675" w:type="dxa"/>
            <w:vAlign w:val="center"/>
          </w:tcPr>
          <w:p>
            <w:pPr>
              <w:ind w:firstLine="400" w:firstLineChars="200"/>
              <w:rPr>
                <w:color w:val="auto"/>
                <w:sz w:val="20"/>
                <w:szCs w:val="20"/>
                <w:highlight w:val="none"/>
              </w:rPr>
            </w:pPr>
          </w:p>
        </w:tc>
        <w:tc>
          <w:tcPr>
            <w:tcW w:w="968" w:type="dxa"/>
            <w:vAlign w:val="center"/>
          </w:tcPr>
          <w:p>
            <w:pPr>
              <w:ind w:firstLine="400" w:firstLineChars="200"/>
              <w:rPr>
                <w:color w:val="auto"/>
                <w:sz w:val="20"/>
                <w:szCs w:val="20"/>
                <w:highlight w:val="none"/>
              </w:rPr>
            </w:pPr>
          </w:p>
        </w:tc>
        <w:tc>
          <w:tcPr>
            <w:tcW w:w="791" w:type="dxa"/>
            <w:vAlign w:val="center"/>
          </w:tcPr>
          <w:p>
            <w:pPr>
              <w:ind w:firstLine="400" w:firstLineChars="200"/>
              <w:rPr>
                <w:color w:val="auto"/>
                <w:sz w:val="20"/>
                <w:szCs w:val="20"/>
                <w:highlight w:val="none"/>
              </w:rPr>
            </w:pPr>
          </w:p>
        </w:tc>
        <w:tc>
          <w:tcPr>
            <w:tcW w:w="722" w:type="dxa"/>
            <w:vAlign w:val="center"/>
          </w:tcPr>
          <w:p>
            <w:pPr>
              <w:ind w:firstLine="400" w:firstLineChars="200"/>
              <w:rPr>
                <w:color w:val="auto"/>
                <w:sz w:val="20"/>
                <w:szCs w:val="20"/>
                <w:highlight w:val="none"/>
              </w:rPr>
            </w:pPr>
          </w:p>
        </w:tc>
        <w:tc>
          <w:tcPr>
            <w:tcW w:w="1171" w:type="dxa"/>
            <w:vAlign w:val="center"/>
          </w:tcPr>
          <w:p>
            <w:pPr>
              <w:ind w:firstLine="400" w:firstLineChars="200"/>
              <w:rPr>
                <w:color w:val="auto"/>
                <w:sz w:val="20"/>
                <w:szCs w:val="20"/>
                <w:highlight w:val="none"/>
              </w:rPr>
            </w:pPr>
          </w:p>
        </w:tc>
      </w:tr>
    </w:tbl>
    <w:p>
      <w:pPr>
        <w:pStyle w:val="11"/>
        <w:spacing w:after="0"/>
        <w:ind w:firstLine="181" w:firstLineChars="200"/>
        <w:rPr>
          <w:b/>
          <w:color w:val="auto"/>
          <w:sz w:val="9"/>
          <w:highlight w:val="none"/>
        </w:rPr>
      </w:pPr>
    </w:p>
    <w:p>
      <w:pPr>
        <w:rPr>
          <w:color w:val="auto"/>
          <w:highlight w:val="none"/>
        </w:rPr>
      </w:pPr>
      <w:r>
        <w:rPr>
          <w:rFonts w:hint="eastAsia" w:ascii="宋体" w:hAnsi="宋体" w:cs="宋体"/>
          <w:color w:val="auto"/>
          <w:sz w:val="24"/>
          <w:highlight w:val="none"/>
        </w:rPr>
        <w:t>注：表中所列人员配备为最低限度要求，委托人可根据实际施工进度、施工作业面及专业需要，要求中标单位配备足够专业监理人员，所有监理人员均须身体健康。</w:t>
      </w:r>
    </w:p>
    <w:p>
      <w:pPr>
        <w:ind w:firstLine="0" w:firstLineChars="0"/>
        <w:rPr>
          <w:b/>
          <w:bCs/>
          <w:color w:val="auto"/>
          <w:sz w:val="32"/>
          <w:szCs w:val="32"/>
          <w:highlight w:val="none"/>
        </w:rPr>
      </w:pPr>
      <w:bookmarkStart w:id="582" w:name="_Toc3935"/>
      <w:bookmarkStart w:id="583" w:name="_Toc17589"/>
      <w:bookmarkStart w:id="584" w:name="_Toc477938369"/>
      <w:r>
        <w:rPr>
          <w:rFonts w:hint="eastAsia"/>
          <w:b/>
          <w:bCs/>
          <w:color w:val="auto"/>
          <w:sz w:val="32"/>
          <w:szCs w:val="32"/>
          <w:highlight w:val="none"/>
        </w:rPr>
        <w:br w:type="page"/>
      </w:r>
    </w:p>
    <w:p>
      <w:pPr>
        <w:spacing w:line="360" w:lineRule="auto"/>
        <w:ind w:firstLine="643" w:firstLineChars="200"/>
        <w:outlineLvl w:val="2"/>
        <w:rPr>
          <w:rFonts w:hint="eastAsia"/>
          <w:b/>
          <w:bCs/>
          <w:color w:val="auto"/>
          <w:sz w:val="32"/>
          <w:szCs w:val="32"/>
          <w:highlight w:val="none"/>
        </w:rPr>
      </w:pPr>
      <w:bookmarkStart w:id="585" w:name="_Toc21701"/>
      <w:r>
        <w:rPr>
          <w:rFonts w:hint="eastAsia"/>
          <w:b/>
          <w:bCs/>
          <w:color w:val="auto"/>
          <w:sz w:val="32"/>
          <w:szCs w:val="32"/>
          <w:highlight w:val="none"/>
        </w:rPr>
        <w:t>附件二：</w:t>
      </w:r>
      <w:bookmarkEnd w:id="582"/>
      <w:r>
        <w:rPr>
          <w:rFonts w:hint="eastAsia"/>
          <w:b/>
          <w:bCs/>
          <w:color w:val="auto"/>
          <w:sz w:val="32"/>
          <w:szCs w:val="32"/>
          <w:highlight w:val="none"/>
        </w:rPr>
        <w:t>监理常规性检验、检测仪器清单</w:t>
      </w:r>
      <w:bookmarkEnd w:id="585"/>
      <w:r>
        <w:rPr>
          <w:rFonts w:hint="eastAsia"/>
          <w:b/>
          <w:bCs/>
          <w:color w:val="auto"/>
          <w:sz w:val="32"/>
          <w:szCs w:val="32"/>
          <w:highlight w:val="none"/>
        </w:rPr>
        <w:t>（格式）</w:t>
      </w:r>
    </w:p>
    <w:p>
      <w:pPr>
        <w:pStyle w:val="8"/>
        <w:rPr>
          <w:rFonts w:hint="eastAsia"/>
          <w:color w:val="auto"/>
          <w:highlight w:val="none"/>
        </w:rPr>
      </w:pPr>
    </w:p>
    <w:tbl>
      <w:tblPr>
        <w:tblStyle w:val="24"/>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754"/>
        <w:gridCol w:w="1002"/>
        <w:gridCol w:w="1526"/>
        <w:gridCol w:w="1631"/>
        <w:gridCol w:w="138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center"/>
          </w:tcPr>
          <w:p>
            <w:pPr>
              <w:spacing w:line="240" w:lineRule="auto"/>
              <w:jc w:val="center"/>
              <w:outlineLvl w:val="9"/>
              <w:rPr>
                <w:rFonts w:hint="default" w:eastAsia="宋体"/>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序号</w:t>
            </w:r>
          </w:p>
        </w:tc>
        <w:tc>
          <w:tcPr>
            <w:tcW w:w="1754" w:type="dxa"/>
            <w:vAlign w:val="center"/>
          </w:tcPr>
          <w:p>
            <w:pPr>
              <w:spacing w:line="240" w:lineRule="auto"/>
              <w:jc w:val="center"/>
              <w:outlineLvl w:val="9"/>
              <w:rPr>
                <w:rFonts w:hint="default" w:eastAsia="宋体"/>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设备名称</w:t>
            </w:r>
          </w:p>
        </w:tc>
        <w:tc>
          <w:tcPr>
            <w:tcW w:w="1002" w:type="dxa"/>
            <w:vAlign w:val="center"/>
          </w:tcPr>
          <w:p>
            <w:pPr>
              <w:spacing w:line="240" w:lineRule="auto"/>
              <w:jc w:val="center"/>
              <w:outlineLvl w:val="9"/>
              <w:rPr>
                <w:rFonts w:hint="eastAsia" w:eastAsia="宋体"/>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数量</w:t>
            </w:r>
          </w:p>
        </w:tc>
        <w:tc>
          <w:tcPr>
            <w:tcW w:w="1526" w:type="dxa"/>
            <w:vAlign w:val="center"/>
          </w:tcPr>
          <w:p>
            <w:pPr>
              <w:spacing w:line="240" w:lineRule="auto"/>
              <w:jc w:val="center"/>
              <w:outlineLvl w:val="9"/>
              <w:rPr>
                <w:rFonts w:hint="default" w:eastAsia="宋体"/>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规格、型号</w:t>
            </w:r>
          </w:p>
        </w:tc>
        <w:tc>
          <w:tcPr>
            <w:tcW w:w="1631" w:type="dxa"/>
            <w:vAlign w:val="center"/>
          </w:tcPr>
          <w:p>
            <w:pPr>
              <w:spacing w:line="240" w:lineRule="auto"/>
              <w:jc w:val="center"/>
              <w:outlineLvl w:val="9"/>
              <w:rPr>
                <w:rFonts w:hint="default" w:eastAsia="宋体"/>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用途、功能</w:t>
            </w:r>
          </w:p>
        </w:tc>
        <w:tc>
          <w:tcPr>
            <w:tcW w:w="1385" w:type="dxa"/>
            <w:vAlign w:val="center"/>
          </w:tcPr>
          <w:p>
            <w:pPr>
              <w:spacing w:line="240" w:lineRule="auto"/>
              <w:jc w:val="center"/>
              <w:outlineLvl w:val="9"/>
              <w:rPr>
                <w:rFonts w:hint="default" w:eastAsia="宋体"/>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已有/待购</w:t>
            </w:r>
          </w:p>
        </w:tc>
        <w:tc>
          <w:tcPr>
            <w:tcW w:w="1305" w:type="dxa"/>
            <w:vAlign w:val="center"/>
          </w:tcPr>
          <w:p>
            <w:pPr>
              <w:spacing w:line="240" w:lineRule="auto"/>
              <w:jc w:val="center"/>
              <w:outlineLvl w:val="9"/>
              <w:rPr>
                <w:rFonts w:hint="eastAsia" w:eastAsia="宋体"/>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top"/>
          </w:tcPr>
          <w:p>
            <w:pPr>
              <w:spacing w:line="240" w:lineRule="auto"/>
              <w:outlineLvl w:val="9"/>
              <w:rPr>
                <w:rFonts w:hint="eastAsia"/>
                <w:b/>
                <w:bCs/>
                <w:color w:val="auto"/>
                <w:sz w:val="32"/>
                <w:szCs w:val="32"/>
                <w:highlight w:val="none"/>
                <w:vertAlign w:val="baseline"/>
              </w:rPr>
            </w:pPr>
          </w:p>
        </w:tc>
        <w:tc>
          <w:tcPr>
            <w:tcW w:w="1754" w:type="dxa"/>
            <w:vAlign w:val="top"/>
          </w:tcPr>
          <w:p>
            <w:pPr>
              <w:spacing w:line="240" w:lineRule="auto"/>
              <w:outlineLvl w:val="9"/>
              <w:rPr>
                <w:rFonts w:hint="eastAsia"/>
                <w:b/>
                <w:bCs/>
                <w:color w:val="auto"/>
                <w:sz w:val="32"/>
                <w:szCs w:val="32"/>
                <w:highlight w:val="none"/>
                <w:vertAlign w:val="baseline"/>
              </w:rPr>
            </w:pPr>
          </w:p>
        </w:tc>
        <w:tc>
          <w:tcPr>
            <w:tcW w:w="1002" w:type="dxa"/>
            <w:vAlign w:val="top"/>
          </w:tcPr>
          <w:p>
            <w:pPr>
              <w:spacing w:line="240" w:lineRule="auto"/>
              <w:outlineLvl w:val="9"/>
              <w:rPr>
                <w:rFonts w:hint="eastAsia"/>
                <w:b/>
                <w:bCs/>
                <w:color w:val="auto"/>
                <w:sz w:val="32"/>
                <w:szCs w:val="32"/>
                <w:highlight w:val="none"/>
                <w:vertAlign w:val="baseline"/>
              </w:rPr>
            </w:pPr>
          </w:p>
        </w:tc>
        <w:tc>
          <w:tcPr>
            <w:tcW w:w="1526" w:type="dxa"/>
            <w:vAlign w:val="top"/>
          </w:tcPr>
          <w:p>
            <w:pPr>
              <w:spacing w:line="240" w:lineRule="auto"/>
              <w:outlineLvl w:val="9"/>
              <w:rPr>
                <w:rFonts w:hint="eastAsia"/>
                <w:b/>
                <w:bCs/>
                <w:color w:val="auto"/>
                <w:sz w:val="32"/>
                <w:szCs w:val="32"/>
                <w:highlight w:val="none"/>
                <w:vertAlign w:val="baseline"/>
              </w:rPr>
            </w:pPr>
          </w:p>
        </w:tc>
        <w:tc>
          <w:tcPr>
            <w:tcW w:w="1631" w:type="dxa"/>
            <w:vAlign w:val="top"/>
          </w:tcPr>
          <w:p>
            <w:pPr>
              <w:spacing w:line="240" w:lineRule="auto"/>
              <w:outlineLvl w:val="9"/>
              <w:rPr>
                <w:rFonts w:hint="eastAsia"/>
                <w:b/>
                <w:bCs/>
                <w:color w:val="auto"/>
                <w:sz w:val="32"/>
                <w:szCs w:val="32"/>
                <w:highlight w:val="none"/>
                <w:vertAlign w:val="baseline"/>
              </w:rPr>
            </w:pPr>
          </w:p>
        </w:tc>
        <w:tc>
          <w:tcPr>
            <w:tcW w:w="1385" w:type="dxa"/>
            <w:vAlign w:val="top"/>
          </w:tcPr>
          <w:p>
            <w:pPr>
              <w:spacing w:line="240" w:lineRule="auto"/>
              <w:outlineLvl w:val="9"/>
              <w:rPr>
                <w:rFonts w:hint="eastAsia"/>
                <w:b/>
                <w:bCs/>
                <w:color w:val="auto"/>
                <w:sz w:val="32"/>
                <w:szCs w:val="32"/>
                <w:highlight w:val="none"/>
                <w:vertAlign w:val="baseline"/>
              </w:rPr>
            </w:pPr>
          </w:p>
        </w:tc>
        <w:tc>
          <w:tcPr>
            <w:tcW w:w="1305" w:type="dxa"/>
            <w:vAlign w:val="top"/>
          </w:tcPr>
          <w:p>
            <w:pPr>
              <w:spacing w:line="240" w:lineRule="auto"/>
              <w:outlineLvl w:val="9"/>
              <w:rPr>
                <w:rFonts w:hint="eastAsia"/>
                <w:b/>
                <w:bCs/>
                <w:color w:val="auto"/>
                <w:sz w:val="32"/>
                <w:szCs w:val="32"/>
                <w:highlight w:val="none"/>
                <w:vertAlign w:val="baseline"/>
              </w:rPr>
            </w:pPr>
          </w:p>
        </w:tc>
      </w:tr>
    </w:tbl>
    <w:p>
      <w:pPr>
        <w:spacing w:line="240" w:lineRule="auto"/>
        <w:ind w:firstLine="0" w:firstLineChars="0"/>
        <w:outlineLvl w:val="9"/>
        <w:rPr>
          <w:rFonts w:hint="eastAsia"/>
          <w:b/>
          <w:bCs/>
          <w:color w:val="auto"/>
          <w:sz w:val="32"/>
          <w:szCs w:val="32"/>
          <w:highlight w:val="none"/>
        </w:rPr>
      </w:pPr>
      <w:r>
        <w:rPr>
          <w:rFonts w:hint="eastAsia"/>
          <w:b/>
          <w:bCs/>
          <w:color w:val="auto"/>
          <w:sz w:val="32"/>
          <w:szCs w:val="32"/>
          <w:highlight w:val="none"/>
        </w:rPr>
        <w:br w:type="page"/>
      </w:r>
    </w:p>
    <w:p>
      <w:pPr>
        <w:spacing w:line="360" w:lineRule="auto"/>
        <w:ind w:firstLine="643" w:firstLineChars="200"/>
        <w:outlineLvl w:val="2"/>
        <w:rPr>
          <w:b/>
          <w:bCs/>
          <w:color w:val="auto"/>
          <w:sz w:val="32"/>
          <w:szCs w:val="32"/>
          <w:highlight w:val="none"/>
        </w:rPr>
      </w:pPr>
      <w:bookmarkStart w:id="586" w:name="_Toc6609"/>
      <w:r>
        <w:rPr>
          <w:rFonts w:hint="eastAsia"/>
          <w:b/>
          <w:bCs/>
          <w:color w:val="auto"/>
          <w:sz w:val="32"/>
          <w:szCs w:val="32"/>
          <w:highlight w:val="none"/>
        </w:rPr>
        <w:t>附件</w:t>
      </w:r>
      <w:r>
        <w:rPr>
          <w:rFonts w:hint="eastAsia"/>
          <w:b/>
          <w:bCs/>
          <w:color w:val="auto"/>
          <w:sz w:val="32"/>
          <w:szCs w:val="32"/>
          <w:highlight w:val="none"/>
          <w:lang w:val="en-US" w:eastAsia="zh-CN"/>
        </w:rPr>
        <w:t>三</w:t>
      </w:r>
      <w:r>
        <w:rPr>
          <w:rFonts w:hint="eastAsia"/>
          <w:b/>
          <w:bCs/>
          <w:color w:val="auto"/>
          <w:sz w:val="32"/>
          <w:szCs w:val="32"/>
          <w:highlight w:val="none"/>
        </w:rPr>
        <w:t>：建设工程廉政责任书（格式）</w:t>
      </w:r>
      <w:bookmarkEnd w:id="583"/>
      <w:bookmarkEnd w:id="584"/>
      <w:bookmarkEnd w:id="586"/>
    </w:p>
    <w:p>
      <w:pPr>
        <w:ind w:firstLine="422" w:firstLineChars="200"/>
        <w:rPr>
          <w:b/>
          <w:color w:val="auto"/>
          <w:highlight w:val="none"/>
        </w:rPr>
      </w:pPr>
    </w:p>
    <w:p>
      <w:pPr>
        <w:spacing w:line="400" w:lineRule="exact"/>
        <w:ind w:firstLine="540" w:firstLineChars="200"/>
        <w:jc w:val="center"/>
        <w:rPr>
          <w:rFonts w:ascii="黑体" w:eastAsia="黑体"/>
          <w:color w:val="auto"/>
          <w:sz w:val="27"/>
          <w:szCs w:val="27"/>
          <w:highlight w:val="none"/>
        </w:rPr>
      </w:pPr>
      <w:r>
        <w:rPr>
          <w:rFonts w:hint="eastAsia" w:ascii="黑体" w:eastAsia="黑体"/>
          <w:color w:val="auto"/>
          <w:sz w:val="27"/>
          <w:szCs w:val="27"/>
          <w:highlight w:val="none"/>
        </w:rPr>
        <w:t>建设工程廉政责任书</w:t>
      </w:r>
    </w:p>
    <w:p>
      <w:pPr>
        <w:spacing w:line="400" w:lineRule="exact"/>
        <w:ind w:firstLine="480" w:firstLineChars="200"/>
        <w:rPr>
          <w:color w:val="auto"/>
          <w:sz w:val="24"/>
          <w:szCs w:val="24"/>
          <w:highlight w:val="none"/>
        </w:rPr>
      </w:pPr>
      <w:r>
        <w:rPr>
          <w:rFonts w:hint="eastAsia"/>
          <w:color w:val="auto"/>
          <w:sz w:val="24"/>
          <w:szCs w:val="24"/>
          <w:highlight w:val="none"/>
        </w:rPr>
        <w:t>工程项目名称：</w:t>
      </w:r>
    </w:p>
    <w:p>
      <w:pPr>
        <w:spacing w:line="400" w:lineRule="exact"/>
        <w:ind w:firstLine="480" w:firstLineChars="200"/>
        <w:rPr>
          <w:color w:val="auto"/>
          <w:sz w:val="24"/>
          <w:szCs w:val="24"/>
          <w:highlight w:val="none"/>
        </w:rPr>
      </w:pPr>
      <w:r>
        <w:rPr>
          <w:rFonts w:hint="eastAsia"/>
          <w:color w:val="auto"/>
          <w:sz w:val="24"/>
          <w:szCs w:val="24"/>
          <w:highlight w:val="none"/>
        </w:rPr>
        <w:t>工程项目地址：</w:t>
      </w:r>
    </w:p>
    <w:p>
      <w:pPr>
        <w:spacing w:line="400" w:lineRule="exact"/>
        <w:ind w:firstLine="480" w:firstLineChars="200"/>
        <w:rPr>
          <w:color w:val="auto"/>
          <w:sz w:val="24"/>
          <w:szCs w:val="24"/>
          <w:highlight w:val="none"/>
        </w:rPr>
      </w:pPr>
      <w:r>
        <w:rPr>
          <w:rFonts w:hint="eastAsia"/>
          <w:color w:val="auto"/>
          <w:sz w:val="24"/>
          <w:szCs w:val="24"/>
          <w:highlight w:val="none"/>
        </w:rPr>
        <w:t xml:space="preserve">发包人：                                               </w:t>
      </w:r>
    </w:p>
    <w:p>
      <w:pPr>
        <w:spacing w:line="400" w:lineRule="exact"/>
        <w:ind w:firstLine="480" w:firstLineChars="200"/>
        <w:rPr>
          <w:color w:val="auto"/>
          <w:sz w:val="24"/>
          <w:szCs w:val="24"/>
          <w:highlight w:val="none"/>
        </w:rPr>
      </w:pPr>
      <w:r>
        <w:rPr>
          <w:rFonts w:hint="eastAsia"/>
          <w:color w:val="auto"/>
          <w:sz w:val="24"/>
          <w:szCs w:val="24"/>
          <w:highlight w:val="none"/>
        </w:rPr>
        <w:t xml:space="preserve">承包人：                                               </w:t>
      </w:r>
    </w:p>
    <w:p>
      <w:pPr>
        <w:spacing w:line="400" w:lineRule="exact"/>
        <w:ind w:firstLine="480" w:firstLineChars="200"/>
        <w:rPr>
          <w:color w:val="auto"/>
          <w:sz w:val="24"/>
          <w:szCs w:val="24"/>
          <w:highlight w:val="none"/>
        </w:rPr>
      </w:pPr>
      <w:r>
        <w:rPr>
          <w:rFonts w:hint="eastAsia"/>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80" w:firstLineChars="200"/>
        <w:rPr>
          <w:color w:val="auto"/>
          <w:sz w:val="24"/>
          <w:szCs w:val="24"/>
          <w:highlight w:val="none"/>
        </w:rPr>
      </w:pPr>
      <w:r>
        <w:rPr>
          <w:rFonts w:hint="eastAsia"/>
          <w:color w:val="auto"/>
          <w:sz w:val="24"/>
          <w:szCs w:val="24"/>
          <w:highlight w:val="none"/>
        </w:rPr>
        <w:t>一、双方的责任</w:t>
      </w:r>
    </w:p>
    <w:p>
      <w:pPr>
        <w:spacing w:line="400" w:lineRule="exact"/>
        <w:ind w:firstLine="480" w:firstLineChars="200"/>
        <w:rPr>
          <w:color w:val="auto"/>
          <w:sz w:val="24"/>
          <w:szCs w:val="24"/>
          <w:highlight w:val="none"/>
        </w:rPr>
      </w:pPr>
      <w:r>
        <w:rPr>
          <w:rFonts w:hint="eastAsia"/>
          <w:color w:val="auto"/>
          <w:sz w:val="24"/>
          <w:szCs w:val="24"/>
          <w:highlight w:val="none"/>
        </w:rPr>
        <w:t>1.1应严格遵守国家关于建设工程的有关法律、法规，相关政策，以及廉政建设的各项规定。</w:t>
      </w:r>
    </w:p>
    <w:p>
      <w:pPr>
        <w:spacing w:line="400" w:lineRule="exact"/>
        <w:ind w:firstLine="480" w:firstLineChars="200"/>
        <w:rPr>
          <w:color w:val="auto"/>
          <w:sz w:val="24"/>
          <w:szCs w:val="24"/>
          <w:highlight w:val="none"/>
        </w:rPr>
      </w:pPr>
      <w:r>
        <w:rPr>
          <w:rFonts w:hint="eastAsia"/>
          <w:color w:val="auto"/>
          <w:sz w:val="24"/>
          <w:szCs w:val="24"/>
          <w:highlight w:val="none"/>
        </w:rPr>
        <w:t>1.2严格执行建设工程合同文件，自觉按合同办事。</w:t>
      </w:r>
    </w:p>
    <w:p>
      <w:pPr>
        <w:spacing w:line="400" w:lineRule="exact"/>
        <w:ind w:firstLine="480" w:firstLineChars="200"/>
        <w:rPr>
          <w:color w:val="auto"/>
          <w:sz w:val="24"/>
          <w:szCs w:val="24"/>
          <w:highlight w:val="none"/>
        </w:rPr>
      </w:pPr>
      <w:r>
        <w:rPr>
          <w:rFonts w:hint="eastAsia"/>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80" w:firstLineChars="200"/>
        <w:rPr>
          <w:color w:val="auto"/>
          <w:sz w:val="24"/>
          <w:szCs w:val="24"/>
          <w:highlight w:val="none"/>
        </w:rPr>
      </w:pPr>
      <w:r>
        <w:rPr>
          <w:rFonts w:hint="eastAsia"/>
          <w:color w:val="auto"/>
          <w:sz w:val="24"/>
          <w:szCs w:val="24"/>
          <w:highlight w:val="none"/>
        </w:rPr>
        <w:t>1.4发现对方在业务活动中有违规、违纪、违法行为的，应及时提醒对方，情节严重的，应向其上级主管部门或纪检监察、司法等有关机关举报。</w:t>
      </w:r>
    </w:p>
    <w:p>
      <w:pPr>
        <w:spacing w:line="400" w:lineRule="exact"/>
        <w:ind w:firstLine="480" w:firstLineChars="200"/>
        <w:rPr>
          <w:color w:val="auto"/>
          <w:sz w:val="24"/>
          <w:szCs w:val="24"/>
          <w:highlight w:val="none"/>
        </w:rPr>
      </w:pPr>
      <w:r>
        <w:rPr>
          <w:rFonts w:hint="eastAsia"/>
          <w:color w:val="auto"/>
          <w:sz w:val="24"/>
          <w:szCs w:val="24"/>
          <w:highlight w:val="none"/>
        </w:rPr>
        <w:t>二、发包人责任</w:t>
      </w:r>
    </w:p>
    <w:p>
      <w:pPr>
        <w:spacing w:line="400" w:lineRule="exact"/>
        <w:ind w:firstLine="480" w:firstLineChars="200"/>
        <w:rPr>
          <w:color w:val="auto"/>
          <w:sz w:val="24"/>
          <w:szCs w:val="24"/>
          <w:highlight w:val="none"/>
        </w:rPr>
      </w:pPr>
      <w:r>
        <w:rPr>
          <w:rFonts w:hint="eastAsia"/>
          <w:color w:val="auto"/>
          <w:sz w:val="24"/>
          <w:szCs w:val="24"/>
          <w:highlight w:val="none"/>
        </w:rPr>
        <w:t>发包人的领导和从事该建设工程项目的工作人员，在工程建设的事前、事中、事后应遵守以下规定：</w:t>
      </w:r>
    </w:p>
    <w:p>
      <w:pPr>
        <w:spacing w:line="400" w:lineRule="exact"/>
        <w:ind w:firstLine="480" w:firstLineChars="200"/>
        <w:rPr>
          <w:color w:val="auto"/>
          <w:sz w:val="24"/>
          <w:szCs w:val="24"/>
          <w:highlight w:val="none"/>
        </w:rPr>
      </w:pPr>
      <w:r>
        <w:rPr>
          <w:rFonts w:hint="eastAsia"/>
          <w:color w:val="auto"/>
          <w:sz w:val="24"/>
          <w:szCs w:val="24"/>
          <w:highlight w:val="none"/>
        </w:rPr>
        <w:t>2.1不得向承包人和相关单位索要或接受回扣、礼金、有价证券、贵重物品和好处费、感谢费等。</w:t>
      </w:r>
    </w:p>
    <w:p>
      <w:pPr>
        <w:spacing w:line="400" w:lineRule="exact"/>
        <w:ind w:firstLine="480" w:firstLineChars="200"/>
        <w:rPr>
          <w:color w:val="auto"/>
          <w:sz w:val="24"/>
          <w:szCs w:val="24"/>
          <w:highlight w:val="none"/>
        </w:rPr>
      </w:pPr>
      <w:r>
        <w:rPr>
          <w:rFonts w:hint="eastAsia"/>
          <w:color w:val="auto"/>
          <w:sz w:val="24"/>
          <w:szCs w:val="24"/>
          <w:highlight w:val="none"/>
        </w:rPr>
        <w:t>2.2不得在承包人和相关单位报销任何应由发包人或个人支付的费用。</w:t>
      </w:r>
    </w:p>
    <w:p>
      <w:pPr>
        <w:spacing w:line="400" w:lineRule="exact"/>
        <w:ind w:firstLine="480" w:firstLineChars="200"/>
        <w:rPr>
          <w:color w:val="auto"/>
          <w:sz w:val="24"/>
          <w:szCs w:val="24"/>
          <w:highlight w:val="none"/>
        </w:rPr>
      </w:pPr>
      <w:r>
        <w:rPr>
          <w:rFonts w:hint="eastAsia"/>
          <w:color w:val="auto"/>
          <w:sz w:val="24"/>
          <w:szCs w:val="24"/>
          <w:highlight w:val="none"/>
        </w:rPr>
        <w:t>2.3不得要求、暗示或接受承包人和相关单位为个人装修住房、婚丧嫁娶、配偶子女的工作安排以及出国（境）、旅游等提供方便。</w:t>
      </w:r>
    </w:p>
    <w:p>
      <w:pPr>
        <w:spacing w:line="400" w:lineRule="exact"/>
        <w:ind w:firstLine="480" w:firstLineChars="200"/>
        <w:rPr>
          <w:color w:val="auto"/>
          <w:sz w:val="24"/>
          <w:szCs w:val="24"/>
          <w:highlight w:val="none"/>
        </w:rPr>
      </w:pPr>
      <w:r>
        <w:rPr>
          <w:rFonts w:hint="eastAsia"/>
          <w:color w:val="auto"/>
          <w:sz w:val="24"/>
          <w:szCs w:val="24"/>
          <w:highlight w:val="none"/>
        </w:rPr>
        <w:t>2.4不得参加有可能影响公正执行公务的承包人和相关单位的宴请、健身、娱乐等活动。</w:t>
      </w:r>
    </w:p>
    <w:p>
      <w:pPr>
        <w:spacing w:line="400" w:lineRule="exact"/>
        <w:ind w:firstLine="480" w:firstLineChars="200"/>
        <w:rPr>
          <w:color w:val="auto"/>
          <w:sz w:val="24"/>
          <w:szCs w:val="24"/>
          <w:highlight w:val="none"/>
        </w:rPr>
      </w:pPr>
      <w:r>
        <w:rPr>
          <w:rFonts w:hint="eastAsia"/>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80" w:firstLineChars="200"/>
        <w:rPr>
          <w:color w:val="auto"/>
          <w:sz w:val="24"/>
          <w:szCs w:val="24"/>
          <w:highlight w:val="none"/>
        </w:rPr>
      </w:pPr>
      <w:r>
        <w:rPr>
          <w:rFonts w:hint="eastAsia"/>
          <w:color w:val="auto"/>
          <w:sz w:val="24"/>
          <w:szCs w:val="24"/>
          <w:highlight w:val="none"/>
        </w:rPr>
        <w:t>三、承包人责任</w:t>
      </w:r>
    </w:p>
    <w:p>
      <w:pPr>
        <w:spacing w:line="400" w:lineRule="exact"/>
        <w:ind w:firstLine="480" w:firstLineChars="200"/>
        <w:rPr>
          <w:color w:val="auto"/>
          <w:sz w:val="24"/>
          <w:szCs w:val="24"/>
          <w:highlight w:val="none"/>
        </w:rPr>
      </w:pPr>
      <w:r>
        <w:rPr>
          <w:rFonts w:hint="eastAsia"/>
          <w:color w:val="auto"/>
          <w:sz w:val="24"/>
          <w:szCs w:val="24"/>
          <w:highlight w:val="none"/>
        </w:rPr>
        <w:t>应与发包人保持正常的业务交往，按照有关法律法规和程序开展业务工作，严格执行工程建设的有关方针、政策，执行工程建设强制性标准，并遵守以下规定：</w:t>
      </w:r>
    </w:p>
    <w:p>
      <w:pPr>
        <w:spacing w:line="400" w:lineRule="exact"/>
        <w:ind w:firstLine="480" w:firstLineChars="200"/>
        <w:rPr>
          <w:color w:val="auto"/>
          <w:sz w:val="24"/>
          <w:szCs w:val="24"/>
          <w:highlight w:val="none"/>
        </w:rPr>
      </w:pPr>
      <w:r>
        <w:rPr>
          <w:rFonts w:hint="eastAsia"/>
          <w:color w:val="auto"/>
          <w:sz w:val="24"/>
          <w:szCs w:val="24"/>
          <w:highlight w:val="none"/>
        </w:rPr>
        <w:t>3.1不得以任何理由向发包人及其工作人员索要、接受或赠送礼金、有价证券、贵重物品及回扣、好处费、感谢费等。</w:t>
      </w:r>
    </w:p>
    <w:p>
      <w:pPr>
        <w:spacing w:line="400" w:lineRule="exact"/>
        <w:ind w:firstLine="480" w:firstLineChars="200"/>
        <w:rPr>
          <w:color w:val="auto"/>
          <w:sz w:val="24"/>
          <w:szCs w:val="24"/>
          <w:highlight w:val="none"/>
        </w:rPr>
      </w:pPr>
      <w:r>
        <w:rPr>
          <w:rFonts w:hint="eastAsia"/>
          <w:color w:val="auto"/>
          <w:sz w:val="24"/>
          <w:szCs w:val="24"/>
          <w:highlight w:val="none"/>
        </w:rPr>
        <w:t>3.2不得以任何理由为发包人和相关单位报销应由对方或个人支付的费用。</w:t>
      </w:r>
    </w:p>
    <w:p>
      <w:pPr>
        <w:spacing w:line="400" w:lineRule="exact"/>
        <w:ind w:firstLine="480" w:firstLineChars="200"/>
        <w:rPr>
          <w:color w:val="auto"/>
          <w:sz w:val="24"/>
          <w:szCs w:val="24"/>
          <w:highlight w:val="none"/>
        </w:rPr>
      </w:pPr>
      <w:r>
        <w:rPr>
          <w:rFonts w:hint="eastAsia"/>
          <w:color w:val="auto"/>
          <w:sz w:val="24"/>
          <w:szCs w:val="24"/>
          <w:highlight w:val="none"/>
        </w:rPr>
        <w:t>3.3不得接受或暗示为发包人、相关单位或个人装修住房、婚丧嫁娶、配偶子女的工作安排以及出国（境）、旅游等提供方便。</w:t>
      </w:r>
    </w:p>
    <w:p>
      <w:pPr>
        <w:spacing w:line="400" w:lineRule="exact"/>
        <w:ind w:firstLine="480" w:firstLineChars="200"/>
        <w:rPr>
          <w:color w:val="auto"/>
          <w:sz w:val="24"/>
          <w:szCs w:val="24"/>
          <w:highlight w:val="none"/>
        </w:rPr>
      </w:pPr>
      <w:r>
        <w:rPr>
          <w:rFonts w:hint="eastAsia"/>
          <w:color w:val="auto"/>
          <w:sz w:val="24"/>
          <w:szCs w:val="24"/>
          <w:highlight w:val="none"/>
        </w:rPr>
        <w:t>3.4不得以任何理由为发包人、相关单位或个人组织有可能影响公正执行公务的宴请、健身、娱乐等活动。</w:t>
      </w:r>
    </w:p>
    <w:p>
      <w:pPr>
        <w:spacing w:line="400" w:lineRule="exact"/>
        <w:ind w:firstLine="480" w:firstLineChars="200"/>
        <w:rPr>
          <w:color w:val="auto"/>
          <w:sz w:val="24"/>
          <w:szCs w:val="24"/>
          <w:highlight w:val="none"/>
        </w:rPr>
      </w:pPr>
      <w:r>
        <w:rPr>
          <w:rFonts w:hint="eastAsia"/>
          <w:color w:val="auto"/>
          <w:sz w:val="24"/>
          <w:szCs w:val="24"/>
          <w:highlight w:val="none"/>
        </w:rPr>
        <w:t>四、违约责任</w:t>
      </w:r>
    </w:p>
    <w:p>
      <w:pPr>
        <w:spacing w:line="400" w:lineRule="exact"/>
        <w:ind w:firstLine="480" w:firstLineChars="200"/>
        <w:rPr>
          <w:color w:val="auto"/>
          <w:sz w:val="24"/>
          <w:szCs w:val="24"/>
          <w:highlight w:val="none"/>
        </w:rPr>
      </w:pPr>
      <w:r>
        <w:rPr>
          <w:rFonts w:hint="eastAsia"/>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80" w:firstLineChars="200"/>
        <w:rPr>
          <w:color w:val="auto"/>
          <w:sz w:val="24"/>
          <w:szCs w:val="24"/>
          <w:highlight w:val="none"/>
        </w:rPr>
      </w:pPr>
      <w:r>
        <w:rPr>
          <w:rFonts w:hint="eastAsia"/>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80" w:firstLineChars="200"/>
        <w:rPr>
          <w:color w:val="auto"/>
          <w:sz w:val="24"/>
          <w:szCs w:val="24"/>
          <w:highlight w:val="none"/>
        </w:rPr>
      </w:pPr>
      <w:r>
        <w:rPr>
          <w:rFonts w:hint="eastAsia"/>
          <w:color w:val="auto"/>
          <w:sz w:val="24"/>
          <w:szCs w:val="24"/>
          <w:highlight w:val="none"/>
        </w:rPr>
        <w:t>4.3本责任书作为建设工程合同的组成部分，与建设工程合同具有同等法律效力。经双方签署后立即生效。</w:t>
      </w:r>
    </w:p>
    <w:p>
      <w:pPr>
        <w:spacing w:line="400" w:lineRule="exact"/>
        <w:ind w:firstLine="480" w:firstLineChars="200"/>
        <w:rPr>
          <w:color w:val="auto"/>
          <w:sz w:val="24"/>
          <w:szCs w:val="24"/>
          <w:highlight w:val="none"/>
        </w:rPr>
      </w:pPr>
      <w:r>
        <w:rPr>
          <w:rFonts w:hint="eastAsia"/>
          <w:color w:val="auto"/>
          <w:sz w:val="24"/>
          <w:szCs w:val="24"/>
          <w:highlight w:val="none"/>
        </w:rPr>
        <w:t>五、责任书有效期</w:t>
      </w:r>
    </w:p>
    <w:p>
      <w:pPr>
        <w:spacing w:line="400" w:lineRule="exact"/>
        <w:ind w:firstLine="480" w:firstLineChars="200"/>
        <w:rPr>
          <w:color w:val="auto"/>
          <w:sz w:val="24"/>
          <w:szCs w:val="24"/>
          <w:highlight w:val="none"/>
        </w:rPr>
      </w:pPr>
      <w:r>
        <w:rPr>
          <w:rFonts w:hint="eastAsia"/>
          <w:color w:val="auto"/>
          <w:sz w:val="24"/>
          <w:szCs w:val="24"/>
          <w:highlight w:val="none"/>
        </w:rPr>
        <w:t>本责任书的有效期为双方签署之日起至该工程项目竣工验收合格时止。</w:t>
      </w:r>
    </w:p>
    <w:p>
      <w:pPr>
        <w:spacing w:line="400" w:lineRule="exact"/>
        <w:ind w:firstLine="480" w:firstLineChars="200"/>
        <w:rPr>
          <w:color w:val="auto"/>
          <w:sz w:val="24"/>
          <w:szCs w:val="24"/>
          <w:highlight w:val="none"/>
        </w:rPr>
      </w:pPr>
      <w:r>
        <w:rPr>
          <w:rFonts w:hint="eastAsia"/>
          <w:color w:val="auto"/>
          <w:sz w:val="24"/>
          <w:szCs w:val="24"/>
          <w:highlight w:val="none"/>
        </w:rPr>
        <w:t>六、责任书份数</w:t>
      </w:r>
    </w:p>
    <w:p>
      <w:pPr>
        <w:spacing w:line="400" w:lineRule="exact"/>
        <w:ind w:firstLine="480" w:firstLineChars="200"/>
        <w:rPr>
          <w:color w:val="auto"/>
          <w:sz w:val="24"/>
          <w:szCs w:val="24"/>
          <w:highlight w:val="none"/>
        </w:rPr>
      </w:pPr>
      <w:r>
        <w:rPr>
          <w:rFonts w:hint="eastAsia"/>
          <w:color w:val="auto"/>
          <w:sz w:val="24"/>
          <w:szCs w:val="24"/>
          <w:highlight w:val="none"/>
        </w:rPr>
        <w:t>本责任书一式</w:t>
      </w:r>
      <w:r>
        <w:rPr>
          <w:rFonts w:hint="eastAsia"/>
          <w:color w:val="auto"/>
          <w:sz w:val="24"/>
          <w:szCs w:val="24"/>
          <w:highlight w:val="none"/>
          <w:u w:val="single"/>
        </w:rPr>
        <w:t xml:space="preserve">   </w:t>
      </w:r>
      <w:r>
        <w:rPr>
          <w:rFonts w:hint="eastAsia"/>
          <w:color w:val="auto"/>
          <w:sz w:val="24"/>
          <w:szCs w:val="24"/>
          <w:highlight w:val="none"/>
        </w:rPr>
        <w:t>份，发包人承包人各执</w:t>
      </w:r>
      <w:r>
        <w:rPr>
          <w:rFonts w:hint="eastAsia"/>
          <w:color w:val="auto"/>
          <w:sz w:val="24"/>
          <w:szCs w:val="24"/>
          <w:highlight w:val="none"/>
          <w:u w:val="single"/>
        </w:rPr>
        <w:t xml:space="preserve">   </w:t>
      </w:r>
      <w:r>
        <w:rPr>
          <w:rFonts w:hint="eastAsia"/>
          <w:color w:val="auto"/>
          <w:sz w:val="24"/>
          <w:szCs w:val="24"/>
          <w:highlight w:val="none"/>
        </w:rPr>
        <w:t>份，具有同等效力。</w:t>
      </w:r>
    </w:p>
    <w:p>
      <w:pPr>
        <w:spacing w:line="400" w:lineRule="exact"/>
        <w:ind w:firstLine="420" w:firstLineChars="200"/>
        <w:rPr>
          <w:color w:val="auto"/>
          <w:highlight w:val="none"/>
        </w:rPr>
      </w:pPr>
    </w:p>
    <w:p>
      <w:pPr>
        <w:spacing w:line="500" w:lineRule="exact"/>
        <w:ind w:firstLine="480" w:firstLineChars="200"/>
        <w:rPr>
          <w:color w:val="auto"/>
          <w:sz w:val="24"/>
          <w:szCs w:val="24"/>
          <w:highlight w:val="none"/>
        </w:rPr>
      </w:pPr>
      <w:r>
        <w:rPr>
          <w:rFonts w:hint="eastAsia"/>
          <w:color w:val="auto"/>
          <w:sz w:val="24"/>
          <w:szCs w:val="24"/>
          <w:highlight w:val="none"/>
        </w:rPr>
        <w:t xml:space="preserve">发包人（公章）：                       承包人（公章）：                 </w:t>
      </w:r>
    </w:p>
    <w:p>
      <w:pPr>
        <w:spacing w:line="500" w:lineRule="exact"/>
        <w:ind w:firstLine="480" w:firstLineChars="200"/>
        <w:rPr>
          <w:color w:val="auto"/>
          <w:sz w:val="24"/>
          <w:szCs w:val="24"/>
          <w:highlight w:val="none"/>
        </w:rPr>
      </w:pPr>
      <w:r>
        <w:rPr>
          <w:rFonts w:hint="eastAsia"/>
          <w:color w:val="auto"/>
          <w:sz w:val="24"/>
          <w:szCs w:val="24"/>
          <w:highlight w:val="none"/>
        </w:rPr>
        <w:t>法定代表人或其                        法定代表人或其</w:t>
      </w:r>
    </w:p>
    <w:p>
      <w:pPr>
        <w:spacing w:line="500" w:lineRule="exact"/>
        <w:ind w:firstLine="480" w:firstLineChars="200"/>
        <w:rPr>
          <w:color w:val="auto"/>
          <w:sz w:val="24"/>
          <w:szCs w:val="24"/>
          <w:highlight w:val="none"/>
        </w:rPr>
      </w:pPr>
      <w:r>
        <w:rPr>
          <w:rFonts w:hint="eastAsia"/>
          <w:color w:val="auto"/>
          <w:sz w:val="24"/>
          <w:szCs w:val="24"/>
          <w:highlight w:val="none"/>
        </w:rPr>
        <w:t xml:space="preserve">委托代理人 （签字）：                  委托代理人（签字）：             </w:t>
      </w:r>
    </w:p>
    <w:p>
      <w:pPr>
        <w:spacing w:line="500" w:lineRule="exact"/>
        <w:ind w:firstLine="480" w:firstLineChars="200"/>
        <w:jc w:val="left"/>
        <w:rPr>
          <w:color w:val="auto"/>
          <w:sz w:val="24"/>
          <w:szCs w:val="24"/>
          <w:highlight w:val="none"/>
        </w:rPr>
      </w:pPr>
      <w:r>
        <w:rPr>
          <w:rFonts w:hint="eastAsia"/>
          <w:color w:val="auto"/>
          <w:sz w:val="24"/>
          <w:szCs w:val="24"/>
          <w:highlight w:val="none"/>
        </w:rPr>
        <w:t xml:space="preserve">    年   月   日</w:t>
      </w:r>
    </w:p>
    <w:p>
      <w:pPr>
        <w:pStyle w:val="32"/>
        <w:spacing w:line="360" w:lineRule="auto"/>
        <w:ind w:firstLine="480" w:firstLineChars="200"/>
        <w:jc w:val="both"/>
        <w:rPr>
          <w:rFonts w:ascii="宋体" w:hAnsi="宋体"/>
          <w:color w:val="auto"/>
          <w:highlight w:val="none"/>
        </w:rPr>
      </w:pPr>
    </w:p>
    <w:p>
      <w:pPr>
        <w:pStyle w:val="12"/>
        <w:snapToGrid w:val="0"/>
        <w:spacing w:after="0" w:line="400" w:lineRule="atLeast"/>
        <w:ind w:left="0" w:leftChars="0" w:firstLine="420" w:firstLineChars="200"/>
        <w:rPr>
          <w:color w:val="auto"/>
          <w:szCs w:val="21"/>
          <w:highlight w:val="none"/>
        </w:rPr>
      </w:pPr>
    </w:p>
    <w:p>
      <w:pPr>
        <w:pStyle w:val="12"/>
        <w:snapToGrid w:val="0"/>
        <w:spacing w:after="0" w:line="400" w:lineRule="atLeast"/>
        <w:ind w:left="0" w:leftChars="0" w:firstLine="420" w:firstLineChars="200"/>
        <w:rPr>
          <w:color w:val="auto"/>
          <w:szCs w:val="21"/>
          <w:highlight w:val="none"/>
        </w:rPr>
      </w:pPr>
    </w:p>
    <w:p>
      <w:pPr>
        <w:rPr>
          <w:color w:val="auto"/>
          <w:highlight w:val="none"/>
        </w:rPr>
      </w:pPr>
    </w:p>
    <w:p>
      <w:pPr>
        <w:rPr>
          <w:color w:val="auto"/>
          <w:highlight w:val="none"/>
        </w:rPr>
      </w:pPr>
    </w:p>
    <w:p>
      <w:pPr>
        <w:ind w:firstLine="629" w:firstLineChars="200"/>
        <w:rPr>
          <w:b/>
          <w:color w:val="auto"/>
          <w:sz w:val="33"/>
          <w:highlight w:val="none"/>
        </w:rPr>
      </w:pPr>
      <w:r>
        <w:rPr>
          <w:b/>
          <w:color w:val="auto"/>
          <w:w w:val="98"/>
          <w:sz w:val="32"/>
          <w:highlight w:val="non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pStyle w:val="3"/>
        <w:keepNext w:val="0"/>
        <w:keepLines w:val="0"/>
        <w:spacing w:before="0" w:after="0" w:line="440" w:lineRule="exact"/>
        <w:jc w:val="center"/>
        <w:rPr>
          <w:color w:val="auto"/>
          <w:highlight w:val="none"/>
        </w:rPr>
      </w:pPr>
      <w:bookmarkStart w:id="587" w:name="_Toc89870621"/>
      <w:bookmarkStart w:id="588" w:name="_Toc16307"/>
      <w:bookmarkStart w:id="589" w:name="_Toc22886"/>
      <w:bookmarkStart w:id="590" w:name="_Toc246996338"/>
      <w:bookmarkStart w:id="591" w:name="_Toc246997081"/>
      <w:bookmarkStart w:id="592" w:name="_Toc247085853"/>
      <w:bookmarkStart w:id="593" w:name="_Toc179632787"/>
      <w:bookmarkStart w:id="594" w:name="_Toc152042388"/>
      <w:bookmarkStart w:id="595" w:name="_Toc184635122"/>
      <w:bookmarkStart w:id="596" w:name="_Toc152042549"/>
      <w:bookmarkStart w:id="597" w:name="_Toc144974578"/>
      <w:bookmarkStart w:id="598" w:name="_Toc247527798"/>
      <w:bookmarkStart w:id="599" w:name="_Toc152045610"/>
      <w:bookmarkStart w:id="600" w:name="_Toc247514197"/>
      <w:bookmarkStart w:id="601" w:name="_Toc300835199"/>
      <w:bookmarkStart w:id="602" w:name="_Toc144974829"/>
      <w:r>
        <w:rPr>
          <w:color w:val="auto"/>
          <w:highlight w:val="none"/>
        </w:rPr>
        <w:t>第</w:t>
      </w:r>
      <w:r>
        <w:rPr>
          <w:rFonts w:hint="eastAsia"/>
          <w:color w:val="auto"/>
          <w:highlight w:val="none"/>
        </w:rPr>
        <w:t>二</w:t>
      </w:r>
      <w:r>
        <w:rPr>
          <w:color w:val="auto"/>
          <w:highlight w:val="none"/>
        </w:rPr>
        <w:t>卷</w:t>
      </w:r>
      <w:bookmarkEnd w:id="587"/>
      <w:bookmarkEnd w:id="588"/>
      <w:bookmarkEnd w:id="589"/>
    </w:p>
    <w:p>
      <w:pPr>
        <w:rPr>
          <w:rFonts w:hint="eastAsia"/>
          <w:color w:val="auto"/>
          <w:sz w:val="36"/>
          <w:szCs w:val="36"/>
          <w:highlight w:val="none"/>
        </w:rPr>
      </w:pPr>
      <w:bookmarkStart w:id="603" w:name="_Toc32554"/>
      <w:bookmarkStart w:id="604" w:name="_Toc89870622"/>
      <w:r>
        <w:rPr>
          <w:rFonts w:hint="eastAsia"/>
          <w:color w:val="auto"/>
          <w:sz w:val="36"/>
          <w:szCs w:val="36"/>
          <w:highlight w:val="none"/>
        </w:rPr>
        <w:br w:type="page"/>
      </w:r>
    </w:p>
    <w:p>
      <w:pPr>
        <w:pStyle w:val="3"/>
        <w:keepNext w:val="0"/>
        <w:keepLines w:val="0"/>
        <w:spacing w:before="0" w:after="0" w:line="360" w:lineRule="auto"/>
        <w:jc w:val="center"/>
        <w:rPr>
          <w:color w:val="auto"/>
          <w:sz w:val="36"/>
          <w:szCs w:val="36"/>
          <w:highlight w:val="none"/>
        </w:rPr>
      </w:pPr>
      <w:bookmarkStart w:id="605" w:name="_Toc23634"/>
      <w:r>
        <w:rPr>
          <w:rFonts w:hint="eastAsia"/>
          <w:color w:val="auto"/>
          <w:sz w:val="36"/>
          <w:szCs w:val="36"/>
          <w:highlight w:val="none"/>
        </w:rPr>
        <w:t>第五章</w:t>
      </w:r>
      <w:r>
        <w:rPr>
          <w:color w:val="auto"/>
          <w:sz w:val="36"/>
          <w:szCs w:val="36"/>
          <w:highlight w:val="none"/>
        </w:rPr>
        <w:t xml:space="preserve"> </w:t>
      </w:r>
      <w:r>
        <w:rPr>
          <w:rFonts w:hint="eastAsia"/>
          <w:color w:val="auto"/>
          <w:sz w:val="36"/>
          <w:szCs w:val="36"/>
          <w:highlight w:val="none"/>
        </w:rPr>
        <w:t>委托人要求</w:t>
      </w:r>
      <w:bookmarkEnd w:id="590"/>
      <w:bookmarkEnd w:id="591"/>
      <w:bookmarkEnd w:id="592"/>
      <w:bookmarkEnd w:id="593"/>
      <w:bookmarkEnd w:id="603"/>
      <w:bookmarkEnd w:id="604"/>
      <w:bookmarkEnd w:id="605"/>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委托人要求通常包括但不限于以下内容：</w:t>
      </w:r>
    </w:p>
    <w:p>
      <w:pPr>
        <w:pStyle w:val="4"/>
        <w:keepNext w:val="0"/>
        <w:keepLines w:val="0"/>
        <w:spacing w:before="0" w:after="0" w:line="360" w:lineRule="auto"/>
        <w:ind w:firstLine="560" w:firstLineChars="200"/>
        <w:rPr>
          <w:rFonts w:hint="eastAsia" w:ascii="黑体" w:hAnsi="黑体" w:eastAsia="黑体" w:cs="黑体"/>
          <w:b w:val="0"/>
          <w:bCs w:val="0"/>
          <w:color w:val="auto"/>
          <w:sz w:val="28"/>
          <w:szCs w:val="28"/>
          <w:highlight w:val="none"/>
        </w:rPr>
      </w:pPr>
      <w:bookmarkStart w:id="606" w:name="_Toc511557110"/>
      <w:bookmarkStart w:id="607" w:name="_Toc527028520"/>
      <w:bookmarkStart w:id="608" w:name="_Toc89870623"/>
      <w:bookmarkStart w:id="609" w:name="_Toc15582"/>
      <w:bookmarkStart w:id="610" w:name="_Toc482188637"/>
      <w:r>
        <w:rPr>
          <w:rFonts w:hint="eastAsia" w:ascii="黑体" w:hAnsi="黑体" w:eastAsia="黑体" w:cs="黑体"/>
          <w:b w:val="0"/>
          <w:bCs w:val="0"/>
          <w:color w:val="auto"/>
          <w:sz w:val="28"/>
          <w:szCs w:val="28"/>
          <w:highlight w:val="none"/>
        </w:rPr>
        <w:t>一、监理要求</w:t>
      </w:r>
      <w:bookmarkEnd w:id="606"/>
      <w:bookmarkEnd w:id="607"/>
      <w:bookmarkEnd w:id="608"/>
      <w:bookmarkEnd w:id="609"/>
      <w:bookmarkEnd w:id="610"/>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招标人应当根据项目情况在本章中明确相应的监理要求，一般应包括以下内容：</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项目概况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highlight w:val="none"/>
          <w:u w:val="single"/>
        </w:rPr>
        <w:t>增城国家级开发区中新园区基础设施配套中新下沉式再生水厂项目</w:t>
      </w:r>
      <w:r>
        <w:rPr>
          <w:rFonts w:hint="eastAsia" w:ascii="宋体" w:hAnsi="宋体" w:eastAsia="宋体" w:cs="宋体"/>
          <w:color w:val="auto"/>
          <w:sz w:val="24"/>
          <w:szCs w:val="24"/>
          <w:highlight w:val="none"/>
          <w:u w:val="single"/>
        </w:rPr>
        <w:t>施工监理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1.2建设地点：</w:t>
      </w:r>
      <w:r>
        <w:rPr>
          <w:rFonts w:hint="eastAsia" w:ascii="宋体" w:hAnsi="宋体" w:eastAsia="宋体" w:cs="宋体"/>
          <w:color w:val="auto"/>
          <w:sz w:val="24"/>
          <w:highlight w:val="none"/>
          <w:u w:val="single"/>
        </w:rPr>
        <w:t>项目厂区位于增城区中新镇乌石村，配套泵站位于增城区朱村街。</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1.3项目规模：</w:t>
      </w:r>
      <w:r>
        <w:rPr>
          <w:rFonts w:hint="eastAsia" w:ascii="宋体" w:hAnsi="宋体" w:eastAsia="宋体" w:cs="宋体"/>
          <w:color w:val="auto"/>
          <w:kern w:val="2"/>
          <w:sz w:val="24"/>
          <w:szCs w:val="22"/>
          <w:highlight w:val="none"/>
          <w:u w:val="single"/>
          <w:lang w:val="en-US" w:eastAsia="zh-CN" w:bidi="ar"/>
        </w:rPr>
        <w:t xml:space="preserve">(一)新建一座下沉式再生水厂,总污水处理规模20万m³/d,其中一期建设规模为10万m³/d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 </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u w:val="single"/>
        </w:rPr>
        <w:t>项目总投资为</w:t>
      </w:r>
      <w:r>
        <w:rPr>
          <w:rFonts w:hint="eastAsia" w:ascii="宋体" w:hAnsi="宋体" w:cs="宋体"/>
          <w:b w:val="0"/>
          <w:bCs w:val="0"/>
          <w:color w:val="auto"/>
          <w:sz w:val="24"/>
          <w:szCs w:val="24"/>
          <w:highlight w:val="none"/>
          <w:u w:val="single"/>
          <w:lang w:eastAsia="zh-CN"/>
        </w:rPr>
        <w:t xml:space="preserve">88800.37 </w:t>
      </w:r>
      <w:r>
        <w:rPr>
          <w:rFonts w:hint="eastAsia" w:ascii="宋体" w:hAnsi="宋体" w:eastAsia="宋体" w:cs="宋体"/>
          <w:color w:val="auto"/>
          <w:sz w:val="24"/>
          <w:szCs w:val="24"/>
          <w:highlight w:val="none"/>
          <w:u w:val="single"/>
        </w:rPr>
        <w:t>万元，其中建安费约</w:t>
      </w:r>
      <w:r>
        <w:rPr>
          <w:rFonts w:hint="eastAsia" w:ascii="宋体" w:hAnsi="宋体" w:cs="宋体"/>
          <w:b w:val="0"/>
          <w:bCs w:val="0"/>
          <w:color w:val="auto"/>
          <w:sz w:val="24"/>
          <w:szCs w:val="24"/>
          <w:highlight w:val="none"/>
          <w:u w:val="single"/>
          <w:lang w:eastAsia="zh-CN"/>
        </w:rPr>
        <w:t>63209.72</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监理服务期限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施工准备阶段：</w:t>
      </w:r>
      <w:r>
        <w:rPr>
          <w:rFonts w:hint="eastAsia" w:ascii="宋体" w:hAnsi="宋体" w:eastAsia="宋体" w:cs="宋体"/>
          <w:color w:val="auto"/>
          <w:sz w:val="24"/>
          <w:szCs w:val="24"/>
          <w:highlight w:val="none"/>
          <w:u w:val="single"/>
        </w:rPr>
        <w:t>从中标通知书发出到工程开工之日</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施工阶段监理服务期：</w:t>
      </w:r>
      <w:r>
        <w:rPr>
          <w:rFonts w:hint="eastAsia" w:ascii="宋体" w:hAnsi="宋体" w:eastAsia="宋体" w:cs="宋体"/>
          <w:color w:val="auto"/>
          <w:sz w:val="24"/>
          <w:szCs w:val="24"/>
          <w:highlight w:val="none"/>
          <w:u w:val="single"/>
        </w:rPr>
        <w:t>从业主下达开工令或开工报告审批之日起至施工项目全部完工并办理竣工验收、竣工结算、备案管理为止</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工程收尾阶段：包括竣工收尾、验收、整改、移交、结算、考核评价等方面的监理工作完成为止。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缺陷责任期阶段监理服务期：</w:t>
      </w:r>
      <w:r>
        <w:rPr>
          <w:rFonts w:hint="eastAsia" w:ascii="宋体" w:hAnsi="宋体" w:eastAsia="宋体" w:cs="宋体"/>
          <w:color w:val="auto"/>
          <w:sz w:val="24"/>
          <w:szCs w:val="24"/>
          <w:highlight w:val="none"/>
          <w:u w:val="single"/>
        </w:rPr>
        <w:t>从工程竣工验收合格之日起2年</w:t>
      </w:r>
      <w:r>
        <w:rPr>
          <w:rFonts w:hint="eastAsia" w:ascii="宋体" w:hAnsi="宋体" w:eastAsia="宋体" w:cs="宋体"/>
          <w:color w:val="auto"/>
          <w:sz w:val="24"/>
          <w:szCs w:val="24"/>
          <w:highlight w:val="none"/>
        </w:rPr>
        <w:t>。</w:t>
      </w:r>
    </w:p>
    <w:p>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监理范围及内容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2.1监理范围：</w:t>
      </w:r>
      <w:r>
        <w:rPr>
          <w:rFonts w:hint="eastAsia" w:ascii="宋体" w:hAnsi="宋体" w:eastAsia="宋体" w:cs="宋体"/>
          <w:color w:val="auto"/>
          <w:sz w:val="24"/>
          <w:highlight w:val="none"/>
          <w:u w:val="single"/>
        </w:rPr>
        <w:t>施工准备阶段、施工阶段、工程收尾阶段（包括但不限于竣工验收、整改、工程移交及实物移交等）及工程质量保修阶段的质量控制、职业健康、安全生产及环境监督管理、投资控制、进度控制、合同管理、信息管理、组织协调、协助建设单位进行档案整理、归档及管理等监理工作</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highlight w:val="none"/>
          <w:lang w:bidi="ar"/>
        </w:rPr>
      </w:pPr>
      <w:r>
        <w:rPr>
          <w:rFonts w:hint="eastAsia" w:ascii="宋体" w:hAnsi="宋体" w:eastAsia="宋体" w:cs="宋体"/>
          <w:color w:val="auto"/>
          <w:sz w:val="24"/>
          <w:szCs w:val="24"/>
          <w:highlight w:val="none"/>
          <w:lang w:bidi="ar"/>
        </w:rPr>
        <w:t>2.2 监理人监理工作内容</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1、建设工程监理一般规定： </w:t>
      </w:r>
    </w:p>
    <w:p>
      <w:pPr>
        <w:tabs>
          <w:tab w:val="left" w:pos="131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（1）实行总</w:t>
      </w:r>
      <w:r>
        <w:rPr>
          <w:rFonts w:hint="eastAsia" w:ascii="宋体" w:hAnsi="宋体" w:eastAsia="宋体" w:cs="宋体"/>
          <w:color w:val="auto"/>
          <w:spacing w:val="-3"/>
          <w:sz w:val="24"/>
          <w:szCs w:val="24"/>
          <w:highlight w:val="none"/>
        </w:rPr>
        <w:t>监理工程师</w:t>
      </w:r>
      <w:r>
        <w:rPr>
          <w:rFonts w:hint="eastAsia" w:ascii="宋体" w:hAnsi="宋体" w:eastAsia="宋体" w:cs="宋体"/>
          <w:color w:val="auto"/>
          <w:sz w:val="24"/>
          <w:szCs w:val="24"/>
          <w:highlight w:val="none"/>
        </w:rPr>
        <w:t xml:space="preserve">负责制。 </w:t>
      </w:r>
    </w:p>
    <w:p>
      <w:pPr>
        <w:tabs>
          <w:tab w:val="left" w:pos="131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（2）监理人应公正、独立、自主地开展监理工作，维护委托人的合法权益。</w:t>
      </w:r>
    </w:p>
    <w:p>
      <w:pPr>
        <w:pStyle w:val="33"/>
        <w:tabs>
          <w:tab w:val="left" w:pos="1310"/>
        </w:tabs>
        <w:spacing w:line="360" w:lineRule="auto"/>
        <w:ind w:firstLine="48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（3）监理人除应按《建设工程监理规范》（GB50319-2013）</w:t>
      </w:r>
      <w:r>
        <w:rPr>
          <w:rFonts w:hint="eastAsia" w:ascii="宋体" w:hAnsi="宋体" w:eastAsia="宋体" w:cs="宋体"/>
          <w:color w:val="auto"/>
          <w:spacing w:val="-2"/>
          <w:sz w:val="24"/>
          <w:szCs w:val="24"/>
          <w:highlight w:val="none"/>
        </w:rPr>
        <w:t>履行监理职责外，还应符合</w:t>
      </w:r>
      <w:r>
        <w:rPr>
          <w:rFonts w:hint="eastAsia" w:ascii="宋体" w:hAnsi="宋体" w:eastAsia="宋体" w:cs="宋体"/>
          <w:color w:val="auto"/>
          <w:sz w:val="24"/>
          <w:szCs w:val="24"/>
          <w:highlight w:val="none"/>
        </w:rPr>
        <w:t xml:space="preserve">国家现行的有关强制性标准、规范的规定。 </w:t>
      </w:r>
    </w:p>
    <w:p>
      <w:pPr>
        <w:pStyle w:val="33"/>
        <w:tabs>
          <w:tab w:val="left" w:pos="131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w:t>
      </w:r>
      <w:r>
        <w:rPr>
          <w:rFonts w:hint="eastAsia" w:ascii="宋体" w:hAnsi="宋体" w:eastAsia="宋体" w:cs="宋体"/>
          <w:color w:val="auto"/>
          <w:spacing w:val="-3"/>
          <w:sz w:val="24"/>
          <w:szCs w:val="24"/>
          <w:highlight w:val="none"/>
        </w:rPr>
        <w:t>施工准备</w:t>
      </w:r>
      <w:r>
        <w:rPr>
          <w:rFonts w:hint="eastAsia" w:ascii="宋体" w:hAnsi="宋体" w:eastAsia="宋体" w:cs="宋体"/>
          <w:color w:val="auto"/>
          <w:sz w:val="24"/>
          <w:szCs w:val="24"/>
          <w:highlight w:val="none"/>
        </w:rPr>
        <w:t xml:space="preserve">阶段的监理工作，包括但不限于以下内容： </w:t>
      </w:r>
    </w:p>
    <w:p>
      <w:pPr>
        <w:tabs>
          <w:tab w:val="left" w:pos="131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（1）协助</w:t>
      </w:r>
      <w:r>
        <w:rPr>
          <w:rFonts w:hint="eastAsia" w:ascii="宋体" w:hAnsi="宋体" w:eastAsia="宋体" w:cs="宋体"/>
          <w:color w:val="auto"/>
          <w:spacing w:val="-3"/>
          <w:sz w:val="24"/>
          <w:szCs w:val="24"/>
          <w:highlight w:val="none"/>
        </w:rPr>
        <w:t>进行</w:t>
      </w:r>
      <w:r>
        <w:rPr>
          <w:rFonts w:hint="eastAsia" w:ascii="宋体" w:hAnsi="宋体" w:eastAsia="宋体" w:cs="宋体"/>
          <w:color w:val="auto"/>
          <w:sz w:val="24"/>
          <w:szCs w:val="24"/>
          <w:highlight w:val="none"/>
        </w:rPr>
        <w:t xml:space="preserve">工程报建相关工作； </w:t>
      </w:r>
    </w:p>
    <w:p>
      <w:pPr>
        <w:pStyle w:val="33"/>
        <w:tabs>
          <w:tab w:val="left" w:pos="1310"/>
        </w:tabs>
        <w:spacing w:line="360" w:lineRule="auto"/>
        <w:ind w:firstLine="476" w:firstLineChars="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（2）参加</w:t>
      </w:r>
      <w:r>
        <w:rPr>
          <w:rFonts w:hint="eastAsia" w:ascii="宋体" w:hAnsi="宋体" w:eastAsia="宋体" w:cs="宋体"/>
          <w:color w:val="auto"/>
          <w:spacing w:val="-3"/>
          <w:sz w:val="24"/>
          <w:szCs w:val="24"/>
          <w:highlight w:val="none"/>
        </w:rPr>
        <w:t>设计</w:t>
      </w:r>
      <w:r>
        <w:rPr>
          <w:rFonts w:hint="eastAsia" w:ascii="宋体" w:hAnsi="宋体" w:eastAsia="宋体" w:cs="宋体"/>
          <w:color w:val="auto"/>
          <w:spacing w:val="-1"/>
          <w:sz w:val="24"/>
          <w:szCs w:val="24"/>
          <w:highlight w:val="none"/>
        </w:rPr>
        <w:t xml:space="preserve">交底，对图纸中存在的问题通过委托人向设计单位提出书面意见和建议， </w:t>
      </w:r>
      <w:r>
        <w:rPr>
          <w:rFonts w:hint="eastAsia" w:ascii="宋体" w:hAnsi="宋体" w:eastAsia="宋体" w:cs="宋体"/>
          <w:color w:val="auto"/>
          <w:sz w:val="24"/>
          <w:szCs w:val="24"/>
          <w:highlight w:val="none"/>
        </w:rPr>
        <w:t xml:space="preserve">做好图纸会审记录并提交给委托人； </w:t>
      </w:r>
    </w:p>
    <w:p>
      <w:pPr>
        <w:spacing w:line="360" w:lineRule="auto"/>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（3）审查承包人报送的施工组织设计(方案)；制定监理规划及监理实施细则并报委托人</w:t>
      </w:r>
      <w:r>
        <w:rPr>
          <w:rFonts w:hint="eastAsia" w:ascii="宋体" w:hAnsi="宋体" w:eastAsia="宋体" w:cs="宋体"/>
          <w:color w:val="auto"/>
          <w:sz w:val="24"/>
          <w:szCs w:val="24"/>
          <w:highlight w:val="none"/>
        </w:rPr>
        <w:t xml:space="preserve">审定。 </w:t>
      </w:r>
    </w:p>
    <w:p>
      <w:pPr>
        <w:spacing w:line="360" w:lineRule="auto"/>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（4）负责协调承包人进场前的现场准备和制定勘察清障方案，为承包人进场制定前期准</w:t>
      </w:r>
      <w:r>
        <w:rPr>
          <w:rFonts w:hint="eastAsia" w:ascii="宋体" w:hAnsi="宋体" w:eastAsia="宋体" w:cs="宋体"/>
          <w:color w:val="auto"/>
          <w:sz w:val="24"/>
          <w:szCs w:val="24"/>
          <w:highlight w:val="none"/>
        </w:rPr>
        <w:t xml:space="preserve">备方案并组织实施。 </w:t>
      </w:r>
    </w:p>
    <w:p>
      <w:pPr>
        <w:spacing w:line="360" w:lineRule="auto"/>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（5）审查由承包人编制，并经承包人的技术部门审批盖章的施工组织设计、施工方案及</w:t>
      </w:r>
      <w:r>
        <w:rPr>
          <w:rFonts w:hint="eastAsia" w:ascii="宋体" w:hAnsi="宋体" w:eastAsia="宋体" w:cs="宋体"/>
          <w:color w:val="auto"/>
          <w:sz w:val="24"/>
          <w:szCs w:val="24"/>
          <w:highlight w:val="none"/>
        </w:rPr>
        <w:t xml:space="preserve">施工进度计划，并督促检查实施；协助审批各单项工程开工报告。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（6）审查承包人及委托人提供的材料和设备清单及其所列的规格与质量。 </w:t>
      </w:r>
    </w:p>
    <w:p>
      <w:pPr>
        <w:pStyle w:val="33"/>
        <w:numPr>
          <w:ilvl w:val="255"/>
          <w:numId w:val="0"/>
        </w:numPr>
        <w:tabs>
          <w:tab w:val="left" w:pos="1190"/>
        </w:tabs>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3、施工阶段的监理工作，包括但不限于以下内容：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督促承包人严格按进度计划实施，检查承包人填报的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对用于本工程的主要材料、设备等进行检查、检验，对未经监理人员验收或验收不合格的工程材料、构配件、设备，监理人员应拒绝签认，并应签发监理工程师通知单，书面通知承包人限期将不合格的工程材料、构配件、设备撤出现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总监理工程师应安排监理人员对施工过程进行巡视和检查。对基础工程中土方回填，混凝土灌注桩浇筑，地下连续墙、土钉墙、后浇带及其他结构混凝土、防水混凝土浇筑，卷材防水层细部构造处理，钢结构安装和主体结构工程中梁柱节点钢筋隐蔽过程，混凝土浇筑， 预应力张拉，装配式结构安装，钢结构安装，网架结构安装，索膜安装等，应安排监理员进行旁站，做好旁站监理记录和监理日记，保存旁站监理原始资料。旁站监理人员应当认真履行职责， 对需要实施旁站监理的关键部位、关键工序在施工现场跟班监督，及时发现和处理旁站监理过程中出现的问题，责令施工企业进行整改。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（5）根据承包人报送的隐蔽工程报验申请表和自检结果进行现场检查，符合要求予以签认。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（6）对工程发生质量、安全事故按相关规定保护好现场并及时处理，向委托人提交有关工程质量、安全事故的书面报告，并应将完整的事故处理记录整理归档。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（7）根据《广州市建设工程文明施工管理规定》（</w:t>
      </w:r>
      <w:r>
        <w:rPr>
          <w:rFonts w:hint="eastAsia" w:ascii="宋体" w:hAnsi="宋体" w:eastAsia="宋体" w:cs="宋体"/>
          <w:color w:val="auto"/>
          <w:spacing w:val="-5"/>
          <w:sz w:val="24"/>
          <w:szCs w:val="24"/>
          <w:highlight w:val="none"/>
        </w:rPr>
        <w:t xml:space="preserve">广州市人民政府令第 </w:t>
      </w:r>
      <w:r>
        <w:rPr>
          <w:rFonts w:hint="eastAsia" w:ascii="宋体" w:hAnsi="宋体" w:eastAsia="宋体" w:cs="宋体"/>
          <w:color w:val="auto"/>
          <w:sz w:val="24"/>
          <w:szCs w:val="24"/>
          <w:highlight w:val="none"/>
        </w:rPr>
        <w:t>62</w:t>
      </w:r>
      <w:r>
        <w:rPr>
          <w:rFonts w:hint="eastAsia" w:ascii="宋体" w:hAnsi="宋体" w:eastAsia="宋体" w:cs="宋体"/>
          <w:color w:val="auto"/>
          <w:spacing w:val="-24"/>
          <w:sz w:val="24"/>
          <w:szCs w:val="24"/>
          <w:highlight w:val="none"/>
        </w:rPr>
        <w:t xml:space="preserve"> 号</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的规定，</w:t>
      </w:r>
      <w:r>
        <w:rPr>
          <w:rFonts w:hint="eastAsia" w:ascii="宋体" w:hAnsi="宋体" w:eastAsia="宋体" w:cs="宋体"/>
          <w:color w:val="auto"/>
          <w:sz w:val="24"/>
          <w:szCs w:val="24"/>
          <w:highlight w:val="none"/>
        </w:rPr>
        <w:t xml:space="preserve">监理人在对本工程实施监理的时候，应当履行下列管理责任： </w:t>
      </w:r>
    </w:p>
    <w:p>
      <w:pPr>
        <w:pStyle w:val="11"/>
        <w:spacing w:after="0" w:line="360" w:lineRule="auto"/>
        <w:ind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①审核施工单位拟定的施工组织设计文件，督促施工单位落实文明施工管理措施，审核确</w:t>
      </w:r>
      <w:r>
        <w:rPr>
          <w:rFonts w:hint="eastAsia" w:ascii="宋体" w:hAnsi="宋体" w:eastAsia="宋体" w:cs="宋体"/>
          <w:color w:val="auto"/>
          <w:sz w:val="24"/>
          <w:szCs w:val="24"/>
          <w:highlight w:val="none"/>
        </w:rPr>
        <w:t xml:space="preserve">认施工单位文明施工措施费用使用情况。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②实施监理过程中，发现施工单位有违反文明施工管理规定的，应当要求施工单位整改； 施工单位拒不整改的，应当要求施工单位暂停施工，并向委托人报告。 </w:t>
      </w:r>
    </w:p>
    <w:p>
      <w:pPr>
        <w:pStyle w:val="11"/>
        <w:spacing w:after="0" w:line="360" w:lineRule="auto"/>
        <w:ind w:firstLine="46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③施工单位违反文明施工管理规定拒不整改或者不停止施工的，及时向工程行政管理部门</w:t>
      </w:r>
      <w:r>
        <w:rPr>
          <w:rFonts w:hint="eastAsia" w:ascii="宋体" w:hAnsi="宋体" w:eastAsia="宋体" w:cs="宋体"/>
          <w:color w:val="auto"/>
          <w:sz w:val="24"/>
          <w:szCs w:val="24"/>
          <w:highlight w:val="none"/>
        </w:rPr>
        <w:t xml:space="preserve">报告。 </w:t>
      </w:r>
    </w:p>
    <w:p>
      <w:pPr>
        <w:spacing w:line="360" w:lineRule="auto"/>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（8）根据《广州市建筑施工实名制管理办法》</w:t>
      </w:r>
      <w:r>
        <w:rPr>
          <w:rFonts w:hint="eastAsia" w:ascii="宋体" w:hAnsi="宋体" w:eastAsia="宋体" w:cs="宋体"/>
          <w:color w:val="auto"/>
          <w:sz w:val="24"/>
          <w:szCs w:val="24"/>
          <w:highlight w:val="none"/>
        </w:rPr>
        <w:t>（穗建规字[2020]18</w:t>
      </w:r>
      <w:r>
        <w:rPr>
          <w:rFonts w:hint="eastAsia" w:ascii="宋体" w:hAnsi="宋体" w:eastAsia="宋体" w:cs="宋体"/>
          <w:color w:val="auto"/>
          <w:spacing w:val="-32"/>
          <w:sz w:val="24"/>
          <w:szCs w:val="24"/>
          <w:highlight w:val="none"/>
        </w:rPr>
        <w:t xml:space="preserve">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和《广州市建设</w:t>
      </w:r>
      <w:r>
        <w:rPr>
          <w:rFonts w:hint="eastAsia" w:ascii="宋体" w:hAnsi="宋体" w:eastAsia="宋体" w:cs="宋体"/>
          <w:color w:val="auto"/>
          <w:spacing w:val="-5"/>
          <w:sz w:val="24"/>
          <w:szCs w:val="24"/>
          <w:highlight w:val="none"/>
        </w:rPr>
        <w:t>领域工人工资支付分账管理实施细则》</w:t>
      </w:r>
      <w:r>
        <w:rPr>
          <w:rFonts w:hint="eastAsia" w:ascii="宋体" w:hAnsi="宋体" w:eastAsia="宋体" w:cs="宋体"/>
          <w:color w:val="auto"/>
          <w:sz w:val="24"/>
          <w:szCs w:val="24"/>
          <w:highlight w:val="none"/>
        </w:rPr>
        <w:t>（穗建规字[2020]37</w:t>
      </w:r>
      <w:r>
        <w:rPr>
          <w:rFonts w:hint="eastAsia" w:ascii="宋体" w:hAnsi="宋体" w:eastAsia="宋体" w:cs="宋体"/>
          <w:color w:val="auto"/>
          <w:spacing w:val="-30"/>
          <w:sz w:val="24"/>
          <w:szCs w:val="24"/>
          <w:highlight w:val="none"/>
        </w:rPr>
        <w:t xml:space="preserve"> 号</w:t>
      </w:r>
      <w:r>
        <w:rPr>
          <w:rFonts w:hint="eastAsia" w:ascii="宋体" w:hAnsi="宋体" w:eastAsia="宋体" w:cs="宋体"/>
          <w:color w:val="auto"/>
          <w:spacing w:val="-39"/>
          <w:sz w:val="24"/>
          <w:szCs w:val="24"/>
          <w:highlight w:val="none"/>
        </w:rPr>
        <w:t>）</w:t>
      </w:r>
      <w:r>
        <w:rPr>
          <w:rFonts w:hint="eastAsia" w:ascii="宋体" w:hAnsi="宋体" w:eastAsia="宋体" w:cs="宋体"/>
          <w:color w:val="auto"/>
          <w:spacing w:val="-7"/>
          <w:sz w:val="24"/>
          <w:szCs w:val="24"/>
          <w:highlight w:val="none"/>
        </w:rPr>
        <w:t>的规定，监理人在对本工程实</w:t>
      </w:r>
      <w:r>
        <w:rPr>
          <w:rFonts w:hint="eastAsia" w:ascii="宋体" w:hAnsi="宋体" w:eastAsia="宋体" w:cs="宋体"/>
          <w:color w:val="auto"/>
          <w:sz w:val="24"/>
          <w:szCs w:val="24"/>
          <w:highlight w:val="none"/>
        </w:rPr>
        <w:t xml:space="preserve">施监理的时候，应当履行下列管理责任： </w:t>
      </w:r>
    </w:p>
    <w:p>
      <w:pPr>
        <w:pStyle w:val="11"/>
        <w:spacing w:after="0" w:line="360" w:lineRule="auto"/>
        <w:ind w:firstLine="46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①督促施工单位落实实名制及工人工资分账管理制度，如施工单位未按规定执行的，应当</w:t>
      </w:r>
      <w:r>
        <w:rPr>
          <w:rFonts w:hint="eastAsia" w:ascii="宋体" w:hAnsi="宋体" w:eastAsia="宋体" w:cs="宋体"/>
          <w:color w:val="auto"/>
          <w:sz w:val="24"/>
          <w:szCs w:val="24"/>
          <w:highlight w:val="none"/>
        </w:rPr>
        <w:t xml:space="preserve">要求施工单位整改；施工单位拒不整改的，须立即向委托人及工程行政管理部门报告。 </w:t>
      </w:r>
    </w:p>
    <w:p>
      <w:pPr>
        <w:pStyle w:val="11"/>
        <w:spacing w:after="0" w:line="360" w:lineRule="auto"/>
        <w:ind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②审核施工单位报送的工人考勤、工资结算和支付等管理台账。如工人工资支付账户内资</w:t>
      </w:r>
      <w:r>
        <w:rPr>
          <w:rFonts w:hint="eastAsia" w:ascii="宋体" w:hAnsi="宋体" w:eastAsia="宋体" w:cs="宋体"/>
          <w:color w:val="auto"/>
          <w:spacing w:val="-9"/>
          <w:sz w:val="24"/>
          <w:szCs w:val="24"/>
          <w:highlight w:val="none"/>
        </w:rPr>
        <w:t>金少于应付支付工人工资的，监理人应督促施工单位及时补足，确保工人工资按时足额支付。</w:t>
      </w:r>
      <w:r>
        <w:rPr>
          <w:rFonts w:hint="eastAsia" w:ascii="宋体" w:hAnsi="宋体" w:eastAsia="宋体" w:cs="宋体"/>
          <w:color w:val="auto"/>
          <w:sz w:val="24"/>
          <w:szCs w:val="24"/>
          <w:highlight w:val="none"/>
        </w:rPr>
        <w:t xml:space="preserve"> </w:t>
      </w:r>
    </w:p>
    <w:p>
      <w:pPr>
        <w:pStyle w:val="11"/>
        <w:spacing w:after="0" w:line="360" w:lineRule="auto"/>
        <w:ind w:firstLine="452" w:firstLineChars="200"/>
        <w:rPr>
          <w:rFonts w:hint="eastAsia" w:ascii="宋体" w:hAnsi="宋体" w:eastAsia="宋体" w:cs="宋体"/>
          <w:color w:val="auto"/>
          <w:spacing w:val="-5"/>
          <w:sz w:val="24"/>
          <w:szCs w:val="24"/>
          <w:highlight w:val="none"/>
        </w:rPr>
      </w:pPr>
      <w:r>
        <w:rPr>
          <w:rFonts w:hint="eastAsia" w:ascii="宋体" w:hAnsi="宋体" w:eastAsia="宋体" w:cs="宋体"/>
          <w:color w:val="auto"/>
          <w:spacing w:val="-7"/>
          <w:sz w:val="24"/>
          <w:szCs w:val="24"/>
          <w:highlight w:val="none"/>
        </w:rPr>
        <w:t>③实施监理过程中，发现施工单位违反上述规定，存在拖欠工人工资、工人工资支付信息</w:t>
      </w:r>
      <w:r>
        <w:rPr>
          <w:rFonts w:hint="eastAsia" w:ascii="宋体" w:hAnsi="宋体" w:eastAsia="宋体" w:cs="宋体"/>
          <w:color w:val="auto"/>
          <w:spacing w:val="-14"/>
          <w:sz w:val="24"/>
          <w:szCs w:val="24"/>
          <w:highlight w:val="none"/>
        </w:rPr>
        <w:t>与实名制登记的用工信息严重不符、约定的工程进度款中的工人工资款比例低于参照比例下限、</w:t>
      </w:r>
      <w:r>
        <w:rPr>
          <w:rFonts w:hint="eastAsia" w:ascii="宋体" w:hAnsi="宋体" w:eastAsia="宋体" w:cs="宋体"/>
          <w:color w:val="auto"/>
          <w:spacing w:val="-5"/>
          <w:sz w:val="24"/>
          <w:szCs w:val="24"/>
          <w:highlight w:val="none"/>
        </w:rPr>
        <w:t>工资支付专用账户发生异常情况等，应当要求施工单位立即整改并及时向委托人报告；如发现</w:t>
      </w:r>
      <w:r>
        <w:rPr>
          <w:rFonts w:hint="eastAsia" w:ascii="宋体" w:hAnsi="宋体" w:eastAsia="宋体" w:cs="宋体"/>
          <w:color w:val="auto"/>
          <w:spacing w:val="-10"/>
          <w:sz w:val="24"/>
          <w:szCs w:val="24"/>
          <w:highlight w:val="none"/>
        </w:rPr>
        <w:t xml:space="preserve">施工单位转包或者违法分包造成拖欠工人工资的，须立即上报委托人及工程行政管理部门严肃处理。 </w:t>
      </w:r>
    </w:p>
    <w:p>
      <w:pPr>
        <w:pStyle w:val="11"/>
        <w:spacing w:after="0" w:line="360" w:lineRule="auto"/>
        <w:ind w:firstLine="46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④审核确认工程完工及施工单位结清工人工资的情况，配合施工单位办理工人工资支付专</w:t>
      </w:r>
      <w:r>
        <w:rPr>
          <w:rFonts w:hint="eastAsia" w:ascii="宋体" w:hAnsi="宋体" w:eastAsia="宋体" w:cs="宋体"/>
          <w:color w:val="auto"/>
          <w:sz w:val="24"/>
          <w:szCs w:val="24"/>
          <w:highlight w:val="none"/>
        </w:rPr>
        <w:t xml:space="preserve">用账户撤销手续。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1"/>
          <w:sz w:val="24"/>
          <w:szCs w:val="24"/>
          <w:highlight w:val="none"/>
        </w:rPr>
        <w:t>、监理人应严格按广州市、增城区有关施工现场余泥渣土排放、建筑垃圾运输管理、市</w:t>
      </w:r>
      <w:r>
        <w:rPr>
          <w:rFonts w:hint="eastAsia" w:ascii="宋体" w:hAnsi="宋体" w:eastAsia="宋体" w:cs="宋体"/>
          <w:color w:val="auto"/>
          <w:spacing w:val="-10"/>
          <w:sz w:val="24"/>
          <w:szCs w:val="24"/>
          <w:highlight w:val="none"/>
        </w:rPr>
        <w:t>容卫生、文明施工管理规定的标准和要求，加强对承包人的监督和检查。监理人必须对施工承</w:t>
      </w:r>
      <w:r>
        <w:rPr>
          <w:rFonts w:hint="eastAsia" w:ascii="宋体" w:hAnsi="宋体" w:eastAsia="宋体" w:cs="宋体"/>
          <w:color w:val="auto"/>
          <w:spacing w:val="-6"/>
          <w:sz w:val="24"/>
          <w:szCs w:val="24"/>
          <w:highlight w:val="none"/>
        </w:rPr>
        <w:t>包人的土石方专业工程分包合同、建筑垃圾运输合同进行备案和跟踪管理。检查发现问题，应</w:t>
      </w:r>
      <w:r>
        <w:rPr>
          <w:rFonts w:hint="eastAsia" w:ascii="宋体" w:hAnsi="宋体" w:eastAsia="宋体" w:cs="宋体"/>
          <w:color w:val="auto"/>
          <w:spacing w:val="-7"/>
          <w:sz w:val="24"/>
          <w:szCs w:val="24"/>
          <w:highlight w:val="none"/>
        </w:rPr>
        <w:t>立即发出监理通知予以制止。监理人还必须审查余泥渣土、建筑垃圾运输单位的资质，发现问</w:t>
      </w:r>
      <w:r>
        <w:rPr>
          <w:rFonts w:hint="eastAsia" w:ascii="宋体" w:hAnsi="宋体" w:eastAsia="宋体" w:cs="宋体"/>
          <w:color w:val="auto"/>
          <w:spacing w:val="-9"/>
          <w:sz w:val="24"/>
          <w:szCs w:val="24"/>
          <w:highlight w:val="none"/>
        </w:rPr>
        <w:t>题立即予以制止，并同时向委托人、建设主管部门、余泥渣土排放主管部门及城管部门一并报</w:t>
      </w:r>
      <w:r>
        <w:rPr>
          <w:rFonts w:hint="eastAsia" w:ascii="宋体" w:hAnsi="宋体" w:eastAsia="宋体" w:cs="宋体"/>
          <w:color w:val="auto"/>
          <w:spacing w:val="-10"/>
          <w:sz w:val="24"/>
          <w:szCs w:val="24"/>
          <w:highlight w:val="none"/>
        </w:rPr>
        <w:t>告。监理人对每台出泥运输车应当现场做好出泥登记和双方签名确认，以供城市管理部门和建</w:t>
      </w:r>
      <w:r>
        <w:rPr>
          <w:rFonts w:hint="eastAsia" w:ascii="宋体" w:hAnsi="宋体" w:eastAsia="宋体" w:cs="宋体"/>
          <w:color w:val="auto"/>
          <w:sz w:val="24"/>
          <w:szCs w:val="24"/>
          <w:highlight w:val="none"/>
        </w:rPr>
        <w:t xml:space="preserve">设主管部门随时抽查。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5、工程造价控制工作，包括但不限于以下工作：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（1）监理人应每日统计承包人实际完成的工程量，并记录于监理日志中。 </w:t>
      </w:r>
    </w:p>
    <w:p>
      <w:pPr>
        <w:pStyle w:val="11"/>
        <w:spacing w:after="0" w:line="360" w:lineRule="auto"/>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（2）复核当期验收合格的工程量，按施工合同的约定审核承包人提交的工程量清单和工</w:t>
      </w:r>
      <w:r>
        <w:rPr>
          <w:rFonts w:hint="eastAsia" w:ascii="宋体" w:hAnsi="宋体" w:eastAsia="宋体" w:cs="宋体"/>
          <w:color w:val="auto"/>
          <w:sz w:val="24"/>
          <w:szCs w:val="24"/>
          <w:highlight w:val="none"/>
        </w:rPr>
        <w:t xml:space="preserve">程款支付申请表并报委托人。 </w:t>
      </w:r>
    </w:p>
    <w:p>
      <w:pPr>
        <w:pStyle w:val="11"/>
        <w:spacing w:after="0" w:line="360" w:lineRule="auto"/>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（3）依据施工合同有关条款、施工图，对工程项目造价目标进行风险分析，并应制定防</w:t>
      </w:r>
      <w:r>
        <w:rPr>
          <w:rFonts w:hint="eastAsia" w:ascii="宋体" w:hAnsi="宋体" w:eastAsia="宋体" w:cs="宋体"/>
          <w:color w:val="auto"/>
          <w:sz w:val="24"/>
          <w:szCs w:val="24"/>
          <w:highlight w:val="none"/>
        </w:rPr>
        <w:t xml:space="preserve">范性对策。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6、按区及委托人关于工程变更、签证管理的相关规定，从造价、项目的功能要求、质量和工期等方面对</w:t>
      </w:r>
      <w:r>
        <w:rPr>
          <w:rFonts w:hint="eastAsia" w:ascii="宋体" w:hAnsi="宋体" w:eastAsia="宋体" w:cs="宋体"/>
          <w:color w:val="auto"/>
          <w:spacing w:val="-3"/>
          <w:sz w:val="24"/>
          <w:szCs w:val="24"/>
          <w:highlight w:val="none"/>
        </w:rPr>
        <w:t>工程</w:t>
      </w:r>
      <w:r>
        <w:rPr>
          <w:rFonts w:hint="eastAsia" w:ascii="宋体" w:hAnsi="宋体" w:eastAsia="宋体" w:cs="宋体"/>
          <w:color w:val="auto"/>
          <w:sz w:val="24"/>
          <w:szCs w:val="24"/>
          <w:highlight w:val="none"/>
        </w:rPr>
        <w:t xml:space="preserve">变更、签证进行审核，并督促相关单位按经审定的变更、签证实施。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7、按监理规范向委托人提交监理月报，内容包括但不限于本月工程实施概况，工程计量及支付情况，工程变更、签证及索赔情况，监理工作小结等。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8、工程收尾阶段，包括竣工收尾、验收、整改、移交、结算、考核评价等方面的监理工作，包括但不限于以下内容：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（1）依据有关法律、法规、工程建设强制性标准、设计文件及施工合同，对承包人报送</w:t>
      </w:r>
      <w:r>
        <w:rPr>
          <w:rFonts w:hint="eastAsia" w:ascii="宋体" w:hAnsi="宋体" w:eastAsia="宋体" w:cs="宋体"/>
          <w:color w:val="auto"/>
          <w:spacing w:val="-20"/>
          <w:sz w:val="24"/>
          <w:szCs w:val="24"/>
          <w:highlight w:val="none"/>
        </w:rPr>
        <w:t>的竣工资</w:t>
      </w:r>
      <w:r>
        <w:rPr>
          <w:rFonts w:hint="eastAsia" w:ascii="宋体" w:hAnsi="宋体" w:eastAsia="宋体" w:cs="宋体"/>
          <w:color w:val="auto"/>
          <w:sz w:val="24"/>
          <w:szCs w:val="24"/>
          <w:highlight w:val="none"/>
        </w:rPr>
        <w:t>料进行审查，并对</w:t>
      </w:r>
      <w:r>
        <w:rPr>
          <w:rFonts w:hint="eastAsia" w:ascii="宋体" w:hAnsi="宋体" w:eastAsia="宋体" w:cs="宋体"/>
          <w:color w:val="auto"/>
          <w:spacing w:val="-20"/>
          <w:sz w:val="24"/>
          <w:szCs w:val="24"/>
          <w:highlight w:val="none"/>
        </w:rPr>
        <w:t xml:space="preserve">工程质量进行竣工预验收。对存在的问题，应及时要求承包人整改。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1"/>
          <w:sz w:val="24"/>
          <w:szCs w:val="24"/>
          <w:highlight w:val="none"/>
        </w:rPr>
        <w:t>参加由委托人组织的竣工验收。对验收中提出的整改问题，督促承包人进行整改。</w:t>
      </w:r>
      <w:r>
        <w:rPr>
          <w:rFonts w:hint="eastAsia" w:ascii="宋体" w:hAnsi="宋体" w:eastAsia="宋体" w:cs="宋体"/>
          <w:color w:val="auto"/>
          <w:sz w:val="24"/>
          <w:szCs w:val="24"/>
          <w:highlight w:val="none"/>
        </w:rPr>
        <w:t>工程质量符合</w:t>
      </w:r>
      <w:r>
        <w:rPr>
          <w:rFonts w:hint="eastAsia" w:ascii="宋体" w:hAnsi="宋体" w:eastAsia="宋体" w:cs="宋体"/>
          <w:color w:val="auto"/>
          <w:spacing w:val="-3"/>
          <w:sz w:val="24"/>
          <w:szCs w:val="24"/>
          <w:highlight w:val="none"/>
        </w:rPr>
        <w:t>要求</w:t>
      </w:r>
      <w:r>
        <w:rPr>
          <w:rFonts w:hint="eastAsia" w:ascii="宋体" w:hAnsi="宋体" w:eastAsia="宋体" w:cs="宋体"/>
          <w:color w:val="auto"/>
          <w:sz w:val="24"/>
          <w:szCs w:val="24"/>
          <w:highlight w:val="none"/>
        </w:rPr>
        <w:t xml:space="preserve">，会同参加验收的各方签署竣工验收报告。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1"/>
          <w:sz w:val="24"/>
          <w:szCs w:val="24"/>
          <w:highlight w:val="none"/>
        </w:rPr>
        <w:t>根据有关文件规定，督促检查承包人完成各阶段及全套竣工图的工作和整理各种必</w:t>
      </w:r>
      <w:r>
        <w:rPr>
          <w:rFonts w:hint="eastAsia" w:ascii="宋体" w:hAnsi="宋体" w:eastAsia="宋体" w:cs="宋体"/>
          <w:color w:val="auto"/>
          <w:sz w:val="24"/>
          <w:szCs w:val="24"/>
          <w:highlight w:val="none"/>
        </w:rPr>
        <w:t xml:space="preserve">须归档的资料，办理工程竣工档案备案手续。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（4）负责对项目实施过程中形成的声像材料按区及委托人有关规定进行归档整理后，移交</w:t>
      </w:r>
      <w:r>
        <w:rPr>
          <w:rFonts w:hint="eastAsia" w:ascii="宋体" w:hAnsi="宋体" w:eastAsia="宋体" w:cs="宋体"/>
          <w:color w:val="auto"/>
          <w:spacing w:val="-3"/>
          <w:sz w:val="24"/>
          <w:szCs w:val="24"/>
          <w:highlight w:val="none"/>
        </w:rPr>
        <w:t>委托人</w:t>
      </w:r>
      <w:r>
        <w:rPr>
          <w:rFonts w:hint="eastAsia" w:ascii="宋体" w:hAnsi="宋体" w:eastAsia="宋体" w:cs="宋体"/>
          <w:color w:val="auto"/>
          <w:sz w:val="24"/>
          <w:szCs w:val="24"/>
          <w:highlight w:val="none"/>
        </w:rPr>
        <w:t xml:space="preserve">。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（5）组织或协助委托人、承包人和产权管理单位对项目进行移交。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（6）按委托人</w:t>
      </w:r>
      <w:r>
        <w:rPr>
          <w:rFonts w:hint="eastAsia" w:ascii="宋体" w:hAnsi="宋体" w:eastAsia="宋体" w:cs="宋体"/>
          <w:color w:val="auto"/>
          <w:spacing w:val="-3"/>
          <w:sz w:val="24"/>
          <w:szCs w:val="24"/>
          <w:highlight w:val="none"/>
        </w:rPr>
        <w:t>施工</w:t>
      </w:r>
      <w:r>
        <w:rPr>
          <w:rFonts w:hint="eastAsia" w:ascii="宋体" w:hAnsi="宋体" w:eastAsia="宋体" w:cs="宋体"/>
          <w:color w:val="auto"/>
          <w:sz w:val="24"/>
          <w:szCs w:val="24"/>
          <w:highlight w:val="none"/>
        </w:rPr>
        <w:t>类合同结算编审要求及区有关规定组织编制及办理建设项目工程结算</w:t>
      </w:r>
      <w:r>
        <w:rPr>
          <w:rFonts w:hint="eastAsia" w:ascii="宋体" w:hAnsi="宋体" w:eastAsia="宋体" w:cs="宋体"/>
          <w:color w:val="auto"/>
          <w:spacing w:val="-8"/>
          <w:sz w:val="24"/>
          <w:szCs w:val="24"/>
          <w:highlight w:val="none"/>
        </w:rPr>
        <w:t xml:space="preserve">。工程完工经验收通过后 </w:t>
      </w:r>
      <w:r>
        <w:rPr>
          <w:rFonts w:hint="eastAsia" w:ascii="宋体" w:hAnsi="宋体" w:eastAsia="宋体" w:cs="宋体"/>
          <w:color w:val="auto"/>
          <w:sz w:val="24"/>
          <w:szCs w:val="24"/>
          <w:highlight w:val="none"/>
        </w:rPr>
        <w:t>45</w:t>
      </w:r>
      <w:r>
        <w:rPr>
          <w:rFonts w:hint="eastAsia" w:ascii="宋体" w:hAnsi="宋体" w:eastAsia="宋体" w:cs="宋体"/>
          <w:color w:val="auto"/>
          <w:spacing w:val="-7"/>
          <w:sz w:val="24"/>
          <w:szCs w:val="24"/>
          <w:highlight w:val="none"/>
        </w:rPr>
        <w:t xml:space="preserve"> 天内督促承包人提交工程结算文件，并在收到承包人结算资料后二十</w:t>
      </w:r>
      <w:r>
        <w:rPr>
          <w:rFonts w:hint="eastAsia" w:ascii="宋体" w:hAnsi="宋体" w:eastAsia="宋体" w:cs="宋体"/>
          <w:color w:val="auto"/>
          <w:spacing w:val="-3"/>
          <w:sz w:val="24"/>
          <w:szCs w:val="24"/>
          <w:highlight w:val="none"/>
        </w:rPr>
        <w:t>日内</w:t>
      </w:r>
      <w:r>
        <w:rPr>
          <w:rFonts w:hint="eastAsia" w:ascii="宋体" w:hAnsi="宋体" w:eastAsia="宋体" w:cs="宋体"/>
          <w:color w:val="auto"/>
          <w:spacing w:val="-7"/>
          <w:sz w:val="24"/>
          <w:szCs w:val="24"/>
          <w:highlight w:val="none"/>
        </w:rPr>
        <w:t xml:space="preserve">，根据相关合同约定完成审核并提交委托人。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1"/>
          <w:sz w:val="24"/>
          <w:szCs w:val="24"/>
          <w:highlight w:val="none"/>
        </w:rPr>
        <w:t>、督促承包人在工程保修期内对工程进行保修，对委托人提出的工程质量缺陷进行检查</w:t>
      </w:r>
      <w:r>
        <w:rPr>
          <w:rFonts w:hint="eastAsia" w:ascii="宋体" w:hAnsi="宋体" w:eastAsia="宋体" w:cs="宋体"/>
          <w:color w:val="auto"/>
          <w:spacing w:val="-10"/>
          <w:sz w:val="24"/>
          <w:szCs w:val="24"/>
          <w:highlight w:val="none"/>
        </w:rPr>
        <w:t>和记录，对承包人进行修复的工程质量进行验收，合格后予以签认。对工程质量缺陷原因进行</w:t>
      </w:r>
      <w:r>
        <w:rPr>
          <w:rFonts w:hint="eastAsia" w:ascii="宋体" w:hAnsi="宋体" w:eastAsia="宋体" w:cs="宋体"/>
          <w:color w:val="auto"/>
          <w:spacing w:val="-7"/>
          <w:sz w:val="24"/>
          <w:szCs w:val="24"/>
          <w:highlight w:val="none"/>
        </w:rPr>
        <w:t>调查分析并确定责任归属，对非承包人原因造成的工程质量缺陷，监理人员应核实修复工程的</w:t>
      </w:r>
      <w:r>
        <w:rPr>
          <w:rFonts w:hint="eastAsia" w:ascii="宋体" w:hAnsi="宋体" w:eastAsia="宋体" w:cs="宋体"/>
          <w:color w:val="auto"/>
          <w:sz w:val="24"/>
          <w:szCs w:val="24"/>
          <w:highlight w:val="none"/>
        </w:rPr>
        <w:t xml:space="preserve">费用和签署工程款支付证书，并报委托人。 </w:t>
      </w:r>
    </w:p>
    <w:p>
      <w:pPr>
        <w:pStyle w:val="11"/>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pacing w:val="-11"/>
          <w:sz w:val="24"/>
          <w:szCs w:val="24"/>
          <w:highlight w:val="none"/>
        </w:rPr>
        <w:t>、在整个监理服务期内，定期组织、主持现场工程协调会议，负责协调各承包人的配合</w:t>
      </w:r>
      <w:r>
        <w:rPr>
          <w:rFonts w:hint="eastAsia" w:ascii="宋体" w:hAnsi="宋体" w:eastAsia="宋体" w:cs="宋体"/>
          <w:color w:val="auto"/>
          <w:sz w:val="24"/>
          <w:szCs w:val="24"/>
          <w:highlight w:val="none"/>
        </w:rPr>
        <w:t>穿插施工</w:t>
      </w:r>
      <w:r>
        <w:rPr>
          <w:rFonts w:hint="eastAsia" w:ascii="宋体" w:hAnsi="宋体" w:eastAsia="宋体" w:cs="宋体"/>
          <w:color w:val="auto"/>
          <w:spacing w:val="-3"/>
          <w:sz w:val="24"/>
          <w:szCs w:val="24"/>
          <w:highlight w:val="none"/>
        </w:rPr>
        <w:t>安排</w:t>
      </w:r>
      <w:r>
        <w:rPr>
          <w:rFonts w:hint="eastAsia" w:ascii="宋体" w:hAnsi="宋体" w:eastAsia="宋体" w:cs="宋体"/>
          <w:color w:val="auto"/>
          <w:sz w:val="24"/>
          <w:szCs w:val="24"/>
          <w:highlight w:val="none"/>
        </w:rPr>
        <w:t xml:space="preserve">。 </w:t>
      </w:r>
    </w:p>
    <w:p>
      <w:pPr>
        <w:pStyle w:val="2"/>
        <w:widowControl/>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11、其他为完成本工程建设所需要的监理工作。 </w:t>
      </w:r>
    </w:p>
    <w:p>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3.监理依据：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（1）适用的法律、行政法规及部门规章；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（2）与工程有关的规范、标准、规程；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（3）工程勘察文件、设计文件及其他文件；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（4）本工程监理的委托合同及补充合同；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（5）委托人签订的勘察、设计和施工承包合同；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（6）合同履行中与监理服务有关的来往函件；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（7）其他监理依据。</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4.监理的技术要求：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（1）符合法律、行政法规及部门规章；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（2）符合本工程有关的规范、标准、规程；</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5.监理人员、设备要求：</w:t>
      </w:r>
      <w:r>
        <w:rPr>
          <w:rFonts w:hint="eastAsia" w:ascii="宋体" w:hAnsi="宋体" w:eastAsia="宋体" w:cs="宋体"/>
          <w:color w:val="auto"/>
          <w:sz w:val="24"/>
          <w:szCs w:val="24"/>
          <w:highlight w:val="none"/>
        </w:rPr>
        <w:t>详见本项目招标文件和招标公告。</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6.监理文件要求：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sz w:val="24"/>
          <w:szCs w:val="24"/>
          <w:highlight w:val="none"/>
        </w:rPr>
        <w:t>7.监理工作目标要求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①质量控制目标：执行国家、地方或行业现行的工程建设质量验收标准及规范，须达到合格标准。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②进度控制目标：施工工期为业主下达开工令或开工报告审批之日起。按施工进度要求控制。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③造价控制目标：造价控制在采购人确认的工程投资总概算及预算内。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④安全文明管理目标：确保工程无重大安全事故。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⑤合同管理目标：\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⑥信息管理目标：\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⑦建筑节能目标：\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其他要求：\。</w:t>
      </w:r>
    </w:p>
    <w:p>
      <w:pPr>
        <w:pStyle w:val="4"/>
        <w:keepNext w:val="0"/>
        <w:keepLines w:val="0"/>
        <w:spacing w:before="0" w:after="0" w:line="360" w:lineRule="auto"/>
        <w:ind w:firstLine="560" w:firstLineChars="200"/>
        <w:rPr>
          <w:rFonts w:hint="eastAsia" w:ascii="黑体" w:hAnsi="黑体" w:eastAsia="黑体" w:cs="黑体"/>
          <w:b w:val="0"/>
          <w:bCs w:val="0"/>
          <w:color w:val="auto"/>
          <w:sz w:val="28"/>
          <w:szCs w:val="28"/>
          <w:highlight w:val="none"/>
        </w:rPr>
      </w:pPr>
      <w:bookmarkStart w:id="611" w:name="_Toc89870624"/>
      <w:bookmarkStart w:id="612" w:name="_Toc511557111"/>
      <w:bookmarkStart w:id="613" w:name="_Toc8489"/>
      <w:bookmarkStart w:id="614" w:name="_Toc482188638"/>
      <w:bookmarkStart w:id="615" w:name="_Toc527028521"/>
      <w:r>
        <w:rPr>
          <w:rFonts w:hint="eastAsia" w:ascii="黑体" w:hAnsi="黑体" w:eastAsia="黑体" w:cs="黑体"/>
          <w:b w:val="0"/>
          <w:bCs w:val="0"/>
          <w:color w:val="auto"/>
          <w:sz w:val="28"/>
          <w:szCs w:val="28"/>
          <w:highlight w:val="none"/>
        </w:rPr>
        <w:t>二、适用规范标准</w:t>
      </w:r>
      <w:bookmarkEnd w:id="611"/>
      <w:bookmarkEnd w:id="612"/>
      <w:bookmarkEnd w:id="613"/>
      <w:bookmarkEnd w:id="614"/>
      <w:bookmarkEnd w:id="61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国家、行业、项目所在地规范名录：</w:t>
      </w:r>
      <w:r>
        <w:rPr>
          <w:rFonts w:hint="eastAsia" w:ascii="宋体" w:hAnsi="宋体" w:eastAsia="宋体" w:cs="宋体"/>
          <w:color w:val="auto"/>
          <w:sz w:val="24"/>
          <w:szCs w:val="24"/>
          <w:highlight w:val="none"/>
          <w:u w:val="single"/>
        </w:rPr>
        <w:t>《建设工程监理规范》GB/T50319-2013，按国家、行业、项目所在地规范名录执行。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国家、行业、项目所在地标准名录：</w:t>
      </w:r>
      <w:r>
        <w:rPr>
          <w:rFonts w:hint="eastAsia" w:ascii="宋体" w:hAnsi="宋体" w:eastAsia="宋体" w:cs="宋体"/>
          <w:color w:val="auto"/>
          <w:sz w:val="24"/>
          <w:szCs w:val="24"/>
          <w:highlight w:val="none"/>
          <w:u w:val="single"/>
        </w:rPr>
        <w:t>按国家、行业、项目所在地规范标准执行。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国家、行业、项目所在地规程名录：</w:t>
      </w:r>
      <w:r>
        <w:rPr>
          <w:rFonts w:hint="eastAsia" w:ascii="宋体" w:hAnsi="宋体" w:eastAsia="宋体" w:cs="宋体"/>
          <w:color w:val="auto"/>
          <w:sz w:val="24"/>
          <w:szCs w:val="24"/>
          <w:highlight w:val="none"/>
          <w:u w:val="single"/>
        </w:rPr>
        <w:t>按国家、行业、项目所在地规范规程执行。</w:t>
      </w:r>
    </w:p>
    <w:p>
      <w:pPr>
        <w:pStyle w:val="4"/>
        <w:keepNext w:val="0"/>
        <w:keepLines w:val="0"/>
        <w:spacing w:before="0" w:after="0" w:line="360" w:lineRule="auto"/>
        <w:ind w:firstLine="560" w:firstLineChars="200"/>
        <w:rPr>
          <w:rFonts w:hint="eastAsia" w:ascii="黑体" w:hAnsi="黑体" w:eastAsia="黑体" w:cs="黑体"/>
          <w:b w:val="0"/>
          <w:bCs w:val="0"/>
          <w:color w:val="auto"/>
          <w:sz w:val="28"/>
          <w:szCs w:val="28"/>
          <w:highlight w:val="none"/>
        </w:rPr>
      </w:pPr>
      <w:bookmarkStart w:id="616" w:name="_Toc482188639"/>
      <w:bookmarkStart w:id="617" w:name="_Toc527028522"/>
      <w:bookmarkStart w:id="618" w:name="_Toc89870625"/>
      <w:bookmarkStart w:id="619" w:name="_Toc511557112"/>
      <w:bookmarkStart w:id="620" w:name="_Toc9991"/>
      <w:r>
        <w:rPr>
          <w:rFonts w:hint="eastAsia" w:ascii="黑体" w:hAnsi="黑体" w:eastAsia="黑体" w:cs="黑体"/>
          <w:b w:val="0"/>
          <w:bCs w:val="0"/>
          <w:color w:val="auto"/>
          <w:sz w:val="28"/>
          <w:szCs w:val="28"/>
          <w:highlight w:val="none"/>
        </w:rPr>
        <w:t>三、成果文件要求</w:t>
      </w:r>
      <w:bookmarkEnd w:id="616"/>
      <w:bookmarkEnd w:id="617"/>
      <w:bookmarkEnd w:id="618"/>
      <w:bookmarkEnd w:id="619"/>
      <w:bookmarkEnd w:id="620"/>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按《建设工程监理规范》（GB/T50319-2013）和招标人要求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成果文件的组成</w:t>
      </w:r>
    </w:p>
    <w:p>
      <w:pPr>
        <w:numPr>
          <w:ilvl w:val="0"/>
          <w:numId w:val="6"/>
        </w:num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1、勘察设计文件、建设工程监理合同及其他合同文件；</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2、监理规划、监理实施细则；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3、设计交底和图纸会审会议纪要；</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4、施工组织设计、（专项）施工方案、施工进度计划报审文件资料；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5、分包单位资格报审文件资料；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6、施工控制测量成果报验文件资料；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7、总监理工程师任命书、工程开工令、暂停令、复工令、开工或复工报审文件资料；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8、工程材料、设备、构配件报验文件资料；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9、见证取样和平行检验文件资料；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10、工程质量检查报验资料及工程有关验收资料；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11、工程变更、费用索赔及工程延期文件资料；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12、工程计量、工程款支付文件资料；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13、监理通知单、工作联系单与监理报告；</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14、第一次工地会议、监理例会、专题会议等会议纪要；</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15、监理月报、监理日志、旁站记录；</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16、工程质量或生产安全事故处理文件资料；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17、工程质量评估报告及竣工验收监理文件资料；</w:t>
      </w:r>
    </w:p>
    <w:p>
      <w:pPr>
        <w:numPr>
          <w:ilvl w:val="0"/>
          <w:numId w:val="6"/>
        </w:numPr>
        <w:tabs>
          <w:tab w:val="left" w:pos="680"/>
        </w:tabs>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18、监理工作总结。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成果文件的深度:</w:t>
      </w:r>
      <w:r>
        <w:rPr>
          <w:rFonts w:hint="eastAsia" w:ascii="宋体" w:hAnsi="宋体" w:eastAsia="宋体" w:cs="宋体"/>
          <w:color w:val="auto"/>
          <w:sz w:val="24"/>
          <w:szCs w:val="24"/>
          <w:highlight w:val="none"/>
          <w:u w:val="single"/>
        </w:rPr>
        <w:t xml:space="preserve"> 满足本项目监理服务要求。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成果文件的格式要求:</w:t>
      </w:r>
      <w:r>
        <w:rPr>
          <w:rFonts w:hint="eastAsia" w:ascii="宋体" w:hAnsi="宋体" w:eastAsia="宋体" w:cs="宋体"/>
          <w:color w:val="auto"/>
          <w:sz w:val="24"/>
          <w:szCs w:val="24"/>
          <w:highlight w:val="none"/>
          <w:u w:val="single"/>
        </w:rPr>
        <w:t xml:space="preserve"> 满足本项目监理服务要求。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成果文件的份数要求:</w:t>
      </w:r>
      <w:r>
        <w:rPr>
          <w:rFonts w:hint="eastAsia" w:ascii="宋体" w:hAnsi="宋体" w:eastAsia="宋体" w:cs="宋体"/>
          <w:color w:val="auto"/>
          <w:sz w:val="24"/>
          <w:szCs w:val="24"/>
          <w:highlight w:val="none"/>
          <w:u w:val="single"/>
        </w:rPr>
        <w:t xml:space="preserve"> 一式六份；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成果文件的载体要求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（1）纸质版的要求：:</w:t>
      </w:r>
      <w:r>
        <w:rPr>
          <w:rFonts w:hint="eastAsia" w:ascii="宋体" w:hAnsi="宋体" w:eastAsia="宋体" w:cs="宋体"/>
          <w:color w:val="auto"/>
          <w:sz w:val="24"/>
          <w:szCs w:val="24"/>
          <w:highlight w:val="none"/>
          <w:u w:val="single"/>
        </w:rPr>
        <w:t xml:space="preserve"> 一式六份；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（2）电子版的要求：:</w:t>
      </w:r>
      <w:r>
        <w:rPr>
          <w:rFonts w:hint="eastAsia" w:ascii="宋体" w:hAnsi="宋体" w:eastAsia="宋体" w:cs="宋体"/>
          <w:color w:val="auto"/>
          <w:sz w:val="24"/>
          <w:szCs w:val="24"/>
          <w:highlight w:val="none"/>
          <w:u w:val="single"/>
        </w:rPr>
        <w:t xml:space="preserve"> 与纸质版一致的电子版文件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成果文件的其他要求::</w:t>
      </w:r>
      <w:r>
        <w:rPr>
          <w:rFonts w:hint="eastAsia" w:ascii="宋体" w:hAnsi="宋体" w:eastAsia="宋体" w:cs="宋体"/>
          <w:color w:val="auto"/>
          <w:sz w:val="24"/>
          <w:szCs w:val="24"/>
          <w:highlight w:val="none"/>
          <w:u w:val="single"/>
        </w:rPr>
        <w:t xml:space="preserve"> 满足本项目监理服务要求。</w:t>
      </w:r>
    </w:p>
    <w:p>
      <w:pPr>
        <w:pStyle w:val="4"/>
        <w:keepNext w:val="0"/>
        <w:keepLines w:val="0"/>
        <w:spacing w:before="0" w:after="0" w:line="360" w:lineRule="auto"/>
        <w:ind w:firstLine="560" w:firstLineChars="200"/>
        <w:rPr>
          <w:rFonts w:hint="eastAsia" w:ascii="黑体" w:hAnsi="黑体" w:eastAsia="黑体" w:cs="黑体"/>
          <w:b w:val="0"/>
          <w:bCs w:val="0"/>
          <w:color w:val="auto"/>
          <w:sz w:val="28"/>
          <w:szCs w:val="28"/>
          <w:highlight w:val="none"/>
        </w:rPr>
      </w:pPr>
      <w:bookmarkStart w:id="621" w:name="_Toc527028523"/>
      <w:bookmarkStart w:id="622" w:name="_Toc7266"/>
      <w:bookmarkStart w:id="623" w:name="_Toc89870626"/>
      <w:bookmarkStart w:id="624" w:name="_Toc482188640"/>
      <w:bookmarkStart w:id="625" w:name="_Toc511557113"/>
      <w:r>
        <w:rPr>
          <w:rFonts w:hint="eastAsia" w:ascii="黑体" w:hAnsi="黑体" w:eastAsia="黑体" w:cs="黑体"/>
          <w:b w:val="0"/>
          <w:bCs w:val="0"/>
          <w:color w:val="auto"/>
          <w:sz w:val="28"/>
          <w:szCs w:val="28"/>
          <w:highlight w:val="none"/>
        </w:rPr>
        <w:t>四、委托人财产清单</w:t>
      </w:r>
      <w:bookmarkEnd w:id="621"/>
      <w:bookmarkEnd w:id="622"/>
      <w:bookmarkEnd w:id="623"/>
      <w:bookmarkEnd w:id="624"/>
      <w:bookmarkEnd w:id="625"/>
    </w:p>
    <w:p>
      <w:pPr>
        <w:pStyle w:val="5"/>
        <w:keepNext w:val="0"/>
        <w:keepLines w:val="0"/>
        <w:spacing w:before="0" w:after="0" w:line="360" w:lineRule="auto"/>
        <w:ind w:firstLine="560" w:firstLineChars="200"/>
        <w:rPr>
          <w:rFonts w:hint="eastAsia" w:ascii="宋体" w:hAnsi="宋体" w:eastAsia="宋体" w:cs="宋体"/>
          <w:color w:val="auto"/>
          <w:highlight w:val="none"/>
        </w:rPr>
      </w:pPr>
      <w:bookmarkStart w:id="626" w:name="_Toc482188641"/>
      <w:bookmarkStart w:id="627" w:name="_Toc2526"/>
      <w:bookmarkStart w:id="628" w:name="_Toc527028874"/>
      <w:bookmarkStart w:id="629" w:name="_Toc527028703"/>
      <w:bookmarkStart w:id="630" w:name="_Toc89870627"/>
      <w:bookmarkStart w:id="631" w:name="_Toc527028524"/>
      <w:bookmarkStart w:id="632" w:name="_Toc511557114"/>
      <w:r>
        <w:rPr>
          <w:rFonts w:hint="eastAsia" w:ascii="宋体" w:hAnsi="宋体" w:eastAsia="宋体" w:cs="宋体"/>
          <w:color w:val="auto"/>
          <w:highlight w:val="none"/>
        </w:rPr>
        <w:t>（一）委托人提供的设备、设施</w:t>
      </w:r>
      <w:bookmarkEnd w:id="626"/>
      <w:bookmarkEnd w:id="627"/>
      <w:bookmarkEnd w:id="628"/>
      <w:bookmarkEnd w:id="629"/>
      <w:bookmarkEnd w:id="630"/>
      <w:bookmarkEnd w:id="631"/>
      <w:bookmarkEnd w:id="632"/>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 委托人提供的办公房屋及冷暖设施：</w:t>
      </w:r>
      <w:r>
        <w:rPr>
          <w:rFonts w:hint="eastAsia" w:ascii="宋体" w:hAnsi="宋体" w:eastAsia="宋体" w:cs="宋体"/>
          <w:color w:val="auto"/>
          <w:sz w:val="24"/>
          <w:szCs w:val="24"/>
          <w:highlight w:val="none"/>
          <w:u w:val="single"/>
        </w:rPr>
        <w:t>无；</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 委托人提供的设备清单：</w:t>
      </w:r>
      <w:r>
        <w:rPr>
          <w:rFonts w:hint="eastAsia" w:ascii="宋体" w:hAnsi="宋体" w:eastAsia="宋体" w:cs="宋体"/>
          <w:color w:val="auto"/>
          <w:sz w:val="24"/>
          <w:szCs w:val="24"/>
          <w:highlight w:val="none"/>
          <w:u w:val="single"/>
        </w:rPr>
        <w:t>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3. 委托人提供的设施清单：</w:t>
      </w:r>
      <w:r>
        <w:rPr>
          <w:rFonts w:hint="eastAsia" w:ascii="宋体" w:hAnsi="宋体" w:eastAsia="宋体" w:cs="宋体"/>
          <w:color w:val="auto"/>
          <w:sz w:val="24"/>
          <w:szCs w:val="24"/>
          <w:highlight w:val="none"/>
          <w:u w:val="single"/>
        </w:rPr>
        <w:t>无；</w:t>
      </w:r>
    </w:p>
    <w:p>
      <w:pPr>
        <w:pStyle w:val="5"/>
        <w:keepNext w:val="0"/>
        <w:keepLines w:val="0"/>
        <w:spacing w:before="0" w:after="0" w:line="360" w:lineRule="auto"/>
        <w:ind w:firstLine="560" w:firstLineChars="200"/>
        <w:rPr>
          <w:rFonts w:hint="eastAsia" w:ascii="宋体" w:hAnsi="宋体" w:eastAsia="宋体" w:cs="宋体"/>
          <w:color w:val="auto"/>
          <w:highlight w:val="none"/>
        </w:rPr>
      </w:pPr>
      <w:bookmarkStart w:id="633" w:name="_Toc527028875"/>
      <w:bookmarkStart w:id="634" w:name="_Toc527028704"/>
      <w:bookmarkStart w:id="635" w:name="_Toc511557115"/>
      <w:bookmarkStart w:id="636" w:name="_Toc29038"/>
      <w:bookmarkStart w:id="637" w:name="_Toc89870628"/>
      <w:bookmarkStart w:id="638" w:name="_Toc527028525"/>
      <w:bookmarkStart w:id="639" w:name="_Toc482188642"/>
      <w:r>
        <w:rPr>
          <w:rFonts w:hint="eastAsia" w:ascii="宋体" w:hAnsi="宋体" w:eastAsia="宋体" w:cs="宋体"/>
          <w:color w:val="auto"/>
          <w:highlight w:val="none"/>
        </w:rPr>
        <w:t>（二）委托人提供的资料</w:t>
      </w:r>
      <w:bookmarkEnd w:id="633"/>
      <w:bookmarkEnd w:id="634"/>
      <w:bookmarkEnd w:id="635"/>
      <w:bookmarkEnd w:id="636"/>
      <w:bookmarkEnd w:id="637"/>
      <w:bookmarkEnd w:id="638"/>
      <w:bookmarkEnd w:id="639"/>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定位放线的基准点、基准线和基准标高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委托人取得的有关审批、核准和备案材料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勘察文件、设计文件等资料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技术标准、规范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工程承包合同及其他相关合同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其他资料</w:t>
      </w:r>
    </w:p>
    <w:p>
      <w:pPr>
        <w:pStyle w:val="5"/>
        <w:keepNext w:val="0"/>
        <w:keepLines w:val="0"/>
        <w:spacing w:before="0" w:after="0" w:line="360" w:lineRule="auto"/>
        <w:ind w:firstLine="560" w:firstLineChars="200"/>
        <w:rPr>
          <w:rFonts w:hint="eastAsia" w:ascii="宋体" w:hAnsi="宋体" w:eastAsia="宋体" w:cs="宋体"/>
          <w:color w:val="auto"/>
          <w:highlight w:val="none"/>
        </w:rPr>
      </w:pPr>
      <w:bookmarkStart w:id="640" w:name="_Toc527028526"/>
      <w:bookmarkStart w:id="641" w:name="_Toc482188643"/>
      <w:bookmarkStart w:id="642" w:name="_Toc89870629"/>
      <w:bookmarkStart w:id="643" w:name="_Toc527028705"/>
      <w:bookmarkStart w:id="644" w:name="_Toc511557116"/>
      <w:bookmarkStart w:id="645" w:name="_Toc527028876"/>
      <w:bookmarkStart w:id="646" w:name="_Toc8353"/>
      <w:r>
        <w:rPr>
          <w:rFonts w:hint="eastAsia" w:ascii="宋体" w:hAnsi="宋体" w:eastAsia="宋体" w:cs="宋体"/>
          <w:color w:val="auto"/>
          <w:highlight w:val="none"/>
        </w:rPr>
        <w:t>（三）委托人财产使用要求及退还要求</w:t>
      </w:r>
      <w:bookmarkEnd w:id="640"/>
      <w:bookmarkEnd w:id="641"/>
      <w:bookmarkEnd w:id="642"/>
      <w:bookmarkEnd w:id="643"/>
      <w:bookmarkEnd w:id="644"/>
      <w:bookmarkEnd w:id="645"/>
      <w:bookmarkEnd w:id="64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委托人财产使用要求：</w:t>
      </w:r>
      <w:r>
        <w:rPr>
          <w:rFonts w:hint="eastAsia" w:ascii="宋体" w:hAnsi="宋体" w:eastAsia="宋体" w:cs="宋体"/>
          <w:color w:val="auto"/>
          <w:sz w:val="24"/>
          <w:szCs w:val="24"/>
          <w:highlight w:val="none"/>
          <w:u w:val="single"/>
        </w:rPr>
        <w:t>监理人对委托人财产保存完好，避免有损坏或丢失等情况发生；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委托人财产退还要求：</w:t>
      </w:r>
      <w:r>
        <w:rPr>
          <w:rFonts w:hint="eastAsia" w:ascii="宋体" w:hAnsi="宋体" w:eastAsia="宋体" w:cs="宋体"/>
          <w:color w:val="auto"/>
          <w:sz w:val="24"/>
          <w:szCs w:val="24"/>
          <w:highlight w:val="none"/>
          <w:u w:val="single"/>
        </w:rPr>
        <w:t>工程完工后监理人将委托人财产全数完好地退还给委托人。</w:t>
      </w:r>
    </w:p>
    <w:p>
      <w:pPr>
        <w:pStyle w:val="4"/>
        <w:keepNext w:val="0"/>
        <w:keepLines w:val="0"/>
        <w:spacing w:before="0" w:after="0" w:line="360" w:lineRule="auto"/>
        <w:ind w:firstLine="560" w:firstLineChars="200"/>
        <w:rPr>
          <w:rFonts w:hint="eastAsia" w:ascii="黑体" w:hAnsi="黑体" w:eastAsia="黑体" w:cs="黑体"/>
          <w:b w:val="0"/>
          <w:bCs w:val="0"/>
          <w:color w:val="auto"/>
          <w:sz w:val="28"/>
          <w:szCs w:val="28"/>
          <w:highlight w:val="none"/>
        </w:rPr>
      </w:pPr>
      <w:bookmarkStart w:id="647" w:name="_Toc16275"/>
      <w:bookmarkStart w:id="648" w:name="_Toc89870630"/>
      <w:bookmarkStart w:id="649" w:name="_Toc482188644"/>
      <w:bookmarkStart w:id="650" w:name="_Toc527028527"/>
      <w:bookmarkStart w:id="651" w:name="_Toc511557117"/>
      <w:r>
        <w:rPr>
          <w:rFonts w:hint="eastAsia" w:ascii="黑体" w:hAnsi="黑体" w:eastAsia="黑体" w:cs="黑体"/>
          <w:b w:val="0"/>
          <w:bCs w:val="0"/>
          <w:color w:val="auto"/>
          <w:sz w:val="28"/>
          <w:szCs w:val="28"/>
          <w:highlight w:val="none"/>
        </w:rPr>
        <w:t>五、委托人提供的便利条件</w:t>
      </w:r>
      <w:bookmarkEnd w:id="647"/>
      <w:bookmarkEnd w:id="648"/>
      <w:bookmarkEnd w:id="649"/>
      <w:bookmarkEnd w:id="650"/>
      <w:bookmarkEnd w:id="651"/>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委托人提供的生活条件：</w:t>
      </w:r>
      <w:r>
        <w:rPr>
          <w:rFonts w:hint="eastAsia" w:ascii="宋体" w:hAnsi="宋体" w:eastAsia="宋体" w:cs="宋体"/>
          <w:color w:val="auto"/>
          <w:sz w:val="24"/>
          <w:szCs w:val="24"/>
          <w:highlight w:val="none"/>
          <w:u w:val="single"/>
        </w:rPr>
        <w:t>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委托人提供的交通条件：</w:t>
      </w:r>
      <w:r>
        <w:rPr>
          <w:rFonts w:hint="eastAsia" w:ascii="宋体" w:hAnsi="宋体" w:eastAsia="宋体" w:cs="宋体"/>
          <w:color w:val="auto"/>
          <w:sz w:val="24"/>
          <w:szCs w:val="24"/>
          <w:highlight w:val="none"/>
          <w:u w:val="single"/>
        </w:rPr>
        <w:t>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委托人提供的网络、通讯条件：</w:t>
      </w:r>
      <w:r>
        <w:rPr>
          <w:rFonts w:hint="eastAsia" w:ascii="宋体" w:hAnsi="宋体" w:eastAsia="宋体" w:cs="宋体"/>
          <w:color w:val="auto"/>
          <w:sz w:val="24"/>
          <w:szCs w:val="24"/>
          <w:highlight w:val="none"/>
          <w:u w:val="single"/>
        </w:rPr>
        <w:t>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委托人提供的协助人员：</w:t>
      </w:r>
      <w:r>
        <w:rPr>
          <w:rFonts w:hint="eastAsia" w:ascii="宋体" w:hAnsi="宋体" w:eastAsia="宋体" w:cs="宋体"/>
          <w:color w:val="auto"/>
          <w:sz w:val="24"/>
          <w:szCs w:val="24"/>
          <w:highlight w:val="none"/>
          <w:u w:val="single"/>
        </w:rPr>
        <w:t>无</w:t>
      </w:r>
      <w:bookmarkStart w:id="652" w:name="_Toc482188645"/>
      <w:r>
        <w:rPr>
          <w:rFonts w:hint="eastAsia" w:ascii="宋体" w:hAnsi="宋体" w:eastAsia="宋体" w:cs="宋体"/>
          <w:color w:val="auto"/>
          <w:sz w:val="24"/>
          <w:szCs w:val="24"/>
          <w:highlight w:val="none"/>
        </w:rPr>
        <w:t>……</w:t>
      </w:r>
    </w:p>
    <w:p>
      <w:pPr>
        <w:pStyle w:val="4"/>
        <w:keepNext w:val="0"/>
        <w:keepLines w:val="0"/>
        <w:spacing w:before="0" w:after="0" w:line="360" w:lineRule="auto"/>
        <w:ind w:firstLine="560" w:firstLineChars="200"/>
        <w:rPr>
          <w:rFonts w:hint="eastAsia" w:ascii="黑体" w:hAnsi="黑体" w:eastAsia="黑体" w:cs="黑体"/>
          <w:b w:val="0"/>
          <w:bCs w:val="0"/>
          <w:color w:val="auto"/>
          <w:sz w:val="28"/>
          <w:szCs w:val="28"/>
          <w:highlight w:val="none"/>
        </w:rPr>
      </w:pPr>
      <w:bookmarkStart w:id="653" w:name="_Toc511557118"/>
      <w:bookmarkStart w:id="654" w:name="_Toc527028528"/>
      <w:bookmarkStart w:id="655" w:name="_Toc654"/>
      <w:bookmarkStart w:id="656" w:name="_Toc89870631"/>
      <w:r>
        <w:rPr>
          <w:rFonts w:hint="eastAsia" w:ascii="黑体" w:hAnsi="黑体" w:eastAsia="黑体" w:cs="黑体"/>
          <w:b w:val="0"/>
          <w:bCs w:val="0"/>
          <w:color w:val="auto"/>
          <w:sz w:val="28"/>
          <w:szCs w:val="28"/>
          <w:highlight w:val="none"/>
        </w:rPr>
        <w:t>六、监理人需要自备的工作条件</w:t>
      </w:r>
      <w:bookmarkEnd w:id="652"/>
      <w:bookmarkEnd w:id="653"/>
      <w:bookmarkEnd w:id="654"/>
      <w:bookmarkEnd w:id="655"/>
      <w:bookmarkEnd w:id="65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监理人自备的工作手册：</w:t>
      </w:r>
      <w:r>
        <w:rPr>
          <w:rFonts w:hint="eastAsia" w:ascii="宋体" w:hAnsi="宋体" w:eastAsia="宋体" w:cs="宋体"/>
          <w:color w:val="auto"/>
          <w:sz w:val="24"/>
          <w:szCs w:val="24"/>
          <w:highlight w:val="none"/>
          <w:u w:val="single"/>
        </w:rPr>
        <w:t>本项目必备的规范标准、图集等。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监理人自备的办公设备：</w:t>
      </w:r>
      <w:r>
        <w:rPr>
          <w:rFonts w:hint="eastAsia" w:ascii="宋体" w:hAnsi="宋体" w:eastAsia="宋体" w:cs="宋体"/>
          <w:color w:val="auto"/>
          <w:sz w:val="24"/>
          <w:szCs w:val="24"/>
          <w:highlight w:val="none"/>
          <w:u w:val="single"/>
        </w:rPr>
        <w:t>电脑、软件、投影、打印机、复印机、照相机等。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监理人自备的交通工具：</w:t>
      </w:r>
      <w:r>
        <w:rPr>
          <w:rFonts w:hint="eastAsia" w:ascii="宋体" w:hAnsi="宋体" w:eastAsia="宋体" w:cs="宋体"/>
          <w:color w:val="auto"/>
          <w:sz w:val="24"/>
          <w:szCs w:val="24"/>
          <w:highlight w:val="none"/>
          <w:u w:val="single"/>
        </w:rPr>
        <w:t>出行车辆等。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监理人自备的现场办公设施：</w:t>
      </w:r>
      <w:r>
        <w:rPr>
          <w:rFonts w:hint="eastAsia" w:ascii="宋体" w:hAnsi="宋体" w:eastAsia="宋体" w:cs="宋体"/>
          <w:color w:val="auto"/>
          <w:sz w:val="24"/>
          <w:szCs w:val="24"/>
          <w:highlight w:val="none"/>
          <w:u w:val="single"/>
        </w:rPr>
        <w:t>办公桌椅、文件柜等。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监理人自备的安全设施：</w:t>
      </w:r>
      <w:r>
        <w:rPr>
          <w:rFonts w:hint="eastAsia" w:ascii="宋体" w:hAnsi="宋体" w:eastAsia="宋体" w:cs="宋体"/>
          <w:color w:val="auto"/>
          <w:sz w:val="24"/>
          <w:szCs w:val="24"/>
          <w:highlight w:val="none"/>
          <w:u w:val="single"/>
        </w:rPr>
        <w:t>安全帽、安全鞋、手电筒等。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监理人自备的试验检测仪器、设备、工具：</w:t>
      </w:r>
      <w:r>
        <w:rPr>
          <w:rFonts w:hint="eastAsia" w:ascii="宋体" w:hAnsi="宋体" w:eastAsia="宋体" w:cs="宋体"/>
          <w:color w:val="auto"/>
          <w:sz w:val="24"/>
          <w:szCs w:val="24"/>
          <w:highlight w:val="none"/>
          <w:u w:val="single"/>
        </w:rPr>
        <w:t>满足本项目监理服务要求。</w:t>
      </w:r>
    </w:p>
    <w:p>
      <w:pPr>
        <w:pStyle w:val="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7. 监理人自备的试验用房、样品用房：</w:t>
      </w:r>
      <w:r>
        <w:rPr>
          <w:rFonts w:hint="eastAsia" w:ascii="宋体" w:hAnsi="宋体" w:eastAsia="宋体" w:cs="宋体"/>
          <w:color w:val="auto"/>
          <w:sz w:val="24"/>
          <w:szCs w:val="24"/>
          <w:highlight w:val="none"/>
          <w:u w:val="single"/>
        </w:rPr>
        <w:t>满足本项目监理服务要求。</w:t>
      </w:r>
    </w:p>
    <w:p>
      <w:pPr>
        <w:pStyle w:val="4"/>
        <w:keepNext w:val="0"/>
        <w:keepLines w:val="0"/>
        <w:spacing w:before="0" w:after="0" w:line="360" w:lineRule="auto"/>
        <w:ind w:firstLine="560" w:firstLineChars="200"/>
        <w:rPr>
          <w:rFonts w:hint="eastAsia" w:ascii="黑体" w:hAnsi="黑体" w:eastAsia="黑体" w:cs="黑体"/>
          <w:b w:val="0"/>
          <w:bCs w:val="0"/>
          <w:color w:val="auto"/>
          <w:sz w:val="28"/>
          <w:szCs w:val="28"/>
          <w:highlight w:val="none"/>
        </w:rPr>
      </w:pPr>
      <w:bookmarkStart w:id="657" w:name="_Toc89870632"/>
      <w:bookmarkStart w:id="658" w:name="_Toc482188646"/>
      <w:bookmarkStart w:id="659" w:name="_Toc10715"/>
      <w:bookmarkStart w:id="660" w:name="_Toc527028529"/>
      <w:bookmarkStart w:id="661" w:name="_Toc511557119"/>
      <w:r>
        <w:rPr>
          <w:rFonts w:hint="eastAsia" w:ascii="黑体" w:hAnsi="黑体" w:eastAsia="黑体" w:cs="黑体"/>
          <w:b w:val="0"/>
          <w:bCs w:val="0"/>
          <w:color w:val="auto"/>
          <w:sz w:val="28"/>
          <w:szCs w:val="28"/>
          <w:highlight w:val="none"/>
        </w:rPr>
        <w:t>七、委托人的其他要求</w:t>
      </w:r>
      <w:bookmarkEnd w:id="657"/>
      <w:bookmarkEnd w:id="658"/>
      <w:bookmarkEnd w:id="659"/>
      <w:bookmarkEnd w:id="660"/>
      <w:bookmarkEnd w:id="661"/>
    </w:p>
    <w:p>
      <w:pPr>
        <w:spacing w:line="360" w:lineRule="auto"/>
        <w:ind w:firstLine="480" w:firstLineChars="200"/>
        <w:rPr>
          <w:color w:val="auto"/>
          <w:highlight w:val="none"/>
        </w:rPr>
      </w:pPr>
      <w:r>
        <w:rPr>
          <w:rFonts w:hint="eastAsia" w:ascii="宋体" w:hAnsi="宋体" w:eastAsia="宋体" w:cs="宋体"/>
          <w:color w:val="auto"/>
          <w:sz w:val="24"/>
          <w:szCs w:val="24"/>
          <w:highlight w:val="none"/>
        </w:rPr>
        <w:t>委托人的其他要求：</w:t>
      </w:r>
      <w:r>
        <w:rPr>
          <w:rFonts w:hint="eastAsia" w:ascii="宋体" w:hAnsi="宋体" w:eastAsia="宋体" w:cs="宋体"/>
          <w:color w:val="auto"/>
          <w:sz w:val="24"/>
          <w:szCs w:val="24"/>
          <w:highlight w:val="none"/>
          <w:u w:val="single"/>
        </w:rPr>
        <w:t>其他要求详见按监理合同。</w:t>
      </w:r>
      <w:bookmarkStart w:id="662" w:name="_Toc89870633"/>
      <w:r>
        <w:rPr>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val="0"/>
        <w:keepLines w:val="0"/>
        <w:spacing w:before="0" w:after="0" w:line="240" w:lineRule="auto"/>
        <w:jc w:val="center"/>
        <w:outlineLvl w:val="0"/>
        <w:rPr>
          <w:color w:val="auto"/>
          <w:highlight w:val="none"/>
        </w:rPr>
      </w:pPr>
      <w:bookmarkStart w:id="663" w:name="_Toc27285"/>
      <w:bookmarkStart w:id="664" w:name="_Toc13351"/>
      <w:r>
        <w:rPr>
          <w:color w:val="auto"/>
          <w:highlight w:val="none"/>
        </w:rPr>
        <w:t>第</w:t>
      </w:r>
      <w:r>
        <w:rPr>
          <w:rFonts w:hint="eastAsia"/>
          <w:color w:val="auto"/>
          <w:highlight w:val="none"/>
        </w:rPr>
        <w:t>三</w:t>
      </w:r>
      <w:r>
        <w:rPr>
          <w:color w:val="auto"/>
          <w:highlight w:val="none"/>
        </w:rPr>
        <w:t>卷</w:t>
      </w:r>
      <w:bookmarkEnd w:id="662"/>
      <w:bookmarkEnd w:id="663"/>
      <w:bookmarkEnd w:id="664"/>
    </w:p>
    <w:p>
      <w:pPr>
        <w:rPr>
          <w:color w:val="auto"/>
          <w:highlight w:val="none"/>
        </w:rPr>
      </w:pPr>
      <w:bookmarkStart w:id="665" w:name="_Toc25053"/>
      <w:bookmarkStart w:id="666" w:name="_Toc89870634"/>
      <w:r>
        <w:rPr>
          <w:color w:val="auto"/>
          <w:highlight w:val="none"/>
        </w:rPr>
        <w:br w:type="page"/>
      </w:r>
    </w:p>
    <w:p>
      <w:pPr>
        <w:pStyle w:val="3"/>
        <w:keepNext w:val="0"/>
        <w:keepLines w:val="0"/>
        <w:spacing w:before="0" w:after="0" w:line="240" w:lineRule="auto"/>
        <w:jc w:val="center"/>
        <w:outlineLvl w:val="0"/>
        <w:rPr>
          <w:color w:val="auto"/>
          <w:highlight w:val="none"/>
        </w:rPr>
      </w:pPr>
      <w:bookmarkStart w:id="667" w:name="_Toc15525"/>
      <w:r>
        <w:rPr>
          <w:color w:val="auto"/>
          <w:highlight w:val="none"/>
        </w:rPr>
        <w:t>第六章</w:t>
      </w:r>
      <w:r>
        <w:rPr>
          <w:rFonts w:hint="eastAsia"/>
          <w:color w:val="auto"/>
          <w:highlight w:val="none"/>
        </w:rPr>
        <w:t xml:space="preserve"> </w:t>
      </w:r>
      <w:r>
        <w:rPr>
          <w:color w:val="auto"/>
          <w:highlight w:val="none"/>
        </w:rPr>
        <w:t>投标文件格式</w:t>
      </w:r>
      <w:bookmarkEnd w:id="665"/>
      <w:bookmarkEnd w:id="667"/>
    </w:p>
    <w:p>
      <w:pPr>
        <w:ind w:firstLine="420" w:firstLineChars="200"/>
        <w:rPr>
          <w:color w:val="auto"/>
          <w:highlight w:val="none"/>
        </w:rPr>
      </w:pPr>
    </w:p>
    <w:p>
      <w:pPr>
        <w:pStyle w:val="22"/>
        <w:ind w:firstLine="480"/>
        <w:rPr>
          <w:color w:val="auto"/>
          <w:highlight w:val="none"/>
        </w:rPr>
      </w:pPr>
    </w:p>
    <w:p>
      <w:pPr>
        <w:pStyle w:val="22"/>
        <w:ind w:firstLine="480"/>
        <w:rPr>
          <w:color w:val="auto"/>
          <w:highlight w:val="none"/>
        </w:rPr>
      </w:pPr>
    </w:p>
    <w:bookmarkEnd w:id="666"/>
    <w:p>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 xml:space="preserve">增城国家级开发区中新园区基础设施配套中新下沉式再生水厂项目施工监理 </w:t>
      </w:r>
    </w:p>
    <w:p>
      <w:pPr>
        <w:autoSpaceDE w:val="0"/>
        <w:autoSpaceDN w:val="0"/>
        <w:adjustRightInd w:val="0"/>
        <w:ind w:firstLine="883" w:firstLineChars="200"/>
        <w:rPr>
          <w:b/>
          <w:color w:val="auto"/>
          <w:sz w:val="44"/>
          <w:szCs w:val="44"/>
          <w:highlight w:val="none"/>
        </w:rPr>
      </w:pPr>
    </w:p>
    <w:p>
      <w:pPr>
        <w:ind w:firstLine="400" w:firstLineChars="200"/>
        <w:rPr>
          <w:rFonts w:ascii="Times New Roman" w:hAnsi="Times New Roman" w:eastAsia="黑体"/>
          <w:color w:val="auto"/>
          <w:sz w:val="20"/>
          <w:highlight w:val="none"/>
        </w:rPr>
      </w:pPr>
    </w:p>
    <w:p>
      <w:pPr>
        <w:ind w:firstLine="400" w:firstLineChars="200"/>
        <w:rPr>
          <w:rFonts w:ascii="Times New Roman" w:hAnsi="Times New Roman" w:eastAsia="黑体"/>
          <w:color w:val="auto"/>
          <w:sz w:val="20"/>
          <w:highlight w:val="none"/>
        </w:rPr>
      </w:pPr>
    </w:p>
    <w:p>
      <w:pPr>
        <w:ind w:firstLine="400" w:firstLineChars="200"/>
        <w:rPr>
          <w:rFonts w:ascii="Times New Roman" w:hAnsi="Times New Roman" w:eastAsia="黑体"/>
          <w:color w:val="auto"/>
          <w:sz w:val="20"/>
          <w:highlight w:val="none"/>
        </w:rPr>
      </w:pPr>
    </w:p>
    <w:p>
      <w:pPr>
        <w:ind w:firstLine="400" w:firstLineChars="200"/>
        <w:rPr>
          <w:rFonts w:ascii="Times New Roman" w:hAnsi="Times New Roman" w:eastAsia="黑体"/>
          <w:color w:val="auto"/>
          <w:sz w:val="20"/>
          <w:highlight w:val="none"/>
        </w:rPr>
      </w:pPr>
    </w:p>
    <w:p>
      <w:pPr>
        <w:ind w:firstLine="400" w:firstLineChars="200"/>
        <w:rPr>
          <w:rFonts w:ascii="Times New Roman" w:hAnsi="Times New Roman" w:eastAsia="黑体"/>
          <w:color w:val="auto"/>
          <w:sz w:val="20"/>
          <w:highlight w:val="none"/>
        </w:rPr>
      </w:pPr>
    </w:p>
    <w:p>
      <w:pPr>
        <w:pStyle w:val="2"/>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1680" w:firstLineChars="200"/>
        <w:rPr>
          <w:rFonts w:ascii="Times New Roman" w:hAnsi="Times New Roman" w:eastAsia="黑体"/>
          <w:color w:val="auto"/>
          <w:sz w:val="84"/>
          <w:szCs w:val="84"/>
          <w:highlight w:val="none"/>
        </w:rPr>
      </w:pPr>
      <w:r>
        <w:rPr>
          <w:rFonts w:ascii="Times New Roman" w:hAnsi="Times New Roman" w:eastAsia="黑体"/>
          <w:color w:val="auto"/>
          <w:sz w:val="84"/>
          <w:szCs w:val="84"/>
          <w:highlight w:val="none"/>
        </w:rPr>
        <w:t>投 标 文 件</w:t>
      </w:r>
    </w:p>
    <w:p>
      <w:pPr>
        <w:ind w:firstLine="880" w:firstLineChars="200"/>
        <w:rPr>
          <w:rFonts w:ascii="Times New Roman" w:hAnsi="Times New Roman" w:eastAsia="黑体"/>
          <w:color w:val="auto"/>
          <w:sz w:val="44"/>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spacing w:line="360" w:lineRule="auto"/>
        <w:ind w:firstLine="560" w:firstLineChars="200"/>
        <w:rPr>
          <w:rFonts w:ascii="Times New Roman" w:hAnsi="Times New Roman" w:eastAsia="黑体"/>
          <w:color w:val="auto"/>
          <w:sz w:val="28"/>
          <w:highlight w:val="none"/>
        </w:rPr>
      </w:pPr>
    </w:p>
    <w:p>
      <w:pPr>
        <w:spacing w:line="360" w:lineRule="auto"/>
        <w:ind w:firstLine="560" w:firstLineChars="200"/>
        <w:rPr>
          <w:rFonts w:ascii="Times New Roman" w:hAnsi="Times New Roman" w:eastAsia="黑体"/>
          <w:color w:val="auto"/>
          <w:sz w:val="28"/>
          <w:highlight w:val="none"/>
          <w:u w:val="single"/>
        </w:rPr>
      </w:pPr>
      <w:r>
        <w:rPr>
          <w:rFonts w:ascii="Times New Roman" w:hAnsi="Times New Roman" w:eastAsia="黑体"/>
          <w:color w:val="auto"/>
          <w:sz w:val="28"/>
          <w:highlight w:val="none"/>
        </w:rPr>
        <w:t>投标人：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（盖单位章）</w:t>
      </w:r>
    </w:p>
    <w:p>
      <w:pPr>
        <w:spacing w:line="360" w:lineRule="auto"/>
        <w:ind w:firstLine="560" w:firstLineChars="200"/>
        <w:rPr>
          <w:rFonts w:ascii="Times New Roman" w:hAnsi="Times New Roman" w:eastAsia="黑体"/>
          <w:color w:val="auto"/>
          <w:sz w:val="28"/>
          <w:highlight w:val="none"/>
        </w:rPr>
      </w:pPr>
      <w:r>
        <w:rPr>
          <w:rFonts w:ascii="Times New Roman" w:hAnsi="Times New Roman" w:eastAsia="黑体"/>
          <w:color w:val="auto"/>
          <w:sz w:val="28"/>
          <w:highlight w:val="none"/>
        </w:rPr>
        <w:t>法定代表人或其委托代理人：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（签字）</w:t>
      </w:r>
    </w:p>
    <w:p>
      <w:pPr>
        <w:spacing w:line="360" w:lineRule="auto"/>
        <w:ind w:firstLine="420" w:firstLineChars="200"/>
        <w:rPr>
          <w:rFonts w:ascii="Times New Roman" w:hAnsi="Times New Roman" w:eastAsia="黑体"/>
          <w:color w:val="auto"/>
          <w:sz w:val="28"/>
          <w:highlight w:val="none"/>
        </w:rPr>
      </w:pPr>
      <w:r>
        <w:rPr>
          <w:rFonts w:ascii="Times New Roman" w:hAnsi="Times New Roman"/>
          <w:color w:val="auto"/>
          <w:highlight w:val="none"/>
          <w:u w:val="single"/>
        </w:rPr>
        <w:t xml:space="preserve">       </w:t>
      </w:r>
      <w:r>
        <w:rPr>
          <w:rFonts w:ascii="Times New Roman" w:hAnsi="Times New Roman" w:eastAsia="黑体"/>
          <w:color w:val="auto"/>
          <w:sz w:val="28"/>
          <w:highlight w:val="none"/>
        </w:rPr>
        <w:t>年</w:t>
      </w:r>
      <w:r>
        <w:rPr>
          <w:rFonts w:ascii="Times New Roman" w:hAnsi="Times New Roman"/>
          <w:color w:val="auto"/>
          <w:highlight w:val="none"/>
          <w:u w:val="single"/>
        </w:rPr>
        <w:t xml:space="preserve">       </w:t>
      </w:r>
      <w:r>
        <w:rPr>
          <w:rFonts w:ascii="Times New Roman" w:hAnsi="Times New Roman" w:eastAsia="黑体"/>
          <w:color w:val="auto"/>
          <w:sz w:val="28"/>
          <w:highlight w:val="none"/>
        </w:rPr>
        <w:t>月</w:t>
      </w:r>
      <w:r>
        <w:rPr>
          <w:rFonts w:ascii="Times New Roman" w:hAnsi="Times New Roman"/>
          <w:color w:val="auto"/>
          <w:highlight w:val="none"/>
          <w:u w:val="single"/>
        </w:rPr>
        <w:t xml:space="preserve">       </w:t>
      </w:r>
      <w:r>
        <w:rPr>
          <w:rFonts w:ascii="Times New Roman" w:hAnsi="Times New Roman" w:eastAsia="黑体"/>
          <w:color w:val="auto"/>
          <w:sz w:val="28"/>
          <w:highlight w:val="none"/>
        </w:rPr>
        <w:t>日</w:t>
      </w:r>
    </w:p>
    <w:p>
      <w:pPr>
        <w:ind w:firstLine="420" w:firstLineChars="200"/>
        <w:rPr>
          <w:rFonts w:ascii="Times New Roman" w:hAnsi="Times New Roman"/>
          <w:color w:val="auto"/>
          <w:highlight w:val="none"/>
        </w:rPr>
      </w:pPr>
      <w:bookmarkStart w:id="668" w:name="_Toc89870635"/>
      <w:r>
        <w:rPr>
          <w:rFonts w:ascii="Times New Roman" w:hAnsi="Times New Roman"/>
          <w:color w:val="auto"/>
          <w:highlight w:val="none"/>
        </w:rPr>
        <w:br w:type="page"/>
      </w:r>
    </w:p>
    <w:p>
      <w:pPr>
        <w:pStyle w:val="4"/>
        <w:keepNext w:val="0"/>
        <w:keepLines w:val="0"/>
        <w:spacing w:before="0" w:after="0"/>
        <w:ind w:firstLine="643" w:firstLineChars="200"/>
        <w:jc w:val="center"/>
        <w:rPr>
          <w:rFonts w:ascii="Times New Roman" w:hAnsi="Times New Roman"/>
          <w:color w:val="auto"/>
          <w:highlight w:val="none"/>
        </w:rPr>
      </w:pPr>
      <w:bookmarkStart w:id="669" w:name="_Toc19288"/>
      <w:r>
        <w:rPr>
          <w:rFonts w:ascii="Times New Roman" w:hAnsi="Times New Roman"/>
          <w:color w:val="auto"/>
          <w:highlight w:val="none"/>
        </w:rPr>
        <w:t>目</w:t>
      </w:r>
      <w:r>
        <w:rPr>
          <w:rFonts w:hint="eastAsia" w:ascii="Times New Roman" w:hAnsi="Times New Roman"/>
          <w:color w:val="auto"/>
          <w:highlight w:val="none"/>
        </w:rPr>
        <w:t xml:space="preserve">  </w:t>
      </w:r>
      <w:r>
        <w:rPr>
          <w:rFonts w:ascii="Times New Roman" w:hAnsi="Times New Roman"/>
          <w:color w:val="auto"/>
          <w:highlight w:val="none"/>
        </w:rPr>
        <w:t>录</w:t>
      </w:r>
      <w:bookmarkEnd w:id="668"/>
      <w:bookmarkEnd w:id="669"/>
    </w:p>
    <w:p>
      <w:pPr>
        <w:spacing w:line="540" w:lineRule="exact"/>
        <w:ind w:firstLine="420" w:firstLineChars="200"/>
        <w:rPr>
          <w:rFonts w:ascii="Times New Roman" w:hAnsi="Times New Roman"/>
          <w:color w:val="auto"/>
          <w:highlight w:val="none"/>
        </w:rPr>
      </w:pPr>
      <w:r>
        <w:rPr>
          <w:rFonts w:ascii="Times New Roman" w:hAnsi="Times New Roman"/>
          <w:color w:val="auto"/>
          <w:highlight w:val="none"/>
        </w:rPr>
        <w:t>一、投标函及投标函附录</w:t>
      </w:r>
    </w:p>
    <w:p>
      <w:pPr>
        <w:spacing w:line="540" w:lineRule="exact"/>
        <w:ind w:firstLine="420" w:firstLineChars="200"/>
        <w:rPr>
          <w:rFonts w:ascii="Times New Roman" w:hAnsi="Times New Roman"/>
          <w:color w:val="auto"/>
          <w:highlight w:val="none"/>
        </w:rPr>
      </w:pPr>
      <w:r>
        <w:rPr>
          <w:rFonts w:ascii="Times New Roman" w:hAnsi="Times New Roman"/>
          <w:color w:val="auto"/>
          <w:highlight w:val="none"/>
        </w:rPr>
        <w:t>二、法定代表人身份证明（适用于无委托代理人的情况）</w:t>
      </w:r>
    </w:p>
    <w:p>
      <w:pPr>
        <w:spacing w:line="540" w:lineRule="exact"/>
        <w:ind w:firstLine="420" w:firstLineChars="200"/>
        <w:rPr>
          <w:rFonts w:ascii="Times New Roman" w:hAnsi="Times New Roman"/>
          <w:color w:val="auto"/>
          <w:highlight w:val="none"/>
        </w:rPr>
      </w:pPr>
      <w:r>
        <w:rPr>
          <w:rFonts w:ascii="Times New Roman" w:hAnsi="Times New Roman"/>
          <w:color w:val="auto"/>
          <w:highlight w:val="none"/>
        </w:rPr>
        <w:t>授权委托书（适用于有委托代理人的情况）</w:t>
      </w:r>
    </w:p>
    <w:p>
      <w:pPr>
        <w:spacing w:line="540" w:lineRule="exact"/>
        <w:ind w:firstLine="420" w:firstLineChars="200"/>
        <w:rPr>
          <w:rFonts w:ascii="Times New Roman" w:hAnsi="Times New Roman"/>
          <w:color w:val="auto"/>
          <w:highlight w:val="none"/>
        </w:rPr>
      </w:pPr>
      <w:r>
        <w:rPr>
          <w:rFonts w:hint="eastAsia" w:ascii="Times New Roman" w:hAnsi="Times New Roman"/>
          <w:color w:val="auto"/>
          <w:highlight w:val="none"/>
        </w:rPr>
        <w:t>三</w:t>
      </w:r>
      <w:r>
        <w:rPr>
          <w:rFonts w:ascii="Times New Roman" w:hAnsi="Times New Roman"/>
          <w:color w:val="auto"/>
          <w:highlight w:val="none"/>
        </w:rPr>
        <w:t>、投标保证金</w:t>
      </w:r>
    </w:p>
    <w:p>
      <w:pPr>
        <w:spacing w:line="540" w:lineRule="exact"/>
        <w:ind w:firstLine="420" w:firstLineChars="200"/>
        <w:rPr>
          <w:rFonts w:ascii="Times New Roman" w:hAnsi="Times New Roman"/>
          <w:color w:val="auto"/>
          <w:highlight w:val="none"/>
        </w:rPr>
      </w:pPr>
      <w:r>
        <w:rPr>
          <w:rFonts w:hint="eastAsia" w:ascii="Times New Roman" w:hAnsi="Times New Roman"/>
          <w:color w:val="auto"/>
          <w:highlight w:val="none"/>
        </w:rPr>
        <w:t>四</w:t>
      </w:r>
      <w:r>
        <w:rPr>
          <w:rFonts w:ascii="Times New Roman" w:hAnsi="Times New Roman"/>
          <w:color w:val="auto"/>
          <w:highlight w:val="none"/>
        </w:rPr>
        <w:t>、</w:t>
      </w:r>
      <w:r>
        <w:rPr>
          <w:rFonts w:hint="eastAsia" w:ascii="Times New Roman" w:hAnsi="Times New Roman"/>
          <w:color w:val="auto"/>
          <w:highlight w:val="none"/>
        </w:rPr>
        <w:t>广州建设工程监理投标书</w:t>
      </w:r>
    </w:p>
    <w:p>
      <w:pPr>
        <w:spacing w:line="540" w:lineRule="exact"/>
        <w:ind w:firstLine="420" w:firstLineChars="200"/>
        <w:rPr>
          <w:rFonts w:ascii="Times New Roman" w:hAnsi="Times New Roman"/>
          <w:color w:val="auto"/>
          <w:highlight w:val="none"/>
        </w:rPr>
      </w:pPr>
      <w:r>
        <w:rPr>
          <w:rFonts w:hint="eastAsia" w:ascii="Times New Roman" w:hAnsi="Times New Roman"/>
          <w:color w:val="auto"/>
          <w:highlight w:val="none"/>
        </w:rPr>
        <w:t>五</w:t>
      </w:r>
      <w:r>
        <w:rPr>
          <w:rFonts w:ascii="Times New Roman" w:hAnsi="Times New Roman"/>
          <w:color w:val="auto"/>
          <w:highlight w:val="none"/>
        </w:rPr>
        <w:t>、资格审查资料</w:t>
      </w:r>
    </w:p>
    <w:p>
      <w:pPr>
        <w:spacing w:line="540" w:lineRule="exact"/>
        <w:ind w:firstLine="420" w:firstLineChars="200"/>
        <w:rPr>
          <w:rFonts w:ascii="Times New Roman" w:hAnsi="Times New Roman"/>
          <w:color w:val="auto"/>
          <w:highlight w:val="none"/>
        </w:rPr>
      </w:pPr>
      <w:r>
        <w:rPr>
          <w:rFonts w:hint="eastAsia" w:ascii="Times New Roman" w:hAnsi="Times New Roman"/>
          <w:color w:val="auto"/>
          <w:highlight w:val="none"/>
        </w:rPr>
        <w:t>六</w:t>
      </w:r>
      <w:r>
        <w:rPr>
          <w:rFonts w:ascii="Times New Roman" w:hAnsi="Times New Roman"/>
          <w:color w:val="auto"/>
          <w:highlight w:val="none"/>
        </w:rPr>
        <w:t>、监理大纲</w:t>
      </w:r>
    </w:p>
    <w:p>
      <w:pPr>
        <w:spacing w:line="540" w:lineRule="exact"/>
        <w:ind w:firstLine="420" w:firstLineChars="200"/>
        <w:rPr>
          <w:rFonts w:ascii="Times New Roman" w:hAnsi="Times New Roman"/>
          <w:color w:val="auto"/>
          <w:highlight w:val="none"/>
        </w:rPr>
      </w:pPr>
      <w:bookmarkStart w:id="670" w:name="_Toc7039"/>
      <w:bookmarkStart w:id="671" w:name="_Toc369531691"/>
      <w:bookmarkStart w:id="672" w:name="_Toc352691655"/>
      <w:r>
        <w:rPr>
          <w:rFonts w:hint="eastAsia" w:ascii="Times New Roman" w:hAnsi="Times New Roman"/>
          <w:color w:val="auto"/>
          <w:highlight w:val="none"/>
        </w:rPr>
        <w:t>七</w:t>
      </w:r>
      <w:r>
        <w:rPr>
          <w:rFonts w:ascii="Times New Roman" w:hAnsi="Times New Roman"/>
          <w:color w:val="auto"/>
          <w:highlight w:val="none"/>
        </w:rPr>
        <w:t>、其他资料</w:t>
      </w:r>
    </w:p>
    <w:p>
      <w:pPr>
        <w:spacing w:line="540" w:lineRule="exact"/>
        <w:ind w:firstLine="420" w:firstLineChars="200"/>
        <w:rPr>
          <w:rFonts w:ascii="Times New Roman" w:hAnsi="Times New Roman"/>
          <w:color w:val="auto"/>
          <w:highlight w:val="none"/>
        </w:rPr>
      </w:pPr>
      <w:r>
        <w:rPr>
          <w:rFonts w:hint="eastAsia" w:ascii="Times New Roman" w:hAnsi="Times New Roman"/>
          <w:color w:val="auto"/>
          <w:highlight w:val="none"/>
        </w:rPr>
        <w:t>八、投标人自评分表</w:t>
      </w:r>
    </w:p>
    <w:p>
      <w:pPr>
        <w:pStyle w:val="28"/>
        <w:rPr>
          <w:color w:val="auto"/>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bookmarkEnd w:id="670"/>
    <w:bookmarkEnd w:id="671"/>
    <w:bookmarkEnd w:id="672"/>
    <w:p>
      <w:pPr>
        <w:pStyle w:val="4"/>
        <w:keepNext w:val="0"/>
        <w:keepLines w:val="0"/>
        <w:numPr>
          <w:ilvl w:val="0"/>
          <w:numId w:val="7"/>
        </w:numPr>
        <w:spacing w:before="0" w:after="0" w:line="360" w:lineRule="auto"/>
        <w:ind w:firstLine="643" w:firstLineChars="200"/>
        <w:rPr>
          <w:rFonts w:ascii="Times New Roman" w:hAnsi="Times New Roman"/>
          <w:color w:val="auto"/>
          <w:highlight w:val="none"/>
        </w:rPr>
      </w:pPr>
      <w:r>
        <w:rPr>
          <w:rFonts w:ascii="Times New Roman" w:hAnsi="Times New Roman"/>
          <w:color w:val="auto"/>
          <w:highlight w:val="none"/>
        </w:rPr>
        <w:br w:type="page"/>
      </w:r>
      <w:bookmarkStart w:id="673" w:name="_Toc28094"/>
      <w:bookmarkStart w:id="674" w:name="_Toc89870636"/>
      <w:r>
        <w:rPr>
          <w:rFonts w:ascii="Times New Roman" w:hAnsi="Times New Roman"/>
          <w:color w:val="auto"/>
          <w:highlight w:val="none"/>
        </w:rPr>
        <w:t>投标</w:t>
      </w:r>
      <w:bookmarkStart w:id="675" w:name="_Toc352691656"/>
      <w:bookmarkStart w:id="676" w:name="_Toc6931"/>
      <w:bookmarkStart w:id="677" w:name="_Toc369531692"/>
      <w:r>
        <w:rPr>
          <w:rFonts w:ascii="Times New Roman" w:hAnsi="Times New Roman"/>
          <w:color w:val="auto"/>
          <w:highlight w:val="none"/>
        </w:rPr>
        <w:t>函及投标函附录</w:t>
      </w:r>
      <w:bookmarkEnd w:id="673"/>
      <w:bookmarkEnd w:id="674"/>
      <w:bookmarkEnd w:id="675"/>
      <w:bookmarkEnd w:id="676"/>
      <w:bookmarkEnd w:id="677"/>
      <w:bookmarkStart w:id="678" w:name="_Toc391394111"/>
      <w:bookmarkStart w:id="679" w:name="_Toc370676426"/>
      <w:bookmarkStart w:id="680" w:name="_Toc482188651"/>
      <w:bookmarkStart w:id="681" w:name="_Toc385943065"/>
      <w:bookmarkStart w:id="682" w:name="_Toc359594235"/>
    </w:p>
    <w:p>
      <w:pPr>
        <w:pStyle w:val="5"/>
        <w:keepNext w:val="0"/>
        <w:keepLines w:val="0"/>
        <w:snapToGrid w:val="0"/>
        <w:spacing w:before="0" w:after="0" w:line="300" w:lineRule="auto"/>
        <w:ind w:firstLine="560" w:firstLineChars="200"/>
        <w:rPr>
          <w:rFonts w:ascii="Times New Roman" w:hAnsi="Times New Roman"/>
          <w:color w:val="auto"/>
          <w:highlight w:val="none"/>
        </w:rPr>
      </w:pPr>
      <w:bookmarkStart w:id="683" w:name="_Toc89870637"/>
      <w:bookmarkStart w:id="684" w:name="_Toc1531"/>
      <w:r>
        <w:rPr>
          <w:rFonts w:ascii="Times New Roman" w:hAnsi="Times New Roman"/>
          <w:color w:val="auto"/>
          <w:highlight w:val="none"/>
        </w:rPr>
        <w:t>（一）投标函</w:t>
      </w:r>
      <w:bookmarkEnd w:id="678"/>
      <w:bookmarkEnd w:id="679"/>
      <w:bookmarkEnd w:id="680"/>
      <w:bookmarkEnd w:id="681"/>
      <w:bookmarkEnd w:id="682"/>
      <w:bookmarkEnd w:id="683"/>
      <w:bookmarkEnd w:id="684"/>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u w:val="single"/>
        </w:rPr>
        <w:t>致：广州市增城区水务建设管理所</w:t>
      </w:r>
      <w:r>
        <w:rPr>
          <w:rFonts w:hint="eastAsia" w:ascii="宋体" w:hAnsi="宋体" w:cs="宋体"/>
          <w:color w:val="auto"/>
          <w:szCs w:val="21"/>
          <w:highlight w:val="none"/>
        </w:rPr>
        <w:t>（招标人名称）</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增城国家级开发区中新园区基础设施配套中新下沉式再生水厂项目施工监理 </w:t>
      </w:r>
      <w:r>
        <w:rPr>
          <w:rFonts w:hint="eastAsia" w:ascii="宋体" w:hAnsi="宋体" w:cs="宋体"/>
          <w:color w:val="auto"/>
          <w:szCs w:val="21"/>
          <w:highlight w:val="none"/>
        </w:rPr>
        <w:t>招标项目招标文件的全部内容，愿意以投标函附录中的报价和监理服务期，按合同约定完成监理工作。</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我方的投标文件包括下列内容：</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（1）投标函及投标函附录；</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（2）法定代表人身份证明或授权委托书；</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（3）投标保证金；</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（4）广州建设工程监理投标书；</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（5）资格审查资料；</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（6）监理大纲；</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（7）其他资料；</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（8）投标人自评分表。投标文件的上述组成部分如存在内容不一致的，以投标函为准。</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3．我方承诺在招标文件规定的投标有效期内不撤销投标文件。</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4．如我方中标，我方承诺：</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（1）在收到中标通知书后，在中标通知书规定的期限内与你方签订合同；</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（3）按照招标文件要求提交履约保证金；</w:t>
      </w:r>
      <w:bookmarkStart w:id="685" w:name="_Toc352691658"/>
      <w:bookmarkStart w:id="686" w:name="_Toc369531694"/>
      <w:bookmarkStart w:id="687" w:name="_Toc1187"/>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（4）在合</w:t>
      </w:r>
      <w:bookmarkEnd w:id="685"/>
      <w:bookmarkEnd w:id="686"/>
      <w:bookmarkEnd w:id="687"/>
      <w:r>
        <w:rPr>
          <w:rFonts w:hint="eastAsia" w:ascii="宋体" w:hAnsi="宋体" w:cs="宋体"/>
          <w:color w:val="auto"/>
          <w:szCs w:val="21"/>
          <w:highlight w:val="none"/>
        </w:rPr>
        <w:t>同约定的期限内完成合同规定的全部义务。</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5．我方在此声明，所递交的投标文件及有关资料内容完整、真实和准确，且不存在第二章“投标人须知”第1.4.3项规定的任何一种情形。</w:t>
      </w:r>
    </w:p>
    <w:p>
      <w:pPr>
        <w:snapToGrid w:val="0"/>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（其他补充说明）。</w:t>
      </w:r>
    </w:p>
    <w:bookmarkEnd w:id="594"/>
    <w:bookmarkEnd w:id="595"/>
    <w:bookmarkEnd w:id="596"/>
    <w:bookmarkEnd w:id="597"/>
    <w:bookmarkEnd w:id="598"/>
    <w:bookmarkEnd w:id="599"/>
    <w:bookmarkEnd w:id="600"/>
    <w:bookmarkEnd w:id="601"/>
    <w:bookmarkEnd w:id="602"/>
    <w:p>
      <w:pPr>
        <w:snapToGrid w:val="0"/>
        <w:spacing w:line="300" w:lineRule="auto"/>
        <w:ind w:firstLine="420" w:firstLineChars="200"/>
        <w:jc w:val="left"/>
        <w:rPr>
          <w:rFonts w:ascii="宋体" w:hAnsi="宋体" w:cs="宋体"/>
          <w:color w:val="auto"/>
          <w:szCs w:val="21"/>
          <w:highlight w:val="none"/>
        </w:rPr>
      </w:pPr>
      <w:bookmarkStart w:id="688" w:name="_Toc16824"/>
      <w:bookmarkEnd w:id="688"/>
      <w:bookmarkStart w:id="689" w:name="_Toc369531695"/>
      <w:bookmarkEnd w:id="689"/>
      <w:bookmarkStart w:id="690" w:name="_Toc352691660"/>
      <w:bookmarkEnd w:id="690"/>
      <w:bookmarkStart w:id="691" w:name="_Toc16568"/>
      <w:bookmarkEnd w:id="691"/>
      <w:bookmarkStart w:id="692" w:name="_Toc369531696"/>
      <w:bookmarkEnd w:id="692"/>
      <w:bookmarkStart w:id="693" w:name="_Toc352691659"/>
      <w:bookmarkEnd w:id="693"/>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（盖单位章）</w:t>
      </w:r>
    </w:p>
    <w:p>
      <w:pPr>
        <w:snapToGrid w:val="0"/>
        <w:spacing w:line="30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（签字）</w:t>
      </w:r>
    </w:p>
    <w:p>
      <w:pPr>
        <w:snapToGrid w:val="0"/>
        <w:spacing w:line="30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napToGrid w:val="0"/>
        <w:spacing w:line="30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网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napToGrid w:val="0"/>
        <w:spacing w:line="30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napToGrid w:val="0"/>
        <w:spacing w:line="30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napToGrid w:val="0"/>
        <w:spacing w:line="30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pStyle w:val="2"/>
        <w:snapToGrid w:val="0"/>
        <w:spacing w:line="300" w:lineRule="auto"/>
        <w:jc w:val="left"/>
        <w:rPr>
          <w:rFonts w:hAnsi="宋体" w:cs="宋体"/>
          <w:color w:val="auto"/>
          <w:szCs w:val="21"/>
          <w:highlight w:val="none"/>
        </w:rPr>
      </w:pPr>
      <w:r>
        <w:rPr>
          <w:rFonts w:hint="eastAsia" w:hAnsi="宋体" w:cs="宋体"/>
          <w:color w:val="auto"/>
          <w:szCs w:val="21"/>
          <w:highlight w:val="none"/>
        </w:rPr>
        <w:t xml:space="preserve">    开户银行名称：</w:t>
      </w:r>
      <w:r>
        <w:rPr>
          <w:rFonts w:hint="eastAsia" w:hAnsi="宋体" w:cs="宋体"/>
          <w:color w:val="auto"/>
          <w:szCs w:val="21"/>
          <w:highlight w:val="none"/>
          <w:u w:val="single"/>
        </w:rPr>
        <w:t xml:space="preserve">                                          </w:t>
      </w:r>
    </w:p>
    <w:p>
      <w:pPr>
        <w:pStyle w:val="2"/>
        <w:snapToGrid w:val="0"/>
        <w:spacing w:line="300" w:lineRule="auto"/>
        <w:jc w:val="left"/>
        <w:rPr>
          <w:rFonts w:hAnsi="宋体" w:cs="宋体"/>
          <w:color w:val="auto"/>
          <w:szCs w:val="21"/>
          <w:highlight w:val="none"/>
        </w:rPr>
      </w:pPr>
      <w:r>
        <w:rPr>
          <w:rFonts w:hint="eastAsia" w:hAnsi="宋体" w:cs="宋体"/>
          <w:color w:val="auto"/>
          <w:szCs w:val="21"/>
          <w:highlight w:val="none"/>
        </w:rPr>
        <w:t xml:space="preserve">    银行账号：</w:t>
      </w:r>
      <w:r>
        <w:rPr>
          <w:rFonts w:hint="eastAsia" w:hAnsi="宋体" w:cs="宋体"/>
          <w:color w:val="auto"/>
          <w:szCs w:val="21"/>
          <w:highlight w:val="none"/>
          <w:u w:val="single"/>
        </w:rPr>
        <w:t xml:space="preserve">                                              </w:t>
      </w:r>
    </w:p>
    <w:p>
      <w:pPr>
        <w:snapToGrid w:val="0"/>
        <w:spacing w:line="30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694" w:name="_Toc370676427"/>
      <w:bookmarkStart w:id="695" w:name="_Toc482188652"/>
      <w:bookmarkStart w:id="696" w:name="_Toc385943066"/>
      <w:bookmarkStart w:id="697" w:name="_Toc89870638"/>
      <w:bookmarkStart w:id="698" w:name="_Toc359594236"/>
      <w:bookmarkStart w:id="699" w:name="_Toc391394112"/>
      <w:bookmarkStart w:id="700" w:name="_Toc152045787"/>
      <w:bookmarkStart w:id="701" w:name="_Toc247527827"/>
      <w:bookmarkStart w:id="702" w:name="_Toc152042576"/>
      <w:bookmarkStart w:id="703" w:name="_Toc247514246"/>
      <w:bookmarkStart w:id="704" w:name="_Toc352691661"/>
      <w:bookmarkStart w:id="705" w:name="_Toc17960"/>
      <w:bookmarkStart w:id="706" w:name="_Toc300835209"/>
      <w:bookmarkStart w:id="707" w:name="_Toc361508752"/>
      <w:bookmarkStart w:id="708" w:name="_Toc369531697"/>
      <w:bookmarkStart w:id="709" w:name="_Toc144974856"/>
      <w:bookmarkStart w:id="710" w:name="_Toc384308375"/>
    </w:p>
    <w:p>
      <w:pPr>
        <w:pStyle w:val="2"/>
        <w:rPr>
          <w:rFonts w:eastAsia="黑体"/>
          <w:color w:val="auto"/>
          <w:sz w:val="28"/>
          <w:szCs w:val="20"/>
          <w:highlight w:val="none"/>
        </w:rPr>
      </w:pPr>
    </w:p>
    <w:p>
      <w:pPr>
        <w:rPr>
          <w:rFonts w:ascii="Times New Roman" w:hAnsi="Times New Roman"/>
          <w:color w:val="auto"/>
          <w:highlight w:val="none"/>
        </w:rPr>
      </w:pPr>
      <w:r>
        <w:rPr>
          <w:rFonts w:hint="eastAsia" w:ascii="Times New Roman" w:hAnsi="Times New Roman"/>
          <w:color w:val="auto"/>
          <w:highlight w:val="none"/>
        </w:rPr>
        <w:br w:type="page"/>
      </w:r>
    </w:p>
    <w:p>
      <w:pPr>
        <w:pStyle w:val="5"/>
        <w:keepNext w:val="0"/>
        <w:keepLines w:val="0"/>
        <w:spacing w:before="0" w:after="0"/>
        <w:ind w:firstLine="0" w:firstLineChars="0"/>
        <w:rPr>
          <w:rFonts w:ascii="Times New Roman" w:hAnsi="Times New Roman"/>
          <w:color w:val="auto"/>
          <w:highlight w:val="none"/>
        </w:rPr>
      </w:pPr>
      <w:bookmarkStart w:id="711" w:name="_Toc11052"/>
      <w:r>
        <w:rPr>
          <w:rFonts w:hint="eastAsia" w:ascii="Times New Roman" w:hAnsi="Times New Roman"/>
          <w:color w:val="auto"/>
          <w:highlight w:val="none"/>
        </w:rPr>
        <w:t>（</w:t>
      </w:r>
      <w:r>
        <w:rPr>
          <w:rFonts w:ascii="Times New Roman" w:hAnsi="Times New Roman"/>
          <w:color w:val="auto"/>
          <w:highlight w:val="none"/>
        </w:rPr>
        <w:t>二）投标函附录</w:t>
      </w:r>
      <w:bookmarkEnd w:id="694"/>
      <w:bookmarkEnd w:id="695"/>
      <w:bookmarkEnd w:id="696"/>
      <w:bookmarkEnd w:id="697"/>
      <w:bookmarkEnd w:id="698"/>
      <w:bookmarkEnd w:id="699"/>
      <w:bookmarkEnd w:id="711"/>
    </w:p>
    <w:tbl>
      <w:tblPr>
        <w:tblStyle w:val="2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467"/>
        <w:gridCol w:w="1020"/>
        <w:gridCol w:w="3270"/>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序号</w:t>
            </w:r>
          </w:p>
        </w:tc>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条款名称</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合同条款号</w:t>
            </w:r>
          </w:p>
        </w:tc>
        <w:tc>
          <w:tcPr>
            <w:tcW w:w="32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约定内容</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1</w:t>
            </w:r>
          </w:p>
        </w:tc>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总监理工程师</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第二章第一条（</w:t>
            </w:r>
            <w:r>
              <w:rPr>
                <w:rFonts w:ascii="Times New Roman" w:hAnsi="Times New Roman"/>
                <w:color w:val="auto"/>
                <w:highlight w:val="none"/>
              </w:rPr>
              <w:t>5</w:t>
            </w:r>
            <w:r>
              <w:rPr>
                <w:rFonts w:hint="eastAsia" w:ascii="Times New Roman" w:hAnsi="Times New Roman"/>
                <w:color w:val="auto"/>
                <w:highlight w:val="none"/>
              </w:rPr>
              <w:t>）</w:t>
            </w:r>
          </w:p>
        </w:tc>
        <w:tc>
          <w:tcPr>
            <w:tcW w:w="32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姓名：</w:t>
            </w:r>
          </w:p>
          <w:p>
            <w:pPr>
              <w:rPr>
                <w:rFonts w:ascii="Times New Roman" w:hAnsi="Times New Roman"/>
                <w:color w:val="auto"/>
                <w:highlight w:val="none"/>
              </w:rPr>
            </w:pPr>
            <w:r>
              <w:rPr>
                <w:rFonts w:hint="eastAsia" w:ascii="Times New Roman" w:hAnsi="Times New Roman"/>
                <w:color w:val="auto"/>
                <w:highlight w:val="none"/>
              </w:rPr>
              <w:t>技术职称：</w:t>
            </w:r>
          </w:p>
          <w:p>
            <w:pPr>
              <w:rPr>
                <w:rFonts w:ascii="Times New Roman" w:hAnsi="Times New Roman"/>
                <w:color w:val="auto"/>
                <w:highlight w:val="none"/>
              </w:rPr>
            </w:pPr>
            <w:r>
              <w:rPr>
                <w:rFonts w:hint="eastAsia" w:ascii="Times New Roman" w:hAnsi="Times New Roman"/>
                <w:color w:val="auto"/>
                <w:highlight w:val="none"/>
              </w:rPr>
              <w:t>注册证号：</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2</w:t>
            </w:r>
          </w:p>
        </w:tc>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监理服务期限</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第三章第四条（一）（</w:t>
            </w:r>
            <w:r>
              <w:rPr>
                <w:rFonts w:ascii="Times New Roman" w:hAnsi="Times New Roman"/>
                <w:color w:val="auto"/>
                <w:highlight w:val="none"/>
              </w:rPr>
              <w:t>3</w:t>
            </w:r>
            <w:r>
              <w:rPr>
                <w:rFonts w:hint="eastAsia" w:ascii="Times New Roman" w:hAnsi="Times New Roman"/>
                <w:color w:val="auto"/>
                <w:highlight w:val="none"/>
              </w:rPr>
              <w:t>）</w:t>
            </w:r>
          </w:p>
        </w:tc>
        <w:tc>
          <w:tcPr>
            <w:tcW w:w="32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按招标文件要求</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ascii="Times New Roman" w:hAnsi="Times New Roman"/>
                <w:color w:val="auto"/>
                <w:highlight w:val="none"/>
              </w:rPr>
              <w:t>3</w:t>
            </w:r>
          </w:p>
        </w:tc>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合同价款确定方式</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第一章第二条</w:t>
            </w:r>
          </w:p>
        </w:tc>
        <w:tc>
          <w:tcPr>
            <w:tcW w:w="32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按合同要求</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4</w:t>
            </w:r>
          </w:p>
        </w:tc>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ascii="Times New Roman" w:hAnsi="Times New Roman"/>
                <w:color w:val="auto"/>
                <w:highlight w:val="none"/>
              </w:rPr>
              <w:t>质量</w:t>
            </w:r>
            <w:r>
              <w:rPr>
                <w:rFonts w:hint="eastAsia" w:ascii="Times New Roman" w:hAnsi="Times New Roman"/>
                <w:color w:val="auto"/>
                <w:highlight w:val="none"/>
              </w:rPr>
              <w:t>标准</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第一章第一条（5）</w:t>
            </w:r>
          </w:p>
        </w:tc>
        <w:tc>
          <w:tcPr>
            <w:tcW w:w="32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按招标文件要求</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5</w:t>
            </w:r>
          </w:p>
        </w:tc>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投标总报价（监理报价）</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第一章第二条</w:t>
            </w:r>
          </w:p>
        </w:tc>
        <w:tc>
          <w:tcPr>
            <w:tcW w:w="32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监理报价（元）：</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6</w:t>
            </w:r>
          </w:p>
        </w:tc>
        <w:tc>
          <w:tcPr>
            <w:tcW w:w="2467"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投标下浮率</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第三章第三十九条（一）</w:t>
            </w:r>
          </w:p>
        </w:tc>
        <w:tc>
          <w:tcPr>
            <w:tcW w:w="3270"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投标下浮率：</w:t>
            </w:r>
            <w:r>
              <w:rPr>
                <w:rFonts w:hint="eastAsia"/>
                <w:color w:val="auto"/>
                <w:highlight w:val="none"/>
                <w:u w:val="single"/>
              </w:rPr>
              <w:t xml:space="preserve">     </w:t>
            </w:r>
            <w:r>
              <w:rPr>
                <w:rFonts w:hint="eastAsia"/>
                <w:color w:val="auto"/>
                <w:highlight w:val="none"/>
              </w:rPr>
              <w:t>%</w:t>
            </w:r>
            <w:r>
              <w:rPr>
                <w:rFonts w:hint="eastAsia" w:ascii="宋体" w:hAnsi="宋体" w:cs="宋体"/>
                <w:color w:val="auto"/>
                <w:highlight w:val="none"/>
              </w:rPr>
              <w:t>（填正数）</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color w:val="auto"/>
                <w:highlight w:val="none"/>
              </w:rPr>
              <w:t>下浮率=1-（投标总报价/最高投标限价）*100%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7</w:t>
            </w:r>
          </w:p>
        </w:tc>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投标有效期</w:t>
            </w:r>
          </w:p>
        </w:tc>
        <w:tc>
          <w:tcPr>
            <w:tcW w:w="1020" w:type="dxa"/>
            <w:tcBorders>
              <w:top w:val="single" w:color="auto" w:sz="4" w:space="0"/>
              <w:left w:val="single" w:color="auto" w:sz="4" w:space="0"/>
              <w:bottom w:val="single" w:color="auto" w:sz="4" w:space="0"/>
              <w:right w:val="single" w:color="auto" w:sz="4" w:space="0"/>
            </w:tcBorders>
            <w:vAlign w:val="center"/>
          </w:tcPr>
          <w:p>
            <w:pPr>
              <w:ind w:firstLine="416" w:firstLineChars="200"/>
              <w:jc w:val="left"/>
              <w:rPr>
                <w:rFonts w:ascii="Times New Roman" w:hAnsi="Times New Roman"/>
                <w:color w:val="auto"/>
                <w:spacing w:val="-16"/>
                <w:sz w:val="24"/>
                <w:highlight w:val="none"/>
              </w:rPr>
            </w:pPr>
            <w:r>
              <w:rPr>
                <w:rFonts w:ascii="Times New Roman" w:hAnsi="Times New Roman"/>
                <w:color w:val="auto"/>
                <w:spacing w:val="-16"/>
                <w:sz w:val="24"/>
                <w:highlight w:val="none"/>
              </w:rPr>
              <w:t>/</w:t>
            </w:r>
          </w:p>
        </w:tc>
        <w:tc>
          <w:tcPr>
            <w:tcW w:w="32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90日历天（从投标截止之日算起）</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bl>
    <w:p>
      <w:pPr>
        <w:spacing w:line="440" w:lineRule="exact"/>
        <w:ind w:firstLine="420" w:firstLineChars="200"/>
        <w:rPr>
          <w:rFonts w:ascii="Times New Roman" w:hAnsi="Times New Roman"/>
          <w:color w:val="auto"/>
          <w:szCs w:val="21"/>
          <w:highlight w:val="none"/>
        </w:rPr>
      </w:pPr>
    </w:p>
    <w:p>
      <w:pPr>
        <w:spacing w:line="440" w:lineRule="exact"/>
        <w:ind w:firstLine="420" w:firstLineChars="200"/>
        <w:jc w:val="righ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pPr>
        <w:spacing w:line="440" w:lineRule="exact"/>
        <w:ind w:firstLine="420" w:firstLineChars="200"/>
        <w:jc w:val="right"/>
        <w:rPr>
          <w:rFonts w:ascii="Times New Roman" w:hAnsi="Times New Roman"/>
          <w:color w:val="auto"/>
          <w:szCs w:val="21"/>
          <w:highlight w:val="none"/>
        </w:rPr>
      </w:pPr>
      <w:r>
        <w:rPr>
          <w:rFonts w:ascii="Times New Roman" w:hAnsi="Times New Roman"/>
          <w:color w:val="auto"/>
          <w:highlight w:val="none"/>
        </w:rPr>
        <w:t>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p>
    <w:p>
      <w:pPr>
        <w:spacing w:line="440" w:lineRule="exact"/>
        <w:ind w:firstLine="420" w:firstLineChars="20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rPr>
          <w:rFonts w:hAnsi="宋体"/>
          <w:b/>
          <w:bCs/>
          <w:color w:val="auto"/>
          <w:sz w:val="36"/>
          <w:szCs w:val="44"/>
          <w:highlight w:val="none"/>
        </w:rPr>
      </w:pPr>
      <w:bookmarkStart w:id="712" w:name="_Toc89870639"/>
      <w:r>
        <w:rPr>
          <w:rFonts w:hint="eastAsia" w:hAnsi="宋体"/>
          <w:b/>
          <w:bCs/>
          <w:color w:val="auto"/>
          <w:sz w:val="36"/>
          <w:szCs w:val="44"/>
          <w:highlight w:val="none"/>
        </w:rPr>
        <w:br w:type="page"/>
      </w:r>
    </w:p>
    <w:p>
      <w:pPr>
        <w:pStyle w:val="4"/>
        <w:keepNext w:val="0"/>
        <w:keepLines w:val="0"/>
        <w:spacing w:before="0" w:after="0"/>
        <w:ind w:firstLine="643" w:firstLineChars="200"/>
        <w:rPr>
          <w:rFonts w:ascii="Times New Roman" w:hAnsi="Times New Roman"/>
          <w:color w:val="auto"/>
          <w:sz w:val="20"/>
          <w:highlight w:val="none"/>
        </w:rPr>
      </w:pPr>
      <w:bookmarkStart w:id="713" w:name="_Toc27983"/>
      <w:r>
        <w:rPr>
          <w:rFonts w:ascii="Times New Roman" w:hAnsi="Times New Roman"/>
          <w:color w:val="auto"/>
          <w:highlight w:val="none"/>
        </w:rPr>
        <w:t>二</w:t>
      </w:r>
      <w:bookmarkEnd w:id="700"/>
      <w:bookmarkEnd w:id="701"/>
      <w:bookmarkEnd w:id="702"/>
      <w:bookmarkEnd w:id="703"/>
      <w:bookmarkEnd w:id="704"/>
      <w:bookmarkEnd w:id="705"/>
      <w:bookmarkEnd w:id="706"/>
      <w:bookmarkEnd w:id="707"/>
      <w:bookmarkEnd w:id="708"/>
      <w:bookmarkEnd w:id="709"/>
      <w:bookmarkEnd w:id="710"/>
      <w:r>
        <w:rPr>
          <w:rFonts w:ascii="Times New Roman" w:hAnsi="Times New Roman"/>
          <w:color w:val="auto"/>
          <w:highlight w:val="none"/>
        </w:rPr>
        <w:t>、法定代表人身份证明</w:t>
      </w:r>
      <w:bookmarkEnd w:id="712"/>
      <w:bookmarkEnd w:id="713"/>
    </w:p>
    <w:p>
      <w:pPr>
        <w:spacing w:line="440" w:lineRule="exact"/>
        <w:ind w:firstLine="420" w:firstLineChars="200"/>
        <w:rPr>
          <w:rFonts w:ascii="Times New Roman" w:hAnsi="Times New Roman"/>
          <w:color w:val="auto"/>
          <w:highlight w:val="none"/>
        </w:rPr>
      </w:pPr>
    </w:p>
    <w:p>
      <w:pPr>
        <w:spacing w:line="360" w:lineRule="auto"/>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投标人名称：</w:t>
      </w:r>
      <w:r>
        <w:rPr>
          <w:rFonts w:ascii="Times New Roman" w:hAnsi="Times New Roman"/>
          <w:color w:val="auto"/>
          <w:sz w:val="24"/>
          <w:szCs w:val="24"/>
          <w:highlight w:val="none"/>
          <w:u w:val="single"/>
        </w:rPr>
        <w:t xml:space="preserve">                                                    </w:t>
      </w:r>
    </w:p>
    <w:p>
      <w:pPr>
        <w:pStyle w:val="2"/>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姓名：</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性别：</w:t>
      </w:r>
      <w:bookmarkStart w:id="714" w:name="_Toc352691662"/>
      <w:bookmarkStart w:id="715" w:name="_Toc27897"/>
      <w:bookmarkStart w:id="716" w:name="_Toc369531698"/>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bookmarkEnd w:id="714"/>
      <w:bookmarkEnd w:id="715"/>
      <w:bookmarkEnd w:id="716"/>
      <w:r>
        <w:rPr>
          <w:rFonts w:ascii="Times New Roman" w:hAnsi="Times New Roman"/>
          <w:color w:val="auto"/>
          <w:sz w:val="24"/>
          <w:szCs w:val="24"/>
          <w:highlight w:val="none"/>
        </w:rPr>
        <w:t>龄</w:t>
      </w:r>
      <w:bookmarkStart w:id="717" w:name="_Toc369531699"/>
      <w:bookmarkStart w:id="718" w:name="_Toc152045789"/>
      <w:bookmarkStart w:id="719" w:name="_Toc352691663"/>
      <w:bookmarkStart w:id="720" w:name="_Toc300835211"/>
      <w:bookmarkStart w:id="721" w:name="_Toc247527829"/>
      <w:bookmarkStart w:id="722" w:name="_Toc15573"/>
      <w:bookmarkStart w:id="723" w:name="_Toc247514248"/>
      <w:bookmarkStart w:id="724" w:name="_Toc152042578"/>
      <w:bookmarkStart w:id="725" w:name="_Toc384308377"/>
      <w:bookmarkStart w:id="726" w:name="_Toc144974858"/>
      <w:bookmarkStart w:id="727" w:name="_Toc361508754"/>
      <w:r>
        <w:rPr>
          <w:rFonts w:ascii="Times New Roman" w:hAnsi="Times New Roman"/>
          <w:color w:val="auto"/>
          <w:sz w:val="24"/>
          <w:szCs w:val="24"/>
          <w:highlight w:val="none"/>
        </w:rPr>
        <w:t>：</w:t>
      </w:r>
      <w:bookmarkEnd w:id="717"/>
      <w:bookmarkEnd w:id="718"/>
      <w:bookmarkEnd w:id="719"/>
      <w:bookmarkEnd w:id="720"/>
      <w:bookmarkEnd w:id="721"/>
      <w:bookmarkEnd w:id="722"/>
      <w:bookmarkEnd w:id="723"/>
      <w:bookmarkEnd w:id="724"/>
      <w:bookmarkEnd w:id="725"/>
      <w:bookmarkEnd w:id="726"/>
      <w:bookmarkEnd w:id="727"/>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职务：</w:t>
      </w:r>
      <w:r>
        <w:rPr>
          <w:rFonts w:ascii="Times New Roman" w:hAnsi="Times New Roman"/>
          <w:color w:val="auto"/>
          <w:sz w:val="24"/>
          <w:szCs w:val="24"/>
          <w:highlight w:val="none"/>
          <w:u w:val="single"/>
        </w:rPr>
        <w:t xml:space="preserve">        </w:t>
      </w:r>
    </w:p>
    <w:p>
      <w:pPr>
        <w:pStyle w:val="2"/>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系</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（投标人名称）的法定代表人。</w:t>
      </w:r>
    </w:p>
    <w:p>
      <w:pPr>
        <w:pStyle w:val="2"/>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特此证明。</w:t>
      </w:r>
    </w:p>
    <w:p>
      <w:pPr>
        <w:spacing w:line="360" w:lineRule="auto"/>
        <w:ind w:firstLine="480" w:firstLineChars="200"/>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附：法定代表人身份证复印件。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注：本身份证明需由投标人加盖单位公章。</w:t>
      </w:r>
    </w:p>
    <w:p>
      <w:pPr>
        <w:spacing w:line="360" w:lineRule="auto"/>
        <w:ind w:firstLine="480" w:firstLineChars="200"/>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rPr>
      </w:pPr>
    </w:p>
    <w:p>
      <w:pPr>
        <w:spacing w:line="360" w:lineRule="auto"/>
        <w:ind w:firstLine="480" w:firstLineChars="200"/>
        <w:jc w:val="right"/>
        <w:rPr>
          <w:rFonts w:ascii="Times New Roman" w:hAnsi="Times New Roman"/>
          <w:color w:val="auto"/>
          <w:sz w:val="24"/>
          <w:szCs w:val="24"/>
          <w:highlight w:val="none"/>
        </w:rPr>
      </w:pPr>
      <w:r>
        <w:rPr>
          <w:rFonts w:ascii="Times New Roman" w:hAnsi="Times New Roman"/>
          <w:color w:val="auto"/>
          <w:sz w:val="24"/>
          <w:szCs w:val="24"/>
          <w:highlight w:val="none"/>
        </w:rPr>
        <w:t xml:space="preserve">                              投标人：</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ab/>
      </w:r>
      <w:r>
        <w:rPr>
          <w:rFonts w:ascii="Times New Roman" w:hAnsi="Times New Roman"/>
          <w:color w:val="auto"/>
          <w:sz w:val="24"/>
          <w:szCs w:val="24"/>
          <w:highlight w:val="none"/>
        </w:rPr>
        <w:t>（</w:t>
      </w:r>
      <w:r>
        <w:rPr>
          <w:rFonts w:hint="eastAsia" w:ascii="Times New Roman" w:hAnsi="Times New Roman"/>
          <w:color w:val="auto"/>
          <w:sz w:val="24"/>
          <w:szCs w:val="24"/>
          <w:highlight w:val="none"/>
        </w:rPr>
        <w:t>盖</w:t>
      </w:r>
      <w:r>
        <w:rPr>
          <w:rFonts w:ascii="Times New Roman" w:hAnsi="Times New Roman"/>
          <w:color w:val="auto"/>
          <w:sz w:val="24"/>
          <w:szCs w:val="24"/>
          <w:highlight w:val="none"/>
        </w:rPr>
        <w:t>单位</w:t>
      </w:r>
      <w:r>
        <w:rPr>
          <w:rFonts w:hint="eastAsia" w:ascii="Times New Roman" w:hAnsi="Times New Roman"/>
          <w:color w:val="auto"/>
          <w:sz w:val="24"/>
          <w:szCs w:val="24"/>
          <w:highlight w:val="none"/>
        </w:rPr>
        <w:t>章</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p>
    <w:p>
      <w:pPr>
        <w:spacing w:line="360" w:lineRule="auto"/>
        <w:ind w:firstLine="480" w:firstLineChars="200"/>
        <w:jc w:val="righ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pPr>
        <w:spacing w:line="360" w:lineRule="auto"/>
        <w:ind w:firstLine="480" w:firstLineChars="200"/>
        <w:rPr>
          <w:rFonts w:ascii="Times New Roman" w:hAnsi="Times New Roman" w:eastAsia="黑体"/>
          <w:color w:val="auto"/>
          <w:sz w:val="24"/>
          <w:szCs w:val="24"/>
          <w:highlight w:val="none"/>
        </w:rPr>
      </w:pPr>
    </w:p>
    <w:p>
      <w:pPr>
        <w:spacing w:line="360" w:lineRule="auto"/>
        <w:ind w:firstLine="400" w:firstLineChars="200"/>
        <w:rPr>
          <w:rFonts w:ascii="Times New Roman" w:hAnsi="Times New Roman" w:eastAsia="黑体"/>
          <w:color w:val="auto"/>
          <w:sz w:val="20"/>
          <w:highlight w:val="none"/>
        </w:rPr>
      </w:pPr>
    </w:p>
    <w:p>
      <w:pPr>
        <w:spacing w:line="440" w:lineRule="exact"/>
        <w:ind w:firstLine="400" w:firstLineChars="200"/>
        <w:rPr>
          <w:rFonts w:ascii="Times New Roman" w:hAnsi="Times New Roman" w:eastAsia="黑体"/>
          <w:color w:val="auto"/>
          <w:sz w:val="20"/>
          <w:highlight w:val="none"/>
        </w:rPr>
      </w:pPr>
    </w:p>
    <w:p>
      <w:pPr>
        <w:spacing w:line="440" w:lineRule="exact"/>
        <w:ind w:firstLine="400" w:firstLineChars="200"/>
        <w:rPr>
          <w:rFonts w:ascii="Times New Roman" w:hAnsi="Times New Roman" w:eastAsia="黑体"/>
          <w:color w:val="auto"/>
          <w:sz w:val="20"/>
          <w:highlight w:val="none"/>
        </w:rPr>
      </w:pPr>
    </w:p>
    <w:p>
      <w:pPr>
        <w:spacing w:line="440" w:lineRule="exact"/>
        <w:ind w:firstLine="400" w:firstLineChars="200"/>
        <w:rPr>
          <w:rFonts w:ascii="Times New Roman" w:hAnsi="Times New Roman" w:eastAsia="黑体"/>
          <w:color w:val="auto"/>
          <w:sz w:val="20"/>
          <w:highlight w:val="none"/>
        </w:rPr>
      </w:pPr>
    </w:p>
    <w:p>
      <w:pPr>
        <w:pStyle w:val="4"/>
        <w:keepNext w:val="0"/>
        <w:keepLines w:val="0"/>
        <w:spacing w:before="0" w:after="0"/>
        <w:jc w:val="center"/>
        <w:rPr>
          <w:rFonts w:ascii="Times New Roman" w:hAnsi="Times New Roman"/>
          <w:color w:val="auto"/>
          <w:highlight w:val="none"/>
        </w:rPr>
      </w:pPr>
      <w:r>
        <w:rPr>
          <w:rFonts w:ascii="Times New Roman" w:hAnsi="Times New Roman"/>
          <w:color w:val="auto"/>
          <w:highlight w:val="none"/>
        </w:rPr>
        <w:br w:type="page"/>
      </w:r>
      <w:bookmarkStart w:id="728" w:name="_Toc89870640"/>
      <w:bookmarkStart w:id="729" w:name="_Toc24433"/>
      <w:r>
        <w:rPr>
          <w:rFonts w:ascii="Times New Roman" w:hAnsi="Times New Roman"/>
          <w:color w:val="auto"/>
          <w:highlight w:val="none"/>
        </w:rPr>
        <w:t>授权委托书</w:t>
      </w:r>
      <w:bookmarkEnd w:id="728"/>
      <w:bookmarkEnd w:id="729"/>
    </w:p>
    <w:p>
      <w:pPr>
        <w:spacing w:line="440" w:lineRule="exact"/>
        <w:ind w:firstLine="420" w:firstLineChars="200"/>
        <w:rPr>
          <w:rFonts w:ascii="Times New Roman" w:hAnsi="Times New Roman" w:eastAsia="黑体"/>
          <w:color w:val="auto"/>
          <w:highlight w:val="none"/>
        </w:rPr>
      </w:pPr>
    </w:p>
    <w:p>
      <w:pPr>
        <w:topLinePunct/>
        <w:spacing w:line="360" w:lineRule="auto"/>
        <w:ind w:firstLine="420" w:firstLineChars="200"/>
        <w:rPr>
          <w:rFonts w:ascii="Times New Roman" w:hAnsi="Times New Roman"/>
          <w:color w:val="auto"/>
          <w:highlight w:val="none"/>
        </w:rPr>
      </w:pPr>
      <w:r>
        <w:rPr>
          <w:rFonts w:ascii="Times New Roman" w:hAnsi="Times New Roman"/>
          <w:color w:val="auto"/>
          <w:highlight w:val="none"/>
        </w:rPr>
        <w:t>本人</w:t>
      </w:r>
      <w:r>
        <w:rPr>
          <w:rFonts w:ascii="Times New Roman" w:hAnsi="Times New Roman"/>
          <w:color w:val="auto"/>
          <w:highlight w:val="none"/>
          <w:u w:val="single"/>
        </w:rPr>
        <w:t xml:space="preserve">              </w:t>
      </w:r>
      <w:r>
        <w:rPr>
          <w:rFonts w:ascii="Times New Roman" w:hAnsi="Times New Roman"/>
          <w:color w:val="auto"/>
          <w:highlight w:val="none"/>
        </w:rPr>
        <w:t>（姓名）系</w:t>
      </w:r>
      <w:r>
        <w:rPr>
          <w:rFonts w:ascii="Times New Roman" w:hAnsi="Times New Roman"/>
          <w:color w:val="auto"/>
          <w:highlight w:val="none"/>
          <w:u w:val="single"/>
        </w:rPr>
        <w:t xml:space="preserve">                    </w:t>
      </w:r>
      <w:r>
        <w:rPr>
          <w:rFonts w:ascii="Times New Roman" w:hAnsi="Times New Roman"/>
          <w:color w:val="auto"/>
          <w:highlight w:val="none"/>
        </w:rPr>
        <w:t>（投标人名称）的法定代表人，现委托</w:t>
      </w:r>
      <w:r>
        <w:rPr>
          <w:rFonts w:ascii="Times New Roman" w:hAnsi="Times New Roman"/>
          <w:color w:val="auto"/>
          <w:highlight w:val="none"/>
          <w:u w:val="single"/>
        </w:rPr>
        <w:t xml:space="preserve">            （姓名）</w:t>
      </w:r>
      <w:r>
        <w:rPr>
          <w:rFonts w:ascii="Times New Roman" w:hAnsi="Times New Roman"/>
          <w:color w:val="auto"/>
          <w:highlight w:val="none"/>
        </w:rPr>
        <w:t>为我方代理人。代理人根据授权，以我方名义签署、澄清确认、递交、撤回、修改监理招标项目投标文件、签订合同和处理有关事宜，其法律后果由我方承担。</w:t>
      </w: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委托期限：</w:t>
      </w:r>
      <w:r>
        <w:rPr>
          <w:rFonts w:ascii="Times New Roman" w:hAnsi="Times New Roman"/>
          <w:color w:val="auto"/>
          <w:highlight w:val="none"/>
          <w:u w:val="single"/>
        </w:rPr>
        <w:t xml:space="preserve">                       </w:t>
      </w:r>
      <w:r>
        <w:rPr>
          <w:rFonts w:ascii="Times New Roman" w:hAnsi="Times New Roman"/>
          <w:color w:val="auto"/>
          <w:highlight w:val="none"/>
        </w:rPr>
        <w:t>。</w:t>
      </w: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代理人无转委托权。</w:t>
      </w:r>
    </w:p>
    <w:p>
      <w:pPr>
        <w:spacing w:line="360" w:lineRule="auto"/>
        <w:ind w:firstLine="420" w:firstLineChars="200"/>
        <w:rPr>
          <w:rFonts w:ascii="Times New Roman" w:hAnsi="Times New Roman"/>
          <w:color w:val="auto"/>
          <w:highlight w:val="none"/>
        </w:rPr>
      </w:pP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附：法定代表人身份证复印件及委托代理人身份证复印件</w:t>
      </w: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注：本授权委托书需由投标人加盖单位公章并由其法定代表人和委托代理人签字。</w:t>
      </w:r>
    </w:p>
    <w:p>
      <w:pPr>
        <w:spacing w:line="360" w:lineRule="auto"/>
        <w:ind w:firstLine="420" w:firstLineChars="200"/>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投  标  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w:t>
      </w:r>
      <w:r>
        <w:rPr>
          <w:rFonts w:hint="eastAsia" w:ascii="Times New Roman" w:hAnsi="Times New Roman"/>
          <w:color w:val="auto"/>
          <w:highlight w:val="none"/>
        </w:rPr>
        <w:t>盖</w:t>
      </w:r>
      <w:r>
        <w:rPr>
          <w:rFonts w:ascii="Times New Roman" w:hAnsi="Times New Roman"/>
          <w:color w:val="auto"/>
          <w:highlight w:val="none"/>
        </w:rPr>
        <w:t>单位</w:t>
      </w:r>
      <w:r>
        <w:rPr>
          <w:rFonts w:hint="eastAsia" w:ascii="Times New Roman" w:hAnsi="Times New Roman"/>
          <w:color w:val="auto"/>
          <w:highlight w:val="none"/>
        </w:rPr>
        <w:t>章</w:t>
      </w:r>
      <w:r>
        <w:rPr>
          <w:rFonts w:ascii="Times New Roman" w:hAnsi="Times New Roman"/>
          <w:color w:val="auto"/>
          <w:highlight w:val="none"/>
        </w:rPr>
        <w:t>）</w:t>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法定代表人：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（签字）</w:t>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委托代理人：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（签字）</w:t>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spacing w:line="360" w:lineRule="auto"/>
        <w:ind w:firstLine="420" w:firstLineChars="200"/>
        <w:rPr>
          <w:rFonts w:ascii="Times New Roman" w:hAnsi="Times New Roman"/>
          <w:color w:val="auto"/>
          <w:highlight w:val="none"/>
        </w:rPr>
      </w:pPr>
    </w:p>
    <w:p>
      <w:pPr>
        <w:pStyle w:val="4"/>
        <w:keepNext w:val="0"/>
        <w:keepLines w:val="0"/>
        <w:spacing w:before="0" w:after="0"/>
        <w:ind w:firstLine="643" w:firstLineChars="200"/>
        <w:rPr>
          <w:color w:val="auto"/>
          <w:highlight w:val="none"/>
        </w:rPr>
      </w:pPr>
      <w:r>
        <w:rPr>
          <w:color w:val="auto"/>
          <w:highlight w:val="none"/>
        </w:rPr>
        <w:br w:type="page"/>
      </w:r>
      <w:bookmarkStart w:id="730" w:name="_Toc13919"/>
      <w:bookmarkStart w:id="731" w:name="_Toc89870641"/>
      <w:r>
        <w:rPr>
          <w:rFonts w:hint="eastAsia" w:ascii="Times New Roman" w:hAnsi="Times New Roman"/>
          <w:color w:val="auto"/>
          <w:highlight w:val="none"/>
        </w:rPr>
        <w:t>三、</w:t>
      </w:r>
      <w:bookmarkStart w:id="732" w:name="_Toc247527832"/>
      <w:bookmarkStart w:id="733" w:name="_Toc352691666"/>
      <w:bookmarkStart w:id="734" w:name="_Toc152045792"/>
      <w:bookmarkStart w:id="735" w:name="_Toc13469"/>
      <w:bookmarkStart w:id="736" w:name="_Toc384308381"/>
      <w:bookmarkStart w:id="737" w:name="_Toc152042581"/>
      <w:bookmarkStart w:id="738" w:name="_Toc300835214"/>
      <w:bookmarkStart w:id="739" w:name="_Toc247514284"/>
      <w:bookmarkStart w:id="740" w:name="_Toc361508757"/>
      <w:bookmarkStart w:id="741" w:name="_Toc369531702"/>
      <w:bookmarkStart w:id="742" w:name="_Toc144974861"/>
      <w:r>
        <w:rPr>
          <w:rFonts w:hint="eastAsia" w:ascii="Times New Roman" w:hAnsi="Times New Roman"/>
          <w:color w:val="auto"/>
          <w:highlight w:val="none"/>
        </w:rPr>
        <w:t>投标保证金</w:t>
      </w:r>
      <w:bookmarkEnd w:id="730"/>
      <w:bookmarkEnd w:id="731"/>
    </w:p>
    <w:p>
      <w:pPr>
        <w:spacing w:line="440" w:lineRule="exact"/>
        <w:ind w:firstLine="480" w:firstLineChars="200"/>
        <w:rPr>
          <w:rFonts w:ascii="Times New Roman" w:hAnsi="Times New Roman"/>
          <w:color w:val="auto"/>
          <w:szCs w:val="21"/>
          <w:highlight w:val="none"/>
        </w:rPr>
      </w:pPr>
      <w:r>
        <w:rPr>
          <w:rFonts w:hint="eastAsia" w:ascii="宋体" w:hAnsi="宋体" w:cs="宋体"/>
          <w:color w:val="auto"/>
          <w:sz w:val="24"/>
          <w:szCs w:val="24"/>
          <w:highlight w:val="none"/>
        </w:rPr>
        <w:t>（详见本招标文件第二章投标人须知前附表</w:t>
      </w:r>
      <w:r>
        <w:rPr>
          <w:rFonts w:ascii="宋体" w:hAnsi="宋体" w:cs="宋体"/>
          <w:color w:val="auto"/>
          <w:sz w:val="24"/>
          <w:szCs w:val="24"/>
          <w:highlight w:val="none"/>
        </w:rPr>
        <w:t>3.4.1）</w:t>
      </w:r>
    </w:p>
    <w:p>
      <w:pPr>
        <w:spacing w:line="440" w:lineRule="exact"/>
        <w:ind w:firstLine="420" w:firstLineChars="200"/>
        <w:rPr>
          <w:rFonts w:ascii="Times New Roman" w:hAnsi="Times New Roman"/>
          <w:color w:val="auto"/>
          <w:szCs w:val="21"/>
          <w:highlight w:val="none"/>
        </w:rPr>
        <w:sectPr>
          <w:footerReference r:id="rId6" w:type="default"/>
          <w:pgSz w:w="12240" w:h="15840"/>
          <w:pgMar w:top="1440" w:right="1803" w:bottom="1440" w:left="1803" w:header="720" w:footer="720" w:gutter="0"/>
          <w:pgNumType w:fmt="decimal"/>
          <w:cols w:space="720" w:num="1"/>
          <w:docGrid w:linePitch="285" w:charSpace="0"/>
        </w:sectPr>
      </w:pPr>
    </w:p>
    <w:bookmarkEnd w:id="732"/>
    <w:bookmarkEnd w:id="733"/>
    <w:bookmarkEnd w:id="734"/>
    <w:bookmarkEnd w:id="735"/>
    <w:bookmarkEnd w:id="736"/>
    <w:bookmarkEnd w:id="737"/>
    <w:bookmarkEnd w:id="738"/>
    <w:bookmarkEnd w:id="739"/>
    <w:bookmarkEnd w:id="740"/>
    <w:bookmarkEnd w:id="741"/>
    <w:bookmarkEnd w:id="742"/>
    <w:p>
      <w:pPr>
        <w:pStyle w:val="4"/>
        <w:keepNext w:val="0"/>
        <w:keepLines w:val="0"/>
        <w:spacing w:before="0" w:after="0"/>
        <w:ind w:firstLine="643" w:firstLineChars="200"/>
        <w:rPr>
          <w:rFonts w:ascii="Times New Roman" w:hAnsi="Times New Roman"/>
          <w:color w:val="auto"/>
          <w:highlight w:val="none"/>
        </w:rPr>
      </w:pPr>
      <w:bookmarkStart w:id="743" w:name="_Toc25798"/>
      <w:bookmarkStart w:id="744" w:name="_Toc89870642"/>
      <w:r>
        <w:rPr>
          <w:rFonts w:hint="eastAsia" w:ascii="Times New Roman" w:hAnsi="Times New Roman"/>
          <w:color w:val="auto"/>
          <w:highlight w:val="none"/>
        </w:rPr>
        <w:t>四</w:t>
      </w:r>
      <w:r>
        <w:rPr>
          <w:rFonts w:ascii="Times New Roman" w:hAnsi="Times New Roman"/>
          <w:color w:val="auto"/>
          <w:highlight w:val="none"/>
        </w:rPr>
        <w:t>、</w:t>
      </w:r>
      <w:bookmarkStart w:id="745" w:name="_Toc361508760"/>
      <w:r>
        <w:rPr>
          <w:rFonts w:hint="eastAsia" w:ascii="Times New Roman" w:hAnsi="Times New Roman"/>
          <w:color w:val="auto"/>
          <w:highlight w:val="none"/>
        </w:rPr>
        <w:t>广州建设工程监理投标书</w:t>
      </w:r>
      <w:bookmarkEnd w:id="743"/>
      <w:bookmarkEnd w:id="744"/>
    </w:p>
    <w:tbl>
      <w:tblPr>
        <w:tblStyle w:val="23"/>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1893"/>
        <w:gridCol w:w="2002"/>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8" w:type="dxa"/>
            <w:vAlign w:val="center"/>
          </w:tcPr>
          <w:p>
            <w:pPr>
              <w:spacing w:line="320" w:lineRule="exact"/>
              <w:ind w:firstLine="420" w:firstLineChars="200"/>
              <w:outlineLvl w:val="9"/>
              <w:rPr>
                <w:rFonts w:ascii="宋体" w:hAnsi="宋体" w:cs="宋体"/>
                <w:color w:val="auto"/>
                <w:highlight w:val="none"/>
              </w:rPr>
            </w:pPr>
            <w:bookmarkStart w:id="746" w:name="_Toc527028718"/>
            <w:bookmarkStart w:id="747" w:name="_Toc20079"/>
            <w:bookmarkStart w:id="748" w:name="_Toc527028890"/>
            <w:bookmarkStart w:id="749" w:name="_Toc12204"/>
            <w:bookmarkStart w:id="750" w:name="_Toc89870643"/>
            <w:r>
              <w:rPr>
                <w:rFonts w:hint="eastAsia" w:ascii="宋体" w:hAnsi="宋体" w:cs="宋体"/>
                <w:color w:val="auto"/>
                <w:highlight w:val="none"/>
              </w:rPr>
              <w:t>项 目 名 称</w:t>
            </w:r>
            <w:bookmarkEnd w:id="746"/>
            <w:bookmarkEnd w:id="747"/>
            <w:bookmarkEnd w:id="748"/>
            <w:bookmarkEnd w:id="749"/>
            <w:bookmarkEnd w:id="750"/>
          </w:p>
        </w:tc>
        <w:tc>
          <w:tcPr>
            <w:tcW w:w="6915" w:type="dxa"/>
            <w:gridSpan w:val="3"/>
            <w:vAlign w:val="center"/>
          </w:tcPr>
          <w:p>
            <w:pPr>
              <w:spacing w:line="320" w:lineRule="exact"/>
              <w:ind w:firstLine="420" w:firstLineChars="200"/>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328" w:type="dxa"/>
            <w:vAlign w:val="center"/>
          </w:tcPr>
          <w:p>
            <w:pPr>
              <w:spacing w:before="240" w:after="60"/>
              <w:jc w:val="center"/>
              <w:outlineLvl w:val="9"/>
              <w:rPr>
                <w:rFonts w:ascii="宋体" w:hAnsi="宋体" w:cs="宋体"/>
                <w:color w:val="auto"/>
                <w:highlight w:val="none"/>
              </w:rPr>
            </w:pPr>
            <w:bookmarkStart w:id="751" w:name="_Toc18316"/>
            <w:bookmarkStart w:id="752" w:name="_Toc89870644"/>
            <w:bookmarkStart w:id="753" w:name="_Toc15987"/>
            <w:bookmarkStart w:id="754" w:name="_Toc527028891"/>
            <w:bookmarkStart w:id="755" w:name="_Toc527028719"/>
            <w:r>
              <w:rPr>
                <w:rFonts w:hint="eastAsia" w:ascii="宋体" w:hAnsi="宋体" w:cs="宋体"/>
                <w:color w:val="auto"/>
                <w:highlight w:val="none"/>
              </w:rPr>
              <w:t>投 标 单 位</w:t>
            </w:r>
            <w:bookmarkEnd w:id="751"/>
            <w:bookmarkEnd w:id="752"/>
            <w:bookmarkEnd w:id="753"/>
            <w:bookmarkEnd w:id="754"/>
            <w:bookmarkEnd w:id="755"/>
          </w:p>
          <w:p>
            <w:pPr>
              <w:spacing w:before="240" w:after="60"/>
              <w:jc w:val="center"/>
              <w:outlineLvl w:val="9"/>
              <w:rPr>
                <w:rFonts w:ascii="宋体" w:hAnsi="宋体" w:cs="宋体"/>
                <w:color w:val="auto"/>
                <w:highlight w:val="none"/>
              </w:rPr>
            </w:pPr>
            <w:bookmarkStart w:id="756" w:name="_Toc527028720"/>
            <w:bookmarkStart w:id="757" w:name="_Toc89870645"/>
            <w:bookmarkStart w:id="758" w:name="_Toc15325"/>
            <w:bookmarkStart w:id="759" w:name="_Toc9894"/>
            <w:bookmarkStart w:id="760" w:name="_Toc527028892"/>
            <w:r>
              <w:rPr>
                <w:rFonts w:hint="eastAsia" w:ascii="宋体" w:hAnsi="宋体" w:cs="宋体"/>
                <w:color w:val="auto"/>
                <w:highlight w:val="none"/>
              </w:rPr>
              <w:t>（盖章）</w:t>
            </w:r>
            <w:bookmarkEnd w:id="756"/>
            <w:bookmarkEnd w:id="757"/>
            <w:bookmarkEnd w:id="758"/>
            <w:bookmarkEnd w:id="759"/>
            <w:bookmarkEnd w:id="760"/>
          </w:p>
        </w:tc>
        <w:tc>
          <w:tcPr>
            <w:tcW w:w="1893" w:type="dxa"/>
          </w:tcPr>
          <w:p>
            <w:pPr>
              <w:spacing w:before="240" w:after="60"/>
              <w:jc w:val="center"/>
              <w:outlineLvl w:val="9"/>
              <w:rPr>
                <w:rFonts w:ascii="宋体" w:hAnsi="宋体" w:cs="宋体"/>
                <w:color w:val="auto"/>
                <w:highlight w:val="none"/>
              </w:rPr>
            </w:pPr>
          </w:p>
        </w:tc>
        <w:tc>
          <w:tcPr>
            <w:tcW w:w="2002" w:type="dxa"/>
          </w:tcPr>
          <w:p>
            <w:pPr>
              <w:spacing w:before="240" w:after="60"/>
              <w:jc w:val="center"/>
              <w:outlineLvl w:val="9"/>
              <w:rPr>
                <w:rFonts w:ascii="宋体" w:hAnsi="宋体" w:cs="宋体"/>
                <w:color w:val="auto"/>
                <w:highlight w:val="none"/>
              </w:rPr>
            </w:pPr>
            <w:bookmarkStart w:id="761" w:name="_Toc31264"/>
            <w:bookmarkStart w:id="762" w:name="_Toc527028721"/>
            <w:bookmarkStart w:id="763" w:name="_Toc527028893"/>
            <w:bookmarkStart w:id="764" w:name="_Toc89870646"/>
            <w:bookmarkStart w:id="765" w:name="_Toc27943"/>
            <w:r>
              <w:rPr>
                <w:rFonts w:hint="eastAsia" w:ascii="宋体" w:hAnsi="宋体" w:cs="宋体"/>
                <w:color w:val="auto"/>
                <w:highlight w:val="none"/>
              </w:rPr>
              <w:t>法 人 营 业</w:t>
            </w:r>
            <w:bookmarkEnd w:id="761"/>
            <w:bookmarkEnd w:id="762"/>
            <w:bookmarkEnd w:id="763"/>
            <w:bookmarkEnd w:id="764"/>
            <w:bookmarkEnd w:id="765"/>
          </w:p>
          <w:p>
            <w:pPr>
              <w:spacing w:before="240" w:after="60"/>
              <w:jc w:val="center"/>
              <w:outlineLvl w:val="9"/>
              <w:rPr>
                <w:rFonts w:ascii="宋体" w:hAnsi="宋体" w:cs="宋体"/>
                <w:color w:val="auto"/>
                <w:highlight w:val="none"/>
              </w:rPr>
            </w:pPr>
            <w:bookmarkStart w:id="766" w:name="_Toc527028894"/>
            <w:bookmarkStart w:id="767" w:name="_Toc9800"/>
            <w:bookmarkStart w:id="768" w:name="_Toc527028722"/>
            <w:bookmarkStart w:id="769" w:name="_Toc32549"/>
            <w:bookmarkStart w:id="770" w:name="_Toc89870647"/>
            <w:r>
              <w:rPr>
                <w:rFonts w:hint="eastAsia" w:ascii="宋体" w:hAnsi="宋体" w:cs="宋体"/>
                <w:color w:val="auto"/>
                <w:highlight w:val="none"/>
              </w:rPr>
              <w:t>执 照 证 号</w:t>
            </w:r>
            <w:bookmarkEnd w:id="766"/>
            <w:bookmarkEnd w:id="767"/>
            <w:bookmarkEnd w:id="768"/>
            <w:bookmarkEnd w:id="769"/>
            <w:bookmarkEnd w:id="770"/>
          </w:p>
        </w:tc>
        <w:tc>
          <w:tcPr>
            <w:tcW w:w="3020" w:type="dxa"/>
          </w:tcPr>
          <w:p>
            <w:pPr>
              <w:spacing w:before="240" w:after="60" w:line="320" w:lineRule="exact"/>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2328" w:type="dxa"/>
          </w:tcPr>
          <w:p>
            <w:pPr>
              <w:spacing w:before="240" w:after="60"/>
              <w:jc w:val="center"/>
              <w:outlineLvl w:val="9"/>
              <w:rPr>
                <w:rFonts w:ascii="宋体" w:hAnsi="宋体" w:cs="宋体"/>
                <w:color w:val="auto"/>
                <w:highlight w:val="none"/>
              </w:rPr>
            </w:pPr>
            <w:bookmarkStart w:id="771" w:name="_Toc527028723"/>
            <w:bookmarkStart w:id="772" w:name="_Toc15449"/>
            <w:bookmarkStart w:id="773" w:name="_Toc30506"/>
            <w:bookmarkStart w:id="774" w:name="_Toc89870648"/>
            <w:bookmarkStart w:id="775" w:name="_Toc527028895"/>
            <w:r>
              <w:rPr>
                <w:rFonts w:hint="eastAsia" w:ascii="宋体" w:hAnsi="宋体" w:cs="宋体"/>
                <w:color w:val="auto"/>
                <w:highlight w:val="none"/>
              </w:rPr>
              <w:t>广州市建设监理</w:t>
            </w:r>
            <w:bookmarkEnd w:id="771"/>
            <w:bookmarkEnd w:id="772"/>
            <w:bookmarkEnd w:id="773"/>
            <w:bookmarkEnd w:id="774"/>
            <w:bookmarkEnd w:id="775"/>
          </w:p>
          <w:p>
            <w:pPr>
              <w:spacing w:before="240" w:after="60"/>
              <w:jc w:val="center"/>
              <w:outlineLvl w:val="9"/>
              <w:rPr>
                <w:rFonts w:ascii="宋体" w:hAnsi="宋体" w:cs="宋体"/>
                <w:color w:val="auto"/>
                <w:highlight w:val="none"/>
              </w:rPr>
            </w:pPr>
            <w:bookmarkStart w:id="776" w:name="_Toc527028896"/>
            <w:bookmarkStart w:id="777" w:name="_Toc527028724"/>
            <w:bookmarkStart w:id="778" w:name="_Toc89870649"/>
            <w:bookmarkStart w:id="779" w:name="_Toc15590"/>
            <w:bookmarkStart w:id="780" w:name="_Toc26909"/>
            <w:r>
              <w:rPr>
                <w:rFonts w:hint="eastAsia" w:ascii="宋体" w:hAnsi="宋体" w:cs="宋体"/>
                <w:color w:val="auto"/>
                <w:highlight w:val="none"/>
              </w:rPr>
              <w:t>单位注册证书号</w:t>
            </w:r>
            <w:bookmarkEnd w:id="776"/>
            <w:bookmarkEnd w:id="777"/>
            <w:bookmarkEnd w:id="778"/>
            <w:bookmarkEnd w:id="779"/>
            <w:bookmarkEnd w:id="780"/>
          </w:p>
        </w:tc>
        <w:tc>
          <w:tcPr>
            <w:tcW w:w="1893" w:type="dxa"/>
          </w:tcPr>
          <w:p>
            <w:pPr>
              <w:spacing w:before="240" w:after="60"/>
              <w:jc w:val="center"/>
              <w:outlineLvl w:val="9"/>
              <w:rPr>
                <w:rFonts w:ascii="宋体" w:hAnsi="宋体" w:cs="宋体"/>
                <w:color w:val="auto"/>
                <w:highlight w:val="none"/>
              </w:rPr>
            </w:pPr>
          </w:p>
        </w:tc>
        <w:tc>
          <w:tcPr>
            <w:tcW w:w="2002" w:type="dxa"/>
          </w:tcPr>
          <w:p>
            <w:pPr>
              <w:spacing w:before="240" w:after="60"/>
              <w:jc w:val="center"/>
              <w:outlineLvl w:val="9"/>
              <w:rPr>
                <w:rFonts w:ascii="宋体" w:hAnsi="宋体" w:cs="宋体"/>
                <w:color w:val="auto"/>
                <w:highlight w:val="none"/>
              </w:rPr>
            </w:pPr>
            <w:bookmarkStart w:id="781" w:name="_Toc527028897"/>
            <w:bookmarkStart w:id="782" w:name="_Toc527028725"/>
            <w:bookmarkStart w:id="783" w:name="_Toc89870650"/>
            <w:bookmarkStart w:id="784" w:name="_Toc31734"/>
            <w:bookmarkStart w:id="785" w:name="_Toc6441"/>
            <w:r>
              <w:rPr>
                <w:rFonts w:hint="eastAsia" w:ascii="宋体" w:hAnsi="宋体" w:cs="宋体"/>
                <w:color w:val="auto"/>
                <w:highlight w:val="none"/>
              </w:rPr>
              <w:t>资 质 等 级</w:t>
            </w:r>
            <w:bookmarkEnd w:id="781"/>
            <w:bookmarkEnd w:id="782"/>
            <w:bookmarkEnd w:id="783"/>
            <w:bookmarkEnd w:id="784"/>
            <w:bookmarkEnd w:id="785"/>
          </w:p>
          <w:p>
            <w:pPr>
              <w:spacing w:before="240" w:after="60"/>
              <w:jc w:val="center"/>
              <w:outlineLvl w:val="9"/>
              <w:rPr>
                <w:rFonts w:ascii="宋体" w:hAnsi="宋体" w:cs="宋体"/>
                <w:color w:val="auto"/>
                <w:highlight w:val="none"/>
              </w:rPr>
            </w:pPr>
            <w:bookmarkStart w:id="786" w:name="_Toc7240"/>
            <w:bookmarkStart w:id="787" w:name="_Toc527028898"/>
            <w:bookmarkStart w:id="788" w:name="_Toc274"/>
            <w:bookmarkStart w:id="789" w:name="_Toc89870651"/>
            <w:bookmarkStart w:id="790" w:name="_Toc527028726"/>
            <w:r>
              <w:rPr>
                <w:rFonts w:hint="eastAsia" w:ascii="宋体" w:hAnsi="宋体" w:cs="宋体"/>
                <w:color w:val="auto"/>
                <w:highlight w:val="none"/>
              </w:rPr>
              <w:t>及 证 书 号</w:t>
            </w:r>
            <w:bookmarkEnd w:id="786"/>
            <w:bookmarkEnd w:id="787"/>
            <w:bookmarkEnd w:id="788"/>
            <w:bookmarkEnd w:id="789"/>
            <w:bookmarkEnd w:id="790"/>
          </w:p>
        </w:tc>
        <w:tc>
          <w:tcPr>
            <w:tcW w:w="3020" w:type="dxa"/>
          </w:tcPr>
          <w:p>
            <w:pPr>
              <w:spacing w:before="240" w:after="60" w:line="320" w:lineRule="exact"/>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328" w:type="dxa"/>
          </w:tcPr>
          <w:p>
            <w:pPr>
              <w:spacing w:before="240" w:after="60" w:line="320" w:lineRule="exact"/>
              <w:jc w:val="center"/>
              <w:outlineLvl w:val="9"/>
              <w:rPr>
                <w:rFonts w:ascii="宋体" w:hAnsi="宋体" w:cs="宋体"/>
                <w:color w:val="auto"/>
                <w:highlight w:val="none"/>
              </w:rPr>
            </w:pPr>
            <w:bookmarkStart w:id="791" w:name="_Toc89870652"/>
            <w:bookmarkStart w:id="792" w:name="_Toc527028727"/>
            <w:bookmarkStart w:id="793" w:name="_Toc23944"/>
            <w:bookmarkStart w:id="794" w:name="_Toc527028899"/>
            <w:bookmarkStart w:id="795" w:name="_Toc10836"/>
            <w:r>
              <w:rPr>
                <w:rFonts w:hint="eastAsia" w:ascii="宋体" w:hAnsi="宋体" w:cs="宋体"/>
                <w:color w:val="auto"/>
                <w:highlight w:val="none"/>
              </w:rPr>
              <w:t>监理总报价（元）</w:t>
            </w:r>
            <w:bookmarkEnd w:id="791"/>
            <w:bookmarkEnd w:id="792"/>
            <w:bookmarkEnd w:id="793"/>
            <w:bookmarkEnd w:id="794"/>
            <w:bookmarkEnd w:id="795"/>
          </w:p>
        </w:tc>
        <w:tc>
          <w:tcPr>
            <w:tcW w:w="1893" w:type="dxa"/>
          </w:tcPr>
          <w:p>
            <w:pPr>
              <w:spacing w:before="240" w:after="60" w:line="320" w:lineRule="exact"/>
              <w:jc w:val="center"/>
              <w:outlineLvl w:val="9"/>
              <w:rPr>
                <w:rFonts w:ascii="宋体" w:hAnsi="宋体" w:cs="宋体"/>
                <w:color w:val="auto"/>
                <w:highlight w:val="none"/>
              </w:rPr>
            </w:pPr>
          </w:p>
        </w:tc>
        <w:tc>
          <w:tcPr>
            <w:tcW w:w="2002" w:type="dxa"/>
            <w:vAlign w:val="center"/>
          </w:tcPr>
          <w:p>
            <w:pPr>
              <w:jc w:val="center"/>
              <w:outlineLvl w:val="9"/>
              <w:rPr>
                <w:rFonts w:ascii="宋体" w:hAnsi="宋体" w:cs="宋体"/>
                <w:color w:val="auto"/>
                <w:highlight w:val="none"/>
              </w:rPr>
            </w:pPr>
            <w:bookmarkStart w:id="796" w:name="_Toc89870654"/>
            <w:bookmarkStart w:id="797" w:name="_Toc1638"/>
            <w:bookmarkStart w:id="798" w:name="_Toc527028729"/>
            <w:bookmarkStart w:id="799" w:name="_Toc527028901"/>
            <w:bookmarkStart w:id="800" w:name="_Toc11449"/>
            <w:r>
              <w:rPr>
                <w:rFonts w:hint="eastAsia" w:ascii="宋体" w:hAnsi="宋体" w:cs="宋体"/>
                <w:color w:val="auto"/>
                <w:highlight w:val="none"/>
              </w:rPr>
              <w:t>下浮率（%）</w:t>
            </w:r>
            <w:bookmarkEnd w:id="796"/>
            <w:bookmarkEnd w:id="797"/>
            <w:bookmarkEnd w:id="798"/>
            <w:bookmarkEnd w:id="799"/>
            <w:bookmarkEnd w:id="800"/>
          </w:p>
        </w:tc>
        <w:tc>
          <w:tcPr>
            <w:tcW w:w="3020" w:type="dxa"/>
            <w:vAlign w:val="center"/>
          </w:tcPr>
          <w:p>
            <w:pPr>
              <w:ind w:firstLine="1050" w:firstLineChars="500"/>
              <w:outlineLvl w:val="9"/>
              <w:rPr>
                <w:rFonts w:ascii="宋体" w:hAnsi="宋体" w:cs="宋体"/>
                <w:color w:val="auto"/>
                <w:highlight w:val="none"/>
                <w:u w:val="single"/>
              </w:rPr>
            </w:pPr>
            <w:bookmarkStart w:id="801" w:name="_Toc527028730"/>
            <w:bookmarkStart w:id="802" w:name="_Toc89870655"/>
            <w:bookmarkStart w:id="803" w:name="_Toc527028902"/>
            <w:r>
              <w:rPr>
                <w:rFonts w:hint="eastAsia" w:ascii="宋体" w:hAnsi="宋体" w:cs="宋体"/>
                <w:color w:val="auto"/>
                <w:highlight w:val="none"/>
                <w:u w:val="single"/>
              </w:rPr>
              <w:t xml:space="preserve">  </w:t>
            </w:r>
            <w:bookmarkStart w:id="804" w:name="_Toc14908"/>
            <w:bookmarkStart w:id="805" w:name="_Toc22938"/>
            <w:r>
              <w:rPr>
                <w:rFonts w:hint="eastAsia" w:ascii="宋体" w:hAnsi="宋体" w:cs="宋体"/>
                <w:color w:val="auto"/>
                <w:highlight w:val="none"/>
              </w:rPr>
              <w:t>%（填正数）</w:t>
            </w:r>
            <w:bookmarkEnd w:id="801"/>
            <w:bookmarkEnd w:id="802"/>
            <w:bookmarkEnd w:id="803"/>
            <w:bookmarkEnd w:id="804"/>
            <w:bookmarkEnd w:id="8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2328" w:type="dxa"/>
            <w:vAlign w:val="center"/>
          </w:tcPr>
          <w:p>
            <w:pPr>
              <w:spacing w:before="240" w:after="60" w:line="320" w:lineRule="exact"/>
              <w:jc w:val="center"/>
              <w:outlineLvl w:val="9"/>
              <w:rPr>
                <w:rFonts w:ascii="宋体" w:hAnsi="宋体" w:cs="宋体"/>
                <w:color w:val="auto"/>
                <w:highlight w:val="none"/>
              </w:rPr>
            </w:pPr>
            <w:bookmarkStart w:id="806" w:name="_Toc27404"/>
            <w:bookmarkStart w:id="807" w:name="_Toc30344"/>
            <w:bookmarkStart w:id="808" w:name="_Toc527028903"/>
            <w:bookmarkStart w:id="809" w:name="_Toc89870656"/>
            <w:bookmarkStart w:id="810" w:name="_Toc527028731"/>
            <w:r>
              <w:rPr>
                <w:rFonts w:hint="eastAsia" w:ascii="宋体" w:hAnsi="宋体" w:cs="宋体"/>
                <w:color w:val="auto"/>
                <w:highlight w:val="none"/>
              </w:rPr>
              <w:t>监理服务期</w:t>
            </w:r>
            <w:bookmarkEnd w:id="806"/>
            <w:bookmarkEnd w:id="807"/>
            <w:bookmarkEnd w:id="808"/>
            <w:bookmarkEnd w:id="809"/>
            <w:bookmarkEnd w:id="810"/>
          </w:p>
        </w:tc>
        <w:tc>
          <w:tcPr>
            <w:tcW w:w="1893" w:type="dxa"/>
          </w:tcPr>
          <w:p>
            <w:pPr>
              <w:spacing w:before="240" w:after="60" w:line="320" w:lineRule="exact"/>
              <w:jc w:val="center"/>
              <w:outlineLvl w:val="9"/>
              <w:rPr>
                <w:rFonts w:ascii="宋体" w:hAnsi="宋体" w:cs="宋体"/>
                <w:color w:val="auto"/>
                <w:highlight w:val="none"/>
              </w:rPr>
            </w:pPr>
          </w:p>
        </w:tc>
        <w:tc>
          <w:tcPr>
            <w:tcW w:w="2002" w:type="dxa"/>
          </w:tcPr>
          <w:p>
            <w:pPr>
              <w:spacing w:before="240" w:after="60" w:line="320" w:lineRule="exact"/>
              <w:jc w:val="center"/>
              <w:outlineLvl w:val="9"/>
              <w:rPr>
                <w:rFonts w:ascii="宋体" w:hAnsi="宋体" w:cs="宋体"/>
                <w:color w:val="auto"/>
                <w:highlight w:val="none"/>
              </w:rPr>
            </w:pPr>
            <w:bookmarkStart w:id="811" w:name="_Toc89870657"/>
            <w:bookmarkStart w:id="812" w:name="_Toc527028732"/>
            <w:bookmarkStart w:id="813" w:name="_Toc27242"/>
            <w:bookmarkStart w:id="814" w:name="_Toc527028904"/>
            <w:bookmarkStart w:id="815" w:name="_Toc30756"/>
            <w:r>
              <w:rPr>
                <w:rFonts w:hint="eastAsia" w:ascii="宋体" w:hAnsi="宋体" w:cs="宋体"/>
                <w:color w:val="auto"/>
                <w:highlight w:val="none"/>
              </w:rPr>
              <w:t>监 理 质 量</w:t>
            </w:r>
            <w:bookmarkEnd w:id="811"/>
            <w:bookmarkEnd w:id="812"/>
            <w:bookmarkEnd w:id="813"/>
            <w:bookmarkEnd w:id="814"/>
            <w:bookmarkEnd w:id="815"/>
          </w:p>
          <w:p>
            <w:pPr>
              <w:spacing w:before="240" w:after="60" w:line="320" w:lineRule="exact"/>
              <w:jc w:val="center"/>
              <w:outlineLvl w:val="9"/>
              <w:rPr>
                <w:rFonts w:ascii="宋体" w:hAnsi="宋体" w:cs="宋体"/>
                <w:color w:val="auto"/>
                <w:highlight w:val="none"/>
              </w:rPr>
            </w:pPr>
            <w:bookmarkStart w:id="816" w:name="_Toc12166"/>
            <w:bookmarkStart w:id="817" w:name="_Toc527028733"/>
            <w:bookmarkStart w:id="818" w:name="_Toc527028905"/>
            <w:bookmarkStart w:id="819" w:name="_Toc17381"/>
            <w:bookmarkStart w:id="820" w:name="_Toc89870658"/>
            <w:r>
              <w:rPr>
                <w:rFonts w:hint="eastAsia" w:ascii="宋体" w:hAnsi="宋体" w:cs="宋体"/>
                <w:color w:val="auto"/>
                <w:highlight w:val="none"/>
              </w:rPr>
              <w:t>目   标</w:t>
            </w:r>
            <w:bookmarkEnd w:id="816"/>
            <w:bookmarkEnd w:id="817"/>
            <w:bookmarkEnd w:id="818"/>
            <w:bookmarkEnd w:id="819"/>
            <w:bookmarkEnd w:id="820"/>
          </w:p>
        </w:tc>
        <w:tc>
          <w:tcPr>
            <w:tcW w:w="3020" w:type="dxa"/>
          </w:tcPr>
          <w:p>
            <w:pPr>
              <w:spacing w:before="240" w:after="60" w:line="320" w:lineRule="exact"/>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2328" w:type="dxa"/>
          </w:tcPr>
          <w:p>
            <w:pPr>
              <w:spacing w:before="240" w:after="60" w:line="320" w:lineRule="exact"/>
              <w:jc w:val="center"/>
              <w:outlineLvl w:val="9"/>
              <w:rPr>
                <w:rFonts w:ascii="宋体" w:hAnsi="宋体" w:cs="宋体"/>
                <w:color w:val="auto"/>
                <w:highlight w:val="none"/>
              </w:rPr>
            </w:pPr>
            <w:bookmarkStart w:id="821" w:name="_Toc527028906"/>
            <w:bookmarkStart w:id="822" w:name="_Toc527028734"/>
            <w:bookmarkStart w:id="823" w:name="_Toc89870659"/>
            <w:bookmarkStart w:id="824" w:name="_Toc18880"/>
            <w:bookmarkStart w:id="825" w:name="_Toc17549"/>
            <w:r>
              <w:rPr>
                <w:rFonts w:hint="eastAsia" w:ascii="宋体" w:hAnsi="宋体" w:cs="宋体"/>
                <w:color w:val="auto"/>
                <w:highlight w:val="none"/>
              </w:rPr>
              <w:t>驻 场 机 构</w:t>
            </w:r>
            <w:bookmarkEnd w:id="821"/>
            <w:bookmarkEnd w:id="822"/>
            <w:bookmarkEnd w:id="823"/>
            <w:bookmarkEnd w:id="824"/>
            <w:bookmarkEnd w:id="825"/>
          </w:p>
          <w:p>
            <w:pPr>
              <w:spacing w:before="240" w:after="60" w:line="320" w:lineRule="exact"/>
              <w:jc w:val="center"/>
              <w:outlineLvl w:val="9"/>
              <w:rPr>
                <w:rFonts w:ascii="宋体" w:hAnsi="宋体" w:cs="宋体"/>
                <w:color w:val="auto"/>
                <w:highlight w:val="none"/>
              </w:rPr>
            </w:pPr>
            <w:bookmarkStart w:id="826" w:name="_Toc527028735"/>
            <w:bookmarkStart w:id="827" w:name="_Toc527028907"/>
            <w:bookmarkStart w:id="828" w:name="_Toc3685"/>
            <w:bookmarkStart w:id="829" w:name="_Toc11319"/>
            <w:bookmarkStart w:id="830" w:name="_Toc89870660"/>
            <w:r>
              <w:rPr>
                <w:rFonts w:hint="eastAsia" w:ascii="宋体" w:hAnsi="宋体" w:cs="宋体"/>
                <w:color w:val="auto"/>
                <w:highlight w:val="none"/>
              </w:rPr>
              <w:t>人 数（人）</w:t>
            </w:r>
            <w:bookmarkEnd w:id="826"/>
            <w:bookmarkEnd w:id="827"/>
            <w:bookmarkEnd w:id="828"/>
            <w:bookmarkEnd w:id="829"/>
            <w:bookmarkEnd w:id="830"/>
          </w:p>
        </w:tc>
        <w:tc>
          <w:tcPr>
            <w:tcW w:w="1893" w:type="dxa"/>
          </w:tcPr>
          <w:p>
            <w:pPr>
              <w:spacing w:before="240" w:after="60" w:line="320" w:lineRule="exact"/>
              <w:jc w:val="center"/>
              <w:outlineLvl w:val="9"/>
              <w:rPr>
                <w:rFonts w:ascii="宋体" w:hAnsi="宋体" w:cs="宋体"/>
                <w:color w:val="auto"/>
                <w:highlight w:val="none"/>
              </w:rPr>
            </w:pPr>
          </w:p>
        </w:tc>
        <w:tc>
          <w:tcPr>
            <w:tcW w:w="2002" w:type="dxa"/>
          </w:tcPr>
          <w:p>
            <w:pPr>
              <w:spacing w:before="240" w:after="60" w:line="320" w:lineRule="exact"/>
              <w:jc w:val="center"/>
              <w:outlineLvl w:val="9"/>
              <w:rPr>
                <w:rFonts w:ascii="宋体" w:hAnsi="宋体" w:cs="宋体"/>
                <w:color w:val="auto"/>
                <w:highlight w:val="none"/>
              </w:rPr>
            </w:pPr>
            <w:bookmarkStart w:id="831" w:name="_Toc26608"/>
            <w:bookmarkStart w:id="832" w:name="_Toc527028736"/>
            <w:bookmarkStart w:id="833" w:name="_Toc9926"/>
            <w:bookmarkStart w:id="834" w:name="_Toc527028908"/>
            <w:bookmarkStart w:id="835" w:name="_Toc89870661"/>
            <w:r>
              <w:rPr>
                <w:rFonts w:hint="eastAsia" w:ascii="宋体" w:hAnsi="宋体" w:cs="宋体"/>
                <w:color w:val="auto"/>
                <w:highlight w:val="none"/>
              </w:rPr>
              <w:t>监理工程师</w:t>
            </w:r>
            <w:bookmarkEnd w:id="831"/>
            <w:bookmarkEnd w:id="832"/>
            <w:bookmarkEnd w:id="833"/>
            <w:bookmarkEnd w:id="834"/>
            <w:bookmarkEnd w:id="835"/>
          </w:p>
          <w:p>
            <w:pPr>
              <w:spacing w:before="240" w:after="60" w:line="320" w:lineRule="exact"/>
              <w:jc w:val="center"/>
              <w:outlineLvl w:val="9"/>
              <w:rPr>
                <w:rFonts w:ascii="宋体" w:hAnsi="宋体" w:cs="宋体"/>
                <w:color w:val="auto"/>
                <w:highlight w:val="none"/>
              </w:rPr>
            </w:pPr>
            <w:bookmarkStart w:id="836" w:name="_Toc3548"/>
            <w:bookmarkStart w:id="837" w:name="_Toc89870662"/>
            <w:bookmarkStart w:id="838" w:name="_Toc2515"/>
            <w:bookmarkStart w:id="839" w:name="_Toc527028737"/>
            <w:bookmarkStart w:id="840" w:name="_Toc527028909"/>
            <w:r>
              <w:rPr>
                <w:rFonts w:hint="eastAsia" w:ascii="宋体" w:hAnsi="宋体" w:cs="宋体"/>
                <w:color w:val="auto"/>
                <w:highlight w:val="none"/>
              </w:rPr>
              <w:t>人 数（人）</w:t>
            </w:r>
            <w:bookmarkEnd w:id="836"/>
            <w:bookmarkEnd w:id="837"/>
            <w:bookmarkEnd w:id="838"/>
            <w:bookmarkEnd w:id="839"/>
            <w:bookmarkEnd w:id="840"/>
          </w:p>
        </w:tc>
        <w:tc>
          <w:tcPr>
            <w:tcW w:w="3020" w:type="dxa"/>
          </w:tcPr>
          <w:p>
            <w:pPr>
              <w:spacing w:before="240" w:after="60" w:line="320" w:lineRule="exact"/>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8" w:type="dxa"/>
            <w:vMerge w:val="restart"/>
            <w:vAlign w:val="center"/>
          </w:tcPr>
          <w:p>
            <w:pPr>
              <w:spacing w:before="240" w:after="60" w:line="320" w:lineRule="exact"/>
              <w:jc w:val="center"/>
              <w:outlineLvl w:val="9"/>
              <w:rPr>
                <w:rFonts w:ascii="宋体" w:hAnsi="宋体" w:cs="宋体"/>
                <w:color w:val="auto"/>
                <w:highlight w:val="none"/>
              </w:rPr>
            </w:pPr>
            <w:bookmarkStart w:id="841" w:name="_Toc89870663"/>
            <w:bookmarkStart w:id="842" w:name="_Toc29260"/>
            <w:bookmarkStart w:id="843" w:name="_Toc527028738"/>
            <w:bookmarkStart w:id="844" w:name="_Toc18819"/>
            <w:bookmarkStart w:id="845" w:name="_Toc527028910"/>
            <w:r>
              <w:rPr>
                <w:rFonts w:hint="eastAsia" w:ascii="宋体" w:hAnsi="宋体" w:cs="宋体"/>
                <w:color w:val="auto"/>
                <w:highlight w:val="none"/>
              </w:rPr>
              <w:t>拟委派的项目</w:t>
            </w:r>
            <w:bookmarkEnd w:id="841"/>
            <w:bookmarkEnd w:id="842"/>
            <w:bookmarkEnd w:id="843"/>
            <w:bookmarkEnd w:id="844"/>
            <w:bookmarkEnd w:id="845"/>
          </w:p>
          <w:p>
            <w:pPr>
              <w:spacing w:before="240" w:after="60" w:line="320" w:lineRule="exact"/>
              <w:jc w:val="center"/>
              <w:outlineLvl w:val="9"/>
              <w:rPr>
                <w:rFonts w:ascii="宋体" w:hAnsi="宋体" w:cs="宋体"/>
                <w:color w:val="auto"/>
                <w:highlight w:val="none"/>
              </w:rPr>
            </w:pPr>
            <w:bookmarkStart w:id="846" w:name="_Toc89870664"/>
            <w:bookmarkStart w:id="847" w:name="_Toc527028911"/>
            <w:bookmarkStart w:id="848" w:name="_Toc368"/>
            <w:bookmarkStart w:id="849" w:name="_Toc9272"/>
            <w:bookmarkStart w:id="850" w:name="_Toc527028739"/>
            <w:r>
              <w:rPr>
                <w:rFonts w:hint="eastAsia" w:ascii="宋体" w:hAnsi="宋体" w:cs="宋体"/>
                <w:color w:val="auto"/>
                <w:highlight w:val="none"/>
              </w:rPr>
              <w:t>总监理工程师</w:t>
            </w:r>
            <w:bookmarkEnd w:id="846"/>
            <w:bookmarkEnd w:id="847"/>
            <w:bookmarkEnd w:id="848"/>
            <w:bookmarkEnd w:id="849"/>
            <w:bookmarkEnd w:id="850"/>
          </w:p>
        </w:tc>
        <w:tc>
          <w:tcPr>
            <w:tcW w:w="1893" w:type="dxa"/>
            <w:vAlign w:val="center"/>
          </w:tcPr>
          <w:p>
            <w:pPr>
              <w:spacing w:before="240" w:after="60" w:line="320" w:lineRule="exact"/>
              <w:jc w:val="center"/>
              <w:outlineLvl w:val="9"/>
              <w:rPr>
                <w:rFonts w:ascii="宋体" w:hAnsi="宋体" w:cs="宋体"/>
                <w:color w:val="auto"/>
                <w:highlight w:val="none"/>
              </w:rPr>
            </w:pPr>
            <w:bookmarkStart w:id="851" w:name="_Toc527028912"/>
            <w:bookmarkStart w:id="852" w:name="_Toc16905"/>
            <w:bookmarkStart w:id="853" w:name="_Toc89870665"/>
            <w:bookmarkStart w:id="854" w:name="_Toc527028740"/>
            <w:bookmarkStart w:id="855" w:name="_Toc26955"/>
            <w:r>
              <w:rPr>
                <w:rFonts w:hint="eastAsia" w:ascii="宋体" w:hAnsi="宋体" w:cs="宋体"/>
                <w:color w:val="auto"/>
                <w:highlight w:val="none"/>
              </w:rPr>
              <w:t>姓    名</w:t>
            </w:r>
            <w:bookmarkEnd w:id="851"/>
            <w:bookmarkEnd w:id="852"/>
            <w:bookmarkEnd w:id="853"/>
            <w:bookmarkEnd w:id="854"/>
            <w:bookmarkEnd w:id="855"/>
          </w:p>
        </w:tc>
        <w:tc>
          <w:tcPr>
            <w:tcW w:w="5022" w:type="dxa"/>
            <w:gridSpan w:val="2"/>
          </w:tcPr>
          <w:p>
            <w:pPr>
              <w:spacing w:before="240" w:after="60" w:line="320" w:lineRule="exact"/>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8" w:type="dxa"/>
            <w:vMerge w:val="continue"/>
          </w:tcPr>
          <w:p>
            <w:pPr>
              <w:spacing w:line="320" w:lineRule="exact"/>
              <w:ind w:firstLine="420" w:firstLineChars="200"/>
              <w:outlineLvl w:val="9"/>
              <w:rPr>
                <w:rFonts w:ascii="宋体" w:hAnsi="宋体" w:cs="宋体"/>
                <w:color w:val="auto"/>
                <w:highlight w:val="none"/>
              </w:rPr>
            </w:pPr>
          </w:p>
        </w:tc>
        <w:tc>
          <w:tcPr>
            <w:tcW w:w="1893" w:type="dxa"/>
            <w:vAlign w:val="center"/>
          </w:tcPr>
          <w:p>
            <w:pPr>
              <w:spacing w:line="320" w:lineRule="exact"/>
              <w:jc w:val="center"/>
              <w:outlineLvl w:val="9"/>
              <w:rPr>
                <w:rFonts w:ascii="宋体" w:hAnsi="宋体" w:cs="宋体"/>
                <w:color w:val="auto"/>
                <w:highlight w:val="none"/>
              </w:rPr>
            </w:pPr>
            <w:bookmarkStart w:id="856" w:name="_Toc527028913"/>
            <w:bookmarkStart w:id="857" w:name="_Toc24554"/>
            <w:bookmarkStart w:id="858" w:name="_Toc527028741"/>
            <w:bookmarkStart w:id="859" w:name="_Toc89870666"/>
            <w:bookmarkStart w:id="860" w:name="_Toc7968"/>
            <w:r>
              <w:rPr>
                <w:rFonts w:hint="eastAsia" w:ascii="宋体" w:hAnsi="宋体" w:cs="宋体"/>
                <w:color w:val="auto"/>
                <w:highlight w:val="none"/>
              </w:rPr>
              <w:t>技术职称</w:t>
            </w:r>
            <w:bookmarkEnd w:id="856"/>
            <w:bookmarkEnd w:id="857"/>
            <w:bookmarkEnd w:id="858"/>
            <w:bookmarkEnd w:id="859"/>
            <w:bookmarkEnd w:id="860"/>
          </w:p>
        </w:tc>
        <w:tc>
          <w:tcPr>
            <w:tcW w:w="5022" w:type="dxa"/>
            <w:gridSpan w:val="2"/>
          </w:tcPr>
          <w:p>
            <w:pPr>
              <w:spacing w:line="320" w:lineRule="exact"/>
              <w:ind w:firstLine="420" w:firstLineChars="200"/>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8" w:type="dxa"/>
            <w:vMerge w:val="continue"/>
          </w:tcPr>
          <w:p>
            <w:pPr>
              <w:spacing w:line="320" w:lineRule="exact"/>
              <w:ind w:firstLine="420" w:firstLineChars="200"/>
              <w:outlineLvl w:val="9"/>
              <w:rPr>
                <w:rFonts w:ascii="宋体" w:hAnsi="宋体" w:cs="宋体"/>
                <w:color w:val="auto"/>
                <w:highlight w:val="none"/>
              </w:rPr>
            </w:pPr>
          </w:p>
        </w:tc>
        <w:tc>
          <w:tcPr>
            <w:tcW w:w="1893" w:type="dxa"/>
            <w:vAlign w:val="center"/>
          </w:tcPr>
          <w:p>
            <w:pPr>
              <w:spacing w:line="320" w:lineRule="exact"/>
              <w:jc w:val="center"/>
              <w:outlineLvl w:val="9"/>
              <w:rPr>
                <w:rFonts w:ascii="宋体" w:hAnsi="宋体" w:cs="宋体"/>
                <w:color w:val="auto"/>
                <w:highlight w:val="none"/>
              </w:rPr>
            </w:pPr>
            <w:bookmarkStart w:id="861" w:name="_Toc6711"/>
            <w:bookmarkStart w:id="862" w:name="_Toc12396"/>
            <w:bookmarkStart w:id="863" w:name="_Toc89870667"/>
            <w:bookmarkStart w:id="864" w:name="_Toc527028742"/>
            <w:bookmarkStart w:id="865" w:name="_Toc527028914"/>
            <w:r>
              <w:rPr>
                <w:rFonts w:hint="eastAsia" w:ascii="宋体" w:hAnsi="宋体" w:cs="宋体"/>
                <w:color w:val="auto"/>
                <w:highlight w:val="none"/>
              </w:rPr>
              <w:t>注册证号</w:t>
            </w:r>
            <w:bookmarkEnd w:id="861"/>
            <w:bookmarkEnd w:id="862"/>
            <w:bookmarkEnd w:id="863"/>
            <w:bookmarkEnd w:id="864"/>
            <w:bookmarkEnd w:id="865"/>
          </w:p>
        </w:tc>
        <w:tc>
          <w:tcPr>
            <w:tcW w:w="5022" w:type="dxa"/>
            <w:gridSpan w:val="2"/>
          </w:tcPr>
          <w:p>
            <w:pPr>
              <w:spacing w:line="320" w:lineRule="exact"/>
              <w:ind w:firstLine="420" w:firstLineChars="200"/>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2328" w:type="dxa"/>
            <w:vAlign w:val="center"/>
          </w:tcPr>
          <w:p>
            <w:pPr>
              <w:spacing w:before="240" w:after="60" w:line="320" w:lineRule="exact"/>
              <w:jc w:val="center"/>
              <w:outlineLvl w:val="9"/>
              <w:rPr>
                <w:rFonts w:ascii="宋体" w:hAnsi="宋体" w:cs="宋体"/>
                <w:color w:val="auto"/>
                <w:highlight w:val="none"/>
              </w:rPr>
            </w:pPr>
            <w:bookmarkStart w:id="866" w:name="_Toc527028915"/>
            <w:bookmarkStart w:id="867" w:name="_Toc89870668"/>
            <w:bookmarkStart w:id="868" w:name="_Toc13122"/>
            <w:bookmarkStart w:id="869" w:name="_Toc456"/>
            <w:bookmarkStart w:id="870" w:name="_Toc527028743"/>
            <w:r>
              <w:rPr>
                <w:rFonts w:hint="eastAsia" w:ascii="宋体" w:hAnsi="宋体" w:cs="宋体"/>
                <w:color w:val="auto"/>
                <w:highlight w:val="none"/>
              </w:rPr>
              <w:t>需要建设单位提</w:t>
            </w:r>
            <w:bookmarkEnd w:id="866"/>
            <w:bookmarkEnd w:id="867"/>
            <w:bookmarkEnd w:id="868"/>
            <w:bookmarkEnd w:id="869"/>
            <w:bookmarkEnd w:id="870"/>
          </w:p>
          <w:p>
            <w:pPr>
              <w:spacing w:before="240" w:after="60" w:line="320" w:lineRule="exact"/>
              <w:jc w:val="center"/>
              <w:outlineLvl w:val="9"/>
              <w:rPr>
                <w:rFonts w:ascii="宋体" w:hAnsi="宋体" w:cs="宋体"/>
                <w:color w:val="auto"/>
                <w:highlight w:val="none"/>
              </w:rPr>
            </w:pPr>
            <w:r>
              <w:rPr>
                <w:rFonts w:hint="eastAsia" w:ascii="宋体" w:hAnsi="宋体" w:cs="宋体"/>
                <w:color w:val="auto"/>
                <w:highlight w:val="none"/>
              </w:rPr>
              <w:t xml:space="preserve"> </w:t>
            </w:r>
            <w:bookmarkStart w:id="871" w:name="_Toc527028744"/>
            <w:bookmarkStart w:id="872" w:name="_Toc13629"/>
            <w:bookmarkStart w:id="873" w:name="_Toc89870669"/>
            <w:bookmarkStart w:id="874" w:name="_Toc29911"/>
            <w:bookmarkStart w:id="875" w:name="_Toc527028916"/>
            <w:r>
              <w:rPr>
                <w:rFonts w:hint="eastAsia" w:ascii="宋体" w:hAnsi="宋体" w:cs="宋体"/>
                <w:color w:val="auto"/>
                <w:highlight w:val="none"/>
              </w:rPr>
              <w:t>供的配合条件</w:t>
            </w:r>
            <w:bookmarkEnd w:id="871"/>
            <w:bookmarkEnd w:id="872"/>
            <w:bookmarkEnd w:id="873"/>
            <w:bookmarkEnd w:id="874"/>
            <w:bookmarkEnd w:id="875"/>
          </w:p>
        </w:tc>
        <w:tc>
          <w:tcPr>
            <w:tcW w:w="6915" w:type="dxa"/>
            <w:gridSpan w:val="3"/>
          </w:tcPr>
          <w:p>
            <w:pPr>
              <w:spacing w:before="240" w:after="60" w:line="320" w:lineRule="exact"/>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328" w:type="dxa"/>
          </w:tcPr>
          <w:p>
            <w:pPr>
              <w:spacing w:before="240" w:after="60" w:line="320" w:lineRule="exact"/>
              <w:jc w:val="center"/>
              <w:outlineLvl w:val="9"/>
              <w:rPr>
                <w:rFonts w:ascii="宋体" w:hAnsi="宋体" w:cs="宋体"/>
                <w:color w:val="auto"/>
                <w:highlight w:val="none"/>
              </w:rPr>
            </w:pPr>
            <w:bookmarkStart w:id="876" w:name="_Toc527028745"/>
            <w:bookmarkStart w:id="877" w:name="_Toc527028917"/>
            <w:bookmarkStart w:id="878" w:name="_Toc5841"/>
            <w:bookmarkStart w:id="879" w:name="_Toc17350"/>
            <w:bookmarkStart w:id="880" w:name="_Toc89870670"/>
            <w:r>
              <w:rPr>
                <w:rFonts w:hint="eastAsia" w:ascii="宋体" w:hAnsi="宋体" w:cs="宋体"/>
                <w:color w:val="auto"/>
                <w:highlight w:val="none"/>
              </w:rPr>
              <w:t>投标单位法定代表人（签名或盖章）</w:t>
            </w:r>
            <w:bookmarkEnd w:id="876"/>
            <w:bookmarkEnd w:id="877"/>
            <w:bookmarkEnd w:id="878"/>
            <w:bookmarkEnd w:id="879"/>
            <w:bookmarkEnd w:id="880"/>
          </w:p>
        </w:tc>
        <w:tc>
          <w:tcPr>
            <w:tcW w:w="1893" w:type="dxa"/>
          </w:tcPr>
          <w:p>
            <w:pPr>
              <w:spacing w:before="240" w:after="60" w:line="320" w:lineRule="exact"/>
              <w:jc w:val="center"/>
              <w:outlineLvl w:val="9"/>
              <w:rPr>
                <w:rFonts w:ascii="宋体" w:hAnsi="宋体" w:cs="宋体"/>
                <w:color w:val="auto"/>
                <w:highlight w:val="none"/>
              </w:rPr>
            </w:pPr>
          </w:p>
        </w:tc>
        <w:tc>
          <w:tcPr>
            <w:tcW w:w="2002" w:type="dxa"/>
          </w:tcPr>
          <w:p>
            <w:pPr>
              <w:spacing w:before="240" w:after="60" w:line="320" w:lineRule="exact"/>
              <w:jc w:val="center"/>
              <w:outlineLvl w:val="9"/>
              <w:rPr>
                <w:rFonts w:ascii="宋体" w:hAnsi="宋体" w:cs="宋体"/>
                <w:color w:val="auto"/>
                <w:highlight w:val="none"/>
              </w:rPr>
            </w:pPr>
            <w:bookmarkStart w:id="881" w:name="_Toc5667"/>
            <w:bookmarkStart w:id="882" w:name="_Toc527028918"/>
            <w:bookmarkStart w:id="883" w:name="_Toc527028746"/>
            <w:bookmarkStart w:id="884" w:name="_Toc32489"/>
            <w:bookmarkStart w:id="885" w:name="_Toc89870671"/>
            <w:r>
              <w:rPr>
                <w:rFonts w:hint="eastAsia" w:ascii="宋体" w:hAnsi="宋体" w:cs="宋体"/>
                <w:color w:val="auto"/>
                <w:highlight w:val="none"/>
              </w:rPr>
              <w:t>授权委托人</w:t>
            </w:r>
            <w:bookmarkEnd w:id="881"/>
            <w:bookmarkEnd w:id="882"/>
            <w:bookmarkEnd w:id="883"/>
            <w:bookmarkEnd w:id="884"/>
            <w:bookmarkEnd w:id="885"/>
          </w:p>
          <w:p>
            <w:pPr>
              <w:spacing w:before="240" w:after="60" w:line="320" w:lineRule="exact"/>
              <w:jc w:val="center"/>
              <w:outlineLvl w:val="9"/>
              <w:rPr>
                <w:rFonts w:ascii="宋体" w:hAnsi="宋体" w:cs="宋体"/>
                <w:color w:val="auto"/>
                <w:highlight w:val="none"/>
              </w:rPr>
            </w:pPr>
            <w:bookmarkStart w:id="886" w:name="_Toc9314"/>
            <w:bookmarkStart w:id="887" w:name="_Toc27830"/>
            <w:bookmarkStart w:id="888" w:name="_Toc527028747"/>
            <w:bookmarkStart w:id="889" w:name="_Toc527028919"/>
            <w:bookmarkStart w:id="890" w:name="_Toc89870672"/>
            <w:r>
              <w:rPr>
                <w:rFonts w:hint="eastAsia" w:ascii="宋体" w:hAnsi="宋体" w:cs="宋体"/>
                <w:color w:val="auto"/>
                <w:highlight w:val="none"/>
              </w:rPr>
              <w:t>（签名或盖章）</w:t>
            </w:r>
            <w:bookmarkEnd w:id="886"/>
            <w:bookmarkEnd w:id="887"/>
            <w:bookmarkEnd w:id="888"/>
            <w:bookmarkEnd w:id="889"/>
            <w:bookmarkEnd w:id="890"/>
          </w:p>
        </w:tc>
        <w:tc>
          <w:tcPr>
            <w:tcW w:w="3020" w:type="dxa"/>
          </w:tcPr>
          <w:p>
            <w:pPr>
              <w:spacing w:before="240" w:after="60" w:line="320" w:lineRule="exact"/>
              <w:jc w:val="center"/>
              <w:outlineLvl w:val="9"/>
              <w:rPr>
                <w:rFonts w:ascii="宋体" w:hAnsi="宋体" w:cs="宋体"/>
                <w:color w:val="auto"/>
                <w:highlight w:val="none"/>
              </w:rPr>
            </w:pPr>
          </w:p>
        </w:tc>
      </w:tr>
    </w:tbl>
    <w:p>
      <w:pPr>
        <w:jc w:val="center"/>
        <w:rPr>
          <w:rFonts w:ascii="Times New Roman" w:hAnsi="Times New Roman"/>
          <w:color w:val="auto"/>
          <w:highlight w:val="none"/>
        </w:rPr>
      </w:pPr>
      <w:r>
        <w:rPr>
          <w:rFonts w:hint="eastAsia" w:ascii="Times New Roman" w:hAnsi="Times New Roman"/>
          <w:color w:val="auto"/>
          <w:highlight w:val="none"/>
        </w:rPr>
        <w:t xml:space="preserve">                                                         投标日期：    年    月   日</w:t>
      </w:r>
      <w:bookmarkStart w:id="891" w:name="_Toc527028920"/>
      <w:bookmarkStart w:id="892" w:name="_Toc527028748"/>
    </w:p>
    <w:p>
      <w:pPr>
        <w:rPr>
          <w:color w:val="auto"/>
          <w:highlight w:val="none"/>
        </w:rPr>
      </w:pPr>
    </w:p>
    <w:p>
      <w:pPr>
        <w:pStyle w:val="4"/>
        <w:keepNext w:val="0"/>
        <w:keepLines w:val="0"/>
        <w:rPr>
          <w:rFonts w:ascii="Times New Roman" w:hAnsi="Times New Roman" w:eastAsia="宋体"/>
          <w:b w:val="0"/>
          <w:color w:val="auto"/>
          <w:sz w:val="21"/>
          <w:szCs w:val="22"/>
          <w:highlight w:val="none"/>
        </w:rPr>
      </w:pPr>
      <w:bookmarkStart w:id="893" w:name="_Toc89870673"/>
      <w:bookmarkStart w:id="894" w:name="_Toc2912"/>
      <w:r>
        <w:rPr>
          <w:rFonts w:hint="eastAsia" w:ascii="Times New Roman" w:hAnsi="Times New Roman" w:eastAsia="宋体"/>
          <w:b w:val="0"/>
          <w:color w:val="auto"/>
          <w:sz w:val="21"/>
          <w:szCs w:val="22"/>
          <w:highlight w:val="none"/>
        </w:rPr>
        <w:t>说明：保留小数点后二位，第三位四舍五入。</w:t>
      </w:r>
      <w:bookmarkEnd w:id="893"/>
      <w:bookmarkEnd w:id="894"/>
    </w:p>
    <w:p>
      <w:pPr>
        <w:tabs>
          <w:tab w:val="left" w:pos="4842"/>
        </w:tabs>
        <w:ind w:firstLine="420" w:firstLineChars="200"/>
        <w:rPr>
          <w:color w:val="auto"/>
          <w:highlight w:val="none"/>
        </w:rPr>
        <w:sectPr>
          <w:pgSz w:w="12240" w:h="15840"/>
          <w:pgMar w:top="1440" w:right="1423" w:bottom="1162" w:left="1423" w:header="720" w:footer="720" w:gutter="0"/>
          <w:pgNumType w:fmt="decimal"/>
          <w:cols w:space="720" w:num="1"/>
          <w:docGrid w:linePitch="285" w:charSpace="0"/>
        </w:sectPr>
      </w:pPr>
    </w:p>
    <w:bookmarkEnd w:id="891"/>
    <w:bookmarkEnd w:id="892"/>
    <w:p>
      <w:pPr>
        <w:pStyle w:val="4"/>
        <w:keepNext w:val="0"/>
        <w:keepLines w:val="0"/>
        <w:spacing w:before="0" w:after="0"/>
        <w:ind w:firstLine="643" w:firstLineChars="200"/>
        <w:rPr>
          <w:rFonts w:ascii="Times New Roman" w:hAnsi="Times New Roman"/>
          <w:color w:val="auto"/>
          <w:highlight w:val="none"/>
        </w:rPr>
      </w:pPr>
      <w:bookmarkStart w:id="895" w:name="_Toc89870674"/>
      <w:bookmarkStart w:id="896" w:name="_Toc26149"/>
      <w:r>
        <w:rPr>
          <w:rFonts w:hint="eastAsia" w:ascii="Times New Roman" w:hAnsi="Times New Roman"/>
          <w:color w:val="auto"/>
          <w:highlight w:val="none"/>
        </w:rPr>
        <w:t>五</w:t>
      </w:r>
      <w:r>
        <w:rPr>
          <w:rFonts w:ascii="Times New Roman" w:hAnsi="Times New Roman"/>
          <w:color w:val="auto"/>
          <w:highlight w:val="none"/>
        </w:rPr>
        <w:t>、资格审查资料</w:t>
      </w:r>
      <w:bookmarkEnd w:id="895"/>
      <w:bookmarkEnd w:id="896"/>
    </w:p>
    <w:p>
      <w:pPr>
        <w:pStyle w:val="5"/>
        <w:keepNext w:val="0"/>
        <w:keepLines w:val="0"/>
        <w:spacing w:before="0" w:after="0"/>
        <w:ind w:firstLine="560" w:firstLineChars="200"/>
        <w:jc w:val="center"/>
        <w:rPr>
          <w:rFonts w:ascii="Times New Roman" w:hAnsi="Times New Roman"/>
          <w:color w:val="auto"/>
          <w:highlight w:val="none"/>
        </w:rPr>
      </w:pPr>
      <w:bookmarkStart w:id="897" w:name="_Toc9404"/>
      <w:bookmarkStart w:id="898" w:name="_Toc89870675"/>
      <w:r>
        <w:rPr>
          <w:rFonts w:ascii="Times New Roman" w:hAnsi="Times New Roman"/>
          <w:color w:val="auto"/>
          <w:highlight w:val="none"/>
        </w:rPr>
        <w:t>（一）基本情况表</w:t>
      </w:r>
      <w:bookmarkEnd w:id="897"/>
      <w:bookmarkEnd w:id="898"/>
    </w:p>
    <w:tbl>
      <w:tblPr>
        <w:tblStyle w:val="23"/>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r>
              <w:rPr>
                <w:rFonts w:ascii="Times New Roman" w:hAnsi="Times New Roman"/>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ascii="Times New Roman" w:hAnsi="Times New Roman"/>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ascii="Times New Roman" w:hAnsi="Times New Roman"/>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olor w:val="auto"/>
                <w:highlight w:val="none"/>
              </w:rPr>
            </w:pPr>
            <w:r>
              <w:rPr>
                <w:rFonts w:ascii="Times New Roman" w:hAnsi="Times New Roman"/>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r>
              <w:rPr>
                <w:rFonts w:ascii="Times New Roman" w:hAnsi="Times New Roman"/>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企业</w:t>
            </w:r>
            <w:r>
              <w:rPr>
                <w:rFonts w:ascii="Times New Roman" w:hAnsi="Times New Roman"/>
                <w:color w:val="auto"/>
                <w:szCs w:val="21"/>
                <w:highlight w:val="none"/>
              </w:rPr>
              <w:t>监理</w:t>
            </w:r>
            <w:r>
              <w:rPr>
                <w:rFonts w:ascii="Times New Roman" w:hAnsi="Times New Roman"/>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color w:val="auto"/>
                <w:highlight w:val="none"/>
              </w:rPr>
            </w:pPr>
            <w:r>
              <w:rPr>
                <w:rFonts w:ascii="Times New Roman" w:hAnsi="Times New Roman"/>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color w:val="auto"/>
                <w:highlight w:val="none"/>
              </w:rPr>
            </w:pPr>
            <w:r>
              <w:rPr>
                <w:rFonts w:ascii="Times New Roman" w:hAnsi="Times New Roman"/>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Times New Roman" w:hAnsi="Times New Roman"/>
                <w:color w:val="auto"/>
                <w:highlight w:val="none"/>
              </w:rPr>
            </w:pPr>
            <w:r>
              <w:rPr>
                <w:rFonts w:ascii="Times New Roman" w:hAnsi="Times New Roman"/>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tcPr>
          <w:p>
            <w:pPr>
              <w:topLinePunct/>
              <w:spacing w:before="100" w:beforeAutospacing="1" w:after="100" w:afterAutospacing="1" w:line="440" w:lineRule="exact"/>
              <w:rPr>
                <w:rFonts w:ascii="Times New Roman" w:hAnsi="Times New Roman"/>
                <w:color w:val="auto"/>
                <w:highlight w:val="none"/>
              </w:rPr>
            </w:pPr>
            <w:r>
              <w:rPr>
                <w:rFonts w:ascii="Times New Roman" w:hAnsi="Times New Roman"/>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bl>
    <w:p>
      <w:pPr>
        <w:spacing w:line="400" w:lineRule="exact"/>
        <w:rPr>
          <w:rFonts w:ascii="Times New Roman" w:hAnsi="Times New Roman"/>
          <w:color w:val="auto"/>
          <w:highlight w:val="none"/>
        </w:rPr>
      </w:pPr>
      <w:r>
        <w:rPr>
          <w:rFonts w:ascii="Times New Roman" w:hAnsi="Times New Roman"/>
          <w:color w:val="auto"/>
          <w:highlight w:val="none"/>
        </w:rPr>
        <w:t>注：投标人应根据投标人须知第3.5.</w:t>
      </w:r>
      <w:r>
        <w:rPr>
          <w:rFonts w:hint="eastAsia" w:ascii="Times New Roman" w:hAnsi="Times New Roman"/>
          <w:color w:val="auto"/>
          <w:highlight w:val="none"/>
        </w:rPr>
        <w:t>2及3.5.3</w:t>
      </w:r>
      <w:r>
        <w:rPr>
          <w:rFonts w:ascii="Times New Roman" w:hAnsi="Times New Roman"/>
          <w:color w:val="auto"/>
          <w:highlight w:val="none"/>
        </w:rPr>
        <w:t>项的要求在本表后附相关证明材料。境内投标人以现金或者支票形式提交投标保证金的，还应附基本账户开户</w:t>
      </w:r>
      <w:r>
        <w:rPr>
          <w:rFonts w:hint="eastAsia" w:ascii="Times New Roman" w:hAnsi="Times New Roman"/>
          <w:color w:val="auto"/>
          <w:highlight w:val="none"/>
        </w:rPr>
        <w:t>证明</w:t>
      </w:r>
      <w:r>
        <w:rPr>
          <w:rFonts w:ascii="Times New Roman" w:hAnsi="Times New Roman"/>
          <w:color w:val="auto"/>
          <w:highlight w:val="none"/>
        </w:rPr>
        <w:t>复印件。</w:t>
      </w:r>
    </w:p>
    <w:p>
      <w:pPr>
        <w:rPr>
          <w:color w:val="auto"/>
          <w:highlight w:val="none"/>
        </w:rPr>
      </w:pPr>
    </w:p>
    <w:bookmarkEnd w:id="745"/>
    <w:p>
      <w:pPr>
        <w:widowControl/>
        <w:jc w:val="left"/>
        <w:rPr>
          <w:rFonts w:ascii="Times New Roman" w:hAnsi="Times New Roman" w:eastAsia="黑体"/>
          <w:color w:val="auto"/>
          <w:sz w:val="28"/>
          <w:szCs w:val="20"/>
          <w:highlight w:val="none"/>
        </w:rPr>
      </w:pPr>
      <w:bookmarkStart w:id="899" w:name="_Toc359594249"/>
      <w:bookmarkStart w:id="900" w:name="_Toc89870676"/>
      <w:bookmarkStart w:id="901" w:name="_Toc152042594"/>
      <w:bookmarkStart w:id="902" w:name="_Toc370676440"/>
      <w:bookmarkStart w:id="903" w:name="_Toc300835232"/>
      <w:bookmarkStart w:id="904" w:name="_Toc384308390"/>
      <w:bookmarkStart w:id="905" w:name="_Toc482188668"/>
      <w:bookmarkStart w:id="906" w:name="_Toc179632825"/>
      <w:bookmarkStart w:id="907" w:name="_Toc385943079"/>
      <w:bookmarkStart w:id="908" w:name="_Toc391394125"/>
      <w:bookmarkStart w:id="909" w:name="_Toc9737"/>
      <w:bookmarkStart w:id="910" w:name="_Toc144974873"/>
      <w:bookmarkStart w:id="911" w:name="_Toc152045805"/>
      <w:r>
        <w:rPr>
          <w:rFonts w:ascii="Times New Roman" w:hAnsi="Times New Roman"/>
          <w:color w:val="auto"/>
          <w:highlight w:val="none"/>
        </w:rPr>
        <w:br w:type="page"/>
      </w:r>
    </w:p>
    <w:p>
      <w:pPr>
        <w:pStyle w:val="5"/>
        <w:keepNext w:val="0"/>
        <w:keepLines w:val="0"/>
        <w:spacing w:before="20" w:after="0"/>
        <w:ind w:firstLine="137"/>
        <w:jc w:val="center"/>
        <w:rPr>
          <w:rFonts w:ascii="Times New Roman" w:hAnsi="Times New Roman"/>
          <w:color w:val="auto"/>
          <w:highlight w:val="none"/>
        </w:rPr>
      </w:pPr>
      <w:bookmarkStart w:id="912" w:name="_Toc25268"/>
      <w:r>
        <w:rPr>
          <w:rFonts w:ascii="Times New Roman" w:hAnsi="Times New Roman"/>
          <w:color w:val="auto"/>
          <w:highlight w:val="none"/>
        </w:rPr>
        <w:t>（</w:t>
      </w:r>
      <w:r>
        <w:rPr>
          <w:rFonts w:hint="eastAsia" w:ascii="Times New Roman" w:hAnsi="Times New Roman"/>
          <w:color w:val="auto"/>
          <w:highlight w:val="none"/>
        </w:rPr>
        <w:t>二</w:t>
      </w:r>
      <w:r>
        <w:rPr>
          <w:rFonts w:ascii="Times New Roman" w:hAnsi="Times New Roman"/>
          <w:color w:val="auto"/>
          <w:highlight w:val="none"/>
        </w:rPr>
        <w:t>）</w:t>
      </w:r>
      <w:r>
        <w:rPr>
          <w:rFonts w:hint="eastAsia" w:ascii="Times New Roman" w:hAnsi="Times New Roman"/>
          <w:color w:val="auto"/>
          <w:highlight w:val="none"/>
        </w:rPr>
        <w:t>总监理工程师</w:t>
      </w:r>
      <w:r>
        <w:rPr>
          <w:rFonts w:ascii="Times New Roman" w:hAnsi="Times New Roman"/>
          <w:color w:val="auto"/>
          <w:highlight w:val="none"/>
        </w:rPr>
        <w:t>简历表</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pPr>
        <w:topLinePunct/>
        <w:spacing w:line="440" w:lineRule="exact"/>
        <w:jc w:val="center"/>
        <w:rPr>
          <w:rFonts w:ascii="Times New Roman" w:hAnsi="Times New Roman"/>
          <w:color w:val="auto"/>
          <w:sz w:val="23"/>
          <w:highlight w:val="none"/>
        </w:rPr>
      </w:pPr>
    </w:p>
    <w:tbl>
      <w:tblPr>
        <w:tblStyle w:val="23"/>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374"/>
        <w:gridCol w:w="724"/>
        <w:gridCol w:w="1004"/>
        <w:gridCol w:w="1116"/>
        <w:gridCol w:w="739"/>
        <w:gridCol w:w="1321"/>
        <w:gridCol w:w="421"/>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44"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姓  名</w:t>
            </w:r>
          </w:p>
        </w:tc>
        <w:tc>
          <w:tcPr>
            <w:tcW w:w="1098" w:type="dxa"/>
            <w:gridSpan w:val="2"/>
            <w:vAlign w:val="center"/>
          </w:tcPr>
          <w:p>
            <w:pPr>
              <w:spacing w:line="440" w:lineRule="exact"/>
              <w:jc w:val="center"/>
              <w:rPr>
                <w:rFonts w:ascii="Times New Roman" w:hAnsi="Times New Roman"/>
                <w:color w:val="auto"/>
                <w:highlight w:val="none"/>
              </w:rPr>
            </w:pPr>
          </w:p>
        </w:tc>
        <w:tc>
          <w:tcPr>
            <w:tcW w:w="1004"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年龄</w:t>
            </w:r>
          </w:p>
        </w:tc>
        <w:tc>
          <w:tcPr>
            <w:tcW w:w="1116" w:type="dxa"/>
            <w:vAlign w:val="center"/>
          </w:tcPr>
          <w:p>
            <w:pPr>
              <w:spacing w:line="440" w:lineRule="exact"/>
              <w:jc w:val="center"/>
              <w:rPr>
                <w:rFonts w:ascii="Times New Roman" w:hAnsi="Times New Roman"/>
                <w:color w:val="auto"/>
                <w:highlight w:val="none"/>
              </w:rPr>
            </w:pPr>
          </w:p>
        </w:tc>
        <w:tc>
          <w:tcPr>
            <w:tcW w:w="2481" w:type="dxa"/>
            <w:gridSpan w:val="3"/>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执业资格证书（或上岗证书）名称</w:t>
            </w:r>
          </w:p>
        </w:tc>
        <w:tc>
          <w:tcPr>
            <w:tcW w:w="1986"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4"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职  称</w:t>
            </w:r>
          </w:p>
        </w:tc>
        <w:tc>
          <w:tcPr>
            <w:tcW w:w="1098" w:type="dxa"/>
            <w:gridSpan w:val="2"/>
            <w:vAlign w:val="center"/>
          </w:tcPr>
          <w:p>
            <w:pPr>
              <w:spacing w:line="440" w:lineRule="exact"/>
              <w:jc w:val="center"/>
              <w:rPr>
                <w:rFonts w:ascii="Times New Roman" w:hAnsi="Times New Roman"/>
                <w:color w:val="auto"/>
                <w:highlight w:val="none"/>
              </w:rPr>
            </w:pPr>
          </w:p>
        </w:tc>
        <w:tc>
          <w:tcPr>
            <w:tcW w:w="1004"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学历</w:t>
            </w:r>
          </w:p>
        </w:tc>
        <w:tc>
          <w:tcPr>
            <w:tcW w:w="1116" w:type="dxa"/>
            <w:vAlign w:val="center"/>
          </w:tcPr>
          <w:p>
            <w:pPr>
              <w:spacing w:line="440" w:lineRule="exact"/>
              <w:jc w:val="center"/>
              <w:rPr>
                <w:rFonts w:ascii="Times New Roman" w:hAnsi="Times New Roman"/>
                <w:color w:val="auto"/>
                <w:highlight w:val="none"/>
              </w:rPr>
            </w:pPr>
          </w:p>
        </w:tc>
        <w:tc>
          <w:tcPr>
            <w:tcW w:w="2481" w:type="dxa"/>
            <w:gridSpan w:val="3"/>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拟在本项目任职</w:t>
            </w:r>
          </w:p>
        </w:tc>
        <w:tc>
          <w:tcPr>
            <w:tcW w:w="1986"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4"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工作年限</w:t>
            </w:r>
          </w:p>
        </w:tc>
        <w:tc>
          <w:tcPr>
            <w:tcW w:w="3218" w:type="dxa"/>
            <w:gridSpan w:val="4"/>
            <w:vAlign w:val="center"/>
          </w:tcPr>
          <w:p>
            <w:pPr>
              <w:spacing w:line="440" w:lineRule="exact"/>
              <w:jc w:val="center"/>
              <w:rPr>
                <w:rFonts w:ascii="Times New Roman" w:hAnsi="Times New Roman"/>
                <w:color w:val="auto"/>
                <w:highlight w:val="none"/>
              </w:rPr>
            </w:pPr>
          </w:p>
        </w:tc>
        <w:tc>
          <w:tcPr>
            <w:tcW w:w="2481" w:type="dxa"/>
            <w:gridSpan w:val="3"/>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从事监理工作年限</w:t>
            </w:r>
          </w:p>
        </w:tc>
        <w:tc>
          <w:tcPr>
            <w:tcW w:w="1986"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44"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毕业学校</w:t>
            </w:r>
          </w:p>
        </w:tc>
        <w:tc>
          <w:tcPr>
            <w:tcW w:w="7685" w:type="dxa"/>
            <w:gridSpan w:val="8"/>
            <w:vAlign w:val="center"/>
          </w:tcPr>
          <w:p>
            <w:pPr>
              <w:spacing w:before="100" w:beforeAutospacing="1" w:after="100" w:afterAutospacing="1" w:line="440" w:lineRule="exact"/>
              <w:ind w:firstLine="1155" w:firstLineChars="550"/>
              <w:rPr>
                <w:rFonts w:ascii="Times New Roman" w:hAnsi="Times New Roman"/>
                <w:color w:val="auto"/>
                <w:highlight w:val="none"/>
              </w:rPr>
            </w:pPr>
            <w:r>
              <w:rPr>
                <w:rFonts w:ascii="Times New Roman" w:hAnsi="Times New Roman"/>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929" w:type="dxa"/>
            <w:gridSpan w:val="9"/>
            <w:vAlign w:val="center"/>
          </w:tcPr>
          <w:p>
            <w:pPr>
              <w:spacing w:before="100" w:beforeAutospacing="1" w:after="100" w:afterAutospacing="1" w:line="440" w:lineRule="exact"/>
              <w:jc w:val="left"/>
              <w:rPr>
                <w:rFonts w:ascii="Times New Roman" w:hAnsi="Times New Roman"/>
                <w:color w:val="auto"/>
                <w:highlight w:val="none"/>
              </w:rPr>
            </w:pPr>
            <w:r>
              <w:rPr>
                <w:rFonts w:ascii="Times New Roman" w:hAnsi="Times New Roman"/>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18" w:type="dxa"/>
            <w:gridSpan w:val="2"/>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时  间</w:t>
            </w:r>
          </w:p>
        </w:tc>
        <w:tc>
          <w:tcPr>
            <w:tcW w:w="3583" w:type="dxa"/>
            <w:gridSpan w:val="4"/>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参加过的类似项目</w:t>
            </w:r>
          </w:p>
        </w:tc>
        <w:tc>
          <w:tcPr>
            <w:tcW w:w="1321"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担任职务</w:t>
            </w:r>
          </w:p>
        </w:tc>
        <w:tc>
          <w:tcPr>
            <w:tcW w:w="2407" w:type="dxa"/>
            <w:gridSpan w:val="2"/>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tcPr>
          <w:p>
            <w:pPr>
              <w:spacing w:line="440" w:lineRule="exact"/>
              <w:rPr>
                <w:rFonts w:ascii="Times New Roman" w:hAnsi="Times New Roman"/>
                <w:color w:val="auto"/>
                <w:highlight w:val="none"/>
              </w:rPr>
            </w:pPr>
          </w:p>
        </w:tc>
        <w:tc>
          <w:tcPr>
            <w:tcW w:w="3583" w:type="dxa"/>
            <w:gridSpan w:val="4"/>
          </w:tcPr>
          <w:p>
            <w:pPr>
              <w:spacing w:line="440" w:lineRule="exact"/>
              <w:rPr>
                <w:rFonts w:ascii="Times New Roman" w:hAnsi="Times New Roman"/>
                <w:color w:val="auto"/>
                <w:highlight w:val="none"/>
              </w:rPr>
            </w:pPr>
          </w:p>
        </w:tc>
        <w:tc>
          <w:tcPr>
            <w:tcW w:w="1321" w:type="dxa"/>
          </w:tcPr>
          <w:p>
            <w:pPr>
              <w:spacing w:line="440" w:lineRule="exact"/>
              <w:rPr>
                <w:rFonts w:ascii="Times New Roman" w:hAnsi="Times New Roman"/>
                <w:color w:val="auto"/>
                <w:highlight w:val="none"/>
              </w:rPr>
            </w:pPr>
          </w:p>
        </w:tc>
        <w:tc>
          <w:tcPr>
            <w:tcW w:w="2407"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tcPr>
          <w:p>
            <w:pPr>
              <w:spacing w:line="440" w:lineRule="exact"/>
              <w:rPr>
                <w:rFonts w:ascii="Times New Roman" w:hAnsi="Times New Roman"/>
                <w:color w:val="auto"/>
                <w:highlight w:val="none"/>
              </w:rPr>
            </w:pPr>
          </w:p>
        </w:tc>
        <w:tc>
          <w:tcPr>
            <w:tcW w:w="3583" w:type="dxa"/>
            <w:gridSpan w:val="4"/>
          </w:tcPr>
          <w:p>
            <w:pPr>
              <w:spacing w:line="440" w:lineRule="exact"/>
              <w:rPr>
                <w:rFonts w:ascii="Times New Roman" w:hAnsi="Times New Roman"/>
                <w:color w:val="auto"/>
                <w:highlight w:val="none"/>
              </w:rPr>
            </w:pPr>
          </w:p>
        </w:tc>
        <w:tc>
          <w:tcPr>
            <w:tcW w:w="1321" w:type="dxa"/>
          </w:tcPr>
          <w:p>
            <w:pPr>
              <w:spacing w:line="440" w:lineRule="exact"/>
              <w:rPr>
                <w:rFonts w:ascii="Times New Roman" w:hAnsi="Times New Roman"/>
                <w:color w:val="auto"/>
                <w:highlight w:val="none"/>
              </w:rPr>
            </w:pPr>
          </w:p>
        </w:tc>
        <w:tc>
          <w:tcPr>
            <w:tcW w:w="2407"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tcPr>
          <w:p>
            <w:pPr>
              <w:spacing w:line="440" w:lineRule="exact"/>
              <w:rPr>
                <w:rFonts w:ascii="Times New Roman" w:hAnsi="Times New Roman"/>
                <w:color w:val="auto"/>
                <w:highlight w:val="none"/>
              </w:rPr>
            </w:pPr>
          </w:p>
        </w:tc>
        <w:tc>
          <w:tcPr>
            <w:tcW w:w="3583" w:type="dxa"/>
            <w:gridSpan w:val="4"/>
          </w:tcPr>
          <w:p>
            <w:pPr>
              <w:spacing w:line="440" w:lineRule="exact"/>
              <w:rPr>
                <w:rFonts w:ascii="Times New Roman" w:hAnsi="Times New Roman"/>
                <w:color w:val="auto"/>
                <w:highlight w:val="none"/>
              </w:rPr>
            </w:pPr>
          </w:p>
        </w:tc>
        <w:tc>
          <w:tcPr>
            <w:tcW w:w="1321" w:type="dxa"/>
          </w:tcPr>
          <w:p>
            <w:pPr>
              <w:spacing w:line="440" w:lineRule="exact"/>
              <w:rPr>
                <w:rFonts w:ascii="Times New Roman" w:hAnsi="Times New Roman"/>
                <w:color w:val="auto"/>
                <w:highlight w:val="none"/>
              </w:rPr>
            </w:pPr>
          </w:p>
        </w:tc>
        <w:tc>
          <w:tcPr>
            <w:tcW w:w="2407"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vAlign w:val="center"/>
          </w:tcPr>
          <w:p>
            <w:pPr>
              <w:spacing w:line="440" w:lineRule="exact"/>
              <w:rPr>
                <w:rFonts w:ascii="Times New Roman" w:hAnsi="Times New Roman"/>
                <w:color w:val="auto"/>
                <w:highlight w:val="none"/>
              </w:rPr>
            </w:pPr>
          </w:p>
        </w:tc>
        <w:tc>
          <w:tcPr>
            <w:tcW w:w="3583" w:type="dxa"/>
            <w:gridSpan w:val="4"/>
            <w:vAlign w:val="center"/>
          </w:tcPr>
          <w:p>
            <w:pPr>
              <w:spacing w:line="440" w:lineRule="exact"/>
              <w:rPr>
                <w:rFonts w:ascii="Times New Roman" w:hAnsi="Times New Roman"/>
                <w:color w:val="auto"/>
                <w:highlight w:val="none"/>
              </w:rPr>
            </w:pPr>
          </w:p>
        </w:tc>
        <w:tc>
          <w:tcPr>
            <w:tcW w:w="1321" w:type="dxa"/>
            <w:vAlign w:val="center"/>
          </w:tcPr>
          <w:p>
            <w:pPr>
              <w:spacing w:line="440" w:lineRule="exact"/>
              <w:rPr>
                <w:rFonts w:ascii="Times New Roman" w:hAnsi="Times New Roman"/>
                <w:color w:val="auto"/>
                <w:highlight w:val="none"/>
              </w:rPr>
            </w:pPr>
          </w:p>
        </w:tc>
        <w:tc>
          <w:tcPr>
            <w:tcW w:w="2407"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vAlign w:val="center"/>
          </w:tcPr>
          <w:p>
            <w:pPr>
              <w:spacing w:line="440" w:lineRule="exact"/>
              <w:rPr>
                <w:rFonts w:ascii="Times New Roman" w:hAnsi="Times New Roman"/>
                <w:color w:val="auto"/>
                <w:highlight w:val="none"/>
              </w:rPr>
            </w:pPr>
          </w:p>
        </w:tc>
        <w:tc>
          <w:tcPr>
            <w:tcW w:w="3583" w:type="dxa"/>
            <w:gridSpan w:val="4"/>
            <w:vAlign w:val="center"/>
          </w:tcPr>
          <w:p>
            <w:pPr>
              <w:spacing w:line="440" w:lineRule="exact"/>
              <w:rPr>
                <w:rFonts w:ascii="Times New Roman" w:hAnsi="Times New Roman"/>
                <w:color w:val="auto"/>
                <w:highlight w:val="none"/>
              </w:rPr>
            </w:pPr>
          </w:p>
        </w:tc>
        <w:tc>
          <w:tcPr>
            <w:tcW w:w="1321" w:type="dxa"/>
            <w:vAlign w:val="center"/>
          </w:tcPr>
          <w:p>
            <w:pPr>
              <w:spacing w:line="440" w:lineRule="exact"/>
              <w:rPr>
                <w:rFonts w:ascii="Times New Roman" w:hAnsi="Times New Roman"/>
                <w:color w:val="auto"/>
                <w:highlight w:val="none"/>
              </w:rPr>
            </w:pPr>
          </w:p>
        </w:tc>
        <w:tc>
          <w:tcPr>
            <w:tcW w:w="2407"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vAlign w:val="center"/>
          </w:tcPr>
          <w:p>
            <w:pPr>
              <w:spacing w:line="440" w:lineRule="exact"/>
              <w:rPr>
                <w:rFonts w:ascii="Times New Roman" w:hAnsi="Times New Roman"/>
                <w:color w:val="auto"/>
                <w:highlight w:val="none"/>
              </w:rPr>
            </w:pPr>
          </w:p>
        </w:tc>
        <w:tc>
          <w:tcPr>
            <w:tcW w:w="3583" w:type="dxa"/>
            <w:gridSpan w:val="4"/>
            <w:vAlign w:val="center"/>
          </w:tcPr>
          <w:p>
            <w:pPr>
              <w:spacing w:line="440" w:lineRule="exact"/>
              <w:rPr>
                <w:rFonts w:ascii="Times New Roman" w:hAnsi="Times New Roman"/>
                <w:color w:val="auto"/>
                <w:highlight w:val="none"/>
              </w:rPr>
            </w:pPr>
          </w:p>
        </w:tc>
        <w:tc>
          <w:tcPr>
            <w:tcW w:w="1321" w:type="dxa"/>
            <w:vAlign w:val="center"/>
          </w:tcPr>
          <w:p>
            <w:pPr>
              <w:spacing w:line="440" w:lineRule="exact"/>
              <w:rPr>
                <w:rFonts w:ascii="Times New Roman" w:hAnsi="Times New Roman"/>
                <w:color w:val="auto"/>
                <w:highlight w:val="none"/>
              </w:rPr>
            </w:pPr>
          </w:p>
        </w:tc>
        <w:tc>
          <w:tcPr>
            <w:tcW w:w="2407"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vAlign w:val="center"/>
          </w:tcPr>
          <w:p>
            <w:pPr>
              <w:spacing w:line="440" w:lineRule="exact"/>
              <w:rPr>
                <w:rFonts w:ascii="Times New Roman" w:hAnsi="Times New Roman"/>
                <w:color w:val="auto"/>
                <w:highlight w:val="none"/>
              </w:rPr>
            </w:pPr>
          </w:p>
        </w:tc>
        <w:tc>
          <w:tcPr>
            <w:tcW w:w="3583" w:type="dxa"/>
            <w:gridSpan w:val="4"/>
            <w:vAlign w:val="center"/>
          </w:tcPr>
          <w:p>
            <w:pPr>
              <w:spacing w:line="440" w:lineRule="exact"/>
              <w:rPr>
                <w:rFonts w:ascii="Times New Roman" w:hAnsi="Times New Roman"/>
                <w:color w:val="auto"/>
                <w:highlight w:val="none"/>
              </w:rPr>
            </w:pPr>
          </w:p>
        </w:tc>
        <w:tc>
          <w:tcPr>
            <w:tcW w:w="1321" w:type="dxa"/>
            <w:vAlign w:val="center"/>
          </w:tcPr>
          <w:p>
            <w:pPr>
              <w:spacing w:line="440" w:lineRule="exact"/>
              <w:rPr>
                <w:rFonts w:ascii="Times New Roman" w:hAnsi="Times New Roman"/>
                <w:color w:val="auto"/>
                <w:highlight w:val="none"/>
              </w:rPr>
            </w:pPr>
          </w:p>
        </w:tc>
        <w:tc>
          <w:tcPr>
            <w:tcW w:w="2407" w:type="dxa"/>
            <w:gridSpan w:val="2"/>
            <w:vAlign w:val="center"/>
          </w:tcPr>
          <w:p>
            <w:pPr>
              <w:spacing w:line="440" w:lineRule="exact"/>
              <w:rPr>
                <w:rFonts w:ascii="Times New Roman" w:hAnsi="Times New Roman"/>
                <w:color w:val="auto"/>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注：投标人应根据投标人须知第3.5.</w:t>
      </w:r>
      <w:r>
        <w:rPr>
          <w:rFonts w:hint="eastAsia" w:ascii="Times New Roman" w:hAnsi="Times New Roman"/>
          <w:color w:val="auto"/>
          <w:highlight w:val="none"/>
        </w:rPr>
        <w:t>4</w:t>
      </w:r>
      <w:r>
        <w:rPr>
          <w:rFonts w:ascii="Times New Roman" w:hAnsi="Times New Roman"/>
          <w:color w:val="auto"/>
          <w:highlight w:val="none"/>
        </w:rPr>
        <w:t>项的要求在本表后附相关证明材料。</w:t>
      </w:r>
      <w:r>
        <w:rPr>
          <w:rFonts w:hint="eastAsia" w:ascii="Times New Roman" w:hAnsi="Times New Roman"/>
          <w:color w:val="auto"/>
          <w:highlight w:val="none"/>
          <w:lang w:val="en-US" w:eastAsia="zh-CN"/>
        </w:rPr>
        <w:t>并</w:t>
      </w:r>
      <w:r>
        <w:rPr>
          <w:rFonts w:hint="eastAsia" w:ascii="Times New Roman" w:hAnsi="Times New Roman"/>
          <w:color w:val="auto"/>
          <w:highlight w:val="none"/>
        </w:rPr>
        <w:t>提供2022年5月至2022年10月社保证明</w:t>
      </w:r>
      <w:r>
        <w:rPr>
          <w:rFonts w:hint="eastAsia" w:ascii="Times New Roman" w:hAnsi="Times New Roman"/>
          <w:color w:val="auto"/>
          <w:highlight w:val="none"/>
          <w:lang w:eastAsia="zh-CN"/>
        </w:rPr>
        <w:t>；</w:t>
      </w:r>
      <w:r>
        <w:rPr>
          <w:rFonts w:hint="eastAsia" w:ascii="Times New Roman" w:hAnsi="Times New Roman"/>
          <w:color w:val="auto"/>
          <w:highlight w:val="none"/>
        </w:rPr>
        <w:t>本项目社保缴纳期限包含疫情期，若当地政府部门允许企业在疫情期间缓缴社会保险费且投标人未缴纳的，投标人可提供当地政府部门允许缓缴社保的相关文件作为缴纳社保的证明。</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bookmarkStart w:id="913" w:name="_Toc352703741"/>
      <w:bookmarkStart w:id="914" w:name="_Toc300835229"/>
    </w:p>
    <w:p>
      <w:pPr>
        <w:spacing w:line="440" w:lineRule="exact"/>
        <w:jc w:val="center"/>
        <w:rPr>
          <w:rFonts w:ascii="Times New Roman" w:hAnsi="Times New Roman" w:eastAsia="黑体"/>
          <w:color w:val="auto"/>
          <w:sz w:val="28"/>
          <w:szCs w:val="20"/>
          <w:highlight w:val="none"/>
        </w:rPr>
      </w:pPr>
    </w:p>
    <w:bookmarkEnd w:id="913"/>
    <w:bookmarkEnd w:id="914"/>
    <w:p>
      <w:pPr>
        <w:pStyle w:val="5"/>
        <w:keepNext w:val="0"/>
        <w:keepLines w:val="0"/>
        <w:spacing w:before="20" w:after="0"/>
        <w:ind w:firstLine="137"/>
        <w:jc w:val="center"/>
        <w:rPr>
          <w:rFonts w:ascii="Times New Roman" w:hAnsi="Times New Roman"/>
          <w:color w:val="auto"/>
          <w:highlight w:val="none"/>
        </w:rPr>
      </w:pPr>
      <w:bookmarkStart w:id="915" w:name="_Toc482188666"/>
      <w:r>
        <w:rPr>
          <w:rFonts w:ascii="Times New Roman" w:hAnsi="Times New Roman"/>
          <w:color w:val="auto"/>
          <w:highlight w:val="none"/>
        </w:rPr>
        <w:br w:type="page"/>
      </w:r>
      <w:bookmarkEnd w:id="915"/>
      <w:bookmarkStart w:id="916" w:name="_Toc17218"/>
      <w:bookmarkStart w:id="917" w:name="_Toc18506"/>
      <w:bookmarkStart w:id="918" w:name="_Toc89870678"/>
      <w:r>
        <w:rPr>
          <w:rFonts w:ascii="Times New Roman" w:hAnsi="Times New Roman"/>
          <w:color w:val="auto"/>
          <w:highlight w:val="none"/>
        </w:rPr>
        <w:t>（</w:t>
      </w:r>
      <w:r>
        <w:rPr>
          <w:rFonts w:hint="eastAsia" w:ascii="Times New Roman" w:hAnsi="Times New Roman"/>
          <w:color w:val="auto"/>
          <w:highlight w:val="none"/>
        </w:rPr>
        <w:t>三</w:t>
      </w:r>
      <w:r>
        <w:rPr>
          <w:rFonts w:ascii="Times New Roman" w:hAnsi="Times New Roman"/>
          <w:color w:val="auto"/>
          <w:highlight w:val="none"/>
        </w:rPr>
        <w:t>）</w:t>
      </w:r>
      <w:r>
        <w:rPr>
          <w:rFonts w:hint="eastAsia" w:ascii="宋体" w:hAnsi="宋体"/>
          <w:color w:val="auto"/>
          <w:highlight w:val="none"/>
          <w:u w:val="single"/>
        </w:rPr>
        <w:t>投标人在广州公共资源交易中心办理企业信息登记及拟担任本工程总监理工程师须是本企业信息登记中的在册人员</w:t>
      </w:r>
      <w:r>
        <w:rPr>
          <w:rFonts w:hint="eastAsia" w:ascii="Times New Roman" w:hAnsi="Times New Roman"/>
          <w:color w:val="auto"/>
          <w:highlight w:val="none"/>
        </w:rPr>
        <w:t>的信息截图</w:t>
      </w:r>
      <w:bookmarkEnd w:id="916"/>
      <w:bookmarkEnd w:id="917"/>
    </w:p>
    <w:p>
      <w:pPr>
        <w:spacing w:line="440" w:lineRule="exact"/>
        <w:rPr>
          <w:rFonts w:ascii="Times New Roman" w:hAnsi="Times New Roman"/>
          <w:color w:val="auto"/>
          <w:highlight w:val="none"/>
        </w:rPr>
      </w:pPr>
    </w:p>
    <w:p>
      <w:pPr>
        <w:spacing w:line="440" w:lineRule="exact"/>
        <w:jc w:val="center"/>
        <w:rPr>
          <w:rFonts w:ascii="Times New Roman" w:hAnsi="Times New Roman"/>
          <w:color w:val="auto"/>
          <w:highlight w:val="none"/>
        </w:rPr>
      </w:pPr>
      <w:r>
        <w:rPr>
          <w:rFonts w:ascii="Times New Roman" w:hAnsi="Times New Roman"/>
          <w:color w:val="auto"/>
          <w:highlight w:val="none"/>
        </w:rPr>
        <w:t>注：投标人应根据投标人须知第3.5.</w:t>
      </w:r>
      <w:r>
        <w:rPr>
          <w:rFonts w:hint="eastAsia" w:ascii="Times New Roman" w:hAnsi="Times New Roman"/>
          <w:color w:val="auto"/>
          <w:highlight w:val="none"/>
        </w:rPr>
        <w:t>5</w:t>
      </w:r>
      <w:r>
        <w:rPr>
          <w:rFonts w:ascii="Times New Roman" w:hAnsi="Times New Roman"/>
          <w:color w:val="auto"/>
          <w:highlight w:val="none"/>
        </w:rPr>
        <w:t>项的要求在本表后附相关证明材料。</w:t>
      </w: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p>
    <w:p>
      <w:pPr>
        <w:pStyle w:val="5"/>
        <w:keepNext w:val="0"/>
        <w:keepLines w:val="0"/>
        <w:spacing w:before="20" w:after="0"/>
        <w:ind w:firstLine="137"/>
        <w:jc w:val="center"/>
        <w:rPr>
          <w:rFonts w:ascii="Times New Roman" w:hAnsi="Times New Roman"/>
          <w:color w:val="auto"/>
          <w:highlight w:val="none"/>
        </w:rPr>
      </w:pPr>
      <w:bookmarkStart w:id="919" w:name="_Toc21246"/>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w:t>
      </w:r>
      <w:r>
        <w:rPr>
          <w:rFonts w:hint="eastAsia" w:ascii="Times New Roman" w:hAnsi="Times New Roman"/>
          <w:color w:val="auto"/>
          <w:highlight w:val="none"/>
        </w:rPr>
        <w:t>投标人声明</w:t>
      </w:r>
      <w:bookmarkEnd w:id="918"/>
      <w:bookmarkEnd w:id="919"/>
    </w:p>
    <w:p>
      <w:pPr>
        <w:pStyle w:val="4"/>
        <w:keepNext w:val="0"/>
        <w:keepLines w:val="0"/>
        <w:jc w:val="center"/>
        <w:rPr>
          <w:rFonts w:ascii="Times New Roman" w:hAnsi="Times New Roman" w:eastAsia="宋体"/>
          <w:b w:val="0"/>
          <w:color w:val="auto"/>
          <w:sz w:val="21"/>
          <w:szCs w:val="22"/>
          <w:highlight w:val="none"/>
        </w:rPr>
      </w:pPr>
      <w:bookmarkStart w:id="920" w:name="_Toc89870679"/>
      <w:r>
        <w:rPr>
          <w:rFonts w:hint="eastAsia" w:ascii="Times New Roman" w:hAnsi="Times New Roman" w:eastAsia="宋体"/>
          <w:b w:val="0"/>
          <w:color w:val="auto"/>
          <w:sz w:val="21"/>
          <w:szCs w:val="22"/>
          <w:highlight w:val="none"/>
        </w:rPr>
        <w:t xml:space="preserve">    </w:t>
      </w:r>
      <w:bookmarkStart w:id="921" w:name="_Toc29355"/>
      <w:r>
        <w:rPr>
          <w:rFonts w:hint="eastAsia" w:ascii="Times New Roman" w:hAnsi="Times New Roman" w:eastAsia="宋体"/>
          <w:b w:val="0"/>
          <w:color w:val="auto"/>
          <w:sz w:val="21"/>
          <w:szCs w:val="22"/>
          <w:highlight w:val="none"/>
        </w:rPr>
        <w:t>格式详见招标公告附件一</w:t>
      </w:r>
      <w:bookmarkEnd w:id="920"/>
      <w:bookmarkEnd w:id="921"/>
    </w:p>
    <w:p>
      <w:pPr>
        <w:spacing w:line="360" w:lineRule="auto"/>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ind w:firstLine="480" w:firstLineChars="200"/>
        <w:rPr>
          <w:rFonts w:ascii="宋体" w:hAnsi="宋体" w:cs="宋体"/>
          <w:color w:val="auto"/>
          <w:kern w:val="0"/>
          <w:sz w:val="24"/>
          <w:highlight w:val="none"/>
        </w:rPr>
      </w:pPr>
    </w:p>
    <w:p>
      <w:pPr>
        <w:ind w:firstLine="560" w:firstLineChars="200"/>
        <w:rPr>
          <w:rFonts w:ascii="Times New Roman" w:hAnsi="Times New Roman" w:eastAsia="黑体"/>
          <w:color w:val="auto"/>
          <w:sz w:val="28"/>
          <w:szCs w:val="20"/>
          <w:highlight w:val="none"/>
        </w:rPr>
      </w:pPr>
    </w:p>
    <w:p>
      <w:pPr>
        <w:ind w:firstLine="560" w:firstLineChars="200"/>
        <w:rPr>
          <w:rFonts w:ascii="Times New Roman" w:hAnsi="Times New Roman" w:eastAsia="黑体"/>
          <w:color w:val="auto"/>
          <w:sz w:val="28"/>
          <w:szCs w:val="20"/>
          <w:highlight w:val="none"/>
        </w:rPr>
      </w:pPr>
    </w:p>
    <w:p>
      <w:pPr>
        <w:ind w:firstLine="560" w:firstLineChars="200"/>
        <w:rPr>
          <w:rFonts w:ascii="Times New Roman" w:hAnsi="Times New Roman" w:eastAsia="黑体"/>
          <w:color w:val="auto"/>
          <w:sz w:val="28"/>
          <w:szCs w:val="20"/>
          <w:highlight w:val="none"/>
        </w:rPr>
      </w:pPr>
    </w:p>
    <w:p>
      <w:pPr>
        <w:pStyle w:val="28"/>
        <w:ind w:firstLine="422" w:firstLineChars="200"/>
        <w:jc w:val="both"/>
        <w:rPr>
          <w:color w:val="auto"/>
          <w:highlight w:val="none"/>
        </w:rPr>
      </w:pPr>
    </w:p>
    <w:p>
      <w:pPr>
        <w:pStyle w:val="4"/>
        <w:keepNext w:val="0"/>
        <w:keepLines w:val="0"/>
        <w:spacing w:before="0" w:after="0"/>
        <w:ind w:firstLine="562" w:firstLineChars="200"/>
        <w:rPr>
          <w:rFonts w:ascii="Times New Roman" w:hAnsi="Times New Roman"/>
          <w:color w:val="auto"/>
          <w:highlight w:val="none"/>
        </w:rPr>
      </w:pPr>
      <w:r>
        <w:rPr>
          <w:rFonts w:hint="eastAsia" w:ascii="Times New Roman" w:hAnsi="Times New Roman"/>
          <w:color w:val="auto"/>
          <w:sz w:val="28"/>
          <w:highlight w:val="none"/>
        </w:rPr>
        <w:br w:type="page"/>
      </w:r>
      <w:bookmarkStart w:id="922" w:name="_Toc15794"/>
      <w:bookmarkStart w:id="923" w:name="_Toc89870680"/>
      <w:r>
        <w:rPr>
          <w:rFonts w:hint="eastAsia" w:ascii="Times New Roman" w:hAnsi="Times New Roman"/>
          <w:color w:val="auto"/>
          <w:highlight w:val="none"/>
        </w:rPr>
        <w:t>六</w:t>
      </w:r>
      <w:r>
        <w:rPr>
          <w:rFonts w:ascii="Times New Roman" w:hAnsi="Times New Roman"/>
          <w:color w:val="auto"/>
          <w:highlight w:val="none"/>
        </w:rPr>
        <w:t>、</w:t>
      </w:r>
      <w:r>
        <w:rPr>
          <w:rFonts w:ascii="Times New Roman" w:hAnsi="Times New Roman"/>
          <w:b w:val="0"/>
          <w:color w:val="auto"/>
          <w:highlight w:val="none"/>
        </w:rPr>
        <w:t>监理大纲</w:t>
      </w:r>
      <w:bookmarkEnd w:id="922"/>
      <w:bookmarkEnd w:id="923"/>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监理大纲应包括（但不限于）下列内容：</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一、监理工程概况；</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二、监理范围、监理内容；</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三、监理依据、</w:t>
      </w:r>
      <w:r>
        <w:rPr>
          <w:rFonts w:ascii="Times New Roman" w:hAnsi="Times New Roman"/>
          <w:color w:val="auto"/>
          <w:highlight w:val="none"/>
        </w:rPr>
        <w:t>监理工作目标</w:t>
      </w:r>
      <w:r>
        <w:rPr>
          <w:rFonts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四、监理机构设置（框图）、岗位职责；</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五、监理工作程序、方法和</w:t>
      </w:r>
      <w:r>
        <w:rPr>
          <w:rFonts w:hint="eastAsia" w:ascii="Times New Roman" w:hAnsi="Times New Roman"/>
          <w:color w:val="auto"/>
          <w:szCs w:val="21"/>
          <w:highlight w:val="none"/>
          <w:lang w:val="en-US" w:eastAsia="zh-CN"/>
        </w:rPr>
        <w:t>会议</w:t>
      </w:r>
      <w:r>
        <w:rPr>
          <w:rFonts w:ascii="Times New Roman" w:hAnsi="Times New Roman"/>
          <w:color w:val="auto"/>
          <w:szCs w:val="21"/>
          <w:highlight w:val="none"/>
        </w:rPr>
        <w:t>制度；</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六、拟投入的监理人员、试验检测仪器设备；</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七、</w:t>
      </w:r>
      <w:r>
        <w:rPr>
          <w:rFonts w:hint="default" w:ascii="Times New Roman" w:hAnsi="Times New Roman"/>
          <w:color w:val="auto"/>
          <w:szCs w:val="21"/>
          <w:highlight w:val="none"/>
        </w:rPr>
        <w:t>投资</w:t>
      </w:r>
      <w:r>
        <w:rPr>
          <w:rFonts w:hint="eastAsia" w:ascii="Times New Roman" w:hAnsi="Times New Roman"/>
          <w:color w:val="auto"/>
          <w:szCs w:val="21"/>
          <w:highlight w:val="none"/>
          <w:lang w:eastAsia="zh-CN"/>
        </w:rPr>
        <w:t>、</w:t>
      </w:r>
      <w:r>
        <w:rPr>
          <w:rFonts w:ascii="Times New Roman" w:hAnsi="Times New Roman"/>
          <w:color w:val="auto"/>
          <w:szCs w:val="21"/>
          <w:highlight w:val="none"/>
        </w:rPr>
        <w:t>质量、进度、造价、安全、环保监理措施</w:t>
      </w:r>
      <w:r>
        <w:rPr>
          <w:rFonts w:hint="eastAsia" w:ascii="Times New Roman" w:hAnsi="Times New Roman"/>
          <w:color w:val="auto"/>
          <w:szCs w:val="21"/>
          <w:highlight w:val="none"/>
          <w:lang w:eastAsia="zh-CN"/>
        </w:rPr>
        <w:t>；</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八、</w:t>
      </w:r>
      <w:r>
        <w:rPr>
          <w:rFonts w:hint="eastAsia" w:ascii="Times New Roman" w:hAnsi="Times New Roman"/>
          <w:color w:val="auto"/>
          <w:szCs w:val="21"/>
          <w:highlight w:val="none"/>
        </w:rPr>
        <w:t>安全、文明施工管理</w:t>
      </w:r>
      <w:r>
        <w:rPr>
          <w:rFonts w:ascii="Times New Roman" w:hAnsi="Times New Roman"/>
          <w:color w:val="auto"/>
          <w:szCs w:val="21"/>
          <w:highlight w:val="none"/>
        </w:rPr>
        <w:t xml:space="preserve">方案； </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九</w:t>
      </w:r>
      <w:r>
        <w:rPr>
          <w:rFonts w:ascii="Times New Roman" w:hAnsi="Times New Roman"/>
          <w:color w:val="auto"/>
          <w:szCs w:val="21"/>
          <w:highlight w:val="none"/>
        </w:rPr>
        <w:t>、合同、信息管理方案；</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十、组织协调内容及措施；</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十</w:t>
      </w:r>
      <w:r>
        <w:rPr>
          <w:rFonts w:hint="eastAsia" w:ascii="Times New Roman" w:hAnsi="Times New Roman"/>
          <w:color w:val="auto"/>
          <w:szCs w:val="21"/>
          <w:highlight w:val="none"/>
        </w:rPr>
        <w:t>一</w:t>
      </w:r>
      <w:r>
        <w:rPr>
          <w:rFonts w:ascii="Times New Roman" w:hAnsi="Times New Roman"/>
          <w:color w:val="auto"/>
          <w:szCs w:val="21"/>
          <w:highlight w:val="none"/>
        </w:rPr>
        <w:t>、监理工作重点、难点分析；</w:t>
      </w:r>
    </w:p>
    <w:p>
      <w:pPr>
        <w:spacing w:line="360" w:lineRule="auto"/>
        <w:ind w:firstLine="420" w:firstLineChars="200"/>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十</w:t>
      </w:r>
      <w:r>
        <w:rPr>
          <w:rFonts w:hint="eastAsia" w:ascii="Times New Roman" w:hAnsi="Times New Roman"/>
          <w:color w:val="auto"/>
          <w:szCs w:val="21"/>
          <w:highlight w:val="none"/>
          <w:lang w:val="en-US" w:eastAsia="zh-CN"/>
        </w:rPr>
        <w:t>二</w:t>
      </w:r>
      <w:r>
        <w:rPr>
          <w:rFonts w:ascii="Times New Roman" w:hAnsi="Times New Roman"/>
          <w:color w:val="auto"/>
          <w:szCs w:val="21"/>
          <w:highlight w:val="none"/>
        </w:rPr>
        <w:t>、</w:t>
      </w:r>
      <w:r>
        <w:rPr>
          <w:rFonts w:hint="default" w:ascii="Times New Roman" w:hAnsi="Times New Roman"/>
          <w:color w:val="auto"/>
          <w:szCs w:val="21"/>
          <w:highlight w:val="none"/>
        </w:rPr>
        <w:t>工程进度款、工程结算的管理</w:t>
      </w:r>
      <w:r>
        <w:rPr>
          <w:rFonts w:hint="eastAsia" w:ascii="Times New Roman" w:hAnsi="Times New Roman"/>
          <w:color w:val="auto"/>
          <w:szCs w:val="21"/>
          <w:highlight w:val="none"/>
          <w:lang w:eastAsia="zh-CN"/>
        </w:rPr>
        <w:t>；</w:t>
      </w:r>
    </w:p>
    <w:p>
      <w:pPr>
        <w:spacing w:line="360" w:lineRule="auto"/>
        <w:ind w:firstLine="420" w:firstLineChars="200"/>
        <w:rPr>
          <w:rFonts w:ascii="Times New Roman" w:hAnsi="Times New Roman"/>
          <w:color w:val="auto"/>
          <w:highlight w:val="none"/>
        </w:rPr>
      </w:pPr>
      <w:r>
        <w:rPr>
          <w:rFonts w:hint="eastAsia" w:ascii="Times New Roman" w:hAnsi="Times New Roman"/>
          <w:color w:val="auto"/>
          <w:szCs w:val="21"/>
          <w:highlight w:val="none"/>
          <w:lang w:val="en-US" w:eastAsia="zh-CN"/>
        </w:rPr>
        <w:t>十三、</w:t>
      </w:r>
      <w:r>
        <w:rPr>
          <w:rFonts w:ascii="Times New Roman" w:hAnsi="Times New Roman"/>
          <w:color w:val="auto"/>
          <w:szCs w:val="21"/>
          <w:highlight w:val="none"/>
        </w:rPr>
        <w:t>对本工程监理的合理化建议。</w:t>
      </w:r>
    </w:p>
    <w:p>
      <w:pPr>
        <w:ind w:firstLine="420" w:firstLineChars="200"/>
        <w:rPr>
          <w:rFonts w:ascii="Times New Roman" w:hAnsi="Times New Roman"/>
          <w:color w:val="auto"/>
          <w:highlight w:val="none"/>
        </w:rPr>
      </w:pPr>
    </w:p>
    <w:p>
      <w:pPr>
        <w:spacing w:line="360" w:lineRule="auto"/>
        <w:ind w:firstLine="420"/>
        <w:rPr>
          <w:color w:val="auto"/>
          <w:highlight w:val="none"/>
        </w:rPr>
      </w:pPr>
      <w:r>
        <w:rPr>
          <w:rFonts w:hint="default" w:ascii="Times New Roman" w:hAnsi="Times New Roman"/>
          <w:color w:val="auto"/>
          <w:szCs w:val="21"/>
          <w:highlight w:val="none"/>
        </w:rPr>
        <w:br w:type="page"/>
      </w:r>
      <w:bookmarkStart w:id="924" w:name="_Toc89870681"/>
      <w:bookmarkStart w:id="925" w:name="_Toc25127"/>
      <w:r>
        <w:rPr>
          <w:rFonts w:hint="eastAsia"/>
          <w:color w:val="auto"/>
          <w:highlight w:val="none"/>
        </w:rPr>
        <w:t>七、其他资料</w:t>
      </w:r>
      <w:bookmarkEnd w:id="924"/>
      <w:bookmarkEnd w:id="925"/>
    </w:p>
    <w:p>
      <w:pPr>
        <w:pStyle w:val="5"/>
        <w:keepNext w:val="0"/>
        <w:keepLines w:val="0"/>
        <w:spacing w:before="0" w:after="0"/>
        <w:ind w:firstLine="0" w:firstLineChars="0"/>
        <w:jc w:val="center"/>
        <w:rPr>
          <w:rFonts w:ascii="Times New Roman" w:hAnsi="Times New Roman"/>
          <w:color w:val="auto"/>
          <w:highlight w:val="none"/>
        </w:rPr>
      </w:pPr>
      <w:bookmarkStart w:id="926" w:name="_Toc6430"/>
      <w:bookmarkStart w:id="927" w:name="_Toc89870682"/>
      <w:r>
        <w:rPr>
          <w:rFonts w:hint="eastAsia" w:ascii="Times New Roman" w:hAnsi="Times New Roman"/>
          <w:color w:val="auto"/>
          <w:highlight w:val="none"/>
        </w:rPr>
        <w:t>（一）</w:t>
      </w:r>
      <w:r>
        <w:rPr>
          <w:rFonts w:ascii="Times New Roman" w:hAnsi="Times New Roman"/>
          <w:color w:val="auto"/>
          <w:highlight w:val="none"/>
        </w:rPr>
        <w:t>近年完成的类似项目情况表</w:t>
      </w:r>
      <w:bookmarkEnd w:id="926"/>
      <w:bookmarkEnd w:id="927"/>
    </w:p>
    <w:tbl>
      <w:tblPr>
        <w:tblStyle w:val="23"/>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r>
              <w:rPr>
                <w:rFonts w:hint="eastAsia" w:ascii="宋体" w:hAnsi="宋体" w:cs="宋体"/>
                <w:color w:val="auto"/>
                <w:highlight w:val="none"/>
              </w:rPr>
              <w:t>项目名称</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r>
              <w:rPr>
                <w:rFonts w:hint="eastAsia" w:ascii="宋体" w:hAnsi="宋体" w:cs="宋体"/>
                <w:color w:val="auto"/>
                <w:highlight w:val="none"/>
              </w:rPr>
              <w:t>项目所在地</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委托人名称</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委托人地址</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委托人电话</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合同价格</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监理服务期限</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监理内容</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总监理工程师</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项目描述</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备注</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注：投标人应根据</w:t>
      </w:r>
      <w:r>
        <w:rPr>
          <w:rFonts w:hint="eastAsia" w:ascii="Times New Roman" w:hAnsi="Times New Roman"/>
          <w:color w:val="auto"/>
          <w:highlight w:val="none"/>
        </w:rPr>
        <w:t>评标办法前附表</w:t>
      </w:r>
      <w:r>
        <w:rPr>
          <w:rFonts w:ascii="Times New Roman" w:hAnsi="Times New Roman"/>
          <w:color w:val="auto"/>
          <w:highlight w:val="none"/>
        </w:rPr>
        <w:t>第</w:t>
      </w:r>
      <w:r>
        <w:rPr>
          <w:rFonts w:hint="eastAsia" w:ascii="Times New Roman" w:hAnsi="Times New Roman"/>
          <w:color w:val="auto"/>
          <w:highlight w:val="none"/>
        </w:rPr>
        <w:t>2.2.4</w:t>
      </w:r>
      <w:r>
        <w:rPr>
          <w:rFonts w:ascii="Times New Roman" w:hAnsi="Times New Roman"/>
          <w:color w:val="auto"/>
          <w:highlight w:val="none"/>
        </w:rPr>
        <w:t>项</w:t>
      </w:r>
      <w:r>
        <w:rPr>
          <w:rFonts w:hint="eastAsia" w:ascii="Times New Roman" w:hAnsi="Times New Roman"/>
          <w:color w:val="auto"/>
          <w:highlight w:val="none"/>
          <w:lang w:val="en-US" w:eastAsia="zh-CN"/>
        </w:rPr>
        <w:t>相关内容</w:t>
      </w:r>
      <w:r>
        <w:rPr>
          <w:rFonts w:ascii="Times New Roman" w:hAnsi="Times New Roman"/>
          <w:color w:val="auto"/>
          <w:highlight w:val="none"/>
        </w:rPr>
        <w:t>的要求在本表后附相关证明材料。</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rPr>
          <w:rFonts w:ascii="Times New Roman" w:hAnsi="Times New Roman"/>
          <w:color w:val="auto"/>
          <w:highlight w:val="none"/>
        </w:rPr>
      </w:pPr>
      <w:bookmarkStart w:id="928" w:name="_Toc89870683"/>
      <w:r>
        <w:rPr>
          <w:rFonts w:hint="eastAsia" w:ascii="Times New Roman" w:hAnsi="Times New Roman"/>
          <w:color w:val="auto"/>
          <w:highlight w:val="none"/>
        </w:rPr>
        <w:br w:type="page"/>
      </w:r>
    </w:p>
    <w:p>
      <w:pPr>
        <w:pStyle w:val="5"/>
        <w:spacing w:before="0" w:after="0"/>
        <w:ind w:firstLine="560" w:firstLineChars="200"/>
        <w:jc w:val="center"/>
        <w:rPr>
          <w:rFonts w:ascii="Times New Roman" w:hAnsi="Times New Roman"/>
          <w:color w:val="auto"/>
          <w:highlight w:val="none"/>
        </w:rPr>
      </w:pPr>
      <w:bookmarkStart w:id="929" w:name="_Toc10341"/>
      <w:r>
        <w:rPr>
          <w:rFonts w:hint="eastAsia" w:ascii="Times New Roman" w:hAnsi="Times New Roman"/>
          <w:color w:val="auto"/>
          <w:highlight w:val="none"/>
        </w:rPr>
        <w:t>（二）</w:t>
      </w:r>
      <w:r>
        <w:rPr>
          <w:rFonts w:ascii="Times New Roman" w:hAnsi="Times New Roman"/>
          <w:color w:val="auto"/>
          <w:highlight w:val="none"/>
        </w:rPr>
        <w:t>项目管理团队人员信息表</w:t>
      </w:r>
      <w:bookmarkEnd w:id="928"/>
      <w:bookmarkEnd w:id="929"/>
    </w:p>
    <w:tbl>
      <w:tblPr>
        <w:tblStyle w:val="23"/>
        <w:tblW w:w="9051" w:type="dxa"/>
        <w:jc w:val="center"/>
        <w:tblLayout w:type="fixed"/>
        <w:tblCellMar>
          <w:top w:w="0" w:type="dxa"/>
          <w:left w:w="0" w:type="dxa"/>
          <w:bottom w:w="0" w:type="dxa"/>
          <w:right w:w="0" w:type="dxa"/>
        </w:tblCellMar>
      </w:tblPr>
      <w:tblGrid>
        <w:gridCol w:w="871"/>
        <w:gridCol w:w="1271"/>
        <w:gridCol w:w="1799"/>
        <w:gridCol w:w="1799"/>
        <w:gridCol w:w="3311"/>
      </w:tblGrid>
      <w:tr>
        <w:tblPrEx>
          <w:tblCellMar>
            <w:top w:w="0" w:type="dxa"/>
            <w:left w:w="0" w:type="dxa"/>
            <w:bottom w:w="0" w:type="dxa"/>
            <w:right w:w="0" w:type="dxa"/>
          </w:tblCellMar>
        </w:tblPrEx>
        <w:trPr>
          <w:trHeight w:val="790"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kern w:val="0"/>
                <w:szCs w:val="21"/>
                <w:highlight w:val="none"/>
                <w:lang w:bidi="ar"/>
              </w:rPr>
            </w:pPr>
            <w:r>
              <w:rPr>
                <w:rFonts w:hint="eastAsia" w:cs="仿宋" w:asciiTheme="majorEastAsia" w:hAnsiTheme="majorEastAsia" w:eastAsiaTheme="majorEastAsia"/>
                <w:b/>
                <w:color w:val="auto"/>
                <w:kern w:val="0"/>
                <w:szCs w:val="21"/>
                <w:highlight w:val="none"/>
                <w:lang w:bidi="ar"/>
              </w:rPr>
              <w:t>序号</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kern w:val="0"/>
                <w:szCs w:val="21"/>
                <w:highlight w:val="none"/>
                <w:lang w:bidi="ar"/>
              </w:rPr>
            </w:pPr>
            <w:r>
              <w:rPr>
                <w:rFonts w:hint="eastAsia" w:cs="仿宋" w:asciiTheme="majorEastAsia" w:hAnsiTheme="majorEastAsia" w:eastAsiaTheme="majorEastAsia"/>
                <w:b/>
                <w:color w:val="auto"/>
                <w:kern w:val="0"/>
                <w:szCs w:val="21"/>
                <w:highlight w:val="none"/>
                <w:lang w:bidi="ar"/>
              </w:rPr>
              <w:t>姓名</w:t>
            </w: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szCs w:val="21"/>
                <w:highlight w:val="none"/>
              </w:rPr>
            </w:pPr>
            <w:r>
              <w:rPr>
                <w:rFonts w:hint="eastAsia" w:cs="仿宋" w:asciiTheme="majorEastAsia" w:hAnsiTheme="majorEastAsia" w:eastAsiaTheme="majorEastAsia"/>
                <w:b/>
                <w:color w:val="auto"/>
                <w:kern w:val="0"/>
                <w:szCs w:val="21"/>
                <w:highlight w:val="none"/>
                <w:lang w:bidi="ar"/>
              </w:rPr>
              <w:t>岗位</w:t>
            </w: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szCs w:val="21"/>
                <w:highlight w:val="none"/>
              </w:rPr>
            </w:pPr>
            <w:r>
              <w:rPr>
                <w:rFonts w:hint="eastAsia" w:cs="仿宋" w:asciiTheme="majorEastAsia" w:hAnsiTheme="majorEastAsia" w:eastAsiaTheme="majorEastAsia"/>
                <w:b/>
                <w:color w:val="auto"/>
                <w:kern w:val="0"/>
                <w:szCs w:val="21"/>
                <w:highlight w:val="none"/>
                <w:lang w:bidi="ar"/>
              </w:rPr>
              <w:t>职称</w:t>
            </w: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szCs w:val="21"/>
                <w:highlight w:val="none"/>
              </w:rPr>
            </w:pPr>
            <w:r>
              <w:rPr>
                <w:rFonts w:hint="eastAsia" w:cs="仿宋" w:asciiTheme="majorEastAsia" w:hAnsiTheme="majorEastAsia" w:eastAsiaTheme="majorEastAsia"/>
                <w:b/>
                <w:color w:val="auto"/>
                <w:kern w:val="0"/>
                <w:szCs w:val="21"/>
                <w:highlight w:val="none"/>
                <w:lang w:bidi="ar"/>
              </w:rPr>
              <w:t>职称证书或资格证书编号</w:t>
            </w: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cs="仿宋" w:asciiTheme="majorEastAsia" w:hAnsiTheme="majorEastAsia" w:eastAsiaTheme="majorEastAsia"/>
                <w:color w:val="auto"/>
                <w:kern w:val="0"/>
                <w:szCs w:val="21"/>
                <w:highlight w:val="none"/>
                <w:lang w:bidi="ar"/>
              </w:rPr>
              <w:t>1</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cs="仿宋" w:asciiTheme="majorEastAsia" w:hAnsiTheme="majorEastAsia" w:eastAsiaTheme="majorEastAsia"/>
                <w:color w:val="auto"/>
                <w:kern w:val="0"/>
                <w:szCs w:val="21"/>
                <w:highlight w:val="none"/>
                <w:lang w:bidi="ar"/>
              </w:rPr>
              <w:t>2</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cs="仿宋" w:asciiTheme="majorEastAsia" w:hAnsiTheme="majorEastAsia" w:eastAsiaTheme="majorEastAsia"/>
                <w:color w:val="auto"/>
                <w:kern w:val="0"/>
                <w:szCs w:val="21"/>
                <w:highlight w:val="none"/>
                <w:lang w:bidi="ar"/>
              </w:rPr>
              <w:t>3</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cs="仿宋" w:asciiTheme="majorEastAsia" w:hAnsiTheme="majorEastAsia" w:eastAsiaTheme="majorEastAsia"/>
                <w:color w:val="auto"/>
                <w:kern w:val="0"/>
                <w:szCs w:val="21"/>
                <w:highlight w:val="none"/>
                <w:lang w:bidi="ar"/>
              </w:rPr>
              <w:t>4</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hint="eastAsia" w:cs="仿宋" w:asciiTheme="majorEastAsia" w:hAnsiTheme="majorEastAsia" w:eastAsiaTheme="majorEastAsia"/>
                <w:color w:val="auto"/>
                <w:kern w:val="0"/>
                <w:szCs w:val="21"/>
                <w:highlight w:val="none"/>
                <w:lang w:bidi="ar"/>
              </w:rPr>
              <w:t>……</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3648" w:hRule="atLeast"/>
          <w:jc w:val="center"/>
        </w:trPr>
        <w:tc>
          <w:tcPr>
            <w:tcW w:w="90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ajorEastAsia" w:hAnsiTheme="majorEastAsia" w:eastAsiaTheme="majorEastAsia"/>
                <w:color w:val="auto"/>
                <w:highlight w:val="none"/>
              </w:rPr>
            </w:pPr>
            <w:r>
              <w:rPr>
                <w:rStyle w:val="34"/>
                <w:rFonts w:hint="default" w:asciiTheme="majorEastAsia" w:hAnsiTheme="majorEastAsia" w:eastAsiaTheme="majorEastAsia"/>
                <w:color w:val="auto"/>
                <w:sz w:val="21"/>
                <w:szCs w:val="21"/>
                <w:highlight w:val="none"/>
                <w:lang w:bidi="ar"/>
              </w:rPr>
              <w:t>备注：</w:t>
            </w:r>
          </w:p>
          <w:p>
            <w:pPr>
              <w:widowControl/>
              <w:jc w:val="left"/>
              <w:textAlignment w:val="center"/>
              <w:rPr>
                <w:rFonts w:asciiTheme="majorEastAsia" w:hAnsiTheme="majorEastAsia" w:eastAsiaTheme="majorEastAsia"/>
                <w:color w:val="auto"/>
                <w:highlight w:val="none"/>
              </w:rPr>
            </w:pPr>
            <w:r>
              <w:rPr>
                <w:rStyle w:val="34"/>
                <w:rFonts w:hint="default" w:asciiTheme="majorEastAsia" w:hAnsiTheme="majorEastAsia" w:eastAsiaTheme="majorEastAsia"/>
                <w:color w:val="auto"/>
                <w:sz w:val="21"/>
                <w:szCs w:val="21"/>
                <w:highlight w:val="none"/>
                <w:lang w:bidi="ar"/>
              </w:rPr>
              <w:t>1、“岗位”要求</w:t>
            </w:r>
            <w:r>
              <w:rPr>
                <w:rStyle w:val="35"/>
                <w:rFonts w:hint="default" w:asciiTheme="majorEastAsia" w:hAnsiTheme="majorEastAsia" w:eastAsiaTheme="majorEastAsia"/>
                <w:color w:val="auto"/>
                <w:sz w:val="21"/>
                <w:szCs w:val="21"/>
                <w:highlight w:val="none"/>
                <w:lang w:bidi="ar"/>
              </w:rPr>
              <w:t>（总监理工程师除外）</w:t>
            </w:r>
            <w:r>
              <w:rPr>
                <w:rStyle w:val="34"/>
                <w:rFonts w:hint="default" w:asciiTheme="majorEastAsia" w:hAnsiTheme="majorEastAsia" w:eastAsiaTheme="majorEastAsia"/>
                <w:color w:val="auto"/>
                <w:sz w:val="21"/>
                <w:szCs w:val="21"/>
                <w:highlight w:val="none"/>
                <w:lang w:bidi="ar"/>
              </w:rPr>
              <w:t>由招标人根据项目管理需要在本表备注中明确提出，如：拟派驻施工现场的总监理工程师代表、专业监理工程师、监理员等。以上项目管理团队人员信息将由交易系统提取后供各相关单位在履约时比对、查核。</w:t>
            </w:r>
          </w:p>
          <w:p>
            <w:pPr>
              <w:widowControl/>
              <w:jc w:val="left"/>
              <w:textAlignment w:val="center"/>
              <w:rPr>
                <w:rFonts w:asciiTheme="majorEastAsia" w:hAnsiTheme="majorEastAsia" w:eastAsiaTheme="majorEastAsia"/>
                <w:color w:val="auto"/>
                <w:highlight w:val="none"/>
              </w:rPr>
            </w:pPr>
            <w:r>
              <w:rPr>
                <w:rStyle w:val="34"/>
                <w:rFonts w:hint="default" w:asciiTheme="majorEastAsia" w:hAnsiTheme="majorEastAsia" w:eastAsiaTheme="majorEastAsia"/>
                <w:color w:val="auto"/>
                <w:sz w:val="21"/>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cs="仿宋" w:asciiTheme="majorEastAsia" w:hAnsiTheme="majorEastAsia" w:eastAsiaTheme="majorEastAsia"/>
                <w:color w:val="auto"/>
                <w:szCs w:val="21"/>
                <w:highlight w:val="none"/>
              </w:rPr>
            </w:pPr>
            <w:r>
              <w:rPr>
                <w:rStyle w:val="34"/>
                <w:rFonts w:hint="default" w:asciiTheme="majorEastAsia" w:hAnsiTheme="majorEastAsia" w:eastAsiaTheme="majorEastAsia"/>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p>
      <w:pPr>
        <w:rPr>
          <w:rFonts w:ascii="Times New Roman" w:hAnsi="Times New Roman"/>
          <w:color w:val="auto"/>
          <w:highlight w:val="none"/>
        </w:rPr>
      </w:pPr>
    </w:p>
    <w:p>
      <w:pPr>
        <w:pStyle w:val="2"/>
        <w:rPr>
          <w:rFonts w:ascii="Times New Roman" w:hAnsi="Times New Roman"/>
          <w:color w:val="auto"/>
          <w:highlight w:val="none"/>
        </w:rPr>
      </w:pPr>
    </w:p>
    <w:p>
      <w:pPr>
        <w:rPr>
          <w:rFonts w:ascii="Times New Roman" w:hAnsi="Times New Roman"/>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widowControl/>
        <w:jc w:val="left"/>
        <w:rPr>
          <w:rFonts w:ascii="Times New Roman" w:hAnsi="Times New Roman" w:eastAsia="黑体"/>
          <w:color w:val="auto"/>
          <w:sz w:val="28"/>
          <w:szCs w:val="20"/>
          <w:highlight w:val="none"/>
        </w:rPr>
      </w:pPr>
      <w:bookmarkStart w:id="930" w:name="_Toc89870684"/>
      <w:r>
        <w:rPr>
          <w:rFonts w:ascii="Times New Roman" w:hAnsi="Times New Roman"/>
          <w:color w:val="auto"/>
          <w:highlight w:val="none"/>
        </w:rPr>
        <w:br w:type="page"/>
      </w:r>
    </w:p>
    <w:p>
      <w:pPr>
        <w:pStyle w:val="5"/>
        <w:keepNext w:val="0"/>
        <w:keepLines w:val="0"/>
        <w:ind w:firstLine="137"/>
        <w:jc w:val="center"/>
        <w:rPr>
          <w:rFonts w:ascii="Times New Roman" w:hAnsi="Times New Roman"/>
          <w:color w:val="auto"/>
          <w:highlight w:val="none"/>
        </w:rPr>
      </w:pPr>
      <w:bookmarkStart w:id="931" w:name="_Toc14970"/>
      <w:r>
        <w:rPr>
          <w:rFonts w:hint="eastAsia" w:ascii="Times New Roman" w:hAnsi="Times New Roman"/>
          <w:color w:val="auto"/>
          <w:highlight w:val="none"/>
        </w:rPr>
        <w:t>（三）</w:t>
      </w:r>
      <w:r>
        <w:rPr>
          <w:rFonts w:ascii="Times New Roman" w:hAnsi="Times New Roman"/>
          <w:color w:val="auto"/>
          <w:highlight w:val="none"/>
        </w:rPr>
        <w:t>主要人员简历表</w:t>
      </w:r>
      <w:bookmarkEnd w:id="930"/>
      <w:bookmarkEnd w:id="931"/>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78"/>
        <w:gridCol w:w="729"/>
        <w:gridCol w:w="1011"/>
        <w:gridCol w:w="1125"/>
        <w:gridCol w:w="747"/>
        <w:gridCol w:w="1331"/>
        <w:gridCol w:w="423"/>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53"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姓  名</w:t>
            </w:r>
          </w:p>
        </w:tc>
        <w:tc>
          <w:tcPr>
            <w:tcW w:w="1107" w:type="dxa"/>
            <w:gridSpan w:val="2"/>
            <w:vAlign w:val="center"/>
          </w:tcPr>
          <w:p>
            <w:pPr>
              <w:spacing w:line="440" w:lineRule="exact"/>
              <w:jc w:val="center"/>
              <w:rPr>
                <w:rFonts w:ascii="Times New Roman" w:hAnsi="Times New Roman"/>
                <w:color w:val="auto"/>
                <w:highlight w:val="none"/>
              </w:rPr>
            </w:pPr>
          </w:p>
        </w:tc>
        <w:tc>
          <w:tcPr>
            <w:tcW w:w="1011"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年龄</w:t>
            </w:r>
          </w:p>
        </w:tc>
        <w:tc>
          <w:tcPr>
            <w:tcW w:w="1125" w:type="dxa"/>
            <w:vAlign w:val="center"/>
          </w:tcPr>
          <w:p>
            <w:pPr>
              <w:spacing w:line="440" w:lineRule="exact"/>
              <w:jc w:val="center"/>
              <w:rPr>
                <w:rFonts w:ascii="Times New Roman" w:hAnsi="Times New Roman"/>
                <w:color w:val="auto"/>
                <w:highlight w:val="none"/>
              </w:rPr>
            </w:pPr>
          </w:p>
        </w:tc>
        <w:tc>
          <w:tcPr>
            <w:tcW w:w="2501" w:type="dxa"/>
            <w:gridSpan w:val="3"/>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执业资格证书（或上岗证书）名称</w:t>
            </w:r>
          </w:p>
        </w:tc>
        <w:tc>
          <w:tcPr>
            <w:tcW w:w="2003"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53"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职  称</w:t>
            </w:r>
          </w:p>
        </w:tc>
        <w:tc>
          <w:tcPr>
            <w:tcW w:w="1107" w:type="dxa"/>
            <w:gridSpan w:val="2"/>
            <w:vAlign w:val="center"/>
          </w:tcPr>
          <w:p>
            <w:pPr>
              <w:spacing w:line="440" w:lineRule="exact"/>
              <w:jc w:val="center"/>
              <w:rPr>
                <w:rFonts w:ascii="Times New Roman" w:hAnsi="Times New Roman"/>
                <w:color w:val="auto"/>
                <w:highlight w:val="none"/>
              </w:rPr>
            </w:pPr>
          </w:p>
        </w:tc>
        <w:tc>
          <w:tcPr>
            <w:tcW w:w="1011"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学历</w:t>
            </w:r>
          </w:p>
        </w:tc>
        <w:tc>
          <w:tcPr>
            <w:tcW w:w="1125" w:type="dxa"/>
            <w:vAlign w:val="center"/>
          </w:tcPr>
          <w:p>
            <w:pPr>
              <w:spacing w:line="440" w:lineRule="exact"/>
              <w:jc w:val="center"/>
              <w:rPr>
                <w:rFonts w:ascii="Times New Roman" w:hAnsi="Times New Roman"/>
                <w:color w:val="auto"/>
                <w:highlight w:val="none"/>
              </w:rPr>
            </w:pPr>
          </w:p>
        </w:tc>
        <w:tc>
          <w:tcPr>
            <w:tcW w:w="2501" w:type="dxa"/>
            <w:gridSpan w:val="3"/>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拟在本项目任职</w:t>
            </w:r>
          </w:p>
        </w:tc>
        <w:tc>
          <w:tcPr>
            <w:tcW w:w="2003"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53"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工作年限</w:t>
            </w:r>
          </w:p>
        </w:tc>
        <w:tc>
          <w:tcPr>
            <w:tcW w:w="3243" w:type="dxa"/>
            <w:gridSpan w:val="4"/>
            <w:vAlign w:val="center"/>
          </w:tcPr>
          <w:p>
            <w:pPr>
              <w:spacing w:line="440" w:lineRule="exact"/>
              <w:jc w:val="center"/>
              <w:rPr>
                <w:rFonts w:ascii="Times New Roman" w:hAnsi="Times New Roman"/>
                <w:color w:val="auto"/>
                <w:highlight w:val="none"/>
              </w:rPr>
            </w:pPr>
          </w:p>
        </w:tc>
        <w:tc>
          <w:tcPr>
            <w:tcW w:w="2501" w:type="dxa"/>
            <w:gridSpan w:val="3"/>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从事监理工作年限</w:t>
            </w:r>
          </w:p>
        </w:tc>
        <w:tc>
          <w:tcPr>
            <w:tcW w:w="2003"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53"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毕业学校</w:t>
            </w:r>
          </w:p>
        </w:tc>
        <w:tc>
          <w:tcPr>
            <w:tcW w:w="7747" w:type="dxa"/>
            <w:gridSpan w:val="8"/>
            <w:vAlign w:val="center"/>
          </w:tcPr>
          <w:p>
            <w:pPr>
              <w:spacing w:before="100" w:beforeAutospacing="1" w:after="100" w:afterAutospacing="1" w:line="440" w:lineRule="exact"/>
              <w:ind w:firstLine="1155" w:firstLineChars="550"/>
              <w:rPr>
                <w:rFonts w:ascii="Times New Roman" w:hAnsi="Times New Roman"/>
                <w:color w:val="auto"/>
                <w:highlight w:val="none"/>
              </w:rPr>
            </w:pPr>
            <w:r>
              <w:rPr>
                <w:rFonts w:ascii="Times New Roman" w:hAnsi="Times New Roman"/>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00" w:type="dxa"/>
            <w:gridSpan w:val="9"/>
            <w:vAlign w:val="center"/>
          </w:tcPr>
          <w:p>
            <w:pPr>
              <w:spacing w:before="100" w:beforeAutospacing="1" w:after="100" w:afterAutospacing="1" w:line="440" w:lineRule="exact"/>
              <w:jc w:val="left"/>
              <w:rPr>
                <w:rFonts w:ascii="Times New Roman" w:hAnsi="Times New Roman"/>
                <w:color w:val="auto"/>
                <w:highlight w:val="none"/>
              </w:rPr>
            </w:pPr>
            <w:r>
              <w:rPr>
                <w:rFonts w:ascii="Times New Roman" w:hAnsi="Times New Roman"/>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31" w:type="dxa"/>
            <w:gridSpan w:val="2"/>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时  间</w:t>
            </w:r>
          </w:p>
        </w:tc>
        <w:tc>
          <w:tcPr>
            <w:tcW w:w="3612" w:type="dxa"/>
            <w:gridSpan w:val="4"/>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参加过的类似项目</w:t>
            </w:r>
          </w:p>
        </w:tc>
        <w:tc>
          <w:tcPr>
            <w:tcW w:w="1331"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担任职务</w:t>
            </w:r>
          </w:p>
        </w:tc>
        <w:tc>
          <w:tcPr>
            <w:tcW w:w="2426" w:type="dxa"/>
            <w:gridSpan w:val="2"/>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tcPr>
          <w:p>
            <w:pPr>
              <w:spacing w:line="440" w:lineRule="exact"/>
              <w:rPr>
                <w:rFonts w:ascii="Times New Roman" w:hAnsi="Times New Roman"/>
                <w:color w:val="auto"/>
                <w:highlight w:val="none"/>
              </w:rPr>
            </w:pPr>
          </w:p>
        </w:tc>
        <w:tc>
          <w:tcPr>
            <w:tcW w:w="3612" w:type="dxa"/>
            <w:gridSpan w:val="4"/>
          </w:tcPr>
          <w:p>
            <w:pPr>
              <w:spacing w:line="440" w:lineRule="exact"/>
              <w:rPr>
                <w:rFonts w:ascii="Times New Roman" w:hAnsi="Times New Roman"/>
                <w:color w:val="auto"/>
                <w:highlight w:val="none"/>
              </w:rPr>
            </w:pPr>
          </w:p>
        </w:tc>
        <w:tc>
          <w:tcPr>
            <w:tcW w:w="1331" w:type="dxa"/>
          </w:tcPr>
          <w:p>
            <w:pPr>
              <w:spacing w:line="440" w:lineRule="exact"/>
              <w:rPr>
                <w:rFonts w:ascii="Times New Roman" w:hAnsi="Times New Roman"/>
                <w:color w:val="auto"/>
                <w:highlight w:val="none"/>
              </w:rPr>
            </w:pPr>
          </w:p>
        </w:tc>
        <w:tc>
          <w:tcPr>
            <w:tcW w:w="2426"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tcPr>
          <w:p>
            <w:pPr>
              <w:spacing w:line="440" w:lineRule="exact"/>
              <w:rPr>
                <w:rFonts w:ascii="Times New Roman" w:hAnsi="Times New Roman"/>
                <w:color w:val="auto"/>
                <w:highlight w:val="none"/>
              </w:rPr>
            </w:pPr>
          </w:p>
        </w:tc>
        <w:tc>
          <w:tcPr>
            <w:tcW w:w="3612" w:type="dxa"/>
            <w:gridSpan w:val="4"/>
          </w:tcPr>
          <w:p>
            <w:pPr>
              <w:spacing w:line="440" w:lineRule="exact"/>
              <w:rPr>
                <w:rFonts w:ascii="Times New Roman" w:hAnsi="Times New Roman"/>
                <w:color w:val="auto"/>
                <w:highlight w:val="none"/>
              </w:rPr>
            </w:pPr>
          </w:p>
        </w:tc>
        <w:tc>
          <w:tcPr>
            <w:tcW w:w="1331" w:type="dxa"/>
          </w:tcPr>
          <w:p>
            <w:pPr>
              <w:spacing w:line="440" w:lineRule="exact"/>
              <w:rPr>
                <w:rFonts w:ascii="Times New Roman" w:hAnsi="Times New Roman"/>
                <w:color w:val="auto"/>
                <w:highlight w:val="none"/>
              </w:rPr>
            </w:pPr>
          </w:p>
        </w:tc>
        <w:tc>
          <w:tcPr>
            <w:tcW w:w="2426"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tcPr>
          <w:p>
            <w:pPr>
              <w:spacing w:line="440" w:lineRule="exact"/>
              <w:rPr>
                <w:rFonts w:ascii="Times New Roman" w:hAnsi="Times New Roman"/>
                <w:color w:val="auto"/>
                <w:highlight w:val="none"/>
              </w:rPr>
            </w:pPr>
          </w:p>
        </w:tc>
        <w:tc>
          <w:tcPr>
            <w:tcW w:w="3612" w:type="dxa"/>
            <w:gridSpan w:val="4"/>
          </w:tcPr>
          <w:p>
            <w:pPr>
              <w:spacing w:line="440" w:lineRule="exact"/>
              <w:rPr>
                <w:rFonts w:ascii="Times New Roman" w:hAnsi="Times New Roman"/>
                <w:color w:val="auto"/>
                <w:highlight w:val="none"/>
              </w:rPr>
            </w:pPr>
          </w:p>
        </w:tc>
        <w:tc>
          <w:tcPr>
            <w:tcW w:w="1331" w:type="dxa"/>
          </w:tcPr>
          <w:p>
            <w:pPr>
              <w:spacing w:line="440" w:lineRule="exact"/>
              <w:rPr>
                <w:rFonts w:ascii="Times New Roman" w:hAnsi="Times New Roman"/>
                <w:color w:val="auto"/>
                <w:highlight w:val="none"/>
              </w:rPr>
            </w:pPr>
          </w:p>
        </w:tc>
        <w:tc>
          <w:tcPr>
            <w:tcW w:w="2426"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vAlign w:val="center"/>
          </w:tcPr>
          <w:p>
            <w:pPr>
              <w:spacing w:line="440" w:lineRule="exact"/>
              <w:rPr>
                <w:rFonts w:ascii="Times New Roman" w:hAnsi="Times New Roman"/>
                <w:color w:val="auto"/>
                <w:highlight w:val="none"/>
              </w:rPr>
            </w:pPr>
          </w:p>
        </w:tc>
        <w:tc>
          <w:tcPr>
            <w:tcW w:w="3612" w:type="dxa"/>
            <w:gridSpan w:val="4"/>
            <w:vAlign w:val="center"/>
          </w:tcPr>
          <w:p>
            <w:pPr>
              <w:spacing w:line="440" w:lineRule="exact"/>
              <w:rPr>
                <w:rFonts w:ascii="Times New Roman" w:hAnsi="Times New Roman"/>
                <w:color w:val="auto"/>
                <w:highlight w:val="none"/>
              </w:rPr>
            </w:pPr>
          </w:p>
        </w:tc>
        <w:tc>
          <w:tcPr>
            <w:tcW w:w="1331" w:type="dxa"/>
            <w:vAlign w:val="center"/>
          </w:tcPr>
          <w:p>
            <w:pPr>
              <w:spacing w:line="440" w:lineRule="exact"/>
              <w:rPr>
                <w:rFonts w:ascii="Times New Roman" w:hAnsi="Times New Roman"/>
                <w:color w:val="auto"/>
                <w:highlight w:val="none"/>
              </w:rPr>
            </w:pPr>
          </w:p>
        </w:tc>
        <w:tc>
          <w:tcPr>
            <w:tcW w:w="2426"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vAlign w:val="center"/>
          </w:tcPr>
          <w:p>
            <w:pPr>
              <w:spacing w:line="440" w:lineRule="exact"/>
              <w:rPr>
                <w:rFonts w:ascii="Times New Roman" w:hAnsi="Times New Roman"/>
                <w:color w:val="auto"/>
                <w:highlight w:val="none"/>
              </w:rPr>
            </w:pPr>
          </w:p>
        </w:tc>
        <w:tc>
          <w:tcPr>
            <w:tcW w:w="3612" w:type="dxa"/>
            <w:gridSpan w:val="4"/>
            <w:vAlign w:val="center"/>
          </w:tcPr>
          <w:p>
            <w:pPr>
              <w:spacing w:line="440" w:lineRule="exact"/>
              <w:rPr>
                <w:rFonts w:ascii="Times New Roman" w:hAnsi="Times New Roman"/>
                <w:color w:val="auto"/>
                <w:highlight w:val="none"/>
              </w:rPr>
            </w:pPr>
          </w:p>
        </w:tc>
        <w:tc>
          <w:tcPr>
            <w:tcW w:w="1331" w:type="dxa"/>
            <w:vAlign w:val="center"/>
          </w:tcPr>
          <w:p>
            <w:pPr>
              <w:spacing w:line="440" w:lineRule="exact"/>
              <w:rPr>
                <w:rFonts w:ascii="Times New Roman" w:hAnsi="Times New Roman"/>
                <w:color w:val="auto"/>
                <w:highlight w:val="none"/>
              </w:rPr>
            </w:pPr>
          </w:p>
        </w:tc>
        <w:tc>
          <w:tcPr>
            <w:tcW w:w="2426"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vAlign w:val="center"/>
          </w:tcPr>
          <w:p>
            <w:pPr>
              <w:spacing w:line="440" w:lineRule="exact"/>
              <w:rPr>
                <w:rFonts w:ascii="Times New Roman" w:hAnsi="Times New Roman"/>
                <w:color w:val="auto"/>
                <w:highlight w:val="none"/>
              </w:rPr>
            </w:pPr>
          </w:p>
        </w:tc>
        <w:tc>
          <w:tcPr>
            <w:tcW w:w="3612" w:type="dxa"/>
            <w:gridSpan w:val="4"/>
            <w:vAlign w:val="center"/>
          </w:tcPr>
          <w:p>
            <w:pPr>
              <w:spacing w:line="440" w:lineRule="exact"/>
              <w:rPr>
                <w:rFonts w:ascii="Times New Roman" w:hAnsi="Times New Roman"/>
                <w:color w:val="auto"/>
                <w:highlight w:val="none"/>
              </w:rPr>
            </w:pPr>
          </w:p>
        </w:tc>
        <w:tc>
          <w:tcPr>
            <w:tcW w:w="1331" w:type="dxa"/>
            <w:vAlign w:val="center"/>
          </w:tcPr>
          <w:p>
            <w:pPr>
              <w:spacing w:line="440" w:lineRule="exact"/>
              <w:rPr>
                <w:rFonts w:ascii="Times New Roman" w:hAnsi="Times New Roman"/>
                <w:color w:val="auto"/>
                <w:highlight w:val="none"/>
              </w:rPr>
            </w:pPr>
          </w:p>
        </w:tc>
        <w:tc>
          <w:tcPr>
            <w:tcW w:w="2426"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vAlign w:val="center"/>
          </w:tcPr>
          <w:p>
            <w:pPr>
              <w:spacing w:line="440" w:lineRule="exact"/>
              <w:rPr>
                <w:rFonts w:ascii="Times New Roman" w:hAnsi="Times New Roman"/>
                <w:color w:val="auto"/>
                <w:highlight w:val="none"/>
              </w:rPr>
            </w:pPr>
          </w:p>
        </w:tc>
        <w:tc>
          <w:tcPr>
            <w:tcW w:w="3612" w:type="dxa"/>
            <w:gridSpan w:val="4"/>
            <w:vAlign w:val="center"/>
          </w:tcPr>
          <w:p>
            <w:pPr>
              <w:spacing w:line="440" w:lineRule="exact"/>
              <w:rPr>
                <w:rFonts w:ascii="Times New Roman" w:hAnsi="Times New Roman"/>
                <w:color w:val="auto"/>
                <w:highlight w:val="none"/>
              </w:rPr>
            </w:pPr>
          </w:p>
        </w:tc>
        <w:tc>
          <w:tcPr>
            <w:tcW w:w="1331" w:type="dxa"/>
            <w:vAlign w:val="center"/>
          </w:tcPr>
          <w:p>
            <w:pPr>
              <w:spacing w:line="440" w:lineRule="exact"/>
              <w:rPr>
                <w:rFonts w:ascii="Times New Roman" w:hAnsi="Times New Roman"/>
                <w:color w:val="auto"/>
                <w:highlight w:val="none"/>
              </w:rPr>
            </w:pPr>
          </w:p>
        </w:tc>
        <w:tc>
          <w:tcPr>
            <w:tcW w:w="2426" w:type="dxa"/>
            <w:gridSpan w:val="2"/>
            <w:vAlign w:val="center"/>
          </w:tcPr>
          <w:p>
            <w:pPr>
              <w:spacing w:line="440" w:lineRule="exact"/>
              <w:rPr>
                <w:rFonts w:ascii="Times New Roman" w:hAnsi="Times New Roman"/>
                <w:color w:val="auto"/>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注：投标人应根据</w:t>
      </w:r>
      <w:r>
        <w:rPr>
          <w:rFonts w:hint="eastAsia" w:ascii="Times New Roman" w:hAnsi="Times New Roman"/>
          <w:color w:val="auto"/>
          <w:highlight w:val="none"/>
        </w:rPr>
        <w:t>评标办法前附表</w:t>
      </w:r>
      <w:r>
        <w:rPr>
          <w:rFonts w:ascii="Times New Roman" w:hAnsi="Times New Roman"/>
          <w:color w:val="auto"/>
          <w:highlight w:val="none"/>
        </w:rPr>
        <w:t>第</w:t>
      </w:r>
      <w:r>
        <w:rPr>
          <w:rFonts w:hint="eastAsia" w:ascii="Times New Roman" w:hAnsi="Times New Roman"/>
          <w:color w:val="auto"/>
          <w:highlight w:val="none"/>
        </w:rPr>
        <w:t>2.2.4</w:t>
      </w:r>
      <w:r>
        <w:rPr>
          <w:rFonts w:ascii="Times New Roman" w:hAnsi="Times New Roman"/>
          <w:color w:val="auto"/>
          <w:highlight w:val="none"/>
        </w:rPr>
        <w:t>项</w:t>
      </w:r>
      <w:r>
        <w:rPr>
          <w:rFonts w:hint="eastAsia" w:ascii="Times New Roman" w:hAnsi="Times New Roman"/>
          <w:color w:val="auto"/>
          <w:highlight w:val="none"/>
          <w:lang w:val="en-US" w:eastAsia="zh-CN"/>
        </w:rPr>
        <w:t>相关内容</w:t>
      </w:r>
      <w:r>
        <w:rPr>
          <w:rFonts w:ascii="Times New Roman" w:hAnsi="Times New Roman"/>
          <w:color w:val="auto"/>
          <w:highlight w:val="none"/>
        </w:rPr>
        <w:t>的要求在本表后附相关证明材料。</w:t>
      </w:r>
      <w:r>
        <w:rPr>
          <w:rFonts w:hint="eastAsia" w:ascii="Times New Roman" w:hAnsi="Times New Roman"/>
          <w:color w:val="auto"/>
          <w:highlight w:val="none"/>
        </w:rPr>
        <w:t>本项目社保缴纳期限包含疫情期，若当地政府部门允许企业在疫情期间缓缴社会保险费且投标人未缴纳的，投标人可提供当地政府部门允许缓缴社保的相关文件作为缴纳社保的证明。</w:t>
      </w:r>
    </w:p>
    <w:p>
      <w:pPr>
        <w:pStyle w:val="28"/>
        <w:rPr>
          <w:color w:val="auto"/>
          <w:highlight w:val="none"/>
        </w:rPr>
      </w:pP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widowControl/>
        <w:jc w:val="left"/>
        <w:rPr>
          <w:rFonts w:ascii="Times New Roman" w:hAnsi="Times New Roman" w:eastAsia="黑体"/>
          <w:color w:val="auto"/>
          <w:sz w:val="28"/>
          <w:szCs w:val="20"/>
          <w:highlight w:val="none"/>
        </w:rPr>
      </w:pPr>
      <w:bookmarkStart w:id="932" w:name="_Toc89870685"/>
      <w:r>
        <w:rPr>
          <w:rFonts w:ascii="Times New Roman" w:hAnsi="Times New Roman"/>
          <w:color w:val="auto"/>
          <w:highlight w:val="none"/>
        </w:rPr>
        <w:br w:type="page"/>
      </w:r>
    </w:p>
    <w:p>
      <w:pPr>
        <w:pStyle w:val="5"/>
        <w:keepNext w:val="0"/>
        <w:keepLines w:val="0"/>
        <w:ind w:firstLine="137"/>
        <w:jc w:val="center"/>
        <w:rPr>
          <w:rFonts w:ascii="Times New Roman" w:hAnsi="Times New Roman"/>
          <w:color w:val="auto"/>
          <w:highlight w:val="none"/>
        </w:rPr>
      </w:pPr>
      <w:bookmarkStart w:id="933" w:name="_Toc28458"/>
      <w:r>
        <w:rPr>
          <w:rFonts w:hint="eastAsia" w:ascii="Times New Roman" w:hAnsi="Times New Roman"/>
          <w:color w:val="auto"/>
          <w:highlight w:val="none"/>
        </w:rPr>
        <w:t>（四）</w:t>
      </w:r>
      <w:r>
        <w:rPr>
          <w:rFonts w:ascii="Times New Roman" w:hAnsi="Times New Roman"/>
          <w:color w:val="auto"/>
          <w:highlight w:val="none"/>
        </w:rPr>
        <w:t>拟投入本项目的主要试验检测仪器设备表</w:t>
      </w:r>
      <w:bookmarkEnd w:id="932"/>
      <w:bookmarkEnd w:id="933"/>
    </w:p>
    <w:tbl>
      <w:tblPr>
        <w:tblStyle w:val="23"/>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10"/>
        <w:gridCol w:w="1036"/>
        <w:gridCol w:w="827"/>
        <w:gridCol w:w="941"/>
        <w:gridCol w:w="1099"/>
        <w:gridCol w:w="157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06" w:type="dxa"/>
            <w:vAlign w:val="center"/>
          </w:tcPr>
          <w:p>
            <w:pPr>
              <w:spacing w:line="440" w:lineRule="exact"/>
              <w:rPr>
                <w:rFonts w:ascii="Times New Roman" w:hAnsi="Times New Roman"/>
                <w:color w:val="auto"/>
                <w:szCs w:val="21"/>
                <w:highlight w:val="none"/>
              </w:rPr>
            </w:pPr>
            <w:r>
              <w:rPr>
                <w:rFonts w:ascii="Times New Roman" w:hAnsi="Times New Roman"/>
                <w:color w:val="auto"/>
                <w:szCs w:val="21"/>
                <w:highlight w:val="none"/>
              </w:rPr>
              <w:t>序号</w:t>
            </w:r>
          </w:p>
        </w:tc>
        <w:tc>
          <w:tcPr>
            <w:tcW w:w="1410"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仪器设备</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名称</w:t>
            </w:r>
          </w:p>
        </w:tc>
        <w:tc>
          <w:tcPr>
            <w:tcW w:w="1036"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型号</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规格</w:t>
            </w:r>
          </w:p>
        </w:tc>
        <w:tc>
          <w:tcPr>
            <w:tcW w:w="827"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数量</w:t>
            </w:r>
          </w:p>
        </w:tc>
        <w:tc>
          <w:tcPr>
            <w:tcW w:w="941"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国别</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产地</w:t>
            </w:r>
          </w:p>
        </w:tc>
        <w:tc>
          <w:tcPr>
            <w:tcW w:w="1099"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制造</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年份</w:t>
            </w:r>
          </w:p>
        </w:tc>
        <w:tc>
          <w:tcPr>
            <w:tcW w:w="1570"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用途</w:t>
            </w:r>
          </w:p>
        </w:tc>
        <w:tc>
          <w:tcPr>
            <w:tcW w:w="1285"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vAlign w:val="center"/>
          </w:tcPr>
          <w:p>
            <w:pPr>
              <w:spacing w:line="440" w:lineRule="exact"/>
              <w:jc w:val="center"/>
              <w:rPr>
                <w:rFonts w:ascii="Times New Roman" w:hAnsi="Times New Roman"/>
                <w:color w:val="auto"/>
                <w:szCs w:val="21"/>
                <w:highlight w:val="none"/>
              </w:rPr>
            </w:pPr>
          </w:p>
        </w:tc>
        <w:tc>
          <w:tcPr>
            <w:tcW w:w="1410" w:type="dxa"/>
            <w:vAlign w:val="center"/>
          </w:tcPr>
          <w:p>
            <w:pPr>
              <w:spacing w:line="440" w:lineRule="exact"/>
              <w:jc w:val="center"/>
              <w:rPr>
                <w:rFonts w:ascii="Times New Roman" w:hAnsi="Times New Roman"/>
                <w:color w:val="auto"/>
                <w:szCs w:val="21"/>
                <w:highlight w:val="none"/>
              </w:rPr>
            </w:pPr>
          </w:p>
        </w:tc>
        <w:tc>
          <w:tcPr>
            <w:tcW w:w="1036" w:type="dxa"/>
            <w:vAlign w:val="center"/>
          </w:tcPr>
          <w:p>
            <w:pPr>
              <w:spacing w:line="440" w:lineRule="exact"/>
              <w:jc w:val="center"/>
              <w:rPr>
                <w:rFonts w:ascii="Times New Roman" w:hAnsi="Times New Roman"/>
                <w:color w:val="auto"/>
                <w:szCs w:val="21"/>
                <w:highlight w:val="none"/>
              </w:rPr>
            </w:pPr>
          </w:p>
        </w:tc>
        <w:tc>
          <w:tcPr>
            <w:tcW w:w="827" w:type="dxa"/>
            <w:vAlign w:val="center"/>
          </w:tcPr>
          <w:p>
            <w:pPr>
              <w:spacing w:line="440" w:lineRule="exact"/>
              <w:jc w:val="center"/>
              <w:rPr>
                <w:rFonts w:ascii="Times New Roman" w:hAnsi="Times New Roman"/>
                <w:color w:val="auto"/>
                <w:szCs w:val="21"/>
                <w:highlight w:val="none"/>
              </w:rPr>
            </w:pPr>
          </w:p>
        </w:tc>
        <w:tc>
          <w:tcPr>
            <w:tcW w:w="941" w:type="dxa"/>
            <w:vAlign w:val="center"/>
          </w:tcPr>
          <w:p>
            <w:pPr>
              <w:spacing w:line="440" w:lineRule="exact"/>
              <w:jc w:val="center"/>
              <w:rPr>
                <w:rFonts w:ascii="Times New Roman" w:hAnsi="Times New Roman"/>
                <w:color w:val="auto"/>
                <w:szCs w:val="21"/>
                <w:highlight w:val="none"/>
              </w:rPr>
            </w:pPr>
          </w:p>
        </w:tc>
        <w:tc>
          <w:tcPr>
            <w:tcW w:w="1099" w:type="dxa"/>
            <w:vAlign w:val="center"/>
          </w:tcPr>
          <w:p>
            <w:pPr>
              <w:spacing w:line="440" w:lineRule="exact"/>
              <w:jc w:val="center"/>
              <w:rPr>
                <w:rFonts w:ascii="Times New Roman" w:hAnsi="Times New Roman"/>
                <w:color w:val="auto"/>
                <w:szCs w:val="21"/>
                <w:highlight w:val="none"/>
              </w:rPr>
            </w:pPr>
          </w:p>
        </w:tc>
        <w:tc>
          <w:tcPr>
            <w:tcW w:w="1570" w:type="dxa"/>
            <w:vAlign w:val="center"/>
          </w:tcPr>
          <w:p>
            <w:pPr>
              <w:spacing w:line="440" w:lineRule="exact"/>
              <w:jc w:val="center"/>
              <w:rPr>
                <w:rFonts w:ascii="Times New Roman" w:hAnsi="Times New Roman"/>
                <w:color w:val="auto"/>
                <w:szCs w:val="21"/>
                <w:highlight w:val="none"/>
              </w:rPr>
            </w:pPr>
          </w:p>
        </w:tc>
        <w:tc>
          <w:tcPr>
            <w:tcW w:w="1285" w:type="dxa"/>
            <w:vAlign w:val="center"/>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vAlign w:val="center"/>
          </w:tcPr>
          <w:p>
            <w:pPr>
              <w:spacing w:line="440" w:lineRule="exact"/>
              <w:jc w:val="center"/>
              <w:rPr>
                <w:rFonts w:ascii="Times New Roman" w:hAnsi="Times New Roman"/>
                <w:color w:val="auto"/>
                <w:szCs w:val="21"/>
                <w:highlight w:val="none"/>
              </w:rPr>
            </w:pPr>
          </w:p>
        </w:tc>
        <w:tc>
          <w:tcPr>
            <w:tcW w:w="1410" w:type="dxa"/>
            <w:vAlign w:val="center"/>
          </w:tcPr>
          <w:p>
            <w:pPr>
              <w:spacing w:line="440" w:lineRule="exact"/>
              <w:jc w:val="center"/>
              <w:rPr>
                <w:rFonts w:ascii="Times New Roman" w:hAnsi="Times New Roman"/>
                <w:color w:val="auto"/>
                <w:szCs w:val="21"/>
                <w:highlight w:val="none"/>
              </w:rPr>
            </w:pPr>
          </w:p>
        </w:tc>
        <w:tc>
          <w:tcPr>
            <w:tcW w:w="1036" w:type="dxa"/>
            <w:vAlign w:val="center"/>
          </w:tcPr>
          <w:p>
            <w:pPr>
              <w:spacing w:line="440" w:lineRule="exact"/>
              <w:jc w:val="center"/>
              <w:rPr>
                <w:rFonts w:ascii="Times New Roman" w:hAnsi="Times New Roman"/>
                <w:color w:val="auto"/>
                <w:szCs w:val="21"/>
                <w:highlight w:val="none"/>
              </w:rPr>
            </w:pPr>
          </w:p>
        </w:tc>
        <w:tc>
          <w:tcPr>
            <w:tcW w:w="827" w:type="dxa"/>
            <w:vAlign w:val="center"/>
          </w:tcPr>
          <w:p>
            <w:pPr>
              <w:spacing w:line="440" w:lineRule="exact"/>
              <w:jc w:val="center"/>
              <w:rPr>
                <w:rFonts w:ascii="Times New Roman" w:hAnsi="Times New Roman"/>
                <w:color w:val="auto"/>
                <w:szCs w:val="21"/>
                <w:highlight w:val="none"/>
              </w:rPr>
            </w:pPr>
          </w:p>
        </w:tc>
        <w:tc>
          <w:tcPr>
            <w:tcW w:w="941" w:type="dxa"/>
            <w:vAlign w:val="center"/>
          </w:tcPr>
          <w:p>
            <w:pPr>
              <w:spacing w:line="440" w:lineRule="exact"/>
              <w:jc w:val="center"/>
              <w:rPr>
                <w:rFonts w:ascii="Times New Roman" w:hAnsi="Times New Roman"/>
                <w:color w:val="auto"/>
                <w:szCs w:val="21"/>
                <w:highlight w:val="none"/>
              </w:rPr>
            </w:pPr>
          </w:p>
        </w:tc>
        <w:tc>
          <w:tcPr>
            <w:tcW w:w="1099" w:type="dxa"/>
            <w:vAlign w:val="center"/>
          </w:tcPr>
          <w:p>
            <w:pPr>
              <w:spacing w:line="440" w:lineRule="exact"/>
              <w:jc w:val="center"/>
              <w:rPr>
                <w:rFonts w:ascii="Times New Roman" w:hAnsi="Times New Roman"/>
                <w:color w:val="auto"/>
                <w:szCs w:val="21"/>
                <w:highlight w:val="none"/>
              </w:rPr>
            </w:pPr>
          </w:p>
        </w:tc>
        <w:tc>
          <w:tcPr>
            <w:tcW w:w="1570" w:type="dxa"/>
            <w:vAlign w:val="center"/>
          </w:tcPr>
          <w:p>
            <w:pPr>
              <w:spacing w:line="440" w:lineRule="exact"/>
              <w:jc w:val="center"/>
              <w:rPr>
                <w:rFonts w:ascii="Times New Roman" w:hAnsi="Times New Roman"/>
                <w:color w:val="auto"/>
                <w:szCs w:val="21"/>
                <w:highlight w:val="none"/>
              </w:rPr>
            </w:pPr>
          </w:p>
        </w:tc>
        <w:tc>
          <w:tcPr>
            <w:tcW w:w="1285" w:type="dxa"/>
            <w:vAlign w:val="center"/>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bl>
    <w:p>
      <w:pPr>
        <w:rPr>
          <w:rFonts w:ascii="Times New Roman" w:hAnsi="Times New Roman"/>
          <w:color w:val="auto"/>
          <w:highlight w:val="none"/>
        </w:rPr>
      </w:pPr>
    </w:p>
    <w:p>
      <w:pPr>
        <w:rPr>
          <w:color w:val="auto"/>
          <w:highlight w:val="none"/>
        </w:rPr>
      </w:pPr>
    </w:p>
    <w:p>
      <w:pPr>
        <w:rPr>
          <w:color w:val="auto"/>
          <w:highlight w:val="none"/>
        </w:rPr>
      </w:pPr>
    </w:p>
    <w:p>
      <w:pPr>
        <w:jc w:val="center"/>
        <w:rPr>
          <w:rFonts w:ascii="Times New Roman" w:hAnsi="Times New Roman" w:eastAsia="黑体"/>
          <w:color w:val="auto"/>
          <w:sz w:val="28"/>
          <w:szCs w:val="20"/>
          <w:highlight w:val="none"/>
        </w:rPr>
      </w:pPr>
      <w:bookmarkStart w:id="934" w:name="_Toc16"/>
    </w:p>
    <w:p>
      <w:pPr>
        <w:jc w:val="center"/>
        <w:rPr>
          <w:rFonts w:ascii="Times New Roman" w:hAnsi="Times New Roman" w:eastAsia="黑体"/>
          <w:color w:val="auto"/>
          <w:sz w:val="28"/>
          <w:szCs w:val="20"/>
          <w:highlight w:val="none"/>
        </w:rPr>
      </w:pPr>
    </w:p>
    <w:p>
      <w:pPr>
        <w:widowControl/>
        <w:jc w:val="left"/>
        <w:rPr>
          <w:rFonts w:ascii="Times New Roman" w:hAnsi="Times New Roman" w:eastAsia="黑体"/>
          <w:color w:val="auto"/>
          <w:sz w:val="28"/>
          <w:szCs w:val="20"/>
          <w:highlight w:val="none"/>
        </w:rPr>
      </w:pPr>
      <w:r>
        <w:rPr>
          <w:rFonts w:ascii="Times New Roman" w:hAnsi="Times New Roman" w:eastAsia="黑体"/>
          <w:color w:val="auto"/>
          <w:sz w:val="28"/>
          <w:szCs w:val="20"/>
          <w:highlight w:val="none"/>
        </w:rPr>
        <w:br w:type="page"/>
      </w:r>
    </w:p>
    <w:p>
      <w:pPr>
        <w:jc w:val="center"/>
        <w:rPr>
          <w:rFonts w:ascii="Times New Roman" w:hAnsi="Times New Roman" w:eastAsia="黑体"/>
          <w:color w:val="auto"/>
          <w:sz w:val="28"/>
          <w:szCs w:val="20"/>
          <w:highlight w:val="none"/>
        </w:rPr>
      </w:pPr>
      <w:r>
        <w:rPr>
          <w:rFonts w:hint="eastAsia" w:ascii="Times New Roman" w:hAnsi="Times New Roman" w:eastAsia="黑体"/>
          <w:color w:val="auto"/>
          <w:sz w:val="28"/>
          <w:szCs w:val="20"/>
          <w:highlight w:val="none"/>
        </w:rPr>
        <w:t>（五）</w:t>
      </w:r>
      <w:bookmarkEnd w:id="934"/>
      <w:r>
        <w:rPr>
          <w:rFonts w:hint="eastAsia" w:ascii="Times New Roman" w:hAnsi="Times New Roman" w:eastAsia="黑体"/>
          <w:color w:val="auto"/>
          <w:sz w:val="28"/>
          <w:szCs w:val="20"/>
          <w:highlight w:val="none"/>
        </w:rPr>
        <w:t>投标人认为需要提供的资料（如有）。</w:t>
      </w:r>
    </w:p>
    <w:p>
      <w:pPr>
        <w:jc w:val="center"/>
        <w:rPr>
          <w:color w:val="auto"/>
          <w:highlight w:val="none"/>
        </w:rPr>
      </w:pPr>
    </w:p>
    <w:p>
      <w:pPr>
        <w:jc w:val="center"/>
        <w:rPr>
          <w:color w:val="auto"/>
          <w:highlight w:val="none"/>
        </w:rPr>
      </w:pPr>
      <w:r>
        <w:rPr>
          <w:rFonts w:hint="eastAsia"/>
          <w:color w:val="auto"/>
          <w:highlight w:val="none"/>
        </w:rPr>
        <w:t>格式自拟。</w:t>
      </w:r>
    </w:p>
    <w:p>
      <w:pPr>
        <w:pStyle w:val="4"/>
        <w:ind w:firstLine="643" w:firstLineChars="200"/>
        <w:jc w:val="center"/>
        <w:rPr>
          <w:color w:val="auto"/>
          <w:highlight w:val="none"/>
        </w:rPr>
        <w:sectPr>
          <w:pgSz w:w="11906" w:h="16838"/>
          <w:pgMar w:top="1440" w:right="1800" w:bottom="1440" w:left="1800" w:header="851" w:footer="992" w:gutter="0"/>
          <w:pgNumType w:fmt="decimal"/>
          <w:cols w:space="425" w:num="1"/>
          <w:docGrid w:type="lines" w:linePitch="312" w:charSpace="0"/>
        </w:sectPr>
      </w:pPr>
    </w:p>
    <w:p>
      <w:pPr>
        <w:pStyle w:val="4"/>
        <w:spacing w:before="0"/>
        <w:jc w:val="center"/>
        <w:rPr>
          <w:color w:val="auto"/>
          <w:highlight w:val="none"/>
        </w:rPr>
      </w:pPr>
      <w:bookmarkStart w:id="935" w:name="_Toc20541"/>
      <w:r>
        <w:rPr>
          <w:rFonts w:hint="eastAsia"/>
          <w:color w:val="auto"/>
          <w:highlight w:val="none"/>
        </w:rPr>
        <w:t>八、投标人自评分表</w:t>
      </w:r>
      <w:bookmarkEnd w:id="935"/>
    </w:p>
    <w:tbl>
      <w:tblPr>
        <w:tblStyle w:val="23"/>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41"/>
        <w:gridCol w:w="2491"/>
        <w:gridCol w:w="1459"/>
        <w:gridCol w:w="1218"/>
        <w:gridCol w:w="1669"/>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33" w:type="dxa"/>
            <w:gridSpan w:val="3"/>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自评分</w:t>
            </w:r>
          </w:p>
        </w:tc>
        <w:tc>
          <w:tcPr>
            <w:tcW w:w="166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评分情况说明</w:t>
            </w:r>
          </w:p>
        </w:tc>
        <w:tc>
          <w:tcPr>
            <w:tcW w:w="1314"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01" w:type="dxa"/>
            <w:vMerge w:val="restart"/>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w:t>
            </w:r>
            <w:r>
              <w:rPr>
                <w:rFonts w:hint="eastAsia" w:ascii="宋体" w:hAnsi="宋体" w:eastAsia="宋体" w:cs="宋体"/>
                <w:color w:val="auto"/>
                <w:spacing w:val="-3"/>
                <w:sz w:val="24"/>
                <w:szCs w:val="24"/>
                <w:highlight w:val="none"/>
              </w:rPr>
              <w:t>业</w:t>
            </w:r>
            <w:r>
              <w:rPr>
                <w:rFonts w:hint="eastAsia" w:ascii="宋体" w:hAnsi="宋体" w:eastAsia="宋体" w:cs="宋体"/>
                <w:color w:val="auto"/>
                <w:sz w:val="24"/>
                <w:szCs w:val="24"/>
                <w:highlight w:val="none"/>
              </w:rPr>
              <w:t>绩评分</w:t>
            </w:r>
            <w:r>
              <w:rPr>
                <w:rFonts w:hint="eastAsia" w:ascii="宋体" w:hAnsi="宋体" w:eastAsia="宋体" w:cs="宋体"/>
                <w:color w:val="auto"/>
                <w:spacing w:val="-3"/>
                <w:sz w:val="24"/>
                <w:szCs w:val="24"/>
                <w:highlight w:val="none"/>
              </w:rPr>
              <w:t>标</w:t>
            </w:r>
            <w:r>
              <w:rPr>
                <w:rFonts w:hint="eastAsia" w:ascii="宋体" w:hAnsi="宋体" w:eastAsia="宋体" w:cs="宋体"/>
                <w:color w:val="auto"/>
                <w:sz w:val="24"/>
                <w:szCs w:val="24"/>
                <w:highlight w:val="none"/>
              </w:rPr>
              <w:t>准（45分）</w:t>
            </w:r>
          </w:p>
        </w:tc>
        <w:tc>
          <w:tcPr>
            <w:tcW w:w="1441" w:type="dxa"/>
            <w:vMerge w:val="restart"/>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工程监理业绩及获奖情况（</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2491"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监理业绩（</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459" w:type="dxa"/>
            <w:vMerge w:val="restart"/>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pStyle w:val="31"/>
              <w:kinsoku w:val="0"/>
              <w:overflowPunct w:val="0"/>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1" w:type="dxa"/>
            <w:vMerge w:val="continue"/>
            <w:vAlign w:val="center"/>
          </w:tcPr>
          <w:p>
            <w:pPr>
              <w:adjustRightInd w:val="0"/>
              <w:snapToGrid w:val="0"/>
              <w:jc w:val="center"/>
              <w:rPr>
                <w:rFonts w:hint="eastAsia" w:ascii="宋体" w:hAnsi="宋体" w:eastAsia="宋体" w:cs="宋体"/>
                <w:color w:val="auto"/>
                <w:sz w:val="24"/>
                <w:szCs w:val="24"/>
                <w:highlight w:val="none"/>
              </w:rPr>
            </w:pPr>
          </w:p>
        </w:tc>
        <w:tc>
          <w:tcPr>
            <w:tcW w:w="1441" w:type="dxa"/>
            <w:vMerge w:val="continue"/>
            <w:vAlign w:val="center"/>
          </w:tcPr>
          <w:p>
            <w:pPr>
              <w:adjustRightInd w:val="0"/>
              <w:snapToGrid w:val="0"/>
              <w:jc w:val="center"/>
              <w:rPr>
                <w:rFonts w:hint="eastAsia" w:ascii="宋体" w:hAnsi="宋体" w:eastAsia="宋体" w:cs="宋体"/>
                <w:color w:val="auto"/>
                <w:sz w:val="24"/>
                <w:szCs w:val="24"/>
                <w:highlight w:val="none"/>
              </w:rPr>
            </w:pPr>
          </w:p>
        </w:tc>
        <w:tc>
          <w:tcPr>
            <w:tcW w:w="2491" w:type="dxa"/>
            <w:vAlign w:val="center"/>
          </w:tcPr>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获奖监理业绩（</w:t>
            </w:r>
            <w:r>
              <w:rPr>
                <w:rFonts w:hint="eastAsia" w:ascii="宋体" w:hAnsi="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rPr>
              <w:t>分）</w:t>
            </w:r>
          </w:p>
        </w:tc>
        <w:tc>
          <w:tcPr>
            <w:tcW w:w="1459" w:type="dxa"/>
            <w:vMerge w:val="continue"/>
            <w:vAlign w:val="center"/>
          </w:tcPr>
          <w:p>
            <w:pPr>
              <w:adjustRightInd w:val="0"/>
              <w:snapToGrid w:val="0"/>
              <w:jc w:val="center"/>
              <w:rPr>
                <w:rFonts w:hint="eastAsia" w:ascii="宋体" w:hAnsi="宋体" w:eastAsia="宋体" w:cs="宋体"/>
                <w:color w:val="auto"/>
                <w:sz w:val="24"/>
                <w:szCs w:val="24"/>
                <w:highlight w:val="none"/>
              </w:rPr>
            </w:pP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主要人员资历（</w:t>
            </w:r>
            <w:r>
              <w:rPr>
                <w:rFonts w:hint="eastAsia" w:ascii="宋体" w:hAnsi="宋体" w:cs="宋体"/>
                <w:color w:val="auto"/>
                <w:spacing w:val="-3"/>
                <w:sz w:val="24"/>
                <w:szCs w:val="24"/>
                <w:highlight w:val="none"/>
                <w:lang w:val="en-US" w:eastAsia="zh-CN"/>
              </w:rPr>
              <w:t>15</w:t>
            </w:r>
            <w:r>
              <w:rPr>
                <w:rFonts w:hint="eastAsia" w:ascii="宋体" w:hAnsi="宋体" w:eastAsia="宋体" w:cs="宋体"/>
                <w:color w:val="auto"/>
                <w:spacing w:val="-3"/>
                <w:sz w:val="24"/>
                <w:szCs w:val="24"/>
                <w:highlight w:val="none"/>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管理体系认证（</w:t>
            </w:r>
            <w:r>
              <w:rPr>
                <w:rFonts w:hint="eastAsia" w:ascii="宋体" w:hAnsi="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企业荣誉（</w:t>
            </w:r>
            <w:r>
              <w:rPr>
                <w:rFonts w:hint="eastAsia" w:ascii="宋体" w:hAnsi="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企业信用等级（3分）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A级纳税人称号（</w:t>
            </w:r>
            <w:r>
              <w:rPr>
                <w:rFonts w:hint="eastAsia" w:ascii="宋体" w:hAnsi="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restart"/>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监理大纲评分标准（35分）</w:t>
            </w: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投资控制方案（4分）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进度控制方案（4分）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质量控制方案（4分）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合同管理、信息管理（</w:t>
            </w:r>
            <w:r>
              <w:rPr>
                <w:rFonts w:hint="eastAsia" w:ascii="宋体" w:hAnsi="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组织协调（</w:t>
            </w:r>
            <w:r>
              <w:rPr>
                <w:rFonts w:hint="eastAsia" w:ascii="宋体" w:hAnsi="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监理工作程序（2分）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安全、文明施工管理（</w:t>
            </w:r>
            <w:r>
              <w:rPr>
                <w:rFonts w:hint="eastAsia" w:ascii="宋体" w:hAnsi="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重点难点监控措施（4分）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工程进度款、工程结算的管理（2分）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会议制度（2分）</w:t>
            </w:r>
          </w:p>
        </w:tc>
        <w:tc>
          <w:tcPr>
            <w:tcW w:w="1459" w:type="dxa"/>
            <w:vAlign w:val="center"/>
          </w:tcPr>
          <w:p>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932" w:type="dxa"/>
            <w:gridSpan w:val="2"/>
            <w:vAlign w:val="center"/>
          </w:tcPr>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合理化建议（3分）</w:t>
            </w:r>
          </w:p>
        </w:tc>
        <w:tc>
          <w:tcPr>
            <w:tcW w:w="1459" w:type="dxa"/>
            <w:vAlign w:val="center"/>
          </w:tcPr>
          <w:p>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092" w:type="dxa"/>
            <w:gridSpan w:val="4"/>
            <w:vAlign w:val="center"/>
          </w:tcPr>
          <w:p>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合计（满分80分）</w:t>
            </w:r>
          </w:p>
        </w:tc>
        <w:tc>
          <w:tcPr>
            <w:tcW w:w="4201" w:type="dxa"/>
            <w:gridSpan w:val="3"/>
            <w:vAlign w:val="center"/>
          </w:tcPr>
          <w:p>
            <w:pPr>
              <w:adjustRightInd w:val="0"/>
              <w:snapToGrid w:val="0"/>
              <w:jc w:val="center"/>
              <w:rPr>
                <w:rFonts w:hint="eastAsia" w:ascii="宋体" w:hAnsi="宋体" w:eastAsia="宋体" w:cs="宋体"/>
                <w:b/>
                <w:color w:val="auto"/>
                <w:sz w:val="24"/>
                <w:szCs w:val="24"/>
                <w:highlight w:val="none"/>
              </w:rPr>
            </w:pPr>
          </w:p>
        </w:tc>
      </w:tr>
    </w:tbl>
    <w:p>
      <w:pPr>
        <w:pStyle w:val="8"/>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modern"/>
    <w:pitch w:val="default"/>
    <w:sig w:usb0="80000287" w:usb1="2ACF3C50" w:usb2="00000016" w:usb3="00000000" w:csb0="0004001F"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C90FD"/>
    <w:multiLevelType w:val="singleLevel"/>
    <w:tmpl w:val="B42C90FD"/>
    <w:lvl w:ilvl="0" w:tentative="0">
      <w:start w:val="1"/>
      <w:numFmt w:val="decimal"/>
      <w:suff w:val="nothing"/>
      <w:lvlText w:val="（%1）"/>
      <w:lvlJc w:val="left"/>
    </w:lvl>
  </w:abstractNum>
  <w:abstractNum w:abstractNumId="1">
    <w:nsid w:val="B53F3350"/>
    <w:multiLevelType w:val="multilevel"/>
    <w:tmpl w:val="B53F3350"/>
    <w:lvl w:ilvl="0" w:tentative="0">
      <w:start w:val="1"/>
      <w:numFmt w:val="decimal"/>
      <w:lvlText w:val="（%1）"/>
      <w:lvlJc w:val="left"/>
      <w:pPr>
        <w:ind w:left="1189" w:hanging="60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22" w:hanging="601"/>
      </w:pPr>
      <w:rPr>
        <w:rFonts w:hint="default"/>
        <w:lang w:val="zh-CN" w:eastAsia="zh-CN" w:bidi="zh-CN"/>
      </w:rPr>
    </w:lvl>
    <w:lvl w:ilvl="2" w:tentative="0">
      <w:start w:val="0"/>
      <w:numFmt w:val="bullet"/>
      <w:lvlText w:val="•"/>
      <w:lvlJc w:val="left"/>
      <w:pPr>
        <w:ind w:left="3064" w:hanging="601"/>
      </w:pPr>
      <w:rPr>
        <w:rFonts w:hint="default"/>
        <w:lang w:val="zh-CN" w:eastAsia="zh-CN" w:bidi="zh-CN"/>
      </w:rPr>
    </w:lvl>
    <w:lvl w:ilvl="3" w:tentative="0">
      <w:start w:val="0"/>
      <w:numFmt w:val="bullet"/>
      <w:lvlText w:val="•"/>
      <w:lvlJc w:val="left"/>
      <w:pPr>
        <w:ind w:left="4006" w:hanging="601"/>
      </w:pPr>
      <w:rPr>
        <w:rFonts w:hint="default"/>
        <w:lang w:val="zh-CN" w:eastAsia="zh-CN" w:bidi="zh-CN"/>
      </w:rPr>
    </w:lvl>
    <w:lvl w:ilvl="4" w:tentative="0">
      <w:start w:val="0"/>
      <w:numFmt w:val="bullet"/>
      <w:lvlText w:val="•"/>
      <w:lvlJc w:val="left"/>
      <w:pPr>
        <w:ind w:left="4948" w:hanging="601"/>
      </w:pPr>
      <w:rPr>
        <w:rFonts w:hint="default"/>
        <w:lang w:val="zh-CN" w:eastAsia="zh-CN" w:bidi="zh-CN"/>
      </w:rPr>
    </w:lvl>
    <w:lvl w:ilvl="5" w:tentative="0">
      <w:start w:val="0"/>
      <w:numFmt w:val="bullet"/>
      <w:lvlText w:val="•"/>
      <w:lvlJc w:val="left"/>
      <w:pPr>
        <w:ind w:left="5890" w:hanging="601"/>
      </w:pPr>
      <w:rPr>
        <w:rFonts w:hint="default"/>
        <w:lang w:val="zh-CN" w:eastAsia="zh-CN" w:bidi="zh-CN"/>
      </w:rPr>
    </w:lvl>
    <w:lvl w:ilvl="6" w:tentative="0">
      <w:start w:val="0"/>
      <w:numFmt w:val="bullet"/>
      <w:lvlText w:val="•"/>
      <w:lvlJc w:val="left"/>
      <w:pPr>
        <w:ind w:left="6832" w:hanging="601"/>
      </w:pPr>
      <w:rPr>
        <w:rFonts w:hint="default"/>
        <w:lang w:val="zh-CN" w:eastAsia="zh-CN" w:bidi="zh-CN"/>
      </w:rPr>
    </w:lvl>
    <w:lvl w:ilvl="7" w:tentative="0">
      <w:start w:val="0"/>
      <w:numFmt w:val="bullet"/>
      <w:lvlText w:val="•"/>
      <w:lvlJc w:val="left"/>
      <w:pPr>
        <w:ind w:left="7774" w:hanging="601"/>
      </w:pPr>
      <w:rPr>
        <w:rFonts w:hint="default"/>
        <w:lang w:val="zh-CN" w:eastAsia="zh-CN" w:bidi="zh-CN"/>
      </w:rPr>
    </w:lvl>
    <w:lvl w:ilvl="8" w:tentative="0">
      <w:start w:val="0"/>
      <w:numFmt w:val="bullet"/>
      <w:lvlText w:val="•"/>
      <w:lvlJc w:val="left"/>
      <w:pPr>
        <w:ind w:left="8716" w:hanging="601"/>
      </w:pPr>
      <w:rPr>
        <w:rFonts w:hint="default"/>
        <w:lang w:val="zh-CN" w:eastAsia="zh-CN" w:bidi="zh-CN"/>
      </w:rPr>
    </w:lvl>
  </w:abstractNum>
  <w:abstractNum w:abstractNumId="2">
    <w:nsid w:val="0ADC506F"/>
    <w:multiLevelType w:val="multilevel"/>
    <w:tmpl w:val="0ADC506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F9F9CCA"/>
    <w:multiLevelType w:val="multilevel"/>
    <w:tmpl w:val="0F9F9CCA"/>
    <w:lvl w:ilvl="0" w:tentative="0">
      <w:start w:val="1"/>
      <w:numFmt w:val="decimal"/>
      <w:lvlText w:val="（%1）"/>
      <w:lvlJc w:val="left"/>
      <w:pPr>
        <w:ind w:left="1189" w:hanging="60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22" w:hanging="601"/>
      </w:pPr>
      <w:rPr>
        <w:rFonts w:hint="default"/>
        <w:lang w:val="zh-CN" w:eastAsia="zh-CN" w:bidi="zh-CN"/>
      </w:rPr>
    </w:lvl>
    <w:lvl w:ilvl="2" w:tentative="0">
      <w:start w:val="0"/>
      <w:numFmt w:val="bullet"/>
      <w:lvlText w:val="•"/>
      <w:lvlJc w:val="left"/>
      <w:pPr>
        <w:ind w:left="3064" w:hanging="601"/>
      </w:pPr>
      <w:rPr>
        <w:rFonts w:hint="default"/>
        <w:lang w:val="zh-CN" w:eastAsia="zh-CN" w:bidi="zh-CN"/>
      </w:rPr>
    </w:lvl>
    <w:lvl w:ilvl="3" w:tentative="0">
      <w:start w:val="0"/>
      <w:numFmt w:val="bullet"/>
      <w:lvlText w:val="•"/>
      <w:lvlJc w:val="left"/>
      <w:pPr>
        <w:ind w:left="4006" w:hanging="601"/>
      </w:pPr>
      <w:rPr>
        <w:rFonts w:hint="default"/>
        <w:lang w:val="zh-CN" w:eastAsia="zh-CN" w:bidi="zh-CN"/>
      </w:rPr>
    </w:lvl>
    <w:lvl w:ilvl="4" w:tentative="0">
      <w:start w:val="0"/>
      <w:numFmt w:val="bullet"/>
      <w:lvlText w:val="•"/>
      <w:lvlJc w:val="left"/>
      <w:pPr>
        <w:ind w:left="4948" w:hanging="601"/>
      </w:pPr>
      <w:rPr>
        <w:rFonts w:hint="default"/>
        <w:lang w:val="zh-CN" w:eastAsia="zh-CN" w:bidi="zh-CN"/>
      </w:rPr>
    </w:lvl>
    <w:lvl w:ilvl="5" w:tentative="0">
      <w:start w:val="0"/>
      <w:numFmt w:val="bullet"/>
      <w:lvlText w:val="•"/>
      <w:lvlJc w:val="left"/>
      <w:pPr>
        <w:ind w:left="5890" w:hanging="601"/>
      </w:pPr>
      <w:rPr>
        <w:rFonts w:hint="default"/>
        <w:lang w:val="zh-CN" w:eastAsia="zh-CN" w:bidi="zh-CN"/>
      </w:rPr>
    </w:lvl>
    <w:lvl w:ilvl="6" w:tentative="0">
      <w:start w:val="0"/>
      <w:numFmt w:val="bullet"/>
      <w:lvlText w:val="•"/>
      <w:lvlJc w:val="left"/>
      <w:pPr>
        <w:ind w:left="6832" w:hanging="601"/>
      </w:pPr>
      <w:rPr>
        <w:rFonts w:hint="default"/>
        <w:lang w:val="zh-CN" w:eastAsia="zh-CN" w:bidi="zh-CN"/>
      </w:rPr>
    </w:lvl>
    <w:lvl w:ilvl="7" w:tentative="0">
      <w:start w:val="0"/>
      <w:numFmt w:val="bullet"/>
      <w:lvlText w:val="•"/>
      <w:lvlJc w:val="left"/>
      <w:pPr>
        <w:ind w:left="7774" w:hanging="601"/>
      </w:pPr>
      <w:rPr>
        <w:rFonts w:hint="default"/>
        <w:lang w:val="zh-CN" w:eastAsia="zh-CN" w:bidi="zh-CN"/>
      </w:rPr>
    </w:lvl>
    <w:lvl w:ilvl="8" w:tentative="0">
      <w:start w:val="0"/>
      <w:numFmt w:val="bullet"/>
      <w:lvlText w:val="•"/>
      <w:lvlJc w:val="left"/>
      <w:pPr>
        <w:ind w:left="8716" w:hanging="601"/>
      </w:pPr>
      <w:rPr>
        <w:rFonts w:hint="default"/>
        <w:lang w:val="zh-CN" w:eastAsia="zh-CN" w:bidi="zh-CN"/>
      </w:rPr>
    </w:lvl>
  </w:abstractNum>
  <w:abstractNum w:abstractNumId="4">
    <w:nsid w:val="262762BB"/>
    <w:multiLevelType w:val="singleLevel"/>
    <w:tmpl w:val="262762BB"/>
    <w:lvl w:ilvl="0" w:tentative="0">
      <w:start w:val="1"/>
      <w:numFmt w:val="chineseCounting"/>
      <w:suff w:val="nothing"/>
      <w:lvlText w:val="%1、"/>
      <w:lvlJc w:val="left"/>
      <w:rPr>
        <w:rFonts w:hint="eastAsia"/>
      </w:rPr>
    </w:lvl>
  </w:abstractNum>
  <w:abstractNum w:abstractNumId="5">
    <w:nsid w:val="63451F49"/>
    <w:multiLevelType w:val="singleLevel"/>
    <w:tmpl w:val="63451F49"/>
    <w:lvl w:ilvl="0" w:tentative="0">
      <w:start w:val="2"/>
      <w:numFmt w:val="decimal"/>
      <w:suff w:val="nothing"/>
      <w:lvlText w:val="%1、"/>
      <w:lvlJc w:val="left"/>
    </w:lvl>
  </w:abstractNum>
  <w:abstractNum w:abstractNumId="6">
    <w:nsid w:val="63451FD8"/>
    <w:multiLevelType w:val="singleLevel"/>
    <w:tmpl w:val="63451FD8"/>
    <w:lvl w:ilvl="0" w:tentative="0">
      <w:start w:val="1"/>
      <w:numFmt w:val="decimal"/>
      <w:suff w:val="nothing"/>
      <w:lvlText w:val="%1）"/>
      <w:lvlJc w:val="left"/>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ZjU1NThmYjNlNmZkN2ZmMWI4MjZlODAxNDQwYjIifQ=="/>
  </w:docVars>
  <w:rsids>
    <w:rsidRoot w:val="00EA63BE"/>
    <w:rsid w:val="00012B43"/>
    <w:rsid w:val="0001309E"/>
    <w:rsid w:val="000137F8"/>
    <w:rsid w:val="000347AF"/>
    <w:rsid w:val="000442F5"/>
    <w:rsid w:val="00045A91"/>
    <w:rsid w:val="00046A38"/>
    <w:rsid w:val="000517E6"/>
    <w:rsid w:val="0007228C"/>
    <w:rsid w:val="00084E2F"/>
    <w:rsid w:val="00093EE1"/>
    <w:rsid w:val="000A7F11"/>
    <w:rsid w:val="000D2476"/>
    <w:rsid w:val="000D30E6"/>
    <w:rsid w:val="000E1FA3"/>
    <w:rsid w:val="000F0C8C"/>
    <w:rsid w:val="0016513C"/>
    <w:rsid w:val="0017138F"/>
    <w:rsid w:val="001839C2"/>
    <w:rsid w:val="00197859"/>
    <w:rsid w:val="001A4E90"/>
    <w:rsid w:val="001C04CB"/>
    <w:rsid w:val="001E3BCC"/>
    <w:rsid w:val="00203339"/>
    <w:rsid w:val="00212BCD"/>
    <w:rsid w:val="00225258"/>
    <w:rsid w:val="002651B5"/>
    <w:rsid w:val="00271CBA"/>
    <w:rsid w:val="00273BE9"/>
    <w:rsid w:val="002A3A28"/>
    <w:rsid w:val="002A3F5A"/>
    <w:rsid w:val="002B4865"/>
    <w:rsid w:val="002C33A0"/>
    <w:rsid w:val="002C3F57"/>
    <w:rsid w:val="002D6312"/>
    <w:rsid w:val="002E623B"/>
    <w:rsid w:val="00302AFA"/>
    <w:rsid w:val="00330CF8"/>
    <w:rsid w:val="003509A0"/>
    <w:rsid w:val="003710DA"/>
    <w:rsid w:val="003741A5"/>
    <w:rsid w:val="00383EF9"/>
    <w:rsid w:val="0039151C"/>
    <w:rsid w:val="003A468C"/>
    <w:rsid w:val="003B1388"/>
    <w:rsid w:val="003B2365"/>
    <w:rsid w:val="003B4035"/>
    <w:rsid w:val="003D25CC"/>
    <w:rsid w:val="003D335E"/>
    <w:rsid w:val="003E1E32"/>
    <w:rsid w:val="00446693"/>
    <w:rsid w:val="00457C62"/>
    <w:rsid w:val="0046342D"/>
    <w:rsid w:val="00476F1D"/>
    <w:rsid w:val="00490505"/>
    <w:rsid w:val="004A2660"/>
    <w:rsid w:val="004A720E"/>
    <w:rsid w:val="004B4453"/>
    <w:rsid w:val="004E5648"/>
    <w:rsid w:val="0050468B"/>
    <w:rsid w:val="005253B6"/>
    <w:rsid w:val="00530E1B"/>
    <w:rsid w:val="00577076"/>
    <w:rsid w:val="0059555C"/>
    <w:rsid w:val="005B16C4"/>
    <w:rsid w:val="005B535D"/>
    <w:rsid w:val="005B7814"/>
    <w:rsid w:val="005E1581"/>
    <w:rsid w:val="00601CC4"/>
    <w:rsid w:val="00611D91"/>
    <w:rsid w:val="00614470"/>
    <w:rsid w:val="00634B17"/>
    <w:rsid w:val="00674177"/>
    <w:rsid w:val="00684BC5"/>
    <w:rsid w:val="00687ED8"/>
    <w:rsid w:val="006C0F07"/>
    <w:rsid w:val="006C10CE"/>
    <w:rsid w:val="006C4E12"/>
    <w:rsid w:val="006C5971"/>
    <w:rsid w:val="006D0DED"/>
    <w:rsid w:val="006D1DF3"/>
    <w:rsid w:val="006D525B"/>
    <w:rsid w:val="006E7DB4"/>
    <w:rsid w:val="006F2F19"/>
    <w:rsid w:val="0070519C"/>
    <w:rsid w:val="00706119"/>
    <w:rsid w:val="00724084"/>
    <w:rsid w:val="007279B8"/>
    <w:rsid w:val="00757C48"/>
    <w:rsid w:val="00757E7D"/>
    <w:rsid w:val="00761851"/>
    <w:rsid w:val="00764338"/>
    <w:rsid w:val="00790687"/>
    <w:rsid w:val="007945C4"/>
    <w:rsid w:val="007B52D4"/>
    <w:rsid w:val="007D6515"/>
    <w:rsid w:val="008069CC"/>
    <w:rsid w:val="0080771A"/>
    <w:rsid w:val="00812578"/>
    <w:rsid w:val="00864E67"/>
    <w:rsid w:val="008660F5"/>
    <w:rsid w:val="00866B17"/>
    <w:rsid w:val="00872478"/>
    <w:rsid w:val="00886BF6"/>
    <w:rsid w:val="008B75A4"/>
    <w:rsid w:val="008C0192"/>
    <w:rsid w:val="0093008A"/>
    <w:rsid w:val="00931F5C"/>
    <w:rsid w:val="00956F7B"/>
    <w:rsid w:val="00966314"/>
    <w:rsid w:val="009846D5"/>
    <w:rsid w:val="00993705"/>
    <w:rsid w:val="009C353A"/>
    <w:rsid w:val="009F4D63"/>
    <w:rsid w:val="00A02080"/>
    <w:rsid w:val="00A3226D"/>
    <w:rsid w:val="00A44631"/>
    <w:rsid w:val="00A451B8"/>
    <w:rsid w:val="00A520CB"/>
    <w:rsid w:val="00A6176A"/>
    <w:rsid w:val="00A6531D"/>
    <w:rsid w:val="00AA0E86"/>
    <w:rsid w:val="00AA35CC"/>
    <w:rsid w:val="00AA4B77"/>
    <w:rsid w:val="00AC245E"/>
    <w:rsid w:val="00AE079C"/>
    <w:rsid w:val="00AF5978"/>
    <w:rsid w:val="00B04492"/>
    <w:rsid w:val="00B16218"/>
    <w:rsid w:val="00B26538"/>
    <w:rsid w:val="00B405EA"/>
    <w:rsid w:val="00B42A0D"/>
    <w:rsid w:val="00B7775B"/>
    <w:rsid w:val="00B93750"/>
    <w:rsid w:val="00B9532C"/>
    <w:rsid w:val="00BC6C0D"/>
    <w:rsid w:val="00BD566A"/>
    <w:rsid w:val="00C1624E"/>
    <w:rsid w:val="00C26783"/>
    <w:rsid w:val="00C45AA0"/>
    <w:rsid w:val="00C47594"/>
    <w:rsid w:val="00C80E39"/>
    <w:rsid w:val="00C814E2"/>
    <w:rsid w:val="00CA72FA"/>
    <w:rsid w:val="00CF7353"/>
    <w:rsid w:val="00D122B0"/>
    <w:rsid w:val="00D16188"/>
    <w:rsid w:val="00D163B4"/>
    <w:rsid w:val="00D235F0"/>
    <w:rsid w:val="00D264A7"/>
    <w:rsid w:val="00D429CE"/>
    <w:rsid w:val="00D441A1"/>
    <w:rsid w:val="00D540CB"/>
    <w:rsid w:val="00D814E5"/>
    <w:rsid w:val="00DB1CE0"/>
    <w:rsid w:val="00DC7871"/>
    <w:rsid w:val="00DE20E1"/>
    <w:rsid w:val="00DE3C21"/>
    <w:rsid w:val="00DF2074"/>
    <w:rsid w:val="00E1350A"/>
    <w:rsid w:val="00E30FF2"/>
    <w:rsid w:val="00E47615"/>
    <w:rsid w:val="00E56834"/>
    <w:rsid w:val="00E83E65"/>
    <w:rsid w:val="00EA63BE"/>
    <w:rsid w:val="00EC3AF4"/>
    <w:rsid w:val="00EC53D1"/>
    <w:rsid w:val="00EC6782"/>
    <w:rsid w:val="00ED4C55"/>
    <w:rsid w:val="00ED7F2C"/>
    <w:rsid w:val="00EE4CC4"/>
    <w:rsid w:val="00F82EB1"/>
    <w:rsid w:val="00F91460"/>
    <w:rsid w:val="00F93BD5"/>
    <w:rsid w:val="00FA64B5"/>
    <w:rsid w:val="00FB236E"/>
    <w:rsid w:val="00FC72CE"/>
    <w:rsid w:val="00FE4192"/>
    <w:rsid w:val="019E03A9"/>
    <w:rsid w:val="01B3097E"/>
    <w:rsid w:val="01DA029C"/>
    <w:rsid w:val="01DB319C"/>
    <w:rsid w:val="026D60F8"/>
    <w:rsid w:val="02BD7044"/>
    <w:rsid w:val="02D67EF6"/>
    <w:rsid w:val="03E764F8"/>
    <w:rsid w:val="041F7ED2"/>
    <w:rsid w:val="04FA68C4"/>
    <w:rsid w:val="050C43F8"/>
    <w:rsid w:val="0549747E"/>
    <w:rsid w:val="05A9452F"/>
    <w:rsid w:val="061924C9"/>
    <w:rsid w:val="0687471B"/>
    <w:rsid w:val="06B34F7C"/>
    <w:rsid w:val="071D4F67"/>
    <w:rsid w:val="07D3115F"/>
    <w:rsid w:val="07EB3A46"/>
    <w:rsid w:val="0860699A"/>
    <w:rsid w:val="08642C22"/>
    <w:rsid w:val="087106CF"/>
    <w:rsid w:val="09545C33"/>
    <w:rsid w:val="09A17C56"/>
    <w:rsid w:val="0A1C7FF4"/>
    <w:rsid w:val="0A8E0D48"/>
    <w:rsid w:val="0A943317"/>
    <w:rsid w:val="0AA552FF"/>
    <w:rsid w:val="0AAB0C0F"/>
    <w:rsid w:val="0ABF65E6"/>
    <w:rsid w:val="0B2A2ABB"/>
    <w:rsid w:val="0B4E3A9D"/>
    <w:rsid w:val="0C393981"/>
    <w:rsid w:val="0D1D7190"/>
    <w:rsid w:val="0D6F3717"/>
    <w:rsid w:val="0E1651AA"/>
    <w:rsid w:val="0E8611C8"/>
    <w:rsid w:val="0F566DED"/>
    <w:rsid w:val="0FE65785"/>
    <w:rsid w:val="10633051"/>
    <w:rsid w:val="106E6B13"/>
    <w:rsid w:val="10745A53"/>
    <w:rsid w:val="10DE1511"/>
    <w:rsid w:val="10E30C53"/>
    <w:rsid w:val="10EF12A7"/>
    <w:rsid w:val="10FA178E"/>
    <w:rsid w:val="11B10E30"/>
    <w:rsid w:val="11B6439C"/>
    <w:rsid w:val="11CD7818"/>
    <w:rsid w:val="1203343A"/>
    <w:rsid w:val="12C06EC8"/>
    <w:rsid w:val="13070E74"/>
    <w:rsid w:val="13167809"/>
    <w:rsid w:val="13787C50"/>
    <w:rsid w:val="13AF3B94"/>
    <w:rsid w:val="13E91B76"/>
    <w:rsid w:val="144813FA"/>
    <w:rsid w:val="14634B62"/>
    <w:rsid w:val="147815B3"/>
    <w:rsid w:val="147D0E2A"/>
    <w:rsid w:val="149338DE"/>
    <w:rsid w:val="14F51B5B"/>
    <w:rsid w:val="15D56CB2"/>
    <w:rsid w:val="15FB1B64"/>
    <w:rsid w:val="15FC17B8"/>
    <w:rsid w:val="160B58F5"/>
    <w:rsid w:val="16225C7A"/>
    <w:rsid w:val="16857503"/>
    <w:rsid w:val="17232884"/>
    <w:rsid w:val="17794719"/>
    <w:rsid w:val="18144058"/>
    <w:rsid w:val="18D94D16"/>
    <w:rsid w:val="19810284"/>
    <w:rsid w:val="19AC7F7E"/>
    <w:rsid w:val="19B86C31"/>
    <w:rsid w:val="19FF23BF"/>
    <w:rsid w:val="1A7F342E"/>
    <w:rsid w:val="1AAB1C95"/>
    <w:rsid w:val="1AAB4395"/>
    <w:rsid w:val="1AD51FCD"/>
    <w:rsid w:val="1B0B7B63"/>
    <w:rsid w:val="1B741C98"/>
    <w:rsid w:val="1C2C1601"/>
    <w:rsid w:val="1C484A84"/>
    <w:rsid w:val="1C4908BB"/>
    <w:rsid w:val="1CB82E95"/>
    <w:rsid w:val="1CD350A7"/>
    <w:rsid w:val="1D74500E"/>
    <w:rsid w:val="1DCE61F5"/>
    <w:rsid w:val="1F3F164B"/>
    <w:rsid w:val="1F554B76"/>
    <w:rsid w:val="1F6B0692"/>
    <w:rsid w:val="1F707492"/>
    <w:rsid w:val="1FFF4C2E"/>
    <w:rsid w:val="20052AA6"/>
    <w:rsid w:val="219A4DA9"/>
    <w:rsid w:val="222608A0"/>
    <w:rsid w:val="2287370D"/>
    <w:rsid w:val="23A4088A"/>
    <w:rsid w:val="243B7621"/>
    <w:rsid w:val="24663136"/>
    <w:rsid w:val="247B506A"/>
    <w:rsid w:val="249B37C8"/>
    <w:rsid w:val="24C33FEC"/>
    <w:rsid w:val="24CA0A70"/>
    <w:rsid w:val="2509234F"/>
    <w:rsid w:val="25443361"/>
    <w:rsid w:val="25DC7F48"/>
    <w:rsid w:val="25F71FD8"/>
    <w:rsid w:val="25F956C8"/>
    <w:rsid w:val="26185F86"/>
    <w:rsid w:val="26914755"/>
    <w:rsid w:val="26EC0E98"/>
    <w:rsid w:val="27457B09"/>
    <w:rsid w:val="277830CE"/>
    <w:rsid w:val="27837A12"/>
    <w:rsid w:val="28CE48F2"/>
    <w:rsid w:val="28D308C8"/>
    <w:rsid w:val="29603920"/>
    <w:rsid w:val="296F04B9"/>
    <w:rsid w:val="29D807BC"/>
    <w:rsid w:val="2A19049E"/>
    <w:rsid w:val="2A2D7DA5"/>
    <w:rsid w:val="2B141BDE"/>
    <w:rsid w:val="2BC25ADE"/>
    <w:rsid w:val="2CC04333"/>
    <w:rsid w:val="2D2F177D"/>
    <w:rsid w:val="2D7A0E38"/>
    <w:rsid w:val="2D846C9F"/>
    <w:rsid w:val="2DBE3B18"/>
    <w:rsid w:val="2E105B20"/>
    <w:rsid w:val="2E4D4832"/>
    <w:rsid w:val="2EC56A9B"/>
    <w:rsid w:val="2F123C17"/>
    <w:rsid w:val="2F29556C"/>
    <w:rsid w:val="2F4010E3"/>
    <w:rsid w:val="2FD33202"/>
    <w:rsid w:val="2FFD45E8"/>
    <w:rsid w:val="30B02C62"/>
    <w:rsid w:val="31B7224A"/>
    <w:rsid w:val="324C0413"/>
    <w:rsid w:val="32560D23"/>
    <w:rsid w:val="32C01590"/>
    <w:rsid w:val="32E052B5"/>
    <w:rsid w:val="33923FE8"/>
    <w:rsid w:val="33F20F2A"/>
    <w:rsid w:val="34274A45"/>
    <w:rsid w:val="345474EF"/>
    <w:rsid w:val="348E2B05"/>
    <w:rsid w:val="34A24E89"/>
    <w:rsid w:val="34B15F48"/>
    <w:rsid w:val="34FA14D5"/>
    <w:rsid w:val="355A5615"/>
    <w:rsid w:val="35D73F34"/>
    <w:rsid w:val="35D809D0"/>
    <w:rsid w:val="35FA799E"/>
    <w:rsid w:val="365D17EB"/>
    <w:rsid w:val="36EA3CA5"/>
    <w:rsid w:val="370116CC"/>
    <w:rsid w:val="376D3897"/>
    <w:rsid w:val="379C2FCB"/>
    <w:rsid w:val="37FC4DE7"/>
    <w:rsid w:val="38286CC9"/>
    <w:rsid w:val="391966F5"/>
    <w:rsid w:val="39417D16"/>
    <w:rsid w:val="396C0E37"/>
    <w:rsid w:val="39D72754"/>
    <w:rsid w:val="3A0B4B47"/>
    <w:rsid w:val="3A5D0422"/>
    <w:rsid w:val="3A9E54D3"/>
    <w:rsid w:val="3AAA7E69"/>
    <w:rsid w:val="3AF40D7C"/>
    <w:rsid w:val="3B0E13BF"/>
    <w:rsid w:val="3C2613B2"/>
    <w:rsid w:val="3C82186F"/>
    <w:rsid w:val="3C9506A5"/>
    <w:rsid w:val="3CBC20D5"/>
    <w:rsid w:val="3DEB4A20"/>
    <w:rsid w:val="3E1D72E9"/>
    <w:rsid w:val="3F3C0C4C"/>
    <w:rsid w:val="3FC4700A"/>
    <w:rsid w:val="3FE61EF8"/>
    <w:rsid w:val="40FF5779"/>
    <w:rsid w:val="41065AEE"/>
    <w:rsid w:val="412E638D"/>
    <w:rsid w:val="41B8696D"/>
    <w:rsid w:val="42224F20"/>
    <w:rsid w:val="423A41F6"/>
    <w:rsid w:val="43360BC9"/>
    <w:rsid w:val="43FA748B"/>
    <w:rsid w:val="440F4D37"/>
    <w:rsid w:val="45795008"/>
    <w:rsid w:val="457D1427"/>
    <w:rsid w:val="45921630"/>
    <w:rsid w:val="4647240E"/>
    <w:rsid w:val="465313B5"/>
    <w:rsid w:val="465B54E0"/>
    <w:rsid w:val="46621D1F"/>
    <w:rsid w:val="475E2707"/>
    <w:rsid w:val="47F57AAC"/>
    <w:rsid w:val="484F59B4"/>
    <w:rsid w:val="48566BE5"/>
    <w:rsid w:val="48F67CDB"/>
    <w:rsid w:val="49367D46"/>
    <w:rsid w:val="49865D2D"/>
    <w:rsid w:val="4A9D1A87"/>
    <w:rsid w:val="4B092718"/>
    <w:rsid w:val="4B1C6F53"/>
    <w:rsid w:val="4B3A5579"/>
    <w:rsid w:val="4B6C4E6F"/>
    <w:rsid w:val="4B8360DE"/>
    <w:rsid w:val="4C722D31"/>
    <w:rsid w:val="4C7D362F"/>
    <w:rsid w:val="4CD34868"/>
    <w:rsid w:val="4D072B13"/>
    <w:rsid w:val="4D9A513E"/>
    <w:rsid w:val="4DC84CF6"/>
    <w:rsid w:val="4DF7534A"/>
    <w:rsid w:val="4E6C68F7"/>
    <w:rsid w:val="4F304EFE"/>
    <w:rsid w:val="4FB56C3C"/>
    <w:rsid w:val="4FDC2DD3"/>
    <w:rsid w:val="504E2D34"/>
    <w:rsid w:val="50504BB7"/>
    <w:rsid w:val="507E34D2"/>
    <w:rsid w:val="508F1A38"/>
    <w:rsid w:val="50C3182D"/>
    <w:rsid w:val="50D15CF8"/>
    <w:rsid w:val="50D57E58"/>
    <w:rsid w:val="50DF1D3D"/>
    <w:rsid w:val="512963B4"/>
    <w:rsid w:val="51F021AD"/>
    <w:rsid w:val="5250749B"/>
    <w:rsid w:val="52BE04FE"/>
    <w:rsid w:val="52CD0741"/>
    <w:rsid w:val="53443375"/>
    <w:rsid w:val="536C07A9"/>
    <w:rsid w:val="53EF36C4"/>
    <w:rsid w:val="541B7A0B"/>
    <w:rsid w:val="547C241E"/>
    <w:rsid w:val="54AA0BDA"/>
    <w:rsid w:val="55130BD8"/>
    <w:rsid w:val="555155EA"/>
    <w:rsid w:val="563837FE"/>
    <w:rsid w:val="566C316D"/>
    <w:rsid w:val="56F23486"/>
    <w:rsid w:val="575829B3"/>
    <w:rsid w:val="57853398"/>
    <w:rsid w:val="57A31A70"/>
    <w:rsid w:val="57A852D8"/>
    <w:rsid w:val="57AC1E66"/>
    <w:rsid w:val="58117322"/>
    <w:rsid w:val="581C3501"/>
    <w:rsid w:val="58474262"/>
    <w:rsid w:val="58576A7B"/>
    <w:rsid w:val="586C4A96"/>
    <w:rsid w:val="587F072F"/>
    <w:rsid w:val="58EC0B44"/>
    <w:rsid w:val="59325DEE"/>
    <w:rsid w:val="59822250"/>
    <w:rsid w:val="59BB6F74"/>
    <w:rsid w:val="5A7C4F3D"/>
    <w:rsid w:val="5A8E0E26"/>
    <w:rsid w:val="5AD308BE"/>
    <w:rsid w:val="5B063D6C"/>
    <w:rsid w:val="5B4F7F4B"/>
    <w:rsid w:val="5B6C7159"/>
    <w:rsid w:val="5C156522"/>
    <w:rsid w:val="5C20365D"/>
    <w:rsid w:val="5CB27435"/>
    <w:rsid w:val="5D306F28"/>
    <w:rsid w:val="5DBE3BA2"/>
    <w:rsid w:val="5DC925C7"/>
    <w:rsid w:val="5E275D3B"/>
    <w:rsid w:val="5E6512D5"/>
    <w:rsid w:val="5E743A82"/>
    <w:rsid w:val="5ED91228"/>
    <w:rsid w:val="5F6A57A3"/>
    <w:rsid w:val="5FAE5A31"/>
    <w:rsid w:val="5FE744DF"/>
    <w:rsid w:val="5FF01BE2"/>
    <w:rsid w:val="60853253"/>
    <w:rsid w:val="60906C20"/>
    <w:rsid w:val="60CB6D07"/>
    <w:rsid w:val="60CC4EDB"/>
    <w:rsid w:val="6115048B"/>
    <w:rsid w:val="61451449"/>
    <w:rsid w:val="615E35D8"/>
    <w:rsid w:val="616910FC"/>
    <w:rsid w:val="61703B0D"/>
    <w:rsid w:val="61B90ACE"/>
    <w:rsid w:val="61D05D8C"/>
    <w:rsid w:val="61D51065"/>
    <w:rsid w:val="620B53DC"/>
    <w:rsid w:val="62A46946"/>
    <w:rsid w:val="63054152"/>
    <w:rsid w:val="634A11F5"/>
    <w:rsid w:val="63675FAD"/>
    <w:rsid w:val="63F73EC8"/>
    <w:rsid w:val="640E74B2"/>
    <w:rsid w:val="644B1615"/>
    <w:rsid w:val="64732901"/>
    <w:rsid w:val="64B61558"/>
    <w:rsid w:val="64F44245"/>
    <w:rsid w:val="65333E96"/>
    <w:rsid w:val="65B337C6"/>
    <w:rsid w:val="663C214A"/>
    <w:rsid w:val="673F2C72"/>
    <w:rsid w:val="67B06428"/>
    <w:rsid w:val="68B51559"/>
    <w:rsid w:val="68D5394A"/>
    <w:rsid w:val="68DE174B"/>
    <w:rsid w:val="692B3716"/>
    <w:rsid w:val="69326925"/>
    <w:rsid w:val="695068F6"/>
    <w:rsid w:val="699D6C67"/>
    <w:rsid w:val="69B94497"/>
    <w:rsid w:val="69C65A58"/>
    <w:rsid w:val="69E1674D"/>
    <w:rsid w:val="6A901C22"/>
    <w:rsid w:val="6AFC65E2"/>
    <w:rsid w:val="6B631EBD"/>
    <w:rsid w:val="6C222A4F"/>
    <w:rsid w:val="6CA228CB"/>
    <w:rsid w:val="6CF80AF6"/>
    <w:rsid w:val="6DC576DC"/>
    <w:rsid w:val="6E446F28"/>
    <w:rsid w:val="6E642E84"/>
    <w:rsid w:val="6E6E2E3E"/>
    <w:rsid w:val="6EA840E4"/>
    <w:rsid w:val="6FA355B4"/>
    <w:rsid w:val="6FE55D7F"/>
    <w:rsid w:val="704D0E87"/>
    <w:rsid w:val="70910BA8"/>
    <w:rsid w:val="70A409DA"/>
    <w:rsid w:val="70DA42FD"/>
    <w:rsid w:val="71042628"/>
    <w:rsid w:val="71062FFD"/>
    <w:rsid w:val="71CE727E"/>
    <w:rsid w:val="72457E9C"/>
    <w:rsid w:val="72BA6194"/>
    <w:rsid w:val="73207F64"/>
    <w:rsid w:val="739B4D00"/>
    <w:rsid w:val="74165E03"/>
    <w:rsid w:val="745F72FB"/>
    <w:rsid w:val="747616A0"/>
    <w:rsid w:val="748C3B60"/>
    <w:rsid w:val="74B56541"/>
    <w:rsid w:val="754A6D84"/>
    <w:rsid w:val="75680129"/>
    <w:rsid w:val="75A67813"/>
    <w:rsid w:val="75EA0EF6"/>
    <w:rsid w:val="761F61D8"/>
    <w:rsid w:val="763E7827"/>
    <w:rsid w:val="764F7082"/>
    <w:rsid w:val="76742AFE"/>
    <w:rsid w:val="76EB5636"/>
    <w:rsid w:val="77086156"/>
    <w:rsid w:val="77D63799"/>
    <w:rsid w:val="77F70FB3"/>
    <w:rsid w:val="780C6AE8"/>
    <w:rsid w:val="785448FC"/>
    <w:rsid w:val="785D34B0"/>
    <w:rsid w:val="786B7F9B"/>
    <w:rsid w:val="78E263A4"/>
    <w:rsid w:val="796C620A"/>
    <w:rsid w:val="799E33DF"/>
    <w:rsid w:val="79CD2161"/>
    <w:rsid w:val="7A0B6859"/>
    <w:rsid w:val="7A6337B9"/>
    <w:rsid w:val="7A8D6EEE"/>
    <w:rsid w:val="7A910E54"/>
    <w:rsid w:val="7AD61519"/>
    <w:rsid w:val="7B072192"/>
    <w:rsid w:val="7B1B79EC"/>
    <w:rsid w:val="7B881F66"/>
    <w:rsid w:val="7BF42DEB"/>
    <w:rsid w:val="7C1B348D"/>
    <w:rsid w:val="7C375CFE"/>
    <w:rsid w:val="7CDE33C7"/>
    <w:rsid w:val="7CF31D97"/>
    <w:rsid w:val="7D5E654A"/>
    <w:rsid w:val="7DB4431C"/>
    <w:rsid w:val="7E0D0C38"/>
    <w:rsid w:val="7E1B5E3E"/>
    <w:rsid w:val="7E603E22"/>
    <w:rsid w:val="7EA22C29"/>
    <w:rsid w:val="7EC8281D"/>
    <w:rsid w:val="7EF218CD"/>
    <w:rsid w:val="7F17671C"/>
    <w:rsid w:val="7FDF3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99"/>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5"/>
    <w:basedOn w:val="1"/>
    <w:next w:val="1"/>
    <w:qFormat/>
    <w:uiPriority w:val="1"/>
    <w:pPr>
      <w:spacing w:before="46"/>
      <w:ind w:left="108"/>
      <w:outlineLvl w:val="4"/>
    </w:pPr>
    <w:rPr>
      <w:sz w:val="28"/>
      <w:szCs w:val="28"/>
    </w:rPr>
  </w:style>
  <w:style w:type="paragraph" w:styleId="7">
    <w:name w:val="heading 6"/>
    <w:basedOn w:val="1"/>
    <w:next w:val="1"/>
    <w:qFormat/>
    <w:uiPriority w:val="1"/>
    <w:pPr>
      <w:ind w:left="296"/>
      <w:outlineLvl w:val="5"/>
    </w:pPr>
    <w:rPr>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42"/>
    <w:qFormat/>
    <w:uiPriority w:val="0"/>
    <w:rPr>
      <w:rFonts w:ascii="宋体"/>
    </w:rPr>
  </w:style>
  <w:style w:type="paragraph" w:styleId="8">
    <w:name w:val="Normal Indent"/>
    <w:basedOn w:val="1"/>
    <w:next w:val="1"/>
    <w:qFormat/>
    <w:uiPriority w:val="0"/>
    <w:pPr>
      <w:ind w:firstLine="420"/>
    </w:pPr>
    <w:rPr>
      <w:kern w:val="0"/>
      <w:sz w:val="20"/>
      <w:szCs w:val="20"/>
    </w:rPr>
  </w:style>
  <w:style w:type="paragraph" w:styleId="9">
    <w:name w:val="annotation text"/>
    <w:basedOn w:val="1"/>
    <w:link w:val="37"/>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unhideWhenUsed/>
    <w:qFormat/>
    <w:uiPriority w:val="0"/>
    <w:pPr>
      <w:spacing w:after="120"/>
    </w:pPr>
    <w:rPr>
      <w:rFonts w:ascii="Times New Roman" w:hAnsi="Times New Roman"/>
      <w:szCs w:val="20"/>
    </w:rPr>
  </w:style>
  <w:style w:type="paragraph" w:styleId="12">
    <w:name w:val="Body Text Indent"/>
    <w:basedOn w:val="1"/>
    <w:qFormat/>
    <w:uiPriority w:val="0"/>
    <w:pPr>
      <w:spacing w:after="120"/>
      <w:ind w:left="420" w:leftChars="200"/>
    </w:pPr>
    <w:rPr>
      <w:rFonts w:ascii="Times New Roman" w:hAnsi="Times New Roman"/>
      <w:szCs w:val="20"/>
    </w:rPr>
  </w:style>
  <w:style w:type="paragraph" w:styleId="13">
    <w:name w:val="toc 3"/>
    <w:basedOn w:val="1"/>
    <w:next w:val="1"/>
    <w:qFormat/>
    <w:uiPriority w:val="39"/>
    <w:pPr>
      <w:ind w:left="400" w:leftChars="400"/>
    </w:pPr>
  </w:style>
  <w:style w:type="paragraph" w:styleId="14">
    <w:name w:val="Balloon Text"/>
    <w:basedOn w:val="1"/>
    <w:link w:val="4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200" w:leftChars="200"/>
    </w:pPr>
  </w:style>
  <w:style w:type="paragraph" w:styleId="19">
    <w:name w:val="Normal (Web)"/>
    <w:basedOn w:val="1"/>
    <w:unhideWhenUsed/>
    <w:qFormat/>
    <w:uiPriority w:val="99"/>
    <w:pPr>
      <w:widowControl/>
      <w:jc w:val="left"/>
    </w:pPr>
    <w:rPr>
      <w:rFonts w:ascii="微软雅黑" w:hAnsi="微软雅黑" w:eastAsia="微软雅黑" w:cs="宋体"/>
      <w:kern w:val="0"/>
      <w:sz w:val="24"/>
      <w:szCs w:val="24"/>
    </w:rPr>
  </w:style>
  <w:style w:type="paragraph" w:styleId="20">
    <w:name w:val="annotation subject"/>
    <w:basedOn w:val="9"/>
    <w:next w:val="9"/>
    <w:link w:val="38"/>
    <w:qFormat/>
    <w:uiPriority w:val="0"/>
    <w:rPr>
      <w:b/>
      <w:bCs/>
    </w:rPr>
  </w:style>
  <w:style w:type="paragraph" w:styleId="21">
    <w:name w:val="Body Text First Indent"/>
    <w:basedOn w:val="11"/>
    <w:qFormat/>
    <w:uiPriority w:val="0"/>
    <w:pPr>
      <w:spacing w:line="312" w:lineRule="auto"/>
      <w:ind w:firstLine="420"/>
    </w:pPr>
    <w:rPr>
      <w:szCs w:val="24"/>
    </w:rPr>
  </w:style>
  <w:style w:type="paragraph" w:styleId="22">
    <w:name w:val="Body Text First Indent 2"/>
    <w:basedOn w:val="12"/>
    <w:qFormat/>
    <w:uiPriority w:val="0"/>
    <w:pPr>
      <w:ind w:left="0" w:leftChars="0" w:firstLine="960" w:firstLineChars="200"/>
    </w:pPr>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99"/>
    <w:rPr>
      <w:color w:val="000000"/>
      <w:u w:val="none"/>
    </w:rPr>
  </w:style>
  <w:style w:type="character" w:styleId="27">
    <w:name w:val="annotation reference"/>
    <w:qFormat/>
    <w:uiPriority w:val="0"/>
    <w:rPr>
      <w:sz w:val="21"/>
    </w:rPr>
  </w:style>
  <w:style w:type="paragraph" w:customStyle="1" w:styleId="28">
    <w:name w:val="样式 宋体 行距: 1.5 倍行距"/>
    <w:basedOn w:val="1"/>
    <w:qFormat/>
    <w:uiPriority w:val="99"/>
    <w:pPr>
      <w:jc w:val="center"/>
    </w:pPr>
    <w:rPr>
      <w:b/>
      <w:bCs/>
    </w:rPr>
  </w:style>
  <w:style w:type="paragraph" w:customStyle="1" w:styleId="29">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30">
    <w:name w:val="p0"/>
    <w:basedOn w:val="1"/>
    <w:qFormat/>
    <w:uiPriority w:val="0"/>
    <w:pPr>
      <w:widowControl/>
      <w:spacing w:before="75" w:after="75"/>
      <w:jc w:val="left"/>
    </w:pPr>
    <w:rPr>
      <w:rFonts w:ascii="宋体" w:hAnsi="宋体" w:cs="宋体"/>
      <w:kern w:val="0"/>
      <w:sz w:val="24"/>
      <w:szCs w:val="24"/>
    </w:rPr>
  </w:style>
  <w:style w:type="paragraph" w:customStyle="1" w:styleId="31">
    <w:name w:val="Table Paragraph"/>
    <w:basedOn w:val="1"/>
    <w:unhideWhenUsed/>
    <w:qFormat/>
    <w:uiPriority w:val="99"/>
    <w:rPr>
      <w:rFonts w:hint="eastAsia"/>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列表段落1"/>
    <w:basedOn w:val="1"/>
    <w:unhideWhenUsed/>
    <w:qFormat/>
    <w:uiPriority w:val="99"/>
    <w:pPr>
      <w:ind w:firstLine="420" w:firstLineChars="200"/>
    </w:pPr>
  </w:style>
  <w:style w:type="character" w:customStyle="1" w:styleId="34">
    <w:name w:val="font31"/>
    <w:basedOn w:val="25"/>
    <w:qFormat/>
    <w:uiPriority w:val="0"/>
    <w:rPr>
      <w:rFonts w:hint="eastAsia" w:ascii="仿宋" w:hAnsi="仿宋" w:eastAsia="仿宋" w:cs="仿宋"/>
      <w:color w:val="000000"/>
      <w:sz w:val="28"/>
      <w:szCs w:val="28"/>
      <w:u w:val="none"/>
    </w:rPr>
  </w:style>
  <w:style w:type="character" w:customStyle="1" w:styleId="35">
    <w:name w:val="font01"/>
    <w:basedOn w:val="25"/>
    <w:qFormat/>
    <w:uiPriority w:val="0"/>
    <w:rPr>
      <w:rFonts w:hint="eastAsia" w:ascii="仿宋" w:hAnsi="仿宋" w:eastAsia="仿宋" w:cs="仿宋"/>
      <w:b/>
      <w:color w:val="000000"/>
      <w:sz w:val="28"/>
      <w:szCs w:val="28"/>
      <w:u w:val="none"/>
    </w:rPr>
  </w:style>
  <w:style w:type="paragraph" w:customStyle="1" w:styleId="36">
    <w:name w:val="修订1"/>
    <w:hidden/>
    <w:semiHidden/>
    <w:qFormat/>
    <w:uiPriority w:val="99"/>
    <w:rPr>
      <w:rFonts w:ascii="Calibri" w:hAnsi="Calibri" w:eastAsia="宋体" w:cs="Times New Roman"/>
      <w:kern w:val="2"/>
      <w:sz w:val="21"/>
      <w:szCs w:val="22"/>
      <w:lang w:val="en-US" w:eastAsia="zh-CN" w:bidi="ar-SA"/>
    </w:rPr>
  </w:style>
  <w:style w:type="character" w:customStyle="1" w:styleId="37">
    <w:name w:val="批注文字 字符"/>
    <w:basedOn w:val="25"/>
    <w:link w:val="9"/>
    <w:qFormat/>
    <w:uiPriority w:val="0"/>
    <w:rPr>
      <w:rFonts w:ascii="Calibri" w:hAnsi="Calibri" w:eastAsia="宋体" w:cs="Times New Roman"/>
      <w:kern w:val="2"/>
      <w:sz w:val="21"/>
      <w:szCs w:val="22"/>
    </w:rPr>
  </w:style>
  <w:style w:type="character" w:customStyle="1" w:styleId="38">
    <w:name w:val="批注主题 字符"/>
    <w:basedOn w:val="37"/>
    <w:link w:val="20"/>
    <w:qFormat/>
    <w:uiPriority w:val="0"/>
    <w:rPr>
      <w:rFonts w:ascii="Calibri" w:hAnsi="Calibri" w:eastAsia="宋体" w:cs="Times New Roman"/>
      <w:b/>
      <w:bCs/>
      <w:kern w:val="2"/>
      <w:sz w:val="21"/>
      <w:szCs w:val="22"/>
    </w:rPr>
  </w:style>
  <w:style w:type="character" w:customStyle="1" w:styleId="39">
    <w:name w:val="页眉 字符"/>
    <w:basedOn w:val="25"/>
    <w:link w:val="16"/>
    <w:qFormat/>
    <w:uiPriority w:val="0"/>
    <w:rPr>
      <w:rFonts w:ascii="Calibri" w:hAnsi="Calibri" w:eastAsia="宋体" w:cs="Times New Roman"/>
      <w:kern w:val="2"/>
      <w:sz w:val="18"/>
      <w:szCs w:val="18"/>
    </w:rPr>
  </w:style>
  <w:style w:type="paragraph" w:customStyle="1" w:styleId="40">
    <w:name w:val="修订2"/>
    <w:hidden/>
    <w:semiHidden/>
    <w:qFormat/>
    <w:uiPriority w:val="99"/>
    <w:rPr>
      <w:rFonts w:ascii="Calibri" w:hAnsi="Calibri" w:eastAsia="宋体" w:cs="Times New Roman"/>
      <w:kern w:val="2"/>
      <w:sz w:val="21"/>
      <w:szCs w:val="22"/>
      <w:lang w:val="en-US" w:eastAsia="zh-CN" w:bidi="ar-SA"/>
    </w:rPr>
  </w:style>
  <w:style w:type="character" w:customStyle="1" w:styleId="41">
    <w:name w:val="批注框文本 字符"/>
    <w:basedOn w:val="25"/>
    <w:link w:val="14"/>
    <w:qFormat/>
    <w:uiPriority w:val="0"/>
    <w:rPr>
      <w:rFonts w:ascii="Calibri" w:hAnsi="Calibri" w:eastAsia="宋体" w:cs="Times New Roman"/>
      <w:kern w:val="2"/>
      <w:sz w:val="18"/>
      <w:szCs w:val="18"/>
    </w:rPr>
  </w:style>
  <w:style w:type="character" w:customStyle="1" w:styleId="42">
    <w:name w:val="纯文本 字符"/>
    <w:link w:val="2"/>
    <w:qFormat/>
    <w:uiPriority w:val="0"/>
    <w:rPr>
      <w:rFonts w:ascii="宋体" w:hAnsi="Calibri" w:eastAsia="宋体" w:cs="Times New Roman"/>
      <w:kern w:val="2"/>
      <w:sz w:val="21"/>
      <w:szCs w:val="22"/>
    </w:rPr>
  </w:style>
  <w:style w:type="paragraph" w:customStyle="1" w:styleId="43">
    <w:name w:val="文二"/>
    <w:basedOn w:val="1"/>
    <w:qFormat/>
    <w:uiPriority w:val="0"/>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53655-4280-4E6D-9D29-73D959CAAC00}">
  <ds:schemaRefs/>
</ds:datastoreItem>
</file>

<file path=docProps/app.xml><?xml version="1.0" encoding="utf-8"?>
<Properties xmlns="http://schemas.openxmlformats.org/officeDocument/2006/extended-properties" xmlns:vt="http://schemas.openxmlformats.org/officeDocument/2006/docPropsVTypes">
  <Template>Normal</Template>
  <Pages>117</Pages>
  <Words>63232</Words>
  <Characters>66097</Characters>
  <Lines>503</Lines>
  <Paragraphs>141</Paragraphs>
  <TotalTime>0</TotalTime>
  <ScaleCrop>false</ScaleCrop>
  <LinksUpToDate>false</LinksUpToDate>
  <CharactersWithSpaces>70161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2022-07-25T07:01:00Z</dcterms:created>
  <dc:creator>MIRCO</dc:creator>
  <cp:lastModifiedBy>50</cp:lastModifiedBy>
  <cp:lastPrinted>2022-08-12T07:52:00Z</cp:lastPrinted>
  <dcterms:modified xsi:type="dcterms:W3CDTF">2022-10-31T10:58:04Z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03F4FF22422747D1B43702FB303537F5</vt:lpwstr>
  </property>
</Properties>
</file>