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00" w:lineRule="exact"/>
        <w:ind w:firstLine="400"/>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0" allowOverlap="1">
                <wp:simplePos x="0" y="0"/>
                <wp:positionH relativeFrom="column">
                  <wp:posOffset>-333375</wp:posOffset>
                </wp:positionH>
                <wp:positionV relativeFrom="paragraph">
                  <wp:posOffset>267970</wp:posOffset>
                </wp:positionV>
                <wp:extent cx="1066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66800" cy="0"/>
                        </a:xfrm>
                        <a:prstGeom prst="line">
                          <a:avLst/>
                        </a:prstGeom>
                        <a:ln>
                          <a:noFill/>
                        </a:ln>
                      </wps:spPr>
                      <wps:bodyPr upright="1"/>
                    </wps:wsp>
                  </a:graphicData>
                </a:graphic>
              </wp:anchor>
            </w:drawing>
          </mc:Choice>
          <mc:Fallback>
            <w:pict>
              <v:line id="_x0000_s1026" o:spid="_x0000_s1026" o:spt="20" style="position:absolute;left:0pt;margin-left:-26.25pt;margin-top:21.1pt;height:0pt;width:84pt;z-index:251663360;mso-width-relative:page;mso-height-relative:page;" filled="f" stroked="f" coordsize="21600,21600" o:allowincell="f" o:gfxdata="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LKuapLXAAAACQEAAA8AAAAAAAAAAQAgAAAAIgAAAGRycy9kb3ducmV2LnhtbFBLAQIUABQA&#10;AAAIAIdO4kAMuBlVfwEAAOECAAAOAAAAAAAAAAEAIAAAACYBAABkcnMvZTJvRG9jLnhtbFBLBQYA&#10;AAAABgAGAFkBAAAXBQAAAAA=&#10;">
                <v:fill on="f" focussize="0,0"/>
                <v:stroke on="f"/>
                <v:imagedata o:title=""/>
                <o:lock v:ext="edit" aspectratio="f"/>
              </v:line>
            </w:pict>
          </mc:Fallback>
        </mc:AlternateContent>
      </w: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4384" behindDoc="0" locked="0" layoutInCell="0" allowOverlap="1">
                <wp:simplePos x="0" y="0"/>
                <wp:positionH relativeFrom="column">
                  <wp:posOffset>2667000</wp:posOffset>
                </wp:positionH>
                <wp:positionV relativeFrom="paragraph">
                  <wp:posOffset>128270</wp:posOffset>
                </wp:positionV>
                <wp:extent cx="66675" cy="405765"/>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66675" cy="405765"/>
                        </a:xfrm>
                        <a:prstGeom prst="line">
                          <a:avLst/>
                        </a:prstGeom>
                        <a:ln>
                          <a:noFill/>
                        </a:ln>
                      </wps:spPr>
                      <wps:bodyPr upright="1"/>
                    </wps:wsp>
                  </a:graphicData>
                </a:graphic>
              </wp:anchor>
            </w:drawing>
          </mc:Choice>
          <mc:Fallback>
            <w:pict>
              <v:line id="_x0000_s1026" o:spid="_x0000_s1026" o:spt="20" style="position:absolute;left:0pt;flip:x;margin-left:210pt;margin-top:10.1pt;height:31.95pt;width:5.25pt;z-index:251664384;mso-width-relative:page;mso-height-relative:page;" filled="f" stroked="f" coordsize="21600,21600" o:allowincell="f" o:gfxdata="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Yx+P9cAAAAJAQAADwAAAAAAAAABACAAAAAiAAAAZHJz&#10;L2Rvd25yZXYueG1sUEsBAhQAFAAAAAgAh07iQKbx2OKTAQAA7gIAAA4AAAAAAAAAAQAgAAAAJgEA&#10;AGRycy9lMm9Eb2MueG1sUEsFBgAAAAAGAAYAWQEAACsFAAAAAA==&#10;">
                <v:fill on="f" focussize="0,0"/>
                <v:stroke on="f"/>
                <v:imagedata o:title=""/>
                <o:lock v:ext="edit" aspectratio="f"/>
              </v:line>
            </w:pict>
          </mc:Fallback>
        </mc:AlternateContent>
      </w: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-133350</wp:posOffset>
                </wp:positionH>
                <wp:positionV relativeFrom="paragraph">
                  <wp:posOffset>49530</wp:posOffset>
                </wp:positionV>
                <wp:extent cx="5867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867400" cy="0"/>
                        </a:xfrm>
                        <a:prstGeom prst="line">
                          <a:avLst/>
                        </a:prstGeom>
                        <a:ln>
                          <a:noFill/>
                        </a:ln>
                      </wps:spPr>
                      <wps:bodyPr upright="1"/>
                    </wps:wsp>
                  </a:graphicData>
                </a:graphic>
              </wp:anchor>
            </w:drawing>
          </mc:Choice>
          <mc:Fallback>
            <w:pict>
              <v:line id="_x0000_s1026" o:spid="_x0000_s1026" o:spt="20" style="position:absolute;left:0pt;margin-left:-10.5pt;margin-top:3.9pt;height:0pt;width:462pt;z-index:251661312;mso-width-relative:page;mso-height-relative:page;" filled="f" stroked="f" coordsize="21600,21600" o:allowincell="f" o:gfxdata="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cPh1CdUAAAAHAQAADwAAAAAAAAABACAAAAAiAAAAZHJzL2Rvd25yZXYueG1sUEsB&#10;AhQAFAAAAAgAh07iQHIh0ZiGAQAA4QIAAA4AAAAAAAAAAQAgAAAAJAEAAGRycy9lMm9Eb2MueG1s&#10;UEsFBgAAAAAGAAYAWQEAABwFAAAAAA==&#10;">
                <v:fill on="f" focussize="0,0"/>
                <v:stroke on="f"/>
                <v:imagedata o:title=""/>
                <o:lock v:ext="edit" aspectratio="f"/>
              </v:line>
            </w:pict>
          </mc:Fallback>
        </mc:AlternateContent>
      </w: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0" allowOverlap="1">
                <wp:simplePos x="0" y="0"/>
                <wp:positionH relativeFrom="column">
                  <wp:posOffset>2733675</wp:posOffset>
                </wp:positionH>
                <wp:positionV relativeFrom="paragraph">
                  <wp:posOffset>6350</wp:posOffset>
                </wp:positionV>
                <wp:extent cx="635" cy="29718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297180"/>
                        </a:xfrm>
                        <a:prstGeom prst="line">
                          <a:avLst/>
                        </a:prstGeom>
                        <a:ln>
                          <a:noFill/>
                        </a:ln>
                      </wps:spPr>
                      <wps:bodyPr upright="1"/>
                    </wps:wsp>
                  </a:graphicData>
                </a:graphic>
              </wp:anchor>
            </w:drawing>
          </mc:Choice>
          <mc:Fallback>
            <w:pict>
              <v:line id="_x0000_s1026" o:spid="_x0000_s1026" o:spt="20" style="position:absolute;left:0pt;margin-left:215.25pt;margin-top:0.5pt;height:23.4pt;width:0.05pt;z-index:251662336;mso-width-relative:page;mso-height-relative:page;" filled="f" stroked="f" coordsize="21600,21600" o:allowincell="f" o:gfxdata="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PRqLD1gAAAAgBAAAPAAAAAAAAAAEAIAAAACIAAABkcnMvZG93bnJldi54&#10;bWxQSwECFAAUAAAACACHTuJA8Son14oBAADiAgAADgAAAAAAAAABACAAAAAlAQAAZHJzL2Uyb0Rv&#10;Yy54bWxQSwUGAAAAAAYABgBZAQAAIQUAAAAA&#10;">
                <v:fill on="f" focussize="0,0"/>
                <v:stroke on="f"/>
                <v:imagedata o:title=""/>
                <o:lock v:ext="edit" aspectratio="f"/>
              </v:line>
            </w:pict>
          </mc:Fallback>
        </mc:AlternateContent>
      </w:r>
    </w:p>
    <w:p>
      <w:pPr>
        <w:spacing w:line="400" w:lineRule="exact"/>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color w:val="auto"/>
          <w:highlight w:val="none"/>
          <w:u w:val="none"/>
        </w:rPr>
      </w:pPr>
      <w:bookmarkStart w:id="0" w:name="_Toc12793"/>
      <w:r>
        <w:rPr>
          <w:rFonts w:hint="eastAsia" w:asciiTheme="minorEastAsia" w:hAnsiTheme="minorEastAsia" w:eastAsiaTheme="minorEastAsia" w:cstheme="minorEastAsia"/>
          <w:color w:val="auto"/>
          <w:sz w:val="44"/>
          <w:szCs w:val="44"/>
          <w:highlight w:val="none"/>
          <w:u w:val="none"/>
        </w:rPr>
        <w:t>东莞市城市轨道交通2号线三期强弱电系统</w:t>
      </w:r>
      <w:r>
        <w:rPr>
          <w:rFonts w:hint="eastAsia" w:asciiTheme="minorEastAsia" w:hAnsiTheme="minorEastAsia" w:eastAsiaTheme="minorEastAsia" w:cstheme="minorEastAsia"/>
          <w:color w:val="auto"/>
          <w:sz w:val="44"/>
          <w:szCs w:val="44"/>
          <w:highlight w:val="none"/>
          <w:u w:val="none"/>
          <w:lang w:val="en-US" w:eastAsia="zh-CN"/>
        </w:rPr>
        <w:t>和</w:t>
      </w:r>
      <w:r>
        <w:rPr>
          <w:rFonts w:hint="eastAsia" w:asciiTheme="minorEastAsia" w:hAnsiTheme="minorEastAsia" w:eastAsiaTheme="minorEastAsia" w:cstheme="minorEastAsia"/>
          <w:color w:val="auto"/>
          <w:sz w:val="44"/>
          <w:szCs w:val="44"/>
          <w:highlight w:val="none"/>
          <w:u w:val="none"/>
        </w:rPr>
        <w:t>车站设备集成服务</w:t>
      </w:r>
      <w:r>
        <w:rPr>
          <w:rFonts w:hint="eastAsia" w:asciiTheme="minorEastAsia" w:hAnsiTheme="minorEastAsia" w:eastAsiaTheme="minorEastAsia" w:cstheme="minorEastAsia"/>
          <w:color w:val="auto"/>
          <w:sz w:val="44"/>
          <w:szCs w:val="44"/>
          <w:highlight w:val="none"/>
          <w:u w:val="none"/>
          <w:lang w:eastAsia="zh-CN"/>
        </w:rPr>
        <w:t>（</w:t>
      </w:r>
      <w:r>
        <w:rPr>
          <w:rFonts w:hint="eastAsia" w:asciiTheme="minorEastAsia" w:hAnsiTheme="minorEastAsia" w:eastAsiaTheme="minorEastAsia" w:cstheme="minorEastAsia"/>
          <w:color w:val="auto"/>
          <w:sz w:val="44"/>
          <w:szCs w:val="44"/>
          <w:highlight w:val="none"/>
          <w:u w:val="none"/>
        </w:rPr>
        <w:t>2532标</w:t>
      </w:r>
      <w:bookmarkEnd w:id="0"/>
      <w:r>
        <w:rPr>
          <w:rFonts w:hint="eastAsia" w:asciiTheme="minorEastAsia" w:hAnsiTheme="minorEastAsia" w:eastAsiaTheme="minorEastAsia" w:cstheme="minorEastAsia"/>
          <w:color w:val="auto"/>
          <w:sz w:val="44"/>
          <w:szCs w:val="44"/>
          <w:highlight w:val="none"/>
          <w:u w:val="none"/>
          <w:lang w:eastAsia="zh-CN"/>
        </w:rPr>
        <w:t>）</w:t>
      </w:r>
    </w:p>
    <w:p>
      <w:pPr>
        <w:spacing w:line="400" w:lineRule="exact"/>
        <w:jc w:val="righ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highlight w:val="none"/>
        </w:rPr>
      </w:pPr>
    </w:p>
    <w:p>
      <w:pPr>
        <w:jc w:val="center"/>
        <w:rPr>
          <w:rFonts w:hint="eastAsia"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t>招标文件</w:t>
      </w: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color w:val="auto"/>
          <w:highlight w:val="none"/>
        </w:rPr>
      </w:pPr>
    </w:p>
    <w:p>
      <w:pPr>
        <w:spacing w:line="720" w:lineRule="auto"/>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lang w:val="en-US" w:eastAsia="zh-CN"/>
        </w:rPr>
        <w:t xml:space="preserve">   </w:t>
      </w:r>
      <w:bookmarkStart w:id="1" w:name="_Toc26491"/>
      <w:r>
        <w:rPr>
          <w:rFonts w:hint="eastAsia" w:asciiTheme="minorEastAsia" w:hAnsiTheme="minorEastAsia" w:eastAsiaTheme="minorEastAsia" w:cstheme="minorEastAsia"/>
          <w:color w:val="auto"/>
          <w:sz w:val="28"/>
          <w:highlight w:val="none"/>
        </w:rPr>
        <w:t>招标人：</w:t>
      </w:r>
      <w:r>
        <w:rPr>
          <w:rFonts w:hint="eastAsia" w:asciiTheme="minorEastAsia" w:hAnsiTheme="minorEastAsia" w:eastAsiaTheme="minorEastAsia" w:cstheme="minorEastAsia"/>
          <w:color w:val="auto"/>
          <w:sz w:val="28"/>
          <w:highlight w:val="none"/>
          <w:u w:val="single"/>
        </w:rPr>
        <w:t>东莞市轨道交通有限公司</w:t>
      </w:r>
      <w:r>
        <w:rPr>
          <w:rFonts w:hint="eastAsia" w:asciiTheme="minorEastAsia" w:hAnsiTheme="minorEastAsia" w:eastAsiaTheme="minorEastAsia" w:cstheme="minorEastAsia"/>
          <w:color w:val="auto"/>
          <w:sz w:val="28"/>
          <w:highlight w:val="none"/>
        </w:rPr>
        <w:t>（盖单位章）</w:t>
      </w:r>
      <w:bookmarkEnd w:id="1"/>
    </w:p>
    <w:p>
      <w:pPr>
        <w:pStyle w:val="11"/>
        <w:spacing w:line="720" w:lineRule="auto"/>
        <w:ind w:firstLine="1400" w:firstLineChars="5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2"/>
          <w:highlight w:val="none"/>
        </w:rPr>
        <w:t>招标代理：</w:t>
      </w:r>
      <w:r>
        <w:rPr>
          <w:rFonts w:hint="eastAsia" w:asciiTheme="minorEastAsia" w:hAnsiTheme="minorEastAsia" w:eastAsiaTheme="minorEastAsia" w:cstheme="minorEastAsia"/>
          <w:color w:val="auto"/>
          <w:sz w:val="28"/>
          <w:szCs w:val="22"/>
          <w:highlight w:val="none"/>
          <w:u w:val="single"/>
          <w:lang w:val="en-US" w:eastAsia="zh-CN"/>
        </w:rPr>
        <w:t>国义招标股份有限公司</w:t>
      </w:r>
      <w:r>
        <w:rPr>
          <w:rFonts w:hint="eastAsia" w:asciiTheme="minorEastAsia" w:hAnsiTheme="minorEastAsia" w:eastAsiaTheme="minorEastAsia" w:cstheme="minorEastAsia"/>
          <w:color w:val="auto"/>
          <w:sz w:val="28"/>
          <w:highlight w:val="none"/>
        </w:rPr>
        <w:t>（盖单位章）</w:t>
      </w:r>
    </w:p>
    <w:p>
      <w:pPr>
        <w:jc w:val="center"/>
        <w:rPr>
          <w:rFonts w:hint="eastAsia" w:asciiTheme="minorEastAsia" w:hAnsiTheme="minorEastAsia" w:eastAsiaTheme="minorEastAsia" w:cstheme="minorEastAsia"/>
          <w:color w:val="auto"/>
          <w:sz w:val="28"/>
          <w:highlight w:val="none"/>
        </w:rPr>
      </w:pPr>
    </w:p>
    <w:p>
      <w:pPr>
        <w:jc w:val="center"/>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2025</w:t>
      </w:r>
      <w:r>
        <w:rPr>
          <w:rFonts w:hint="eastAsia" w:asciiTheme="minorEastAsia" w:hAnsiTheme="minorEastAsia" w:eastAsiaTheme="minorEastAsia" w:cstheme="minorEastAsia"/>
          <w:color w:val="auto"/>
          <w:sz w:val="28"/>
          <w:highlight w:val="none"/>
          <w:u w:val="none"/>
        </w:rPr>
        <w:t xml:space="preserve"> </w:t>
      </w:r>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5</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rPr>
        <w:t>月</w:t>
      </w:r>
    </w:p>
    <w:p>
      <w:pPr>
        <w:pStyle w:val="2"/>
        <w:pBdr>
          <w:top w:val="none" w:color="auto" w:sz="0" w:space="0"/>
          <w:left w:val="none" w:color="auto" w:sz="0" w:space="0"/>
          <w:bottom w:val="none" w:color="auto" w:sz="0" w:space="0"/>
          <w:right w:val="none" w:color="auto" w:sz="0" w:space="0"/>
          <w:between w:val="none" w:color="auto" w:sz="0" w:space="0"/>
        </w:pBdr>
        <w:spacing w:line="360" w:lineRule="auto"/>
        <w:jc w:val="center"/>
        <w:outlineLvl w:val="9"/>
        <w:rPr>
          <w:rFonts w:hint="eastAsia" w:asciiTheme="minorEastAsia" w:hAnsiTheme="minorEastAsia" w:eastAsiaTheme="minorEastAsia" w:cstheme="minorEastAsia"/>
          <w:color w:val="auto"/>
          <w:highlight w:val="none"/>
        </w:rPr>
        <w:sectPr>
          <w:headerReference r:id="rId3" w:type="default"/>
          <w:footerReference r:id="rId4" w:type="default"/>
          <w:pgSz w:w="12240" w:h="15840"/>
          <w:pgMar w:top="1440" w:right="1800" w:bottom="1440" w:left="1800" w:header="720" w:footer="720" w:gutter="0"/>
          <w:pgNumType w:fmt="decimal" w:start="1"/>
          <w:cols w:space="720" w:num="1"/>
        </w:sectPr>
      </w:pPr>
    </w:p>
    <w:p>
      <w:pPr>
        <w:pStyle w:val="2"/>
        <w:spacing w:before="0" w:after="0" w:line="240" w:lineRule="auto"/>
        <w:jc w:val="center"/>
        <w:rPr>
          <w:rFonts w:hint="default" w:ascii="Times New Roman" w:hAnsi="Times New Roman" w:eastAsia="黑体" w:cs="Times New Roman"/>
          <w:color w:val="auto"/>
          <w:sz w:val="36"/>
          <w:szCs w:val="22"/>
          <w:highlight w:val="none"/>
          <w:lang w:val="en-US" w:eastAsia="zh-CN"/>
        </w:rPr>
      </w:pPr>
      <w:bookmarkStart w:id="2" w:name="_Toc24131"/>
      <w:r>
        <w:rPr>
          <w:rFonts w:hint="eastAsia" w:ascii="Times New Roman" w:hAnsi="Times New Roman" w:cs="Times New Roman"/>
          <w:color w:val="auto"/>
          <w:sz w:val="36"/>
          <w:szCs w:val="22"/>
          <w:highlight w:val="none"/>
          <w:lang w:val="en-US" w:eastAsia="zh-CN"/>
        </w:rPr>
        <w:t>目录</w:t>
      </w:r>
      <w:bookmarkEnd w:id="2"/>
    </w:p>
    <w:sdt>
      <w:sdtPr>
        <w:rPr>
          <w:rFonts w:ascii="宋体" w:hAnsi="宋体" w:eastAsia="宋体" w:cs="Times New Roman"/>
          <w:color w:val="auto"/>
          <w:kern w:val="2"/>
          <w:sz w:val="21"/>
          <w:szCs w:val="22"/>
          <w:highlight w:val="none"/>
          <w:lang w:val="en-US" w:eastAsia="zh-CN" w:bidi="ar-SA"/>
        </w:rPr>
        <w:id w:val="147477935"/>
        <w15:color w:val="DBDBDB"/>
        <w:docPartObj>
          <w:docPartGallery w:val="Table of Contents"/>
          <w:docPartUnique/>
        </w:docPartObj>
      </w:sdtPr>
      <w:sdtEndPr>
        <w:rPr>
          <w:rFonts w:hint="eastAsia" w:asciiTheme="minorEastAsia" w:hAnsiTheme="minorEastAsia" w:eastAsiaTheme="minorEastAsia" w:cstheme="minorEastAsia"/>
          <w:b w:val="0"/>
          <w:bCs w:val="0"/>
          <w:color w:val="auto"/>
          <w:kern w:val="2"/>
          <w:sz w:val="18"/>
          <w:szCs w:val="18"/>
          <w:highlight w:val="none"/>
          <w:lang w:val="en-US" w:eastAsia="zh-CN" w:bidi="ar-SA"/>
        </w:rPr>
      </w:sdtEndPr>
      <w:sdtContent>
        <w:p>
          <w:pPr>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 w:val="18"/>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 w:val="18"/>
              <w:szCs w:val="18"/>
              <w:highlight w:val="none"/>
              <w:lang w:val="en-US" w:eastAsia="zh-CN" w:bidi="ar-SA"/>
            </w:rPr>
            <w:instrText xml:space="preserve">TOC \o "1-2" \h \u </w:instrText>
          </w:r>
          <w:r>
            <w:rPr>
              <w:rFonts w:hint="eastAsia" w:asciiTheme="minorEastAsia" w:hAnsiTheme="minorEastAsia" w:eastAsiaTheme="minorEastAsia" w:cstheme="minorEastAsia"/>
              <w:b w:val="0"/>
              <w:bCs w:val="0"/>
              <w:color w:val="auto"/>
              <w:kern w:val="2"/>
              <w:sz w:val="18"/>
              <w:szCs w:val="18"/>
              <w:highlight w:val="none"/>
              <w:lang w:val="en-US" w:eastAsia="zh-CN" w:bidi="ar-SA"/>
            </w:rPr>
            <w:fldChar w:fldCharType="separate"/>
          </w:r>
        </w:p>
        <w:p>
          <w:pPr>
            <w:pStyle w:val="23"/>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_Toc26293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第一卷</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_Toc26293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2</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3"/>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_Toc12019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第一章招标公告</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_Toc12019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3</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3"/>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_Toc6607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第二章投标人须知</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_Toc6607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9</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_Toc3502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投标人须知前附表</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_Toc3502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9</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_Toc32239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1. 总则</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_Toc32239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21</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_Toc20157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2. 招标文件</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_Toc20157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24</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_Toc10255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3. 投标文件</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_Toc10255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25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_Toc26518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4. 投标</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_Toc26518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27</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_Toc31357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5. 开标</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_Toc31357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28</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_Toc29061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6. 评标</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_Toc29061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29</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_Toc20642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7. 合同授予</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_Toc20642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30</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_Toc11355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8.纪律和监督</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_Toc11355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31</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_Toc7411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9. 是否采用电子招标投标</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_Toc7411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32</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_Toc13075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10. 需要补充的其他内容</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_Toc13075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32</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3"/>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_Toc23256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第三章评标办法（综合评估法）</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_Toc23256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36</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_Toc16659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评标办法前附表</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_Toc16659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36</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_Toc13482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kern w:val="0"/>
              <w:szCs w:val="20"/>
              <w:highlight w:val="none"/>
            </w:rPr>
            <w:t>1. 评标方法</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_Toc13482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44</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_Toc130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kern w:val="0"/>
              <w:szCs w:val="20"/>
              <w:highlight w:val="none"/>
            </w:rPr>
            <w:t>2. 评审标准</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_Toc130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44</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_Toc12772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kern w:val="0"/>
              <w:szCs w:val="20"/>
              <w:highlight w:val="none"/>
            </w:rPr>
            <w:t>3. 评标程序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_Toc12772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44</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3"/>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_Toc2479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第四章 合同条款及附件</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_Toc2479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46</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ind w:leftChars="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_Toc32367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第二卷</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_Toc32367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95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3"/>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_Toc11254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第五章委托人要求</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_Toc11254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95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3"/>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_Toc16247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第六章投标文件格式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_Toc16247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143</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_Toc12904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szCs w:val="16"/>
              <w:highlight w:val="none"/>
            </w:rPr>
            <w:t>目录</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_Toc12904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145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_Toc3119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1.投标函及投标函附录</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_Toc3119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146</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_Toc25698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2.法定代表人身份证明</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_Toc25698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148</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_Toc7614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3.法定代表人授权委托书</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_Toc7614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149</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_Toc3111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4.</w:t>
          </w:r>
          <w:r>
            <w:rPr>
              <w:rFonts w:hint="eastAsia" w:asciiTheme="minorEastAsia" w:hAnsiTheme="minorEastAsia" w:eastAsiaTheme="minorEastAsia" w:cstheme="minorEastAsia"/>
              <w:b w:val="0"/>
              <w:bCs w:val="0"/>
              <w:color w:val="auto"/>
              <w:highlight w:val="none"/>
              <w:lang w:val="en-US" w:eastAsia="zh-CN"/>
            </w:rPr>
            <w:t>集成服务</w:t>
          </w:r>
          <w:r>
            <w:rPr>
              <w:rFonts w:hint="eastAsia" w:asciiTheme="minorEastAsia" w:hAnsiTheme="minorEastAsia" w:eastAsiaTheme="minorEastAsia" w:cstheme="minorEastAsia"/>
              <w:b w:val="0"/>
              <w:bCs w:val="0"/>
              <w:color w:val="auto"/>
              <w:highlight w:val="none"/>
            </w:rPr>
            <w:t>单位组织机构表及项目</w:t>
          </w:r>
          <w:r>
            <w:rPr>
              <w:rFonts w:hint="eastAsia" w:asciiTheme="minorEastAsia" w:hAnsiTheme="minorEastAsia" w:eastAsiaTheme="minorEastAsia" w:cstheme="minorEastAsia"/>
              <w:b w:val="0"/>
              <w:bCs w:val="0"/>
              <w:color w:val="auto"/>
              <w:highlight w:val="none"/>
              <w:lang w:val="en-US" w:eastAsia="zh-CN"/>
            </w:rPr>
            <w:t>集成服务</w:t>
          </w:r>
          <w:r>
            <w:rPr>
              <w:rFonts w:hint="eastAsia" w:asciiTheme="minorEastAsia" w:hAnsiTheme="minorEastAsia" w:eastAsiaTheme="minorEastAsia" w:cstheme="minorEastAsia"/>
              <w:b w:val="0"/>
              <w:bCs w:val="0"/>
              <w:color w:val="auto"/>
              <w:highlight w:val="none"/>
            </w:rPr>
            <w:t>人员配置要求</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_Toc3111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150</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_Toc16289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lang w:val="en-US" w:eastAsia="zh-CN"/>
            </w:rPr>
            <w:t>5.</w:t>
          </w:r>
          <w:r>
            <w:rPr>
              <w:rFonts w:hint="eastAsia" w:asciiTheme="minorEastAsia" w:hAnsiTheme="minorEastAsia" w:eastAsiaTheme="minorEastAsia" w:cstheme="minorEastAsia"/>
              <w:b w:val="0"/>
              <w:bCs w:val="0"/>
              <w:color w:val="auto"/>
              <w:highlight w:val="none"/>
            </w:rPr>
            <w:t>设备集成服务报价清单</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_Toc16289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155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_Toc30126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6.合同条款响应性承诺书</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_Toc30126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157</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_Toc30130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7.</w:t>
          </w:r>
          <w:r>
            <w:rPr>
              <w:rFonts w:hint="eastAsia" w:asciiTheme="minorEastAsia" w:hAnsiTheme="minorEastAsia" w:eastAsiaTheme="minorEastAsia" w:cstheme="minorEastAsia"/>
              <w:b w:val="0"/>
              <w:bCs w:val="0"/>
              <w:color w:val="auto"/>
              <w:kern w:val="0"/>
              <w:szCs w:val="28"/>
              <w:highlight w:val="none"/>
            </w:rPr>
            <w:t>设备集成服务人员承诺函</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_Toc30130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158</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_Toc559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kern w:val="0"/>
              <w:szCs w:val="28"/>
              <w:highlight w:val="none"/>
            </w:rPr>
            <w:t>8.拟投入本项目的主要办公设施、设备表</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_Toc559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159</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_Toc16273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9.</w:t>
          </w:r>
          <w:r>
            <w:rPr>
              <w:rFonts w:hint="eastAsia" w:asciiTheme="minorEastAsia" w:hAnsiTheme="minorEastAsia" w:eastAsiaTheme="minorEastAsia" w:cstheme="minorEastAsia"/>
              <w:b w:val="0"/>
              <w:bCs w:val="0"/>
              <w:color w:val="auto"/>
              <w:highlight w:val="none"/>
              <w:lang w:val="en-US" w:eastAsia="zh-CN"/>
            </w:rPr>
            <w:t>集成服务</w:t>
          </w:r>
          <w:r>
            <w:rPr>
              <w:rFonts w:hint="eastAsia" w:asciiTheme="minorEastAsia" w:hAnsiTheme="minorEastAsia" w:eastAsiaTheme="minorEastAsia" w:cstheme="minorEastAsia"/>
              <w:b w:val="0"/>
              <w:bCs w:val="0"/>
              <w:color w:val="auto"/>
              <w:highlight w:val="none"/>
            </w:rPr>
            <w:t>大纲</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_Toc16273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160</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_Toc1420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lang w:val="en-US" w:eastAsia="zh-CN"/>
            </w:rPr>
            <w:t>10.资格审查材料</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_Toc1420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161</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pStyle w:val="24"/>
            <w:tabs>
              <w:tab w:val="right" w:leader="dot" w:pos="9638"/>
            </w:tabs>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begin"/>
          </w:r>
          <w:r>
            <w:rPr>
              <w:rFonts w:hint="eastAsia" w:asciiTheme="minorEastAsia" w:hAnsiTheme="minorEastAsia" w:eastAsiaTheme="minorEastAsia" w:cstheme="minorEastAsia"/>
              <w:b w:val="0"/>
              <w:bCs w:val="0"/>
              <w:color w:val="auto"/>
              <w:kern w:val="2"/>
              <w:szCs w:val="18"/>
              <w:highlight w:val="none"/>
              <w:lang w:val="en-US" w:eastAsia="zh-CN" w:bidi="ar-SA"/>
            </w:rPr>
            <w:instrText xml:space="preserve"> HYPERLINK \l _Toc12021 </w:instrText>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separate"/>
          </w:r>
          <w:r>
            <w:rPr>
              <w:rFonts w:hint="eastAsia" w:asciiTheme="minorEastAsia" w:hAnsiTheme="minorEastAsia" w:eastAsiaTheme="minorEastAsia" w:cstheme="minorEastAsia"/>
              <w:b w:val="0"/>
              <w:bCs w:val="0"/>
              <w:color w:val="auto"/>
              <w:highlight w:val="none"/>
            </w:rPr>
            <w:t>11.须评审的其他资料（格式自拟）</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_Toc12021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165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p>
        <w:p>
          <w:pPr>
            <w:rPr>
              <w:rFonts w:hint="eastAsia" w:ascii="Times New Roman" w:hAnsi="Times New Roman" w:cs="Times New Roman"/>
              <w:color w:val="auto"/>
              <w:highlight w:val="none"/>
            </w:rPr>
          </w:pPr>
          <w:r>
            <w:rPr>
              <w:rFonts w:hint="eastAsia" w:asciiTheme="minorEastAsia" w:hAnsiTheme="minorEastAsia" w:eastAsiaTheme="minorEastAsia" w:cstheme="minorEastAsia"/>
              <w:b w:val="0"/>
              <w:bCs w:val="0"/>
              <w:color w:val="auto"/>
              <w:kern w:val="2"/>
              <w:szCs w:val="18"/>
              <w:highlight w:val="none"/>
              <w:lang w:val="en-US" w:eastAsia="zh-CN" w:bidi="ar-SA"/>
            </w:rPr>
            <w:fldChar w:fldCharType="end"/>
          </w:r>
          <w:bookmarkStart w:id="3" w:name="_Toc26293"/>
        </w:p>
      </w:sdtContent>
    </w:sdt>
    <w:p>
      <w:pPr>
        <w:rPr>
          <w:rFonts w:hint="eastAsia" w:ascii="Times New Roman" w:hAnsi="Times New Roman" w:cs="Times New Roman"/>
          <w:color w:val="auto"/>
          <w:highlight w:val="none"/>
        </w:rPr>
      </w:pPr>
      <w:r>
        <w:rPr>
          <w:rFonts w:hint="eastAsia" w:ascii="Times New Roman" w:hAnsi="Times New Roman" w:cs="Times New Roman"/>
          <w:color w:val="auto"/>
          <w:highlight w:val="none"/>
        </w:rPr>
        <w:br w:type="page"/>
      </w:r>
    </w:p>
    <w:p>
      <w:pPr>
        <w:pStyle w:val="2"/>
        <w:spacing w:before="0" w:after="0" w:line="24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第一卷</w:t>
      </w:r>
      <w:bookmarkEnd w:id="3"/>
    </w:p>
    <w:p>
      <w:pPr>
        <w:pStyle w:val="2"/>
        <w:spacing w:line="240" w:lineRule="auto"/>
        <w:jc w:val="center"/>
        <w:rPr>
          <w:color w:val="auto"/>
          <w:highlight w:val="none"/>
        </w:rPr>
      </w:pPr>
      <w:bookmarkStart w:id="4" w:name="_Toc15577"/>
      <w:bookmarkStart w:id="5" w:name="_Toc31982"/>
      <w:bookmarkStart w:id="6" w:name="_Toc5726"/>
      <w:bookmarkStart w:id="7" w:name="_Toc156398312"/>
      <w:bookmarkStart w:id="8" w:name="_Toc27360"/>
      <w:bookmarkStart w:id="9" w:name="_Toc31439"/>
      <w:bookmarkStart w:id="10" w:name="_Toc12019"/>
      <w:r>
        <w:rPr>
          <w:rFonts w:hint="eastAsia"/>
          <w:color w:val="auto"/>
          <w:highlight w:val="none"/>
        </w:rPr>
        <w:t>第一章招标公告</w:t>
      </w:r>
      <w:bookmarkEnd w:id="4"/>
      <w:bookmarkEnd w:id="5"/>
      <w:bookmarkEnd w:id="6"/>
      <w:bookmarkEnd w:id="7"/>
      <w:bookmarkEnd w:id="8"/>
      <w:bookmarkEnd w:id="9"/>
      <w:bookmarkEnd w:id="10"/>
    </w:p>
    <w:p>
      <w:pPr>
        <w:spacing w:line="440" w:lineRule="exact"/>
        <w:jc w:val="center"/>
        <w:outlineLvl w:val="1"/>
        <w:rPr>
          <w:rFonts w:hint="eastAsia" w:eastAsia="黑体"/>
          <w:color w:val="auto"/>
          <w:sz w:val="28"/>
          <w:szCs w:val="28"/>
          <w:highlight w:val="none"/>
        </w:rPr>
      </w:pPr>
      <w:bookmarkStart w:id="11" w:name="_Toc31146"/>
      <w:r>
        <w:rPr>
          <w:rFonts w:hint="eastAsia" w:eastAsia="黑体"/>
          <w:color w:val="auto"/>
          <w:sz w:val="28"/>
          <w:szCs w:val="28"/>
          <w:highlight w:val="none"/>
        </w:rPr>
        <w:t>东莞市城市轨道交通2号线三期工程强弱电系统</w:t>
      </w:r>
      <w:r>
        <w:rPr>
          <w:rFonts w:hint="eastAsia" w:eastAsia="黑体"/>
          <w:color w:val="auto"/>
          <w:sz w:val="28"/>
          <w:szCs w:val="28"/>
          <w:highlight w:val="none"/>
          <w:lang w:val="en-US" w:eastAsia="zh-CN"/>
        </w:rPr>
        <w:t>和</w:t>
      </w:r>
      <w:r>
        <w:rPr>
          <w:rFonts w:hint="eastAsia" w:eastAsia="黑体"/>
          <w:color w:val="auto"/>
          <w:sz w:val="28"/>
          <w:szCs w:val="28"/>
          <w:highlight w:val="none"/>
        </w:rPr>
        <w:t>车站设备</w:t>
      </w:r>
      <w:bookmarkEnd w:id="11"/>
    </w:p>
    <w:p>
      <w:pPr>
        <w:spacing w:line="440" w:lineRule="exact"/>
        <w:jc w:val="center"/>
        <w:rPr>
          <w:rFonts w:hint="eastAsia" w:eastAsia="黑体"/>
          <w:color w:val="auto"/>
          <w:sz w:val="28"/>
          <w:szCs w:val="28"/>
          <w:highlight w:val="none"/>
        </w:rPr>
      </w:pPr>
      <w:r>
        <w:rPr>
          <w:rFonts w:hint="eastAsia" w:eastAsia="黑体"/>
          <w:color w:val="auto"/>
          <w:sz w:val="28"/>
          <w:szCs w:val="28"/>
          <w:highlight w:val="none"/>
        </w:rPr>
        <w:t>集成服务</w:t>
      </w:r>
      <w:r>
        <w:rPr>
          <w:rFonts w:hint="eastAsia" w:eastAsia="黑体"/>
          <w:color w:val="auto"/>
          <w:sz w:val="28"/>
          <w:szCs w:val="28"/>
          <w:highlight w:val="none"/>
          <w:lang w:eastAsia="zh-CN"/>
        </w:rPr>
        <w:t>（</w:t>
      </w:r>
      <w:r>
        <w:rPr>
          <w:rFonts w:hint="eastAsia" w:eastAsia="黑体"/>
          <w:color w:val="auto"/>
          <w:sz w:val="28"/>
          <w:szCs w:val="28"/>
          <w:highlight w:val="none"/>
        </w:rPr>
        <w:t>2532标</w:t>
      </w:r>
      <w:r>
        <w:rPr>
          <w:rFonts w:hint="eastAsia" w:eastAsia="黑体"/>
          <w:color w:val="auto"/>
          <w:sz w:val="28"/>
          <w:szCs w:val="28"/>
          <w:highlight w:val="none"/>
          <w:lang w:eastAsia="zh-CN"/>
        </w:rPr>
        <w:t>）</w:t>
      </w:r>
      <w:r>
        <w:rPr>
          <w:rFonts w:hint="eastAsia" w:eastAsia="黑体"/>
          <w:color w:val="auto"/>
          <w:sz w:val="28"/>
          <w:szCs w:val="28"/>
          <w:highlight w:val="none"/>
        </w:rPr>
        <w:t>招标公告</w:t>
      </w:r>
    </w:p>
    <w:p>
      <w:pPr>
        <w:keepNext/>
        <w:keepLines/>
        <w:tabs>
          <w:tab w:val="left" w:pos="3030"/>
        </w:tabs>
        <w:adjustRightInd w:val="0"/>
        <w:spacing w:before="240" w:after="120"/>
        <w:textAlignment w:val="baseline"/>
        <w:outlineLvl w:val="1"/>
        <w:rPr>
          <w:rFonts w:eastAsia="黑体"/>
          <w:color w:val="auto"/>
          <w:kern w:val="0"/>
          <w:sz w:val="24"/>
          <w:szCs w:val="20"/>
          <w:highlight w:val="none"/>
        </w:rPr>
      </w:pPr>
      <w:bookmarkStart w:id="12" w:name="_Toc156398313"/>
      <w:bookmarkStart w:id="13" w:name="_Toc5439"/>
      <w:bookmarkStart w:id="14" w:name="_Toc31370"/>
      <w:bookmarkStart w:id="15" w:name="_Toc26022"/>
      <w:bookmarkStart w:id="16" w:name="_Toc15344"/>
      <w:bookmarkStart w:id="17" w:name="_Toc5788"/>
      <w:bookmarkStart w:id="18" w:name="_Toc11930"/>
      <w:r>
        <w:rPr>
          <w:rFonts w:eastAsia="黑体"/>
          <w:color w:val="auto"/>
          <w:kern w:val="0"/>
          <w:sz w:val="24"/>
          <w:szCs w:val="20"/>
          <w:highlight w:val="none"/>
        </w:rPr>
        <w:t xml:space="preserve">1. </w:t>
      </w:r>
      <w:r>
        <w:rPr>
          <w:rFonts w:hint="eastAsia" w:eastAsia="黑体"/>
          <w:color w:val="auto"/>
          <w:kern w:val="0"/>
          <w:sz w:val="24"/>
          <w:szCs w:val="20"/>
          <w:highlight w:val="none"/>
        </w:rPr>
        <w:t>招标条件</w:t>
      </w:r>
      <w:bookmarkEnd w:id="12"/>
      <w:bookmarkEnd w:id="13"/>
      <w:bookmarkEnd w:id="14"/>
      <w:bookmarkEnd w:id="15"/>
      <w:bookmarkEnd w:id="16"/>
      <w:bookmarkEnd w:id="17"/>
      <w:bookmarkEnd w:id="18"/>
      <w:r>
        <w:rPr>
          <w:rFonts w:eastAsia="黑体"/>
          <w:color w:val="auto"/>
          <w:kern w:val="0"/>
          <w:sz w:val="24"/>
          <w:szCs w:val="20"/>
          <w:highlight w:val="none"/>
        </w:rPr>
        <w:tab/>
      </w:r>
    </w:p>
    <w:p>
      <w:pPr>
        <w:spacing w:line="440" w:lineRule="exact"/>
        <w:jc w:val="left"/>
        <w:rPr>
          <w:rFonts w:hint="eastAsia" w:ascii="宋体" w:hAnsi="宋体" w:cs="宋体"/>
          <w:color w:val="auto"/>
          <w:highlight w:val="none"/>
          <w:u w:val="singl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本招标项目</w:t>
      </w:r>
      <w:r>
        <w:rPr>
          <w:rFonts w:hint="eastAsia" w:ascii="宋体" w:hAnsi="宋体" w:cs="宋体"/>
          <w:color w:val="auto"/>
          <w:highlight w:val="none"/>
          <w:u w:val="single"/>
        </w:rPr>
        <w:t>东莞市城市轨道交通2号线三期工程强弱电系统</w:t>
      </w:r>
      <w:r>
        <w:rPr>
          <w:rFonts w:hint="eastAsia" w:ascii="宋体" w:hAnsi="宋体" w:cs="宋体"/>
          <w:color w:val="auto"/>
          <w:highlight w:val="none"/>
          <w:u w:val="single"/>
          <w:lang w:eastAsia="zh-CN"/>
        </w:rPr>
        <w:t>和</w:t>
      </w:r>
      <w:r>
        <w:rPr>
          <w:rFonts w:hint="eastAsia" w:ascii="宋体" w:hAnsi="宋体" w:cs="宋体"/>
          <w:color w:val="auto"/>
          <w:highlight w:val="none"/>
          <w:u w:val="single"/>
        </w:rPr>
        <w:t>车站设备集成服务</w:t>
      </w:r>
      <w:r>
        <w:rPr>
          <w:rFonts w:hint="eastAsia" w:ascii="宋体" w:hAnsi="宋体" w:cs="宋体"/>
          <w:color w:val="auto"/>
          <w:highlight w:val="none"/>
          <w:u w:val="single"/>
          <w:lang w:eastAsia="zh-CN"/>
        </w:rPr>
        <w:t>（</w:t>
      </w:r>
      <w:r>
        <w:rPr>
          <w:rFonts w:hint="eastAsia" w:ascii="宋体" w:hAnsi="宋体" w:cs="宋体"/>
          <w:color w:val="auto"/>
          <w:highlight w:val="none"/>
          <w:u w:val="single"/>
        </w:rPr>
        <w:t>2532标</w:t>
      </w:r>
      <w:r>
        <w:rPr>
          <w:rFonts w:hint="eastAsia" w:ascii="宋体" w:hAnsi="宋体" w:cs="宋体"/>
          <w:color w:val="auto"/>
          <w:highlight w:val="none"/>
          <w:u w:val="single"/>
          <w:lang w:eastAsia="zh-CN"/>
        </w:rPr>
        <w:t>）</w:t>
      </w:r>
      <w:r>
        <w:rPr>
          <w:rFonts w:hint="eastAsia" w:ascii="宋体" w:hAnsi="宋体" w:cs="宋体"/>
          <w:color w:val="auto"/>
          <w:szCs w:val="21"/>
          <w:highlight w:val="none"/>
        </w:rPr>
        <w:t>建设资金来自</w:t>
      </w:r>
      <w:r>
        <w:rPr>
          <w:rFonts w:hint="eastAsia" w:ascii="宋体" w:hAnsi="宋体" w:cs="宋体"/>
          <w:color w:val="auto"/>
          <w:highlight w:val="none"/>
          <w:u w:val="single"/>
        </w:rPr>
        <w:t>财政及项目公司筹资</w:t>
      </w:r>
      <w:r>
        <w:rPr>
          <w:rFonts w:hint="eastAsia" w:ascii="宋体" w:hAnsi="宋体" w:cs="宋体"/>
          <w:color w:val="auto"/>
          <w:szCs w:val="21"/>
          <w:highlight w:val="none"/>
        </w:rPr>
        <w:t>，</w:t>
      </w:r>
      <w:r>
        <w:rPr>
          <w:rFonts w:hint="eastAsia" w:ascii="宋体" w:hAnsi="宋体" w:cs="宋体"/>
          <w:color w:val="auto"/>
          <w:szCs w:val="21"/>
          <w:highlight w:val="none"/>
          <w:u w:val="single"/>
        </w:rPr>
        <w:t>东莞轨道交通二号线三期投资有限公司</w:t>
      </w:r>
      <w:r>
        <w:rPr>
          <w:rFonts w:hint="eastAsia" w:ascii="宋体" w:hAnsi="宋体" w:cs="宋体"/>
          <w:color w:val="auto"/>
          <w:szCs w:val="21"/>
          <w:highlight w:val="none"/>
        </w:rPr>
        <w:t>为项目业主，已全权委托</w:t>
      </w:r>
      <w:r>
        <w:rPr>
          <w:rFonts w:hint="eastAsia" w:ascii="宋体" w:hAnsi="宋体" w:cs="宋体"/>
          <w:color w:val="auto"/>
          <w:szCs w:val="21"/>
          <w:highlight w:val="none"/>
          <w:u w:val="single"/>
        </w:rPr>
        <w:t>东莞市轨道交通有限公司</w:t>
      </w:r>
      <w:r>
        <w:rPr>
          <w:rFonts w:hint="eastAsia" w:ascii="宋体" w:hAnsi="宋体" w:cs="宋体"/>
          <w:color w:val="auto"/>
          <w:szCs w:val="21"/>
          <w:highlight w:val="none"/>
        </w:rPr>
        <w:t>开展</w:t>
      </w:r>
      <w:r>
        <w:rPr>
          <w:rFonts w:hint="eastAsia" w:ascii="宋体" w:hAnsi="宋体" w:cs="宋体"/>
          <w:color w:val="auto"/>
          <w:highlight w:val="none"/>
          <w:u w:val="single"/>
        </w:rPr>
        <w:t>东莞市城市轨道交通2号线三期工程招标相关工作</w:t>
      </w:r>
      <w:r>
        <w:rPr>
          <w:rFonts w:hint="eastAsia" w:ascii="宋体" w:hAnsi="宋体" w:cs="宋体"/>
          <w:color w:val="auto"/>
          <w:szCs w:val="21"/>
          <w:highlight w:val="none"/>
        </w:rPr>
        <w:t>。招标人为</w:t>
      </w:r>
      <w:r>
        <w:rPr>
          <w:rFonts w:hint="eastAsia" w:ascii="宋体" w:hAnsi="宋体" w:cs="宋体"/>
          <w:color w:val="auto"/>
          <w:szCs w:val="21"/>
          <w:highlight w:val="none"/>
          <w:u w:val="single"/>
        </w:rPr>
        <w:t>东莞市轨道交通有限公司</w:t>
      </w:r>
      <w:r>
        <w:rPr>
          <w:rFonts w:hint="eastAsia" w:ascii="宋体" w:hAnsi="宋体" w:cs="宋体"/>
          <w:color w:val="auto"/>
          <w:szCs w:val="21"/>
          <w:highlight w:val="none"/>
        </w:rPr>
        <w:t>。项目已具备招标条件，现对该项目的</w:t>
      </w:r>
      <w:r>
        <w:rPr>
          <w:rFonts w:hint="eastAsia" w:ascii="宋体" w:hAnsi="宋体" w:cs="宋体"/>
          <w:color w:val="auto"/>
          <w:szCs w:val="21"/>
          <w:highlight w:val="none"/>
          <w:u w:val="single"/>
        </w:rPr>
        <w:t>强弱电系统</w:t>
      </w:r>
      <w:r>
        <w:rPr>
          <w:rFonts w:hint="eastAsia" w:ascii="宋体" w:hAnsi="宋体" w:cs="宋体"/>
          <w:color w:val="auto"/>
          <w:szCs w:val="21"/>
          <w:highlight w:val="none"/>
          <w:u w:val="single"/>
          <w:lang w:eastAsia="zh-CN"/>
        </w:rPr>
        <w:t>和</w:t>
      </w:r>
      <w:r>
        <w:rPr>
          <w:rFonts w:hint="eastAsia" w:ascii="宋体" w:hAnsi="宋体" w:cs="宋体"/>
          <w:color w:val="auto"/>
          <w:szCs w:val="21"/>
          <w:highlight w:val="none"/>
          <w:u w:val="single"/>
        </w:rPr>
        <w:t>车站设备集成服务</w:t>
      </w:r>
      <w:r>
        <w:rPr>
          <w:rFonts w:hint="eastAsia" w:ascii="宋体" w:hAnsi="宋体" w:cs="宋体"/>
          <w:color w:val="auto"/>
          <w:szCs w:val="21"/>
          <w:highlight w:val="none"/>
        </w:rPr>
        <w:t>进行公开招标。</w:t>
      </w:r>
    </w:p>
    <w:p>
      <w:pPr>
        <w:keepNext/>
        <w:keepLines/>
        <w:adjustRightInd w:val="0"/>
        <w:spacing w:before="240" w:after="120"/>
        <w:textAlignment w:val="baseline"/>
        <w:outlineLvl w:val="1"/>
        <w:rPr>
          <w:rFonts w:eastAsia="黑体"/>
          <w:color w:val="auto"/>
          <w:kern w:val="0"/>
          <w:sz w:val="24"/>
          <w:szCs w:val="20"/>
          <w:highlight w:val="none"/>
        </w:rPr>
      </w:pPr>
      <w:bookmarkStart w:id="19" w:name="_Toc21044"/>
      <w:bookmarkStart w:id="20" w:name="_Toc156398314"/>
      <w:bookmarkStart w:id="21" w:name="_Toc5479"/>
      <w:bookmarkStart w:id="22" w:name="_Toc8580"/>
      <w:bookmarkStart w:id="23" w:name="_Toc30311"/>
      <w:bookmarkStart w:id="24" w:name="_Toc13552"/>
      <w:bookmarkStart w:id="25" w:name="_Toc19947"/>
      <w:r>
        <w:rPr>
          <w:rFonts w:eastAsia="黑体"/>
          <w:color w:val="auto"/>
          <w:kern w:val="0"/>
          <w:sz w:val="24"/>
          <w:szCs w:val="20"/>
          <w:highlight w:val="none"/>
        </w:rPr>
        <w:t xml:space="preserve">2. </w:t>
      </w:r>
      <w:r>
        <w:rPr>
          <w:rFonts w:hint="eastAsia" w:eastAsia="黑体"/>
          <w:color w:val="auto"/>
          <w:kern w:val="0"/>
          <w:sz w:val="24"/>
          <w:szCs w:val="20"/>
          <w:highlight w:val="none"/>
        </w:rPr>
        <w:t>项目概况与招标范围</w:t>
      </w:r>
      <w:bookmarkEnd w:id="19"/>
      <w:bookmarkEnd w:id="20"/>
      <w:bookmarkEnd w:id="21"/>
      <w:bookmarkEnd w:id="22"/>
      <w:bookmarkEnd w:id="23"/>
      <w:bookmarkEnd w:id="24"/>
      <w:bookmarkEnd w:id="25"/>
    </w:p>
    <w:p>
      <w:pPr>
        <w:spacing w:line="400" w:lineRule="exact"/>
        <w:ind w:firstLine="420" w:firstLineChars="200"/>
        <w:outlineLvl w:val="2"/>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2.1 招标项目概况</w:t>
      </w:r>
    </w:p>
    <w:p>
      <w:pPr>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招标项目名称：</w:t>
      </w:r>
      <w:r>
        <w:rPr>
          <w:rFonts w:hint="eastAsia" w:ascii="宋体" w:hAnsi="宋体" w:cs="宋体"/>
          <w:b w:val="0"/>
          <w:bCs w:val="0"/>
          <w:color w:val="auto"/>
          <w:szCs w:val="21"/>
          <w:highlight w:val="none"/>
          <w:u w:val="single"/>
        </w:rPr>
        <w:t>东莞市城市轨道交通2号线三期工</w:t>
      </w:r>
      <w:r>
        <w:rPr>
          <w:rFonts w:hint="eastAsia" w:ascii="宋体" w:hAnsi="宋体" w:eastAsia="宋体" w:cs="宋体"/>
          <w:b w:val="0"/>
          <w:bCs w:val="0"/>
          <w:color w:val="auto"/>
          <w:szCs w:val="21"/>
          <w:highlight w:val="none"/>
          <w:u w:val="single"/>
        </w:rPr>
        <w:t>程</w:t>
      </w:r>
      <w:r>
        <w:rPr>
          <w:rFonts w:hint="eastAsia" w:ascii="宋体" w:hAnsi="宋体" w:cs="宋体"/>
          <w:b w:val="0"/>
          <w:bCs w:val="0"/>
          <w:color w:val="auto"/>
          <w:highlight w:val="none"/>
          <w:u w:val="single"/>
        </w:rPr>
        <w:t>强弱电系统</w:t>
      </w:r>
      <w:r>
        <w:rPr>
          <w:rFonts w:hint="eastAsia" w:ascii="宋体" w:hAnsi="宋体" w:cs="宋体"/>
          <w:b w:val="0"/>
          <w:bCs w:val="0"/>
          <w:color w:val="auto"/>
          <w:highlight w:val="none"/>
          <w:u w:val="single"/>
          <w:lang w:eastAsia="zh-CN"/>
        </w:rPr>
        <w:t>和</w:t>
      </w:r>
      <w:r>
        <w:rPr>
          <w:rFonts w:hint="eastAsia" w:ascii="宋体" w:hAnsi="宋体" w:cs="宋体"/>
          <w:b w:val="0"/>
          <w:bCs w:val="0"/>
          <w:color w:val="auto"/>
          <w:highlight w:val="none"/>
          <w:u w:val="single"/>
        </w:rPr>
        <w:t>车站设备集成服务</w:t>
      </w:r>
      <w:r>
        <w:rPr>
          <w:rFonts w:hint="eastAsia" w:ascii="宋体" w:hAnsi="宋体" w:cs="宋体"/>
          <w:b w:val="0"/>
          <w:bCs w:val="0"/>
          <w:color w:val="auto"/>
          <w:highlight w:val="none"/>
          <w:u w:val="single"/>
          <w:lang w:eastAsia="zh-CN"/>
        </w:rPr>
        <w:t>（</w:t>
      </w:r>
      <w:r>
        <w:rPr>
          <w:rFonts w:hint="eastAsia" w:ascii="宋体" w:hAnsi="宋体" w:cs="宋体"/>
          <w:b w:val="0"/>
          <w:bCs w:val="0"/>
          <w:color w:val="auto"/>
          <w:highlight w:val="none"/>
          <w:u w:val="single"/>
        </w:rPr>
        <w:t>2532标</w:t>
      </w:r>
      <w:r>
        <w:rPr>
          <w:rFonts w:hint="eastAsia" w:ascii="宋体" w:hAnsi="宋体" w:cs="宋体"/>
          <w:b w:val="0"/>
          <w:bCs w:val="0"/>
          <w:color w:val="auto"/>
          <w:highlight w:val="none"/>
          <w:u w:val="single"/>
          <w:lang w:eastAsia="zh-CN"/>
        </w:rPr>
        <w:t>）。</w:t>
      </w:r>
    </w:p>
    <w:p>
      <w:pPr>
        <w:widowControl/>
        <w:spacing w:line="440" w:lineRule="exact"/>
        <w:ind w:firstLine="420" w:firstLineChars="200"/>
        <w:textAlignment w:val="auto"/>
        <w:rPr>
          <w:rFonts w:hint="eastAsia" w:ascii="宋体" w:hAnsi="宋体" w:eastAsia="宋体" w:cs="宋体"/>
          <w:b w:val="0"/>
          <w:bCs w:val="0"/>
          <w:color w:val="auto"/>
          <w:sz w:val="21"/>
          <w:highlight w:val="none"/>
          <w:u w:val="none"/>
        </w:rPr>
      </w:pPr>
      <w:r>
        <w:rPr>
          <w:rFonts w:hint="eastAsia" w:ascii="宋体" w:hAnsi="宋体" w:cs="宋体"/>
          <w:b w:val="0"/>
          <w:bCs w:val="0"/>
          <w:color w:val="auto"/>
          <w:szCs w:val="21"/>
          <w:highlight w:val="none"/>
        </w:rPr>
        <w:t>工程建设规模：</w:t>
      </w:r>
      <w:r>
        <w:rPr>
          <w:rFonts w:hint="eastAsia" w:ascii="宋体" w:hAnsi="宋体" w:eastAsia="宋体" w:cs="宋体"/>
          <w:b w:val="0"/>
          <w:bCs w:val="0"/>
          <w:color w:val="auto"/>
          <w:sz w:val="21"/>
          <w:highlight w:val="none"/>
          <w:u w:val="none"/>
        </w:rPr>
        <w:t>东莞市城市轨道交通2号线三期工程，自2号线一、二期工程虎门火车站引出，沿莞太路-连升路-规划绿带-滨海大道敷设。2号线三期工程线路全长约17.12km，共设车站9座，平均站间距1.95km，全部为地下站。在沿江高速南、新安中路以北，滨海湾站东北侧设滨海湾停车场一座，全线共设置1座主变电所，控制中心利用2号线一、二期工程已建成的线网控制中心，采用市域B型车，最高设计时速120km/h。</w:t>
      </w:r>
    </w:p>
    <w:p>
      <w:pPr>
        <w:pStyle w:val="12"/>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b w:val="0"/>
          <w:bCs w:val="0"/>
          <w:color w:val="auto"/>
          <w:kern w:val="2"/>
          <w:sz w:val="21"/>
          <w:szCs w:val="22"/>
          <w:highlight w:val="none"/>
          <w:u w:val="single"/>
          <w:lang w:val="en-US" w:eastAsia="zh-CN" w:bidi="ar-SA"/>
        </w:rPr>
      </w:pPr>
      <w:r>
        <w:rPr>
          <w:rFonts w:hint="eastAsia" w:ascii="宋体" w:hAnsi="宋体" w:eastAsia="宋体" w:cs="宋体"/>
          <w:b w:val="0"/>
          <w:bCs w:val="0"/>
          <w:color w:val="auto"/>
          <w:kern w:val="2"/>
          <w:sz w:val="21"/>
          <w:szCs w:val="22"/>
          <w:highlight w:val="none"/>
          <w:u w:val="none"/>
          <w:lang w:val="en-US" w:eastAsia="zh-CN" w:bidi="ar-SA"/>
        </w:rPr>
        <w:t>工程建设地点：</w:t>
      </w:r>
      <w:r>
        <w:rPr>
          <w:rFonts w:hint="eastAsia" w:ascii="宋体" w:hAnsi="宋体" w:eastAsia="宋体" w:cs="宋体"/>
          <w:b w:val="0"/>
          <w:bCs w:val="0"/>
          <w:color w:val="auto"/>
          <w:kern w:val="2"/>
          <w:sz w:val="21"/>
          <w:szCs w:val="22"/>
          <w:highlight w:val="none"/>
          <w:u w:val="single"/>
          <w:lang w:val="en-US" w:eastAsia="zh-CN" w:bidi="ar-SA"/>
        </w:rPr>
        <w:t>东莞市</w:t>
      </w:r>
    </w:p>
    <w:p>
      <w:pPr>
        <w:keepNext w:val="0"/>
        <w:keepLines w:val="0"/>
        <w:pageBreakBefore w:val="0"/>
        <w:kinsoku/>
        <w:wordWrap/>
        <w:overflowPunct/>
        <w:topLinePunct w:val="0"/>
        <w:autoSpaceDE/>
        <w:autoSpaceDN/>
        <w:bidi w:val="0"/>
        <w:adjustRightInd/>
        <w:spacing w:line="440" w:lineRule="exact"/>
        <w:ind w:firstLine="420" w:firstLineChars="200"/>
        <w:textAlignment w:val="auto"/>
        <w:outlineLvl w:val="2"/>
        <w:rPr>
          <w:rFonts w:hint="eastAsia"/>
          <w:color w:val="auto"/>
          <w:highlight w:val="none"/>
        </w:rPr>
      </w:pPr>
      <w:r>
        <w:rPr>
          <w:rFonts w:hint="eastAsia" w:ascii="宋体" w:hAnsi="宋体" w:cs="宋体"/>
          <w:color w:val="auto"/>
          <w:szCs w:val="21"/>
          <w:highlight w:val="none"/>
        </w:rPr>
        <w:t>2.2招标范围</w:t>
      </w:r>
    </w:p>
    <w:p>
      <w:pPr>
        <w:pStyle w:val="12"/>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40" w:lineRule="exact"/>
        <w:ind w:firstLine="420" w:firstLineChars="200"/>
        <w:jc w:val="both"/>
        <w:textAlignment w:val="auto"/>
        <w:rPr>
          <w:rFonts w:eastAsia="宋体" w:cs="宋体"/>
          <w:b w:val="0"/>
          <w:bCs w:val="0"/>
          <w:color w:val="auto"/>
          <w:sz w:val="21"/>
          <w:szCs w:val="21"/>
          <w:highlight w:val="none"/>
          <w:u w:val="single"/>
        </w:rPr>
      </w:pPr>
      <w:r>
        <w:rPr>
          <w:rFonts w:hint="eastAsia" w:ascii="宋体" w:hAnsi="宋体" w:eastAsia="宋体" w:cs="宋体"/>
          <w:b w:val="0"/>
          <w:bCs w:val="0"/>
          <w:color w:val="auto"/>
          <w:kern w:val="2"/>
          <w:sz w:val="21"/>
          <w:szCs w:val="21"/>
          <w:highlight w:val="none"/>
          <w:u w:val="none"/>
          <w:lang w:val="en-US" w:eastAsia="zh-CN" w:bidi="ar-SA"/>
        </w:rPr>
        <w:t>标段</w:t>
      </w:r>
      <w:r>
        <w:rPr>
          <w:rFonts w:hint="eastAsia" w:ascii="宋体" w:hAnsi="宋体" w:cs="宋体"/>
          <w:b w:val="0"/>
          <w:bCs w:val="0"/>
          <w:color w:val="auto"/>
          <w:kern w:val="2"/>
          <w:sz w:val="21"/>
          <w:szCs w:val="21"/>
          <w:highlight w:val="none"/>
          <w:u w:val="none"/>
          <w:lang w:val="en-US" w:eastAsia="zh-CN" w:bidi="ar-SA"/>
        </w:rPr>
        <w:t>划分</w:t>
      </w:r>
      <w:r>
        <w:rPr>
          <w:rFonts w:hint="eastAsia" w:ascii="宋体" w:hAnsi="宋体" w:eastAsia="宋体" w:cs="宋体"/>
          <w:b w:val="0"/>
          <w:bCs w:val="0"/>
          <w:color w:val="auto"/>
          <w:kern w:val="2"/>
          <w:sz w:val="21"/>
          <w:szCs w:val="21"/>
          <w:highlight w:val="none"/>
          <w:u w:val="none"/>
          <w:lang w:val="en-US" w:eastAsia="zh-CN" w:bidi="ar-SA"/>
        </w:rPr>
        <w:t>：</w:t>
      </w:r>
      <w:r>
        <w:rPr>
          <w:rFonts w:hint="eastAsia"/>
          <w:b w:val="0"/>
          <w:bCs w:val="0"/>
          <w:color w:val="auto"/>
          <w:sz w:val="21"/>
          <w:szCs w:val="21"/>
          <w:highlight w:val="none"/>
          <w:u w:val="single"/>
        </w:rPr>
        <w:t>共1个标段</w:t>
      </w:r>
      <w:r>
        <w:rPr>
          <w:rFonts w:eastAsia="宋体" w:cs="宋体"/>
          <w:b w:val="0"/>
          <w:bCs w:val="0"/>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highlight w:val="none"/>
          <w:u w:val="none"/>
          <w:lang w:val="en-US" w:eastAsia="zh-CN"/>
        </w:rPr>
      </w:pPr>
      <w:r>
        <w:rPr>
          <w:rFonts w:hint="eastAsia" w:ascii="宋体" w:hAnsi="宋体" w:eastAsia="宋体" w:cs="宋体"/>
          <w:b w:val="0"/>
          <w:bCs w:val="0"/>
          <w:color w:val="auto"/>
          <w:sz w:val="21"/>
          <w:highlight w:val="none"/>
          <w:u w:val="none"/>
          <w:lang w:val="en-US" w:eastAsia="zh-CN"/>
        </w:rPr>
        <w:t>招标范围：</w:t>
      </w:r>
      <w:r>
        <w:rPr>
          <w:rFonts w:hint="eastAsia" w:ascii="宋体" w:hAnsi="宋体" w:cs="宋体"/>
          <w:b w:val="0"/>
          <w:bCs w:val="0"/>
          <w:color w:val="auto"/>
          <w:sz w:val="21"/>
          <w:highlight w:val="none"/>
          <w:u w:val="none"/>
          <w:lang w:val="en-US" w:eastAsia="zh-CN"/>
        </w:rPr>
        <w:t>与</w:t>
      </w:r>
      <w:r>
        <w:rPr>
          <w:rFonts w:hint="eastAsia" w:ascii="宋体" w:hAnsi="宋体" w:cs="宋体"/>
          <w:color w:val="auto"/>
          <w:highlight w:val="none"/>
          <w:u w:val="none"/>
        </w:rPr>
        <w:t>东莞市城市轨道交通2号线三期工程强弱电系统</w:t>
      </w:r>
      <w:r>
        <w:rPr>
          <w:rFonts w:hint="eastAsia" w:ascii="宋体" w:hAnsi="宋体" w:cs="宋体"/>
          <w:color w:val="auto"/>
          <w:highlight w:val="none"/>
          <w:u w:val="none"/>
          <w:lang w:val="en-US" w:eastAsia="zh-CN"/>
        </w:rPr>
        <w:t>和</w:t>
      </w:r>
      <w:r>
        <w:rPr>
          <w:rFonts w:hint="eastAsia" w:ascii="宋体" w:hAnsi="宋体" w:cs="宋体"/>
          <w:color w:val="auto"/>
          <w:highlight w:val="none"/>
          <w:u w:val="none"/>
        </w:rPr>
        <w:t>车站设备</w:t>
      </w:r>
      <w:r>
        <w:rPr>
          <w:rFonts w:hint="eastAsia" w:ascii="宋体" w:hAnsi="宋体" w:cs="宋体"/>
          <w:color w:val="auto"/>
          <w:highlight w:val="none"/>
          <w:u w:val="none"/>
          <w:lang w:val="en-US" w:eastAsia="zh-CN"/>
        </w:rPr>
        <w:t>甲供合同相关的集成服务。</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eastAsia="宋体" w:cs="宋体"/>
          <w:color w:val="auto"/>
          <w:szCs w:val="21"/>
          <w:highlight w:val="none"/>
          <w:u w:val="none"/>
          <w:lang w:val="en-US" w:eastAsia="zh-CN"/>
        </w:rPr>
      </w:pPr>
      <w:r>
        <w:rPr>
          <w:rFonts w:hint="eastAsia" w:eastAsia="宋体" w:cs="宋体"/>
          <w:color w:val="auto"/>
          <w:szCs w:val="21"/>
          <w:highlight w:val="none"/>
          <w:u w:val="none"/>
          <w:lang w:val="en-US" w:eastAsia="zh-CN"/>
        </w:rPr>
        <w:t>强电设备包含：35k</w:t>
      </w:r>
      <w:r>
        <w:rPr>
          <w:rFonts w:hint="eastAsia" w:cs="宋体"/>
          <w:color w:val="auto"/>
          <w:szCs w:val="21"/>
          <w:highlight w:val="none"/>
          <w:u w:val="none"/>
          <w:lang w:val="en-US" w:eastAsia="zh-CN"/>
        </w:rPr>
        <w:t>V</w:t>
      </w:r>
      <w:r>
        <w:rPr>
          <w:rFonts w:hint="eastAsia" w:eastAsia="宋体" w:cs="宋体"/>
          <w:color w:val="auto"/>
          <w:szCs w:val="21"/>
          <w:highlight w:val="none"/>
          <w:u w:val="none"/>
          <w:lang w:val="en-US" w:eastAsia="zh-CN"/>
        </w:rPr>
        <w:t>GIS开关柜、DC1500V直流开关柜</w:t>
      </w:r>
      <w:r>
        <w:rPr>
          <w:rFonts w:hint="eastAsia" w:cs="宋体"/>
          <w:color w:val="auto"/>
          <w:szCs w:val="21"/>
          <w:highlight w:val="none"/>
          <w:u w:val="none"/>
          <w:lang w:val="en-US" w:eastAsia="zh-CN"/>
        </w:rPr>
        <w:t>、整流变压器、整流器、35kV动力变压器</w:t>
      </w:r>
      <w:r>
        <w:rPr>
          <w:rFonts w:hint="eastAsia" w:eastAsia="宋体" w:cs="宋体"/>
          <w:color w:val="auto"/>
          <w:szCs w:val="21"/>
          <w:highlight w:val="none"/>
          <w:u w:val="none"/>
          <w:lang w:val="en-US" w:eastAsia="zh-CN"/>
        </w:rPr>
        <w:t>等。</w:t>
      </w:r>
    </w:p>
    <w:p>
      <w:pPr>
        <w:pStyle w:val="1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40" w:lineRule="exact"/>
        <w:jc w:val="both"/>
        <w:textAlignment w:val="auto"/>
        <w:rPr>
          <w:rFonts w:hint="default"/>
          <w:color w:val="auto"/>
          <w:highlight w:val="none"/>
          <w:u w:val="none"/>
          <w:lang w:val="en-US" w:eastAsia="zh-CN"/>
        </w:rPr>
      </w:pPr>
      <w:r>
        <w:rPr>
          <w:rFonts w:hint="eastAsia" w:eastAsia="宋体" w:cs="宋体"/>
          <w:color w:val="auto"/>
          <w:szCs w:val="21"/>
          <w:highlight w:val="none"/>
          <w:u w:val="none"/>
          <w:lang w:val="en-US" w:eastAsia="zh-CN"/>
        </w:rPr>
        <w:t xml:space="preserve"> </w:t>
      </w:r>
      <w:r>
        <w:rPr>
          <w:rFonts w:hint="eastAsia" w:ascii="Times New Roman" w:hAnsi="Times New Roman" w:eastAsia="宋体" w:cs="宋体"/>
          <w:color w:val="auto"/>
          <w:kern w:val="2"/>
          <w:sz w:val="21"/>
          <w:szCs w:val="21"/>
          <w:highlight w:val="none"/>
          <w:u w:val="none"/>
          <w:lang w:val="en-US" w:eastAsia="zh-CN" w:bidi="ar-SA"/>
        </w:rPr>
        <w:t xml:space="preserve">   弱电设备包含</w:t>
      </w:r>
      <w:r>
        <w:rPr>
          <w:rFonts w:hint="eastAsia" w:cs="宋体"/>
          <w:color w:val="auto"/>
          <w:kern w:val="2"/>
          <w:sz w:val="21"/>
          <w:szCs w:val="21"/>
          <w:highlight w:val="none"/>
          <w:u w:val="none"/>
          <w:lang w:val="en-US" w:eastAsia="zh-CN" w:bidi="ar-SA"/>
        </w:rPr>
        <w:t>：专用通信设备、公安通信设备、信号系统设备、自动售检票系统、综合监控系统、综合安防系统等。</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color w:val="auto"/>
          <w:highlight w:val="none"/>
          <w:u w:val="none"/>
        </w:rPr>
      </w:pPr>
      <w:r>
        <w:rPr>
          <w:rFonts w:hint="eastAsia" w:eastAsia="宋体" w:cs="宋体"/>
          <w:color w:val="auto"/>
          <w:szCs w:val="21"/>
          <w:highlight w:val="none"/>
          <w:u w:val="none"/>
        </w:rPr>
        <w:t>车站设备包含：</w:t>
      </w:r>
      <w:r>
        <w:rPr>
          <w:rFonts w:hint="eastAsia" w:eastAsia="宋体" w:cs="宋体"/>
          <w:color w:val="auto"/>
          <w:highlight w:val="none"/>
          <w:u w:val="none"/>
        </w:rPr>
        <w:t>通风空调系统、低压配电系统、站台门、电扶梯、装修材料</w:t>
      </w:r>
      <w:r>
        <w:rPr>
          <w:rFonts w:hint="eastAsia" w:eastAsia="宋体" w:cs="宋体"/>
          <w:color w:val="auto"/>
          <w:highlight w:val="none"/>
          <w:u w:val="none"/>
          <w:lang w:eastAsia="zh-CN"/>
        </w:rPr>
        <w:t>（</w:t>
      </w:r>
      <w:r>
        <w:rPr>
          <w:rFonts w:hint="eastAsia" w:eastAsia="宋体" w:cs="宋体"/>
          <w:color w:val="auto"/>
          <w:highlight w:val="none"/>
          <w:u w:val="none"/>
          <w:lang w:val="en-US" w:eastAsia="zh-CN"/>
        </w:rPr>
        <w:t>导向、广告灯箱</w:t>
      </w:r>
      <w:r>
        <w:rPr>
          <w:rFonts w:hint="eastAsia" w:eastAsia="宋体" w:cs="宋体"/>
          <w:color w:val="auto"/>
          <w:highlight w:val="none"/>
          <w:u w:val="none"/>
          <w:lang w:eastAsia="zh-CN"/>
        </w:rPr>
        <w:t>）</w:t>
      </w:r>
      <w:r>
        <w:rPr>
          <w:rFonts w:hint="eastAsia" w:eastAsia="宋体" w:cs="宋体"/>
          <w:color w:val="auto"/>
          <w:highlight w:val="none"/>
          <w:u w:val="none"/>
        </w:rPr>
        <w:t>等</w:t>
      </w:r>
      <w:r>
        <w:rPr>
          <w:rFonts w:hint="eastAsia" w:eastAsia="宋体" w:cs="宋体"/>
          <w:color w:val="auto"/>
          <w:szCs w:val="21"/>
          <w:highlight w:val="none"/>
          <w:u w:val="none"/>
        </w:rPr>
        <w:t>。</w:t>
      </w:r>
    </w:p>
    <w:p>
      <w:pPr>
        <w:keepNext w:val="0"/>
        <w:keepLines w:val="0"/>
        <w:pageBreakBefore w:val="0"/>
        <w:widowControl/>
        <w:kinsoku/>
        <w:wordWrap/>
        <w:overflowPunct w:val="0"/>
        <w:topLinePunct w:val="0"/>
        <w:autoSpaceDE/>
        <w:autoSpaceDN/>
        <w:bidi w:val="0"/>
        <w:adjustRightInd/>
        <w:snapToGrid/>
        <w:spacing w:line="440" w:lineRule="exact"/>
        <w:ind w:firstLine="420" w:firstLineChars="200"/>
        <w:textAlignment w:val="auto"/>
        <w:rPr>
          <w:rFonts w:hint="eastAsia" w:cs="宋体"/>
          <w:color w:val="auto"/>
          <w:szCs w:val="21"/>
          <w:highlight w:val="none"/>
          <w:u w:val="none"/>
          <w:lang w:val="en-US" w:eastAsia="zh-CN"/>
        </w:rPr>
      </w:pPr>
      <w:r>
        <w:rPr>
          <w:rFonts w:hint="eastAsia" w:eastAsia="宋体" w:cs="宋体"/>
          <w:color w:val="auto"/>
          <w:szCs w:val="21"/>
          <w:highlight w:val="none"/>
          <w:u w:val="none"/>
          <w:lang w:val="en-US" w:eastAsia="zh-CN"/>
        </w:rPr>
        <w:t>集成服务工作内容包括但不限于：负责协助委托方进行集成服务工作，包括各系统的设备采购招标、合同谈判、设计联络、内外部接口协调、各个系统间的接口测试、生产督造及检验、设备供货管理、安装调试管理、协助综合联调、试运行、质保期，直至通过委托方最终验收等一系列与供货合同相关的一切管理工作</w:t>
      </w:r>
      <w:r>
        <w:rPr>
          <w:rFonts w:hint="eastAsia" w:cs="宋体"/>
          <w:color w:val="auto"/>
          <w:szCs w:val="21"/>
          <w:highlight w:val="none"/>
          <w:u w:val="none"/>
          <w:lang w:val="en-US" w:eastAsia="zh-CN"/>
        </w:rPr>
        <w:t>。</w:t>
      </w:r>
    </w:p>
    <w:p>
      <w:pPr>
        <w:spacing w:line="400" w:lineRule="exact"/>
        <w:ind w:firstLine="420" w:firstLineChars="200"/>
        <w:rPr>
          <w:rFonts w:hint="eastAsia" w:eastAsia="宋体" w:cs="宋体"/>
          <w:color w:val="auto"/>
          <w:szCs w:val="21"/>
          <w:highlight w:val="none"/>
          <w:lang w:val="en-US" w:eastAsia="zh-CN"/>
        </w:rPr>
      </w:pPr>
      <w:r>
        <w:rPr>
          <w:rFonts w:hint="eastAsia" w:eastAsia="宋体" w:cs="宋体"/>
          <w:color w:val="auto"/>
          <w:szCs w:val="21"/>
          <w:highlight w:val="none"/>
          <w:lang w:val="en-US" w:eastAsia="zh-CN"/>
        </w:rPr>
        <w:t>集成服务期限：</w:t>
      </w:r>
      <w:r>
        <w:rPr>
          <w:rFonts w:hint="eastAsia" w:eastAsia="宋体" w:cs="宋体"/>
          <w:color w:val="auto"/>
          <w:szCs w:val="21"/>
          <w:highlight w:val="none"/>
        </w:rPr>
        <w:t>暂定</w:t>
      </w:r>
      <w:r>
        <w:rPr>
          <w:rFonts w:hint="eastAsia" w:cs="宋体"/>
          <w:color w:val="auto"/>
          <w:szCs w:val="21"/>
          <w:highlight w:val="none"/>
          <w:u w:val="single"/>
          <w:lang w:val="en-US" w:eastAsia="zh-CN"/>
        </w:rPr>
        <w:t>54</w:t>
      </w:r>
      <w:r>
        <w:rPr>
          <w:rFonts w:eastAsia="宋体" w:cs="宋体"/>
          <w:color w:val="auto"/>
          <w:szCs w:val="21"/>
          <w:highlight w:val="none"/>
          <w:u w:val="none"/>
        </w:rPr>
        <w:t>个月，具体以招标人通知为准</w:t>
      </w:r>
      <w:r>
        <w:rPr>
          <w:rFonts w:hint="eastAsia" w:cs="宋体"/>
          <w:color w:val="auto"/>
          <w:szCs w:val="21"/>
          <w:highlight w:val="none"/>
          <w:u w:val="none"/>
          <w:lang w:eastAsia="zh-CN"/>
        </w:rPr>
        <w:t>，</w:t>
      </w:r>
      <w:r>
        <w:rPr>
          <w:rFonts w:hint="eastAsia" w:cs="宋体"/>
          <w:color w:val="auto"/>
          <w:szCs w:val="21"/>
          <w:highlight w:val="none"/>
          <w:u w:val="none"/>
          <w:lang w:val="en-US" w:eastAsia="zh-CN"/>
        </w:rPr>
        <w:t>总价不变</w:t>
      </w:r>
      <w:r>
        <w:rPr>
          <w:rFonts w:hint="eastAsia" w:eastAsia="宋体" w:cs="宋体"/>
          <w:color w:val="auto"/>
          <w:szCs w:val="21"/>
          <w:highlight w:val="none"/>
          <w:lang w:val="en-US" w:eastAsia="zh-CN"/>
        </w:rPr>
        <w:t>。</w:t>
      </w:r>
    </w:p>
    <w:p>
      <w:pPr>
        <w:spacing w:line="400" w:lineRule="exact"/>
        <w:ind w:firstLine="420" w:firstLineChars="200"/>
        <w:rPr>
          <w:rFonts w:hint="eastAsia" w:eastAsia="宋体" w:cs="宋体"/>
          <w:color w:val="auto"/>
          <w:szCs w:val="21"/>
          <w:highlight w:val="none"/>
          <w:lang w:val="en-US" w:eastAsia="zh-CN"/>
        </w:rPr>
      </w:pPr>
      <w:r>
        <w:rPr>
          <w:rFonts w:hint="eastAsia" w:eastAsia="宋体" w:cs="宋体"/>
          <w:color w:val="auto"/>
          <w:szCs w:val="21"/>
          <w:highlight w:val="none"/>
          <w:lang w:val="en-US" w:eastAsia="zh-CN"/>
        </w:rPr>
        <w:t>集成服务阶段要求：材料采购招标、合同谈判、设计联络、内外部接口协调、接口测试、生产集成服务（含样机生产、样机试验、出厂测试及试验等）、供货管理、安装调试管理、</w:t>
      </w:r>
      <w:r>
        <w:rPr>
          <w:rFonts w:hint="eastAsia" w:cs="宋体"/>
          <w:color w:val="auto"/>
          <w:szCs w:val="21"/>
          <w:highlight w:val="none"/>
          <w:lang w:val="en-US" w:eastAsia="zh-CN"/>
        </w:rPr>
        <w:t>综合联调、</w:t>
      </w:r>
      <w:r>
        <w:rPr>
          <w:rFonts w:hint="eastAsia" w:eastAsia="宋体" w:cs="宋体"/>
          <w:color w:val="auto"/>
          <w:szCs w:val="21"/>
          <w:highlight w:val="none"/>
          <w:lang w:val="en-US" w:eastAsia="zh-CN"/>
        </w:rPr>
        <w:t xml:space="preserve">试运行、验收、质保等阶段。        </w:t>
      </w:r>
    </w:p>
    <w:p>
      <w:pPr>
        <w:spacing w:line="340" w:lineRule="exact"/>
        <w:ind w:firstLine="420" w:firstLineChars="200"/>
        <w:rPr>
          <w:rFonts w:hint="default"/>
          <w:color w:val="auto"/>
          <w:highlight w:val="none"/>
          <w:lang w:val="en-US" w:eastAsia="zh-CN"/>
        </w:rPr>
      </w:pPr>
      <w:r>
        <w:rPr>
          <w:rFonts w:hint="eastAsia" w:eastAsia="宋体" w:cs="宋体"/>
          <w:color w:val="auto"/>
          <w:szCs w:val="21"/>
          <w:highlight w:val="none"/>
        </w:rPr>
        <w:t>最高投标限价：</w:t>
      </w:r>
      <w:r>
        <w:rPr>
          <w:rFonts w:hint="eastAsia" w:eastAsia="宋体" w:cs="宋体"/>
          <w:color w:val="auto"/>
          <w:szCs w:val="21"/>
          <w:highlight w:val="none"/>
          <w:u w:val="single"/>
          <w:lang w:val="en-US" w:eastAsia="zh-CN"/>
        </w:rPr>
        <w:t xml:space="preserve">  </w:t>
      </w:r>
      <w:r>
        <w:rPr>
          <w:rFonts w:hint="eastAsia" w:cs="宋体"/>
          <w:color w:val="auto"/>
          <w:szCs w:val="21"/>
          <w:highlight w:val="none"/>
          <w:u w:val="single"/>
          <w:lang w:val="en-US" w:eastAsia="zh-CN"/>
        </w:rPr>
        <w:t>1216万元。</w:t>
      </w:r>
      <w:r>
        <w:rPr>
          <w:rFonts w:hint="eastAsia" w:eastAsia="宋体" w:cs="宋体"/>
          <w:color w:val="auto"/>
          <w:szCs w:val="21"/>
          <w:highlight w:val="none"/>
          <w:u w:val="single"/>
          <w:lang w:val="en-US" w:eastAsia="zh-CN"/>
        </w:rPr>
        <w:t xml:space="preserve">  </w:t>
      </w:r>
    </w:p>
    <w:p>
      <w:pPr>
        <w:pStyle w:val="3"/>
        <w:spacing w:line="240" w:lineRule="auto"/>
        <w:rPr>
          <w:rFonts w:hint="eastAsia" w:ascii="Times New Roman" w:hAnsi="Times New Roman" w:eastAsia="黑体" w:cs="Times New Roman"/>
          <w:color w:val="auto"/>
          <w:kern w:val="0"/>
          <w:sz w:val="24"/>
          <w:szCs w:val="20"/>
          <w:highlight w:val="none"/>
          <w:lang w:val="en-US" w:eastAsia="zh-CN" w:bidi="ar-SA"/>
        </w:rPr>
      </w:pPr>
      <w:bookmarkStart w:id="26" w:name="_Toc4932"/>
      <w:bookmarkStart w:id="27" w:name="_Toc12064"/>
      <w:bookmarkStart w:id="28" w:name="_Toc2840"/>
      <w:bookmarkStart w:id="29" w:name="_Toc5322"/>
      <w:bookmarkStart w:id="30" w:name="_Toc13474"/>
      <w:bookmarkStart w:id="31" w:name="_Toc26105"/>
      <w:bookmarkStart w:id="32" w:name="_Toc88230002"/>
      <w:bookmarkStart w:id="33" w:name="_Toc98142371"/>
      <w:r>
        <w:rPr>
          <w:rFonts w:hint="eastAsia" w:ascii="Times New Roman" w:hAnsi="Times New Roman" w:eastAsia="黑体" w:cs="Times New Roman"/>
          <w:color w:val="auto"/>
          <w:kern w:val="0"/>
          <w:sz w:val="24"/>
          <w:szCs w:val="20"/>
          <w:highlight w:val="none"/>
          <w:lang w:val="en-US" w:eastAsia="zh-CN" w:bidi="ar-SA"/>
        </w:rPr>
        <w:t>3. 投标人资格要求</w:t>
      </w:r>
      <w:bookmarkEnd w:id="26"/>
      <w:bookmarkEnd w:id="27"/>
      <w:bookmarkEnd w:id="28"/>
      <w:bookmarkEnd w:id="29"/>
      <w:bookmarkEnd w:id="30"/>
      <w:bookmarkEnd w:id="31"/>
      <w:bookmarkEnd w:id="32"/>
      <w:bookmarkEnd w:id="33"/>
      <w:r>
        <w:rPr>
          <w:rFonts w:hint="eastAsia" w:ascii="Times New Roman" w:hAnsi="Times New Roman" w:eastAsia="黑体" w:cs="Times New Roman"/>
          <w:color w:val="auto"/>
          <w:kern w:val="0"/>
          <w:sz w:val="24"/>
          <w:szCs w:val="2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s="宋体"/>
          <w:color w:val="auto"/>
          <w:szCs w:val="21"/>
          <w:highlight w:val="none"/>
        </w:rPr>
      </w:pPr>
      <w:r>
        <w:rPr>
          <w:rFonts w:eastAsia="宋体" w:cs="宋体"/>
          <w:color w:val="auto"/>
          <w:szCs w:val="21"/>
          <w:highlight w:val="none"/>
        </w:rPr>
        <w:t xml:space="preserve">3.1 </w:t>
      </w:r>
      <w:r>
        <w:rPr>
          <w:rFonts w:hint="eastAsia" w:eastAsia="宋体" w:cs="宋体"/>
          <w:color w:val="auto"/>
          <w:szCs w:val="21"/>
          <w:highlight w:val="none"/>
        </w:rPr>
        <w:t>本次招标要求投标人须具备相应业绩，并在人员方面具有相应的</w:t>
      </w:r>
      <w:r>
        <w:rPr>
          <w:rFonts w:hint="eastAsia" w:eastAsia="宋体" w:cs="宋体"/>
          <w:color w:val="auto"/>
          <w:szCs w:val="21"/>
          <w:highlight w:val="none"/>
          <w:lang w:val="en-US" w:eastAsia="zh-CN"/>
        </w:rPr>
        <w:t>集成服务和</w:t>
      </w:r>
      <w:r>
        <w:rPr>
          <w:rFonts w:hint="eastAsia" w:eastAsia="宋体" w:cs="宋体"/>
          <w:color w:val="auto"/>
          <w:szCs w:val="21"/>
          <w:highlight w:val="none"/>
        </w:rPr>
        <w:t>设备监造能力。</w:t>
      </w:r>
    </w:p>
    <w:p>
      <w:pPr>
        <w:spacing w:line="400" w:lineRule="exact"/>
        <w:ind w:firstLine="420" w:firstLineChars="200"/>
        <w:rPr>
          <w:rFonts w:hint="eastAsia" w:eastAsia="宋体" w:cs="宋体"/>
          <w:color w:val="auto"/>
          <w:szCs w:val="21"/>
          <w:highlight w:val="none"/>
        </w:rPr>
      </w:pPr>
      <w:r>
        <w:rPr>
          <w:rFonts w:eastAsia="宋体" w:cs="宋体"/>
          <w:color w:val="auto"/>
          <w:szCs w:val="21"/>
          <w:highlight w:val="none"/>
        </w:rPr>
        <w:t>3.1.</w:t>
      </w:r>
      <w:bookmarkStart w:id="34" w:name="_Hlk40257336"/>
      <w:r>
        <w:rPr>
          <w:rFonts w:hint="eastAsia" w:cs="宋体"/>
          <w:color w:val="auto"/>
          <w:szCs w:val="21"/>
          <w:highlight w:val="none"/>
          <w:lang w:val="en-US" w:eastAsia="zh-CN"/>
        </w:rPr>
        <w:t>1</w:t>
      </w:r>
      <w:r>
        <w:rPr>
          <w:rFonts w:hint="eastAsia" w:eastAsia="宋体" w:cs="宋体"/>
          <w:color w:val="auto"/>
          <w:szCs w:val="21"/>
          <w:highlight w:val="none"/>
        </w:rPr>
        <w:t>投标人自</w:t>
      </w:r>
      <w:r>
        <w:rPr>
          <w:rFonts w:eastAsia="宋体" w:cs="宋体"/>
          <w:color w:val="auto"/>
          <w:szCs w:val="21"/>
          <w:highlight w:val="none"/>
          <w:u w:val="single"/>
        </w:rPr>
        <w:t>20</w:t>
      </w:r>
      <w:r>
        <w:rPr>
          <w:rFonts w:hint="eastAsia" w:cs="宋体"/>
          <w:color w:val="auto"/>
          <w:szCs w:val="21"/>
          <w:highlight w:val="none"/>
          <w:u w:val="single"/>
          <w:lang w:val="en-US" w:eastAsia="zh-CN"/>
        </w:rPr>
        <w:t>20</w:t>
      </w:r>
      <w:r>
        <w:rPr>
          <w:rFonts w:eastAsia="宋体" w:cs="宋体"/>
          <w:color w:val="auto"/>
          <w:szCs w:val="21"/>
          <w:highlight w:val="none"/>
          <w:u w:val="single"/>
        </w:rPr>
        <w:t>年1</w:t>
      </w:r>
      <w:r>
        <w:rPr>
          <w:rFonts w:hint="eastAsia" w:eastAsia="宋体" w:cs="宋体"/>
          <w:color w:val="auto"/>
          <w:szCs w:val="21"/>
          <w:highlight w:val="none"/>
          <w:u w:val="single"/>
        </w:rPr>
        <w:t>月</w:t>
      </w:r>
      <w:r>
        <w:rPr>
          <w:rFonts w:eastAsia="宋体" w:cs="宋体"/>
          <w:color w:val="auto"/>
          <w:szCs w:val="21"/>
          <w:highlight w:val="none"/>
          <w:u w:val="single"/>
        </w:rPr>
        <w:t>1</w:t>
      </w:r>
      <w:r>
        <w:rPr>
          <w:rFonts w:hint="eastAsia" w:eastAsia="宋体" w:cs="宋体"/>
          <w:color w:val="auto"/>
          <w:szCs w:val="21"/>
          <w:highlight w:val="none"/>
          <w:u w:val="single"/>
        </w:rPr>
        <w:t>日</w:t>
      </w:r>
      <w:r>
        <w:rPr>
          <w:rFonts w:hint="eastAsia" w:eastAsia="宋体" w:cs="宋体"/>
          <w:color w:val="auto"/>
          <w:szCs w:val="21"/>
          <w:highlight w:val="none"/>
        </w:rPr>
        <w:t>至投标截止日完成过单项合同金额</w:t>
      </w:r>
      <w:r>
        <w:rPr>
          <w:rFonts w:hint="eastAsia" w:cs="宋体"/>
          <w:color w:val="auto"/>
          <w:szCs w:val="21"/>
          <w:highlight w:val="none"/>
          <w:lang w:val="en-US" w:eastAsia="zh-CN"/>
        </w:rPr>
        <w:t>600万元</w:t>
      </w:r>
      <w:r>
        <w:rPr>
          <w:rFonts w:hint="eastAsia" w:eastAsia="宋体" w:cs="宋体"/>
          <w:color w:val="auto"/>
          <w:szCs w:val="21"/>
          <w:highlight w:val="none"/>
        </w:rPr>
        <w:t>或以上的轨道交通工程</w:t>
      </w:r>
      <w:r>
        <w:rPr>
          <w:rFonts w:hint="eastAsia" w:eastAsia="宋体" w:cs="宋体"/>
          <w:color w:val="auto"/>
          <w:szCs w:val="21"/>
          <w:highlight w:val="none"/>
          <w:u w:val="single"/>
          <w:lang w:val="en-US" w:eastAsia="zh-CN"/>
        </w:rPr>
        <w:t>强</w:t>
      </w:r>
      <w:r>
        <w:rPr>
          <w:rFonts w:hint="eastAsia" w:cs="宋体"/>
          <w:color w:val="auto"/>
          <w:szCs w:val="21"/>
          <w:highlight w:val="none"/>
          <w:u w:val="single"/>
          <w:lang w:val="en-US" w:eastAsia="zh-CN"/>
        </w:rPr>
        <w:t>电</w:t>
      </w:r>
      <w:r>
        <w:rPr>
          <w:rFonts w:hint="eastAsia" w:eastAsia="宋体" w:cs="宋体"/>
          <w:color w:val="auto"/>
          <w:szCs w:val="21"/>
          <w:highlight w:val="none"/>
          <w:u w:val="single"/>
          <w:lang w:val="en-US" w:eastAsia="zh-CN"/>
        </w:rPr>
        <w:t>系统设备</w:t>
      </w:r>
      <w:r>
        <w:rPr>
          <w:rFonts w:hint="eastAsia" w:cs="宋体"/>
          <w:color w:val="auto"/>
          <w:szCs w:val="21"/>
          <w:highlight w:val="none"/>
          <w:u w:val="single"/>
          <w:lang w:val="en-US" w:eastAsia="zh-CN"/>
        </w:rPr>
        <w:t>或</w:t>
      </w:r>
      <w:r>
        <w:rPr>
          <w:rFonts w:hint="eastAsia" w:eastAsia="宋体" w:cs="宋体"/>
          <w:color w:val="auto"/>
          <w:szCs w:val="21"/>
          <w:highlight w:val="none"/>
          <w:u w:val="single"/>
          <w:lang w:val="en-US" w:eastAsia="zh-CN"/>
        </w:rPr>
        <w:t>弱电系统</w:t>
      </w:r>
      <w:r>
        <w:rPr>
          <w:rFonts w:hint="eastAsia" w:cs="宋体"/>
          <w:color w:val="auto"/>
          <w:szCs w:val="21"/>
          <w:highlight w:val="none"/>
          <w:u w:val="single"/>
          <w:lang w:val="en-US" w:eastAsia="zh-CN"/>
        </w:rPr>
        <w:t>设备或</w:t>
      </w:r>
      <w:r>
        <w:rPr>
          <w:rFonts w:hint="eastAsia" w:eastAsia="宋体" w:cs="宋体"/>
          <w:color w:val="auto"/>
          <w:szCs w:val="21"/>
          <w:highlight w:val="none"/>
          <w:u w:val="single"/>
          <w:lang w:val="en-US" w:eastAsia="zh-CN"/>
        </w:rPr>
        <w:t>车站设备</w:t>
      </w:r>
      <w:r>
        <w:rPr>
          <w:rFonts w:hint="eastAsia" w:eastAsia="宋体" w:cs="宋体"/>
          <w:color w:val="auto"/>
          <w:szCs w:val="21"/>
          <w:highlight w:val="none"/>
          <w:u w:val="none"/>
        </w:rPr>
        <w:t>集成服务业绩</w:t>
      </w:r>
      <w:r>
        <w:rPr>
          <w:rFonts w:hint="eastAsia" w:eastAsia="宋体" w:cs="宋体"/>
          <w:color w:val="auto"/>
          <w:szCs w:val="21"/>
          <w:highlight w:val="none"/>
        </w:rPr>
        <w:t>。</w:t>
      </w:r>
    </w:p>
    <w:p>
      <w:pPr>
        <w:spacing w:line="400" w:lineRule="exact"/>
        <w:ind w:firstLine="420" w:firstLineChars="200"/>
        <w:rPr>
          <w:rFonts w:hint="eastAsia" w:eastAsia="宋体" w:cs="宋体"/>
          <w:color w:val="auto"/>
          <w:szCs w:val="21"/>
          <w:highlight w:val="none"/>
          <w:lang w:val="en-US" w:eastAsia="zh-CN"/>
        </w:rPr>
      </w:pPr>
      <w:r>
        <w:rPr>
          <w:rFonts w:hint="eastAsia" w:eastAsia="宋体" w:cs="宋体"/>
          <w:color w:val="auto"/>
          <w:szCs w:val="21"/>
          <w:highlight w:val="none"/>
        </w:rPr>
        <w:t>注：</w:t>
      </w:r>
      <w:r>
        <w:rPr>
          <w:rFonts w:hint="eastAsia" w:cs="宋体"/>
          <w:color w:val="auto"/>
          <w:szCs w:val="21"/>
          <w:highlight w:val="none"/>
          <w:lang w:val="en-US" w:eastAsia="zh-CN"/>
        </w:rPr>
        <w:t>（1）</w:t>
      </w:r>
      <w:r>
        <w:rPr>
          <w:rFonts w:hint="eastAsia" w:eastAsia="宋体" w:cs="宋体"/>
          <w:color w:val="auto"/>
          <w:szCs w:val="21"/>
          <w:highlight w:val="none"/>
        </w:rPr>
        <w:t>如投标人提供的</w:t>
      </w:r>
      <w:r>
        <w:rPr>
          <w:rFonts w:hint="eastAsia" w:cs="宋体"/>
          <w:color w:val="auto"/>
          <w:szCs w:val="21"/>
          <w:highlight w:val="none"/>
          <w:lang w:val="en-US" w:eastAsia="zh-CN"/>
        </w:rPr>
        <w:t>业绩</w:t>
      </w:r>
      <w:r>
        <w:rPr>
          <w:rFonts w:hint="eastAsia" w:eastAsia="宋体" w:cs="宋体"/>
          <w:color w:val="auto"/>
          <w:szCs w:val="21"/>
          <w:highlight w:val="none"/>
        </w:rPr>
        <w:t>为设备监理</w:t>
      </w:r>
      <w:r>
        <w:rPr>
          <w:rFonts w:hint="eastAsia" w:eastAsia="宋体" w:cs="宋体"/>
          <w:color w:val="auto"/>
          <w:szCs w:val="21"/>
          <w:highlight w:val="none"/>
          <w:lang w:eastAsia="zh-CN"/>
        </w:rPr>
        <w:t>、</w:t>
      </w:r>
      <w:r>
        <w:rPr>
          <w:rFonts w:hint="eastAsia" w:eastAsia="宋体" w:cs="宋体"/>
          <w:color w:val="auto"/>
          <w:szCs w:val="21"/>
          <w:highlight w:val="none"/>
        </w:rPr>
        <w:t>设备监造或</w:t>
      </w:r>
      <w:r>
        <w:rPr>
          <w:rFonts w:hint="eastAsia" w:eastAsia="宋体" w:cs="宋体"/>
          <w:color w:val="auto"/>
          <w:szCs w:val="21"/>
          <w:highlight w:val="none"/>
          <w:lang w:val="en-US" w:eastAsia="zh-CN"/>
        </w:rPr>
        <w:t>项目管理</w:t>
      </w:r>
      <w:r>
        <w:rPr>
          <w:rFonts w:hint="eastAsia" w:eastAsia="宋体" w:cs="宋体"/>
          <w:color w:val="auto"/>
          <w:szCs w:val="21"/>
          <w:highlight w:val="none"/>
        </w:rPr>
        <w:t>业绩，等同于设备集成服务业绩；</w:t>
      </w:r>
      <w:r>
        <w:rPr>
          <w:rFonts w:hint="eastAsia" w:eastAsia="宋体" w:cs="宋体"/>
          <w:color w:val="auto"/>
          <w:szCs w:val="21"/>
          <w:highlight w:val="none"/>
          <w:lang w:val="en-US" w:eastAsia="zh-CN"/>
        </w:rPr>
        <w:t>工程监理业绩不可等同集成服务业绩</w:t>
      </w:r>
      <w:r>
        <w:rPr>
          <w:rFonts w:hint="eastAsia" w:cs="宋体"/>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color w:val="auto"/>
          <w:highlight w:val="none"/>
          <w:lang w:val="en-US" w:eastAsia="zh-CN"/>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轨道交通工程指城市轨道交通、市域（郊）铁路、城际铁路、国家铁路工程</w:t>
      </w:r>
      <w:r>
        <w:rPr>
          <w:rFonts w:hint="eastAsia" w:cs="宋体"/>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color w:val="auto"/>
          <w:highlight w:val="none"/>
          <w:lang w:val="en-US" w:eastAsia="zh-CN"/>
        </w:rPr>
      </w:pPr>
      <w:r>
        <w:rPr>
          <w:rFonts w:hint="eastAsia"/>
          <w:color w:val="auto"/>
          <w:highlight w:val="none"/>
          <w:lang w:val="en-US" w:eastAsia="zh-CN"/>
        </w:rPr>
        <w:t>（3）若合同同时包含轨道交通工程强电系统集成服务、弱电系统集成服务和车站设备集成服务中的两项或全部，按一个业绩认定。</w:t>
      </w:r>
    </w:p>
    <w:p>
      <w:pPr>
        <w:spacing w:line="400" w:lineRule="exact"/>
        <w:ind w:firstLine="840" w:firstLineChars="400"/>
        <w:rPr>
          <w:rFonts w:hint="eastAsia" w:eastAsia="宋体" w:cs="宋体"/>
          <w:color w:val="auto"/>
          <w:szCs w:val="21"/>
          <w:highlight w:val="none"/>
          <w:lang w:val="en-US" w:eastAsia="zh-CN"/>
        </w:rPr>
      </w:pPr>
      <w:r>
        <w:rPr>
          <w:rFonts w:hint="eastAsia" w:cs="宋体"/>
          <w:color w:val="auto"/>
          <w:szCs w:val="21"/>
          <w:highlight w:val="none"/>
          <w:lang w:val="en-US" w:eastAsia="zh-CN"/>
        </w:rPr>
        <w:t>（4）投标人须同时提供</w:t>
      </w:r>
      <w:r>
        <w:rPr>
          <w:rFonts w:eastAsia="宋体" w:cs="宋体"/>
          <w:color w:val="auto"/>
          <w:szCs w:val="21"/>
          <w:highlight w:val="none"/>
        </w:rPr>
        <w:t>中标通知书</w:t>
      </w:r>
      <w:r>
        <w:rPr>
          <w:rFonts w:hint="eastAsia" w:eastAsia="宋体" w:cs="宋体"/>
          <w:color w:val="auto"/>
          <w:szCs w:val="21"/>
          <w:highlight w:val="none"/>
          <w:lang w:eastAsia="zh-CN"/>
        </w:rPr>
        <w:t>（</w:t>
      </w:r>
      <w:r>
        <w:rPr>
          <w:rFonts w:hint="eastAsia" w:cs="宋体"/>
          <w:color w:val="auto"/>
          <w:szCs w:val="21"/>
          <w:highlight w:val="none"/>
          <w:lang w:val="en-US" w:eastAsia="zh-CN"/>
        </w:rPr>
        <w:t>或成交通知书</w:t>
      </w:r>
      <w:r>
        <w:rPr>
          <w:rFonts w:hint="eastAsia" w:ascii="宋体" w:hAnsi="宋体" w:cs="宋体"/>
          <w:color w:val="auto"/>
          <w:szCs w:val="21"/>
          <w:highlight w:val="none"/>
        </w:rPr>
        <w:t>或免招标相关证明</w:t>
      </w:r>
      <w:r>
        <w:rPr>
          <w:rFonts w:hint="eastAsia" w:eastAsia="宋体" w:cs="宋体"/>
          <w:color w:val="auto"/>
          <w:szCs w:val="21"/>
          <w:highlight w:val="none"/>
          <w:lang w:eastAsia="zh-CN"/>
        </w:rPr>
        <w:t>）</w:t>
      </w:r>
      <w:r>
        <w:rPr>
          <w:rFonts w:eastAsia="宋体" w:cs="宋体"/>
          <w:color w:val="auto"/>
          <w:szCs w:val="21"/>
          <w:highlight w:val="none"/>
        </w:rPr>
        <w:t>、合同关键页、项目完工证明（完工证明以业主出具的加盖公章的完工证明说明或该合同服务内容中</w:t>
      </w:r>
      <w:r>
        <w:rPr>
          <w:rFonts w:hint="eastAsia" w:eastAsia="宋体" w:cs="宋体"/>
          <w:color w:val="auto"/>
          <w:szCs w:val="21"/>
          <w:highlight w:val="none"/>
          <w:lang w:val="en-US" w:eastAsia="zh-CN"/>
        </w:rPr>
        <w:t>至少一项对应</w:t>
      </w:r>
      <w:r>
        <w:rPr>
          <w:rFonts w:eastAsia="宋体" w:cs="宋体"/>
          <w:color w:val="auto"/>
          <w:szCs w:val="21"/>
          <w:highlight w:val="none"/>
        </w:rPr>
        <w:t>设备的预验收证书为准</w:t>
      </w:r>
      <w:r>
        <w:rPr>
          <w:rFonts w:hint="eastAsia" w:cs="宋体"/>
          <w:color w:val="auto"/>
          <w:szCs w:val="21"/>
          <w:highlight w:val="none"/>
          <w:lang w:val="en-US" w:eastAsia="zh-CN"/>
        </w:rPr>
        <w:t>或</w:t>
      </w:r>
      <w:r>
        <w:rPr>
          <w:rFonts w:hint="eastAsia" w:cs="宋体"/>
          <w:color w:val="auto"/>
          <w:kern w:val="0"/>
          <w:szCs w:val="21"/>
          <w:highlight w:val="none"/>
        </w:rPr>
        <w:t>开通</w:t>
      </w:r>
      <w:r>
        <w:rPr>
          <w:rFonts w:hint="eastAsia" w:cs="宋体"/>
          <w:color w:val="auto"/>
          <w:kern w:val="0"/>
          <w:szCs w:val="21"/>
          <w:highlight w:val="none"/>
          <w:lang w:val="en-US" w:eastAsia="zh-CN"/>
        </w:rPr>
        <w:t>初期</w:t>
      </w:r>
      <w:r>
        <w:rPr>
          <w:rFonts w:hint="eastAsia" w:cs="宋体"/>
          <w:color w:val="auto"/>
          <w:kern w:val="0"/>
          <w:szCs w:val="21"/>
          <w:highlight w:val="none"/>
        </w:rPr>
        <w:t>运营证明</w:t>
      </w:r>
      <w:r>
        <w:rPr>
          <w:rFonts w:eastAsia="宋体" w:cs="宋体"/>
          <w:color w:val="auto"/>
          <w:szCs w:val="21"/>
          <w:highlight w:val="none"/>
        </w:rPr>
        <w:t>）</w:t>
      </w:r>
      <w:r>
        <w:rPr>
          <w:rFonts w:hint="eastAsia" w:eastAsia="宋体" w:cs="宋体"/>
          <w:color w:val="auto"/>
          <w:szCs w:val="21"/>
          <w:highlight w:val="none"/>
          <w:lang w:eastAsia="zh-CN"/>
        </w:rPr>
        <w:t>。</w:t>
      </w:r>
      <w:r>
        <w:rPr>
          <w:rFonts w:hint="eastAsia" w:eastAsia="宋体" w:cs="宋体"/>
          <w:color w:val="auto"/>
          <w:szCs w:val="21"/>
          <w:highlight w:val="none"/>
          <w:lang w:val="en-US" w:eastAsia="zh-CN"/>
        </w:rPr>
        <w:t>业绩</w:t>
      </w:r>
      <w:r>
        <w:rPr>
          <w:rFonts w:eastAsia="宋体" w:cs="宋体"/>
          <w:color w:val="auto"/>
          <w:szCs w:val="21"/>
          <w:highlight w:val="none"/>
        </w:rPr>
        <w:t>时间以项目完工证明为准，金额以合同</w:t>
      </w:r>
      <w:r>
        <w:rPr>
          <w:rFonts w:hint="eastAsia" w:eastAsia="宋体" w:cs="宋体"/>
          <w:color w:val="auto"/>
          <w:szCs w:val="21"/>
          <w:highlight w:val="none"/>
          <w:lang w:val="en-US" w:eastAsia="zh-CN"/>
        </w:rPr>
        <w:t>金额</w:t>
      </w:r>
      <w:r>
        <w:rPr>
          <w:rFonts w:eastAsia="宋体" w:cs="宋体"/>
          <w:color w:val="auto"/>
          <w:szCs w:val="21"/>
          <w:highlight w:val="none"/>
        </w:rPr>
        <w:t>为准</w:t>
      </w:r>
      <w:r>
        <w:rPr>
          <w:rFonts w:hint="eastAsia" w:eastAsia="宋体" w:cs="宋体"/>
          <w:color w:val="auto"/>
          <w:szCs w:val="21"/>
          <w:highlight w:val="none"/>
        </w:rPr>
        <w:t>。</w:t>
      </w:r>
    </w:p>
    <w:bookmarkEnd w:id="34"/>
    <w:p>
      <w:pPr>
        <w:spacing w:line="400" w:lineRule="exact"/>
        <w:ind w:firstLine="420" w:firstLineChars="200"/>
        <w:rPr>
          <w:rFonts w:eastAsia="宋体" w:cs="宋体"/>
          <w:strike/>
          <w:color w:val="auto"/>
          <w:szCs w:val="21"/>
          <w:highlight w:val="none"/>
        </w:rPr>
      </w:pPr>
      <w:r>
        <w:rPr>
          <w:rFonts w:eastAsia="宋体" w:cs="宋体"/>
          <w:color w:val="auto"/>
          <w:highlight w:val="none"/>
        </w:rPr>
        <w:t>3.1.</w:t>
      </w:r>
      <w:r>
        <w:rPr>
          <w:rFonts w:hint="eastAsia" w:cs="宋体"/>
          <w:color w:val="auto"/>
          <w:highlight w:val="none"/>
          <w:lang w:val="en-US" w:eastAsia="zh-CN"/>
        </w:rPr>
        <w:t>2</w:t>
      </w:r>
      <w:r>
        <w:rPr>
          <w:rFonts w:hint="eastAsia" w:eastAsia="宋体" w:cs="宋体"/>
          <w:color w:val="auto"/>
          <w:szCs w:val="21"/>
          <w:highlight w:val="none"/>
        </w:rPr>
        <w:t>投标人必须是在中华人民共和国注册的独立法人。投标人持有有效的工商行政管理部门核发的法人营业执照，按国家法律经营。</w:t>
      </w:r>
    </w:p>
    <w:p>
      <w:pPr>
        <w:spacing w:line="400" w:lineRule="exact"/>
        <w:ind w:firstLine="420" w:firstLineChars="200"/>
        <w:rPr>
          <w:rFonts w:eastAsia="宋体" w:cs="宋体"/>
          <w:color w:val="auto"/>
          <w:szCs w:val="21"/>
          <w:highlight w:val="none"/>
        </w:rPr>
      </w:pPr>
      <w:r>
        <w:rPr>
          <w:rFonts w:eastAsia="宋体" w:cs="宋体"/>
          <w:color w:val="auto"/>
          <w:szCs w:val="21"/>
          <w:highlight w:val="none"/>
        </w:rPr>
        <w:t xml:space="preserve"> 3.2 </w:t>
      </w:r>
      <w:r>
        <w:rPr>
          <w:rFonts w:hint="eastAsia" w:eastAsia="宋体" w:cs="宋体"/>
          <w:color w:val="auto"/>
          <w:szCs w:val="21"/>
          <w:highlight w:val="none"/>
        </w:rPr>
        <w:t>本次招标不接受联合体投标。</w:t>
      </w:r>
    </w:p>
    <w:p>
      <w:pPr>
        <w:spacing w:line="400" w:lineRule="exact"/>
        <w:ind w:firstLine="420" w:firstLineChars="200"/>
        <w:rPr>
          <w:rFonts w:eastAsia="宋体" w:cs="宋体"/>
          <w:color w:val="auto"/>
          <w:szCs w:val="21"/>
          <w:highlight w:val="none"/>
        </w:rPr>
      </w:pPr>
      <w:r>
        <w:rPr>
          <w:rFonts w:eastAsia="宋体" w:cs="宋体"/>
          <w:color w:val="auto"/>
          <w:szCs w:val="21"/>
          <w:highlight w:val="none"/>
        </w:rPr>
        <w:t>3.3</w:t>
      </w:r>
      <w:r>
        <w:rPr>
          <w:rFonts w:hint="eastAsia" w:eastAsia="宋体" w:cs="宋体"/>
          <w:color w:val="auto"/>
          <w:szCs w:val="21"/>
          <w:highlight w:val="none"/>
        </w:rPr>
        <w:t>其他要求：</w:t>
      </w:r>
    </w:p>
    <w:p>
      <w:pPr>
        <w:spacing w:line="400" w:lineRule="exact"/>
        <w:ind w:firstLine="420" w:firstLineChars="200"/>
        <w:rPr>
          <w:rFonts w:eastAsia="宋体" w:cs="宋体"/>
          <w:color w:val="auto"/>
          <w:highlight w:val="none"/>
        </w:rPr>
      </w:pPr>
      <w:r>
        <w:rPr>
          <w:rFonts w:hint="eastAsia" w:eastAsia="宋体" w:cs="宋体"/>
          <w:color w:val="auto"/>
          <w:highlight w:val="none"/>
        </w:rPr>
        <w:t>①投标人已按规定格式签字盖章《投标申请人声明》（格式见本招标公告</w:t>
      </w:r>
      <w:r>
        <w:rPr>
          <w:rFonts w:hint="eastAsia" w:eastAsia="宋体" w:cs="宋体"/>
          <w:color w:val="auto"/>
          <w:highlight w:val="none"/>
          <w:u w:val="single"/>
        </w:rPr>
        <w:t>附件一</w:t>
      </w:r>
      <w:r>
        <w:rPr>
          <w:rFonts w:hint="eastAsia" w:eastAsia="宋体" w:cs="宋体"/>
          <w:color w:val="auto"/>
          <w:highlight w:val="none"/>
        </w:rPr>
        <w:t>）作为投标人资格要求之一，此《投标申请人声明》应同时作为投标函中资格审查资料的组成部分。</w:t>
      </w:r>
    </w:p>
    <w:p>
      <w:pPr>
        <w:spacing w:line="400" w:lineRule="exact"/>
        <w:ind w:firstLine="420" w:firstLineChars="200"/>
        <w:rPr>
          <w:rFonts w:eastAsia="宋体" w:cs="宋体"/>
          <w:color w:val="auto"/>
          <w:highlight w:val="none"/>
        </w:rPr>
      </w:pPr>
      <w:r>
        <w:rPr>
          <w:rFonts w:hint="eastAsia" w:eastAsia="宋体" w:cs="宋体"/>
          <w:color w:val="auto"/>
          <w:highlight w:val="none"/>
        </w:rPr>
        <w:t>②投标人参加投标的意思表达清楚，法定代表人证明书及投标人代表被授权有效。</w:t>
      </w:r>
    </w:p>
    <w:p>
      <w:pPr>
        <w:spacing w:line="400" w:lineRule="exact"/>
        <w:ind w:firstLine="420" w:firstLineChars="200"/>
        <w:rPr>
          <w:color w:val="auto"/>
          <w:highlight w:val="none"/>
        </w:rPr>
      </w:pPr>
      <w:r>
        <w:rPr>
          <w:rFonts w:hint="eastAsia" w:eastAsia="宋体" w:cs="宋体"/>
          <w:color w:val="auto"/>
          <w:highlight w:val="none"/>
        </w:rPr>
        <w:t>③</w:t>
      </w:r>
      <w:r>
        <w:rPr>
          <w:rFonts w:hint="eastAsia" w:ascii="宋体" w:hAnsi="宋体" w:cs="宋体"/>
          <w:color w:val="auto"/>
          <w:highlight w:val="none"/>
        </w:rPr>
        <w:t>在本公告发布时投标人未在以往工程中因不诚信行为或不充分履约行为被列入招标人书面拒绝投标的名单（在拒绝投标的期限内）</w:t>
      </w:r>
      <w:r>
        <w:rPr>
          <w:rFonts w:hint="eastAsia" w:eastAsia="宋体" w:cs="宋体"/>
          <w:color w:val="auto"/>
          <w:highlight w:val="none"/>
          <w:u w:val="none"/>
        </w:rPr>
        <w:t>。</w:t>
      </w:r>
    </w:p>
    <w:p>
      <w:pPr>
        <w:spacing w:line="400" w:lineRule="exact"/>
        <w:ind w:firstLine="420" w:firstLineChars="200"/>
        <w:rPr>
          <w:color w:val="auto"/>
          <w:highlight w:val="none"/>
        </w:rPr>
      </w:pPr>
      <w:r>
        <w:rPr>
          <w:rFonts w:hint="eastAsia"/>
          <w:color w:val="auto"/>
          <w:highlight w:val="none"/>
        </w:rPr>
        <w:t>④单位负责人为同一人或者存在控股、管理关系的不同单位，不得同时参加同一项目投标。</w:t>
      </w:r>
    </w:p>
    <w:p>
      <w:pPr>
        <w:keepNext/>
        <w:keepLines/>
        <w:adjustRightInd w:val="0"/>
        <w:spacing w:before="240" w:after="120"/>
        <w:textAlignment w:val="baseline"/>
        <w:outlineLvl w:val="1"/>
        <w:rPr>
          <w:rFonts w:eastAsia="黑体"/>
          <w:color w:val="auto"/>
          <w:kern w:val="0"/>
          <w:sz w:val="24"/>
          <w:szCs w:val="20"/>
          <w:highlight w:val="none"/>
        </w:rPr>
      </w:pPr>
      <w:bookmarkStart w:id="35" w:name="_Toc29848"/>
      <w:bookmarkStart w:id="36" w:name="_Toc156398316"/>
      <w:bookmarkStart w:id="37" w:name="_Toc31783"/>
      <w:bookmarkStart w:id="38" w:name="_Toc11793"/>
      <w:bookmarkStart w:id="39" w:name="_Toc179"/>
      <w:bookmarkStart w:id="40" w:name="_Toc17404"/>
      <w:bookmarkStart w:id="41" w:name="_Toc4185"/>
      <w:r>
        <w:rPr>
          <w:rFonts w:eastAsia="黑体"/>
          <w:color w:val="auto"/>
          <w:kern w:val="0"/>
          <w:sz w:val="24"/>
          <w:szCs w:val="20"/>
          <w:highlight w:val="none"/>
        </w:rPr>
        <w:t xml:space="preserve">4. </w:t>
      </w:r>
      <w:r>
        <w:rPr>
          <w:rFonts w:hint="eastAsia" w:eastAsia="黑体"/>
          <w:color w:val="auto"/>
          <w:kern w:val="0"/>
          <w:sz w:val="24"/>
          <w:szCs w:val="20"/>
          <w:highlight w:val="none"/>
        </w:rPr>
        <w:t>招标文件的获取</w:t>
      </w:r>
      <w:bookmarkEnd w:id="35"/>
      <w:bookmarkEnd w:id="36"/>
      <w:bookmarkEnd w:id="37"/>
      <w:bookmarkEnd w:id="38"/>
      <w:bookmarkEnd w:id="39"/>
      <w:bookmarkEnd w:id="40"/>
      <w:bookmarkEnd w:id="41"/>
    </w:p>
    <w:p>
      <w:pPr>
        <w:tabs>
          <w:tab w:val="left" w:pos="360"/>
        </w:tabs>
        <w:spacing w:line="400" w:lineRule="exact"/>
        <w:ind w:firstLine="420" w:firstLineChars="200"/>
        <w:rPr>
          <w:rFonts w:hint="eastAsia"/>
          <w:color w:val="auto"/>
          <w:highlight w:val="none"/>
        </w:rPr>
      </w:pPr>
      <w:r>
        <w:rPr>
          <w:color w:val="auto"/>
          <w:highlight w:val="none"/>
        </w:rPr>
        <w:t>4.1</w:t>
      </w:r>
      <w:r>
        <w:rPr>
          <w:rFonts w:hint="eastAsia"/>
          <w:color w:val="auto"/>
          <w:highlight w:val="none"/>
        </w:rPr>
        <w:t>（</w:t>
      </w:r>
      <w:r>
        <w:rPr>
          <w:color w:val="auto"/>
          <w:highlight w:val="none"/>
        </w:rPr>
        <w:t>B</w:t>
      </w:r>
      <w:r>
        <w:rPr>
          <w:rFonts w:hint="eastAsia"/>
          <w:color w:val="auto"/>
          <w:highlight w:val="none"/>
        </w:rPr>
        <w:t>）</w:t>
      </w:r>
      <w:r>
        <w:rPr>
          <w:color w:val="auto"/>
          <w:highlight w:val="none"/>
        </w:rPr>
        <w:t xml:space="preserve"> </w:t>
      </w:r>
      <w:r>
        <w:rPr>
          <w:rFonts w:hint="eastAsia"/>
          <w:color w:val="auto"/>
          <w:szCs w:val="21"/>
          <w:highlight w:val="none"/>
        </w:rPr>
        <w:t>凡有意参加投标者，请于</w:t>
      </w:r>
      <w:r>
        <w:rPr>
          <w:color w:val="auto"/>
          <w:highlight w:val="none"/>
          <w:u w:val="single"/>
        </w:rPr>
        <w:t xml:space="preserve"> </w:t>
      </w:r>
      <w:r>
        <w:rPr>
          <w:rFonts w:hint="eastAsia"/>
          <w:color w:val="auto"/>
          <w:highlight w:val="none"/>
          <w:u w:val="single"/>
        </w:rPr>
        <w:t>202</w:t>
      </w:r>
      <w:r>
        <w:rPr>
          <w:rFonts w:hint="eastAsia"/>
          <w:color w:val="auto"/>
          <w:highlight w:val="none"/>
          <w:u w:val="single"/>
          <w:lang w:val="en-US" w:eastAsia="zh-CN"/>
        </w:rPr>
        <w:t>5</w:t>
      </w:r>
      <w:r>
        <w:rPr>
          <w:color w:val="auto"/>
          <w:highlight w:val="none"/>
          <w:u w:val="single"/>
        </w:rPr>
        <w:t xml:space="preserve"> </w:t>
      </w:r>
      <w:r>
        <w:rPr>
          <w:rFonts w:hint="eastAsia"/>
          <w:color w:val="auto"/>
          <w:szCs w:val="21"/>
          <w:highlight w:val="none"/>
        </w:rPr>
        <w:t>年</w:t>
      </w:r>
      <w:r>
        <w:rPr>
          <w:color w:val="auto"/>
          <w:highlight w:val="none"/>
          <w:u w:val="single"/>
        </w:rPr>
        <w:t xml:space="preserve">     </w:t>
      </w:r>
      <w:r>
        <w:rPr>
          <w:rFonts w:hint="eastAsia"/>
          <w:color w:val="auto"/>
          <w:highlight w:val="none"/>
          <w:u w:val="single"/>
        </w:rPr>
        <w:t xml:space="preserve"> </w:t>
      </w:r>
      <w:r>
        <w:rPr>
          <w:rFonts w:hint="eastAsia"/>
          <w:color w:val="auto"/>
          <w:szCs w:val="21"/>
          <w:highlight w:val="none"/>
        </w:rPr>
        <w:t>月</w:t>
      </w:r>
      <w:r>
        <w:rPr>
          <w:color w:val="auto"/>
          <w:highlight w:val="none"/>
          <w:u w:val="single"/>
        </w:rPr>
        <w:t xml:space="preserve">    </w:t>
      </w:r>
      <w:r>
        <w:rPr>
          <w:rFonts w:hint="eastAsia"/>
          <w:color w:val="auto"/>
          <w:highlight w:val="none"/>
          <w:u w:val="single"/>
        </w:rPr>
        <w:t xml:space="preserve"> </w:t>
      </w:r>
      <w:r>
        <w:rPr>
          <w:rFonts w:hint="eastAsia"/>
          <w:color w:val="auto"/>
          <w:szCs w:val="21"/>
          <w:highlight w:val="none"/>
        </w:rPr>
        <w:t>日</w:t>
      </w:r>
      <w:r>
        <w:rPr>
          <w:color w:val="auto"/>
          <w:highlight w:val="none"/>
          <w:u w:val="single"/>
        </w:rPr>
        <w:t xml:space="preserve">     </w:t>
      </w:r>
      <w:r>
        <w:rPr>
          <w:rFonts w:hint="eastAsia"/>
          <w:color w:val="auto"/>
          <w:highlight w:val="none"/>
          <w:u w:val="single"/>
        </w:rPr>
        <w:t xml:space="preserve">  </w:t>
      </w:r>
      <w:r>
        <w:rPr>
          <w:rFonts w:hint="eastAsia"/>
          <w:color w:val="auto"/>
          <w:szCs w:val="21"/>
          <w:highlight w:val="none"/>
        </w:rPr>
        <w:t>时</w:t>
      </w:r>
      <w:r>
        <w:rPr>
          <w:color w:val="auto"/>
          <w:highlight w:val="none"/>
          <w:u w:val="single"/>
        </w:rPr>
        <w:t xml:space="preserve">      </w:t>
      </w:r>
      <w:r>
        <w:rPr>
          <w:rFonts w:hint="eastAsia"/>
          <w:color w:val="auto"/>
          <w:szCs w:val="21"/>
          <w:highlight w:val="none"/>
        </w:rPr>
        <w:t>分至</w:t>
      </w:r>
      <w:r>
        <w:rPr>
          <w:color w:val="auto"/>
          <w:highlight w:val="none"/>
          <w:u w:val="single"/>
        </w:rPr>
        <w:t xml:space="preserve"> </w:t>
      </w:r>
      <w:r>
        <w:rPr>
          <w:rFonts w:hint="eastAsia"/>
          <w:color w:val="auto"/>
          <w:highlight w:val="none"/>
          <w:u w:val="single"/>
        </w:rPr>
        <w:t>202</w:t>
      </w:r>
      <w:r>
        <w:rPr>
          <w:rFonts w:hint="eastAsia"/>
          <w:color w:val="auto"/>
          <w:highlight w:val="none"/>
          <w:u w:val="single"/>
          <w:lang w:val="en-US" w:eastAsia="zh-CN"/>
        </w:rPr>
        <w:t>5</w:t>
      </w:r>
      <w:r>
        <w:rPr>
          <w:color w:val="auto"/>
          <w:highlight w:val="none"/>
          <w:u w:val="single"/>
        </w:rPr>
        <w:t xml:space="preserve"> </w:t>
      </w:r>
      <w:r>
        <w:rPr>
          <w:rFonts w:hint="eastAsia"/>
          <w:color w:val="auto"/>
          <w:szCs w:val="21"/>
          <w:highlight w:val="none"/>
        </w:rPr>
        <w:t>年</w:t>
      </w:r>
      <w:r>
        <w:rPr>
          <w:color w:val="auto"/>
          <w:highlight w:val="none"/>
          <w:u w:val="single"/>
        </w:rPr>
        <w:t xml:space="preserve">      </w:t>
      </w:r>
      <w:r>
        <w:rPr>
          <w:rFonts w:hint="eastAsia"/>
          <w:color w:val="auto"/>
          <w:szCs w:val="21"/>
          <w:highlight w:val="none"/>
        </w:rPr>
        <w:t>月</w:t>
      </w:r>
      <w:r>
        <w:rPr>
          <w:color w:val="auto"/>
          <w:highlight w:val="none"/>
          <w:u w:val="single"/>
        </w:rPr>
        <w:t xml:space="preserve">       </w:t>
      </w:r>
      <w:r>
        <w:rPr>
          <w:rFonts w:hint="eastAsia"/>
          <w:color w:val="auto"/>
          <w:szCs w:val="21"/>
          <w:highlight w:val="none"/>
        </w:rPr>
        <w:t>日</w:t>
      </w:r>
      <w:r>
        <w:rPr>
          <w:color w:val="auto"/>
          <w:highlight w:val="none"/>
          <w:u w:val="single"/>
        </w:rPr>
        <w:t xml:space="preserve">       </w:t>
      </w:r>
      <w:r>
        <w:rPr>
          <w:rFonts w:hint="eastAsia"/>
          <w:color w:val="auto"/>
          <w:szCs w:val="21"/>
          <w:highlight w:val="none"/>
        </w:rPr>
        <w:t>时</w:t>
      </w:r>
      <w:r>
        <w:rPr>
          <w:color w:val="auto"/>
          <w:highlight w:val="none"/>
          <w:u w:val="single"/>
        </w:rPr>
        <w:t xml:space="preserve">      </w:t>
      </w:r>
      <w:r>
        <w:rPr>
          <w:rFonts w:hint="eastAsia"/>
          <w:color w:val="auto"/>
          <w:szCs w:val="21"/>
          <w:highlight w:val="none"/>
        </w:rPr>
        <w:t>分</w:t>
      </w:r>
      <w:r>
        <w:rPr>
          <w:color w:val="auto"/>
          <w:highlight w:val="none"/>
        </w:rPr>
        <w:t>(</w:t>
      </w:r>
      <w:r>
        <w:rPr>
          <w:rFonts w:hint="eastAsia"/>
          <w:color w:val="auto"/>
          <w:highlight w:val="none"/>
        </w:rPr>
        <w:t>北京时间，下同</w:t>
      </w:r>
      <w:r>
        <w:rPr>
          <w:color w:val="auto"/>
          <w:highlight w:val="none"/>
        </w:rPr>
        <w:t>)</w:t>
      </w:r>
      <w:r>
        <w:rPr>
          <w:rFonts w:hint="eastAsia"/>
          <w:color w:val="auto"/>
          <w:szCs w:val="21"/>
          <w:highlight w:val="none"/>
        </w:rPr>
        <w:t>，</w:t>
      </w:r>
      <w:r>
        <w:rPr>
          <w:rFonts w:hint="eastAsia"/>
          <w:color w:val="auto"/>
          <w:highlight w:val="none"/>
        </w:rPr>
        <w:t>登录</w:t>
      </w:r>
      <w:r>
        <w:rPr>
          <w:color w:val="auto"/>
          <w:highlight w:val="none"/>
        </w:rPr>
        <w:t>广州公共资源交易中心网站（http://www.gzggzy.cn/）</w:t>
      </w:r>
      <w:r>
        <w:rPr>
          <w:rFonts w:hint="eastAsia"/>
          <w:color w:val="auto"/>
          <w:highlight w:val="none"/>
        </w:rPr>
        <w:t>下载电子招标文件。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应在递交投标文件截止时间前登录广州公共资源交易中心数字交易平台（http//www.gzggzy.cn）办理网上投标登记手续。按照交易平台关于全流程电子化项目的相关指南进行操作。详见：广州公共资源交易中心网站指引。</w:t>
      </w:r>
    </w:p>
    <w:p>
      <w:pPr>
        <w:spacing w:line="400" w:lineRule="exact"/>
        <w:ind w:firstLine="420" w:firstLineChars="200"/>
        <w:rPr>
          <w:i/>
          <w:color w:val="auto"/>
          <w:highlight w:val="none"/>
        </w:rPr>
      </w:pPr>
      <w:r>
        <w:rPr>
          <w:color w:val="auto"/>
          <w:highlight w:val="none"/>
        </w:rPr>
        <w:t>4.</w:t>
      </w:r>
      <w:r>
        <w:rPr>
          <w:rFonts w:hint="eastAsia"/>
          <w:color w:val="auto"/>
          <w:highlight w:val="none"/>
        </w:rPr>
        <w:t>2本项目采用</w:t>
      </w:r>
      <w:r>
        <w:rPr>
          <w:rFonts w:hint="eastAsia"/>
          <w:color w:val="auto"/>
          <w:highlight w:val="none"/>
          <w:u w:val="single"/>
        </w:rPr>
        <w:t>资格后审</w:t>
      </w:r>
      <w:r>
        <w:rPr>
          <w:rFonts w:hint="eastAsia"/>
          <w:color w:val="auto"/>
          <w:highlight w:val="none"/>
        </w:rPr>
        <w:t>方式。</w:t>
      </w:r>
    </w:p>
    <w:p>
      <w:pPr>
        <w:spacing w:line="400" w:lineRule="exact"/>
        <w:ind w:firstLine="420" w:firstLineChars="200"/>
        <w:rPr>
          <w:rFonts w:hint="eastAsia"/>
          <w:color w:val="auto"/>
          <w:highlight w:val="none"/>
        </w:rPr>
      </w:pPr>
      <w:r>
        <w:rPr>
          <w:color w:val="auto"/>
          <w:highlight w:val="none"/>
        </w:rPr>
        <w:t>4.</w:t>
      </w:r>
      <w:r>
        <w:rPr>
          <w:rFonts w:hint="eastAsia"/>
          <w:color w:val="auto"/>
          <w:highlight w:val="none"/>
        </w:rPr>
        <w:t>3招标失败的情况</w:t>
      </w:r>
    </w:p>
    <w:p>
      <w:pPr>
        <w:spacing w:line="400" w:lineRule="exact"/>
        <w:ind w:firstLine="420" w:firstLineChars="200"/>
        <w:rPr>
          <w:rFonts w:hint="eastAsia" w:ascii="宋体" w:hAnsi="宋体" w:cs="宋体"/>
          <w:color w:val="auto"/>
          <w:highlight w:val="none"/>
        </w:rPr>
      </w:pPr>
      <w:r>
        <w:rPr>
          <w:rFonts w:hint="eastAsia"/>
          <w:color w:val="auto"/>
          <w:highlight w:val="none"/>
        </w:rPr>
        <w:t>4.3.1</w:t>
      </w:r>
      <w:r>
        <w:rPr>
          <w:rFonts w:hint="eastAsia" w:ascii="宋体" w:hAnsi="宋体" w:cs="宋体"/>
          <w:color w:val="auto"/>
          <w:highlight w:val="none"/>
        </w:rPr>
        <w:t>若本标段通过资格审查的投标人不足3名或经评审有效的投标人不足3名时为招标失败。招标人分析招标失败原因，修正招标方案，重新组织招标。</w:t>
      </w:r>
    </w:p>
    <w:p>
      <w:pPr>
        <w:spacing w:line="400" w:lineRule="exact"/>
        <w:ind w:firstLine="420" w:firstLineChars="200"/>
        <w:rPr>
          <w:color w:val="auto"/>
          <w:highlight w:val="none"/>
          <w:u w:val="single"/>
        </w:rPr>
      </w:pPr>
      <w:r>
        <w:rPr>
          <w:rFonts w:hint="eastAsia"/>
          <w:color w:val="auto"/>
          <w:highlight w:val="none"/>
        </w:rPr>
        <w:t>4.3.2</w:t>
      </w:r>
      <w:r>
        <w:rPr>
          <w:rFonts w:hint="eastAsia"/>
          <w:color w:val="auto"/>
          <w:highlight w:val="none"/>
          <w:u w:val="single"/>
        </w:rPr>
        <w:t>招标人因两次或多次招标失败，需申请改变招标方式或不招标的，应按《东莞市建设工程招标投标管理办法》（东府【2022】28号）相关规定执行。</w:t>
      </w:r>
    </w:p>
    <w:p>
      <w:pPr>
        <w:keepNext/>
        <w:keepLines/>
        <w:adjustRightInd w:val="0"/>
        <w:spacing w:before="240" w:after="120"/>
        <w:textAlignment w:val="baseline"/>
        <w:outlineLvl w:val="1"/>
        <w:rPr>
          <w:rFonts w:eastAsia="黑体"/>
          <w:color w:val="auto"/>
          <w:kern w:val="0"/>
          <w:sz w:val="24"/>
          <w:szCs w:val="20"/>
          <w:highlight w:val="none"/>
        </w:rPr>
      </w:pPr>
      <w:bookmarkStart w:id="42" w:name="_Toc29601"/>
      <w:bookmarkStart w:id="43" w:name="_Toc25653"/>
      <w:bookmarkStart w:id="44" w:name="_Toc7778"/>
      <w:bookmarkStart w:id="45" w:name="_Toc13828"/>
      <w:bookmarkStart w:id="46" w:name="_Toc15983"/>
      <w:bookmarkStart w:id="47" w:name="_Toc156398317"/>
      <w:bookmarkStart w:id="48" w:name="_Toc6074"/>
      <w:r>
        <w:rPr>
          <w:rFonts w:eastAsia="黑体"/>
          <w:color w:val="auto"/>
          <w:kern w:val="0"/>
          <w:sz w:val="24"/>
          <w:szCs w:val="20"/>
          <w:highlight w:val="none"/>
        </w:rPr>
        <w:t xml:space="preserve">5. </w:t>
      </w:r>
      <w:r>
        <w:rPr>
          <w:rFonts w:hint="eastAsia" w:eastAsia="黑体"/>
          <w:color w:val="auto"/>
          <w:kern w:val="0"/>
          <w:sz w:val="24"/>
          <w:szCs w:val="20"/>
          <w:highlight w:val="none"/>
        </w:rPr>
        <w:t>投标文件的递交</w:t>
      </w:r>
      <w:bookmarkEnd w:id="42"/>
      <w:bookmarkEnd w:id="43"/>
      <w:bookmarkEnd w:id="44"/>
      <w:bookmarkEnd w:id="45"/>
      <w:bookmarkEnd w:id="46"/>
      <w:bookmarkEnd w:id="47"/>
      <w:bookmarkEnd w:id="48"/>
    </w:p>
    <w:p>
      <w:pPr>
        <w:tabs>
          <w:tab w:val="left" w:pos="360"/>
        </w:tabs>
        <w:spacing w:line="400" w:lineRule="exact"/>
        <w:ind w:firstLine="420" w:firstLineChars="200"/>
        <w:rPr>
          <w:color w:val="auto"/>
          <w:highlight w:val="none"/>
        </w:rPr>
      </w:pPr>
      <w:r>
        <w:rPr>
          <w:color w:val="auto"/>
          <w:highlight w:val="none"/>
        </w:rPr>
        <w:t>5.1</w:t>
      </w:r>
      <w:r>
        <w:rPr>
          <w:rFonts w:hint="eastAsia"/>
          <w:color w:val="auto"/>
          <w:highlight w:val="none"/>
        </w:rPr>
        <w:t>（</w:t>
      </w:r>
      <w:r>
        <w:rPr>
          <w:color w:val="auto"/>
          <w:highlight w:val="none"/>
        </w:rPr>
        <w:t>B</w:t>
      </w:r>
      <w:r>
        <w:rPr>
          <w:rFonts w:hint="eastAsia"/>
          <w:color w:val="auto"/>
          <w:highlight w:val="none"/>
        </w:rPr>
        <w:t>）投标文件递交的截止时间（投标截止时间，下同）为</w:t>
      </w:r>
      <w:r>
        <w:rPr>
          <w:color w:val="auto"/>
          <w:highlight w:val="none"/>
          <w:u w:val="single"/>
        </w:rPr>
        <w:t xml:space="preserve"> </w:t>
      </w:r>
      <w:r>
        <w:rPr>
          <w:rFonts w:hint="eastAsia"/>
          <w:color w:val="auto"/>
          <w:highlight w:val="none"/>
          <w:u w:val="single"/>
        </w:rPr>
        <w:t>202</w:t>
      </w:r>
      <w:r>
        <w:rPr>
          <w:rFonts w:hint="eastAsia"/>
          <w:color w:val="auto"/>
          <w:highlight w:val="none"/>
          <w:u w:val="single"/>
          <w:lang w:val="en-US" w:eastAsia="zh-CN"/>
        </w:rPr>
        <w:t>5</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r>
        <w:rPr>
          <w:color w:val="auto"/>
          <w:highlight w:val="none"/>
          <w:u w:val="single"/>
        </w:rPr>
        <w:t xml:space="preserve">    </w:t>
      </w:r>
      <w:r>
        <w:rPr>
          <w:rFonts w:hint="eastAsia"/>
          <w:color w:val="auto"/>
          <w:highlight w:val="none"/>
        </w:rPr>
        <w:t>时</w:t>
      </w:r>
      <w:r>
        <w:rPr>
          <w:color w:val="auto"/>
          <w:highlight w:val="none"/>
          <w:u w:val="single"/>
        </w:rPr>
        <w:t xml:space="preserve">    </w:t>
      </w:r>
      <w:r>
        <w:rPr>
          <w:rFonts w:hint="eastAsia"/>
          <w:color w:val="auto"/>
          <w:highlight w:val="none"/>
        </w:rPr>
        <w:t>分，投标人应在截止时间前登录</w:t>
      </w:r>
      <w:r>
        <w:rPr>
          <w:rFonts w:hint="eastAsia"/>
          <w:color w:val="auto"/>
          <w:highlight w:val="none"/>
          <w:u w:val="single"/>
        </w:rPr>
        <w:t>广州公共资源交易中心</w:t>
      </w:r>
      <w:r>
        <w:rPr>
          <w:rFonts w:hint="eastAsia"/>
          <w:iCs/>
          <w:color w:val="auto"/>
          <w:highlight w:val="none"/>
          <w:u w:val="single"/>
        </w:rPr>
        <w:t>网站</w:t>
      </w:r>
      <w:r>
        <w:rPr>
          <w:rFonts w:hint="eastAsia"/>
          <w:color w:val="auto"/>
          <w:highlight w:val="none"/>
        </w:rPr>
        <w:t>通过</w:t>
      </w:r>
      <w:r>
        <w:rPr>
          <w:rFonts w:hint="eastAsia"/>
          <w:color w:val="auto"/>
          <w:highlight w:val="none"/>
          <w:u w:val="single"/>
        </w:rPr>
        <w:t>广州公共资源交易中心电子招标投标系统</w:t>
      </w:r>
      <w:r>
        <w:rPr>
          <w:rFonts w:hint="eastAsia"/>
          <w:color w:val="auto"/>
          <w:highlight w:val="none"/>
        </w:rPr>
        <w:t>递交电子投标文件。</w:t>
      </w:r>
    </w:p>
    <w:p>
      <w:pPr>
        <w:tabs>
          <w:tab w:val="left" w:pos="360"/>
        </w:tabs>
        <w:spacing w:line="400" w:lineRule="exact"/>
        <w:ind w:firstLine="435"/>
        <w:rPr>
          <w:color w:val="auto"/>
          <w:highlight w:val="none"/>
          <w:u w:val="single"/>
        </w:rPr>
      </w:pPr>
      <w:r>
        <w:rPr>
          <w:rFonts w:hint="eastAsia"/>
          <w:color w:val="auto"/>
          <w:highlight w:val="none"/>
        </w:rPr>
        <w:t>投标文件备用光盘递交时间：</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    月    日   时   分至 202</w:t>
      </w:r>
      <w:r>
        <w:rPr>
          <w:rFonts w:hint="eastAsia"/>
          <w:color w:val="auto"/>
          <w:highlight w:val="none"/>
          <w:u w:val="single"/>
          <w:lang w:val="en-US" w:eastAsia="zh-CN"/>
        </w:rPr>
        <w:t>5</w:t>
      </w:r>
      <w:r>
        <w:rPr>
          <w:rFonts w:hint="eastAsia"/>
          <w:color w:val="auto"/>
          <w:highlight w:val="none"/>
          <w:u w:val="single"/>
        </w:rPr>
        <w:t>年    月    日   时   分（备注：填写时间为投标截止前15分钟开始递交至投标截止时间止</w:t>
      </w:r>
    </w:p>
    <w:p>
      <w:pPr>
        <w:tabs>
          <w:tab w:val="left" w:pos="360"/>
        </w:tabs>
        <w:spacing w:line="400" w:lineRule="exact"/>
        <w:ind w:firstLine="435"/>
        <w:rPr>
          <w:color w:val="auto"/>
          <w:highlight w:val="none"/>
          <w:u w:val="single"/>
        </w:rPr>
      </w:pPr>
      <w:r>
        <w:rPr>
          <w:rFonts w:hint="eastAsia"/>
          <w:color w:val="auto"/>
          <w:highlight w:val="none"/>
        </w:rPr>
        <w:t>投标文件备用光盘递交地点：</w:t>
      </w:r>
      <w:r>
        <w:rPr>
          <w:rFonts w:hint="eastAsia"/>
          <w:color w:val="auto"/>
          <w:highlight w:val="none"/>
          <w:u w:val="single"/>
        </w:rPr>
        <w:t>广州公共资源交易中心   开标室</w:t>
      </w:r>
    </w:p>
    <w:p>
      <w:pPr>
        <w:spacing w:line="400" w:lineRule="exact"/>
        <w:ind w:firstLine="420" w:firstLineChars="200"/>
        <w:jc w:val="left"/>
        <w:rPr>
          <w:color w:val="auto"/>
          <w:highlight w:val="none"/>
        </w:rPr>
      </w:pPr>
      <w:r>
        <w:rPr>
          <w:color w:val="auto"/>
          <w:highlight w:val="none"/>
        </w:rPr>
        <w:t>5.2</w:t>
      </w:r>
      <w:r>
        <w:rPr>
          <w:rFonts w:hint="eastAsia"/>
          <w:color w:val="auto"/>
          <w:highlight w:val="none"/>
        </w:rPr>
        <w:t>（</w:t>
      </w:r>
      <w:r>
        <w:rPr>
          <w:color w:val="auto"/>
          <w:highlight w:val="none"/>
        </w:rPr>
        <w:t>B</w:t>
      </w:r>
      <w:r>
        <w:rPr>
          <w:rFonts w:hint="eastAsia"/>
          <w:color w:val="auto"/>
          <w:highlight w:val="none"/>
        </w:rPr>
        <w:t>）逾期送达的投标文件，电子招标投标交易平台将予以拒收。采取电子投标时，逾期未上传成功的电子投标文件，招标人拒绝接收。</w:t>
      </w:r>
    </w:p>
    <w:p>
      <w:pPr>
        <w:spacing w:line="400" w:lineRule="exact"/>
        <w:ind w:firstLine="420" w:firstLineChars="200"/>
        <w:jc w:val="left"/>
        <w:rPr>
          <w:color w:val="auto"/>
          <w:highlight w:val="none"/>
        </w:rPr>
      </w:pPr>
      <w:r>
        <w:rPr>
          <w:color w:val="auto"/>
          <w:highlight w:val="none"/>
        </w:rPr>
        <w:t>5.3</w:t>
      </w:r>
      <w:r>
        <w:rPr>
          <w:rFonts w:hint="eastAsia"/>
          <w:color w:val="auto"/>
          <w:highlight w:val="none"/>
        </w:rPr>
        <w:t>（</w:t>
      </w:r>
      <w:r>
        <w:rPr>
          <w:color w:val="auto"/>
          <w:highlight w:val="none"/>
        </w:rPr>
        <w:t>B</w:t>
      </w:r>
      <w:r>
        <w:rPr>
          <w:rFonts w:hint="eastAsia"/>
          <w:color w:val="auto"/>
          <w:highlight w:val="none"/>
        </w:rPr>
        <w:t>）投标人完成电子投标上传后，电子招标投标交易平台即时向投标人发出递交回执通知。递交时间以递交回执通知载明的传输时间为准。</w:t>
      </w:r>
    </w:p>
    <w:p>
      <w:pPr>
        <w:keepNext/>
        <w:keepLines/>
        <w:adjustRightInd w:val="0"/>
        <w:spacing w:before="240" w:after="120"/>
        <w:textAlignment w:val="baseline"/>
        <w:outlineLvl w:val="1"/>
        <w:rPr>
          <w:rFonts w:eastAsia="黑体"/>
          <w:color w:val="auto"/>
          <w:kern w:val="0"/>
          <w:sz w:val="24"/>
          <w:szCs w:val="20"/>
          <w:highlight w:val="none"/>
        </w:rPr>
      </w:pPr>
      <w:bookmarkStart w:id="49" w:name="_Toc3241"/>
      <w:bookmarkStart w:id="50" w:name="_Toc24466"/>
      <w:bookmarkStart w:id="51" w:name="_Toc26649"/>
      <w:bookmarkStart w:id="52" w:name="_Toc32136"/>
      <w:bookmarkStart w:id="53" w:name="_Toc2217"/>
      <w:bookmarkStart w:id="54" w:name="_Toc11622"/>
      <w:bookmarkStart w:id="55" w:name="_Toc156398318"/>
      <w:r>
        <w:rPr>
          <w:rFonts w:eastAsia="黑体"/>
          <w:color w:val="auto"/>
          <w:kern w:val="0"/>
          <w:sz w:val="24"/>
          <w:szCs w:val="20"/>
          <w:highlight w:val="none"/>
        </w:rPr>
        <w:t xml:space="preserve">6. </w:t>
      </w:r>
      <w:r>
        <w:rPr>
          <w:rFonts w:hint="eastAsia" w:eastAsia="黑体"/>
          <w:color w:val="auto"/>
          <w:kern w:val="0"/>
          <w:sz w:val="24"/>
          <w:szCs w:val="20"/>
          <w:highlight w:val="none"/>
        </w:rPr>
        <w:t>发布公告的媒介</w:t>
      </w:r>
      <w:bookmarkEnd w:id="49"/>
      <w:bookmarkEnd w:id="50"/>
      <w:bookmarkEnd w:id="51"/>
      <w:bookmarkEnd w:id="52"/>
      <w:bookmarkEnd w:id="53"/>
      <w:bookmarkEnd w:id="54"/>
      <w:bookmarkEnd w:id="55"/>
    </w:p>
    <w:p>
      <w:pPr>
        <w:spacing w:line="400" w:lineRule="exact"/>
        <w:ind w:firstLine="420" w:firstLineChars="200"/>
        <w:rPr>
          <w:color w:val="auto"/>
          <w:highlight w:val="none"/>
        </w:rPr>
      </w:pPr>
      <w:r>
        <w:rPr>
          <w:rFonts w:hint="eastAsia"/>
          <w:color w:val="auto"/>
          <w:highlight w:val="none"/>
        </w:rPr>
        <w:t>本次招标公告同时在广州公共资源交易网（网址：http://www.gzggzy.cn）、中国招标投标公共服务平台（网址：http://www.cebpubservice.com/）、广东省招标投标监管网(网址：http://zbtb.gd.gov.cn)、</w:t>
      </w:r>
      <w:r>
        <w:rPr>
          <w:rFonts w:hint="eastAsia" w:ascii="宋体" w:hAnsi="宋体"/>
          <w:color w:val="auto"/>
          <w:highlight w:val="none"/>
        </w:rPr>
        <w:t>全国公共资源交易平台（广东省·东莞市）</w:t>
      </w:r>
      <w:r>
        <w:rPr>
          <w:rFonts w:hint="eastAsia"/>
          <w:color w:val="auto"/>
          <w:highlight w:val="none"/>
        </w:rPr>
        <w:t>（网址：https://ygp.gdzwfw.gov.cn/#/441900/index）和东莞市轨道交通有限公司官网（网址：</w:t>
      </w:r>
      <w:r>
        <w:rPr>
          <w:color w:val="auto"/>
          <w:highlight w:val="none"/>
        </w:rPr>
        <w:t>http://www.dggdjt.com/</w:t>
      </w:r>
      <w:r>
        <w:rPr>
          <w:rFonts w:hint="eastAsia"/>
          <w:color w:val="auto"/>
          <w:highlight w:val="none"/>
        </w:rPr>
        <w:t>)上发布。本公告的修改、补充，在广州公共资源交易网发布。</w:t>
      </w:r>
    </w:p>
    <w:p>
      <w:pPr>
        <w:spacing w:line="400" w:lineRule="exact"/>
        <w:ind w:firstLine="420" w:firstLineChars="200"/>
        <w:rPr>
          <w:color w:val="auto"/>
          <w:highlight w:val="none"/>
        </w:rPr>
      </w:pPr>
      <w:r>
        <w:rPr>
          <w:rFonts w:hint="eastAsia"/>
          <w:color w:val="auto"/>
          <w:highlight w:val="none"/>
        </w:rPr>
        <w:t>发布招标公告开始日期（含本日）为：</w:t>
      </w:r>
    </w:p>
    <w:p>
      <w:pPr>
        <w:spacing w:line="400" w:lineRule="exact"/>
        <w:ind w:firstLine="420" w:firstLineChars="200"/>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p>
      <w:pPr>
        <w:spacing w:line="400" w:lineRule="exact"/>
        <w:ind w:firstLine="420" w:firstLineChars="200"/>
        <w:rPr>
          <w:color w:val="auto"/>
          <w:highlight w:val="none"/>
        </w:rPr>
      </w:pPr>
      <w:r>
        <w:rPr>
          <w:rFonts w:hint="eastAsia"/>
          <w:color w:val="auto"/>
          <w:highlight w:val="none"/>
        </w:rPr>
        <w:t>发布招标公告截止日期（含本日）为：</w:t>
      </w:r>
    </w:p>
    <w:p>
      <w:pPr>
        <w:spacing w:line="400" w:lineRule="exact"/>
        <w:ind w:firstLine="420" w:firstLineChars="200"/>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p>
      <w:pPr>
        <w:spacing w:line="400" w:lineRule="exact"/>
        <w:ind w:firstLine="420" w:firstLineChars="200"/>
        <w:rPr>
          <w:color w:val="auto"/>
          <w:highlight w:val="none"/>
        </w:rPr>
      </w:pPr>
      <w:r>
        <w:rPr>
          <w:rFonts w:hint="eastAsia"/>
          <w:color w:val="auto"/>
          <w:highlight w:val="none"/>
        </w:rPr>
        <w:t>注：招标公告发布时间不得少于</w:t>
      </w:r>
      <w:r>
        <w:rPr>
          <w:color w:val="auto"/>
          <w:highlight w:val="none"/>
        </w:rPr>
        <w:t>5</w:t>
      </w:r>
      <w:r>
        <w:rPr>
          <w:rFonts w:hint="eastAsia"/>
          <w:color w:val="auto"/>
          <w:highlight w:val="none"/>
        </w:rPr>
        <w:t>日。</w:t>
      </w:r>
    </w:p>
    <w:p>
      <w:pPr>
        <w:keepNext/>
        <w:keepLines/>
        <w:adjustRightInd w:val="0"/>
        <w:spacing w:before="240" w:after="120"/>
        <w:textAlignment w:val="baseline"/>
        <w:outlineLvl w:val="1"/>
        <w:rPr>
          <w:rFonts w:eastAsia="黑体"/>
          <w:color w:val="auto"/>
          <w:kern w:val="0"/>
          <w:sz w:val="24"/>
          <w:szCs w:val="20"/>
          <w:highlight w:val="none"/>
        </w:rPr>
      </w:pPr>
      <w:bookmarkStart w:id="56" w:name="_Toc12930"/>
      <w:bookmarkStart w:id="57" w:name="_Toc19726"/>
      <w:bookmarkStart w:id="58" w:name="_Toc23020"/>
      <w:bookmarkStart w:id="59" w:name="_Toc156398319"/>
      <w:bookmarkStart w:id="60" w:name="_Toc25685"/>
      <w:bookmarkStart w:id="61" w:name="_Toc11850"/>
      <w:bookmarkStart w:id="62" w:name="_Toc14925"/>
      <w:r>
        <w:rPr>
          <w:rFonts w:eastAsia="黑体"/>
          <w:color w:val="auto"/>
          <w:kern w:val="0"/>
          <w:sz w:val="24"/>
          <w:szCs w:val="20"/>
          <w:highlight w:val="none"/>
        </w:rPr>
        <w:t xml:space="preserve">7. </w:t>
      </w:r>
      <w:r>
        <w:rPr>
          <w:rFonts w:hint="eastAsia" w:eastAsia="黑体"/>
          <w:color w:val="auto"/>
          <w:kern w:val="0"/>
          <w:sz w:val="24"/>
          <w:szCs w:val="20"/>
          <w:highlight w:val="none"/>
        </w:rPr>
        <w:t>联系方式</w:t>
      </w:r>
      <w:bookmarkEnd w:id="56"/>
      <w:bookmarkEnd w:id="57"/>
      <w:bookmarkEnd w:id="58"/>
      <w:bookmarkEnd w:id="59"/>
      <w:bookmarkEnd w:id="60"/>
      <w:bookmarkEnd w:id="61"/>
      <w:bookmarkEnd w:id="62"/>
    </w:p>
    <w:p>
      <w:pPr>
        <w:topLinePunct/>
        <w:spacing w:line="400" w:lineRule="exact"/>
        <w:ind w:firstLine="420" w:firstLineChars="200"/>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rPr>
        <w:t>招 标 人：</w:t>
      </w:r>
      <w:r>
        <w:rPr>
          <w:rFonts w:hint="eastAsia" w:ascii="宋体" w:hAnsi="宋体" w:cs="宋体"/>
          <w:color w:val="auto"/>
          <w:szCs w:val="21"/>
          <w:highlight w:val="none"/>
          <w:u w:val="single"/>
        </w:rPr>
        <w:t xml:space="preserve">东莞市轨道交通有限公司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招标代理机构：</w:t>
      </w:r>
      <w:r>
        <w:rPr>
          <w:rFonts w:hint="eastAsia" w:ascii="宋体" w:hAnsi="宋体" w:cs="宋体"/>
          <w:color w:val="auto"/>
          <w:szCs w:val="21"/>
          <w:highlight w:val="none"/>
          <w:u w:val="single"/>
          <w:lang w:val="en-US" w:eastAsia="zh-CN"/>
        </w:rPr>
        <w:t>国义招标股份有限公司</w:t>
      </w:r>
    </w:p>
    <w:p>
      <w:pPr>
        <w:topLinePunct/>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东莞市南城区东莞大道116号</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s="宋体"/>
          <w:color w:val="auto"/>
          <w:szCs w:val="21"/>
          <w:highlight w:val="none"/>
          <w:u w:val="single"/>
          <w:lang w:val="en-US" w:eastAsia="zh-CN"/>
        </w:rPr>
        <w:t>广州市越秀区东风东路726号</w:t>
      </w:r>
    </w:p>
    <w:p>
      <w:pPr>
        <w:topLinePunct/>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邮    编：</w:t>
      </w:r>
      <w:r>
        <w:rPr>
          <w:rFonts w:hint="eastAsia" w:ascii="宋体" w:hAnsi="宋体" w:cs="宋体"/>
          <w:color w:val="auto"/>
          <w:szCs w:val="21"/>
          <w:highlight w:val="none"/>
          <w:u w:val="single"/>
        </w:rPr>
        <w:t xml:space="preserve">523000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邮    编：</w:t>
      </w:r>
      <w:r>
        <w:rPr>
          <w:rFonts w:hint="eastAsia" w:ascii="宋体" w:hAnsi="宋体" w:cs="宋体"/>
          <w:color w:val="auto"/>
          <w:szCs w:val="21"/>
          <w:highlight w:val="none"/>
          <w:u w:val="single"/>
          <w:lang w:val="en-US" w:eastAsia="zh-CN"/>
        </w:rPr>
        <w:t>510010</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lang w:val="en-US" w:eastAsia="zh-CN"/>
        </w:rPr>
        <w:t xml:space="preserve"> 林工、谭工      </w:t>
      </w:r>
      <w:r>
        <w:rPr>
          <w:rFonts w:hint="eastAsia" w:ascii="宋体" w:hAnsi="宋体" w:cs="宋体"/>
          <w:color w:val="auto"/>
          <w:szCs w:val="21"/>
          <w:highlight w:val="none"/>
          <w:u w:val="single"/>
        </w:rPr>
        <w:t xml:space="preserve">     </w:t>
      </w:r>
      <w:r>
        <w:rPr>
          <w:rFonts w:hint="eastAsia" w:ascii="黑体" w:hAnsi="黑体" w:eastAsia="黑体"/>
          <w:color w:val="auto"/>
          <w:sz w:val="24"/>
          <w:highlight w:val="none"/>
          <w:u w:val="single"/>
        </w:rPr>
        <w:t xml:space="preserve">     </w:t>
      </w:r>
      <w:r>
        <w:rPr>
          <w:rFonts w:ascii="黑体" w:hAnsi="黑体" w:eastAsia="黑体"/>
          <w:color w:val="auto"/>
          <w:sz w:val="24"/>
          <w:highlight w:val="none"/>
        </w:rPr>
        <w:t xml:space="preserve">  </w:t>
      </w:r>
      <w:r>
        <w:rPr>
          <w:rFonts w:hint="eastAsia" w:ascii="宋体" w:hAnsi="宋体" w:cs="宋体"/>
          <w:color w:val="auto"/>
          <w:szCs w:val="21"/>
          <w:highlight w:val="none"/>
        </w:rPr>
        <w:t>联 系 人：</w:t>
      </w:r>
      <w:r>
        <w:rPr>
          <w:rFonts w:hint="eastAsia" w:ascii="宋体" w:hAnsi="宋体" w:cs="宋体"/>
          <w:color w:val="auto"/>
          <w:szCs w:val="21"/>
          <w:highlight w:val="none"/>
          <w:u w:val="single"/>
          <w:lang w:val="en-US" w:eastAsia="zh-CN"/>
        </w:rPr>
        <w:t>张工、赵工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topLinePunct/>
        <w:spacing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0769-</w:t>
      </w:r>
      <w:r>
        <w:rPr>
          <w:rFonts w:hint="eastAsia" w:ascii="宋体" w:hAnsi="宋体" w:cs="宋体"/>
          <w:color w:val="auto"/>
          <w:szCs w:val="21"/>
          <w:highlight w:val="none"/>
          <w:u w:val="single"/>
          <w:lang w:val="en-US" w:eastAsia="zh-CN"/>
        </w:rPr>
        <w:t xml:space="preserve">28639848、28639803     </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lang w:val="en-US" w:eastAsia="zh-CN"/>
        </w:rPr>
        <w:t>020-37860742、</w:t>
      </w:r>
      <w:r>
        <w:rPr>
          <w:rFonts w:hint="eastAsia" w:ascii="宋体" w:hAnsi="宋体"/>
          <w:color w:val="auto"/>
          <w:szCs w:val="21"/>
          <w:highlight w:val="none"/>
          <w:u w:val="single"/>
          <w:lang w:val="en-US" w:eastAsia="zh-CN"/>
        </w:rPr>
        <w:t>37861031</w:t>
      </w:r>
    </w:p>
    <w:p>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lang w:val="en-US" w:eastAsia="zh-CN"/>
        </w:rPr>
        <w:t>020-87768198</w:t>
      </w:r>
      <w:r>
        <w:rPr>
          <w:rFonts w:ascii="宋体" w:hAnsi="宋体" w:cs="宋体"/>
          <w:color w:val="auto"/>
          <w:szCs w:val="21"/>
          <w:highlight w:val="none"/>
          <w:u w:val="single"/>
        </w:rPr>
        <w:t xml:space="preserve"> </w:t>
      </w:r>
    </w:p>
    <w:p>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电子邮件：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电子邮件：</w:t>
      </w:r>
      <w:r>
        <w:rPr>
          <w:rFonts w:hint="eastAsia" w:ascii="宋体" w:hAnsi="宋体" w:cs="宋体"/>
          <w:color w:val="auto"/>
          <w:szCs w:val="21"/>
          <w:highlight w:val="none"/>
          <w:u w:val="single"/>
          <w:lang w:val="en-US" w:eastAsia="zh-CN"/>
        </w:rPr>
        <w:t>zhangting@ebidding.com</w:t>
      </w:r>
      <w:r>
        <w:rPr>
          <w:rFonts w:ascii="宋体" w:hAnsi="宋体" w:cs="宋体"/>
          <w:color w:val="auto"/>
          <w:szCs w:val="21"/>
          <w:highlight w:val="none"/>
          <w:u w:val="single"/>
        </w:rPr>
        <w:t xml:space="preserve"> </w:t>
      </w:r>
    </w:p>
    <w:p>
      <w:pPr>
        <w:spacing w:line="400" w:lineRule="exact"/>
        <w:rPr>
          <w:rFonts w:eastAsia="黑体"/>
          <w:color w:val="auto"/>
          <w:sz w:val="28"/>
          <w:highlight w:val="none"/>
          <w:u w:val="single"/>
        </w:rPr>
      </w:pPr>
    </w:p>
    <w:p>
      <w:pPr>
        <w:spacing w:line="400" w:lineRule="exact"/>
        <w:ind w:firstLine="420" w:firstLineChars="200"/>
        <w:rPr>
          <w:color w:val="auto"/>
          <w:highlight w:val="none"/>
        </w:rPr>
      </w:pPr>
      <w:r>
        <w:rPr>
          <w:rFonts w:hint="eastAsia"/>
          <w:color w:val="auto"/>
          <w:highlight w:val="none"/>
        </w:rPr>
        <w:t>潜在投标人或利害关系人对本招标公告及招标文件内容异议的，向招标人书面提出。</w:t>
      </w:r>
    </w:p>
    <w:p>
      <w:pPr>
        <w:spacing w:line="400" w:lineRule="exact"/>
        <w:ind w:firstLine="424" w:firstLineChars="202"/>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异议受理部门：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东莞市轨道交通有限公司</w:t>
      </w:r>
      <w:r>
        <w:rPr>
          <w:rFonts w:hint="eastAsia" w:ascii="宋体" w:hAnsi="宋体" w:cs="宋体"/>
          <w:color w:val="auto"/>
          <w:szCs w:val="21"/>
          <w:highlight w:val="none"/>
          <w:u w:val="single"/>
          <w:lang w:val="en-US" w:eastAsia="zh-CN"/>
        </w:rPr>
        <w:t xml:space="preserve">成本合约部 </w:t>
      </w:r>
    </w:p>
    <w:p>
      <w:pPr>
        <w:spacing w:line="40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东莞市南城区东莞大道116号  </w:t>
      </w:r>
      <w:r>
        <w:rPr>
          <w:rFonts w:ascii="宋体" w:hAnsi="宋体" w:cs="宋体"/>
          <w:color w:val="auto"/>
          <w:szCs w:val="21"/>
          <w:highlight w:val="none"/>
          <w:u w:val="single"/>
        </w:rPr>
        <w:t xml:space="preserve">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w:t>
      </w:r>
      <w:r>
        <w:rPr>
          <w:rFonts w:ascii="宋体" w:hAnsi="宋体" w:eastAsia="宋体" w:cs="宋体"/>
          <w:color w:val="auto"/>
          <w:sz w:val="24"/>
          <w:szCs w:val="24"/>
          <w:highlight w:val="none"/>
          <w:u w:val="single"/>
        </w:rPr>
        <w:t>0769-</w:t>
      </w:r>
      <w:r>
        <w:rPr>
          <w:rFonts w:hint="eastAsia" w:ascii="宋体" w:hAnsi="宋体" w:cs="宋体"/>
          <w:color w:val="auto"/>
          <w:sz w:val="24"/>
          <w:szCs w:val="24"/>
          <w:highlight w:val="none"/>
          <w:u w:val="single"/>
          <w:lang w:val="en-US" w:eastAsia="zh-CN"/>
        </w:rPr>
        <w:t>28639848</w:t>
      </w:r>
      <w:r>
        <w:rPr>
          <w:rFonts w:hint="eastAsia" w:ascii="宋体" w:hAnsi="宋体" w:cs="宋体"/>
          <w:color w:val="auto"/>
          <w:szCs w:val="21"/>
          <w:highlight w:val="none"/>
          <w:u w:val="single"/>
        </w:rPr>
        <w:t xml:space="preserve">     </w:t>
      </w:r>
    </w:p>
    <w:p>
      <w:pPr>
        <w:spacing w:line="400" w:lineRule="exact"/>
        <w:rPr>
          <w:rFonts w:hint="eastAsia" w:ascii="宋体" w:hAnsi="宋体" w:cs="宋体"/>
          <w:color w:val="auto"/>
          <w:szCs w:val="21"/>
          <w:highlight w:val="none"/>
        </w:rPr>
      </w:pPr>
    </w:p>
    <w:p>
      <w:pPr>
        <w:spacing w:line="40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招标监督机构：</w:t>
      </w:r>
      <w:r>
        <w:rPr>
          <w:rFonts w:hint="eastAsia" w:ascii="宋体" w:hAnsi="宋体" w:cs="宋体"/>
          <w:color w:val="auto"/>
          <w:szCs w:val="21"/>
          <w:highlight w:val="none"/>
          <w:u w:val="single"/>
        </w:rPr>
        <w:t xml:space="preserve">东莞市住房和城乡建设局      </w:t>
      </w:r>
    </w:p>
    <w:p>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东莞市东城</w:t>
      </w:r>
      <w:r>
        <w:rPr>
          <w:rFonts w:hint="eastAsia" w:ascii="宋体" w:hAnsi="宋体" w:cs="宋体"/>
          <w:color w:val="auto"/>
          <w:szCs w:val="21"/>
          <w:highlight w:val="none"/>
          <w:u w:val="single"/>
          <w:lang w:val="en-US" w:eastAsia="zh-CN"/>
        </w:rPr>
        <w:t>街道</w:t>
      </w:r>
      <w:r>
        <w:rPr>
          <w:rFonts w:hint="eastAsia" w:ascii="宋体" w:hAnsi="宋体" w:cs="宋体"/>
          <w:color w:val="auto"/>
          <w:szCs w:val="21"/>
          <w:highlight w:val="none"/>
          <w:u w:val="single"/>
        </w:rPr>
        <w:t>莞龙路</w:t>
      </w:r>
      <w:r>
        <w:rPr>
          <w:rFonts w:hint="eastAsia" w:ascii="宋体" w:hAnsi="宋体" w:cs="宋体"/>
          <w:color w:val="auto"/>
          <w:szCs w:val="21"/>
          <w:highlight w:val="none"/>
          <w:u w:val="single"/>
          <w:lang w:val="en-US" w:eastAsia="zh-CN"/>
        </w:rPr>
        <w:t>东城</w:t>
      </w:r>
      <w:r>
        <w:rPr>
          <w:rFonts w:hint="eastAsia" w:ascii="宋体" w:hAnsi="宋体" w:cs="宋体"/>
          <w:color w:val="auto"/>
          <w:szCs w:val="21"/>
          <w:highlight w:val="none"/>
          <w:u w:val="single"/>
        </w:rPr>
        <w:t>段283号</w:t>
      </w:r>
    </w:p>
    <w:p>
      <w:pPr>
        <w:spacing w:line="440" w:lineRule="exact"/>
        <w:ind w:firstLine="424" w:firstLineChars="202"/>
        <w:rPr>
          <w:rFonts w:ascii="黑体" w:hAnsi="黑体" w:eastAsia="黑体"/>
          <w:color w:val="auto"/>
          <w:sz w:val="24"/>
          <w:highlight w:val="none"/>
          <w:u w:val="single"/>
        </w:rPr>
      </w:pPr>
      <w:r>
        <w:rPr>
          <w:rFonts w:hint="eastAsia" w:ascii="宋体" w:hAnsi="宋体" w:cs="宋体"/>
          <w:color w:val="auto"/>
          <w:szCs w:val="21"/>
          <w:highlight w:val="none"/>
        </w:rPr>
        <w:t>电        话：</w:t>
      </w:r>
      <w:r>
        <w:rPr>
          <w:rFonts w:ascii="宋体" w:hAnsi="宋体"/>
          <w:color w:val="auto"/>
          <w:szCs w:val="21"/>
          <w:highlight w:val="none"/>
          <w:u w:val="single"/>
        </w:rPr>
        <w:t>0769-22203133</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keepNext w:val="0"/>
        <w:keepLines w:val="0"/>
        <w:pageBreakBefore w:val="0"/>
        <w:widowControl/>
        <w:kinsoku/>
        <w:wordWrap/>
        <w:overflowPunct w:val="0"/>
        <w:topLinePunct w:val="0"/>
        <w:autoSpaceDE/>
        <w:autoSpaceDN/>
        <w:bidi w:val="0"/>
        <w:adjustRightInd/>
        <w:snapToGrid/>
        <w:spacing w:line="440" w:lineRule="exact"/>
        <w:ind w:firstLine="420" w:firstLineChars="200"/>
        <w:textAlignment w:val="auto"/>
        <w:rPr>
          <w:rFonts w:hint="eastAsia" w:eastAsia="宋体" w:cs="宋体"/>
          <w:color w:val="auto"/>
          <w:szCs w:val="21"/>
          <w:highlight w:val="none"/>
          <w:lang w:val="en-US" w:eastAsia="zh-CN"/>
        </w:rPr>
      </w:pPr>
    </w:p>
    <w:p>
      <w:pPr>
        <w:keepNext/>
        <w:keepLines/>
        <w:adjustRightInd w:val="0"/>
        <w:spacing w:before="240" w:after="120"/>
        <w:textAlignment w:val="baseline"/>
        <w:outlineLvl w:val="0"/>
        <w:rPr>
          <w:rFonts w:eastAsia="黑体"/>
          <w:color w:val="auto"/>
          <w:kern w:val="0"/>
          <w:sz w:val="24"/>
          <w:szCs w:val="20"/>
          <w:highlight w:val="none"/>
        </w:rPr>
      </w:pPr>
      <w:r>
        <w:rPr>
          <w:rFonts w:hint="eastAsia" w:eastAsia="宋体" w:cs="宋体"/>
          <w:color w:val="auto"/>
          <w:szCs w:val="21"/>
          <w:highlight w:val="none"/>
          <w:lang w:val="en-US" w:eastAsia="zh-CN"/>
        </w:rPr>
        <w:t xml:space="preserve"> </w:t>
      </w:r>
      <w:bookmarkStart w:id="63" w:name="_Toc5438"/>
      <w:bookmarkStart w:id="64" w:name="_Toc8386"/>
      <w:bookmarkStart w:id="65" w:name="_Toc20296"/>
      <w:bookmarkStart w:id="66" w:name="_Toc28787"/>
      <w:bookmarkStart w:id="67" w:name="_Toc156398320"/>
      <w:r>
        <w:rPr>
          <w:rFonts w:hint="eastAsia" w:eastAsia="黑体"/>
          <w:color w:val="auto"/>
          <w:kern w:val="0"/>
          <w:sz w:val="24"/>
          <w:szCs w:val="20"/>
          <w:highlight w:val="none"/>
        </w:rPr>
        <w:t>附件：</w:t>
      </w:r>
      <w:bookmarkEnd w:id="63"/>
      <w:bookmarkEnd w:id="64"/>
      <w:bookmarkEnd w:id="65"/>
      <w:bookmarkEnd w:id="66"/>
      <w:bookmarkEnd w:id="67"/>
    </w:p>
    <w:p>
      <w:pPr>
        <w:spacing w:line="360" w:lineRule="auto"/>
        <w:ind w:right="-57" w:rightChars="-27" w:firstLine="493" w:firstLineChars="235"/>
        <w:rPr>
          <w:rFonts w:ascii="宋体" w:hAnsi="宋体"/>
          <w:color w:val="auto"/>
          <w:szCs w:val="21"/>
          <w:highlight w:val="none"/>
        </w:rPr>
      </w:pPr>
      <w:r>
        <w:rPr>
          <w:rFonts w:hint="eastAsia" w:ascii="宋体" w:hAnsi="宋体"/>
          <w:color w:val="auto"/>
          <w:szCs w:val="21"/>
          <w:highlight w:val="none"/>
        </w:rPr>
        <w:t>一、投标申请人声明</w:t>
      </w:r>
    </w:p>
    <w:p>
      <w:pPr>
        <w:spacing w:line="360" w:lineRule="auto"/>
        <w:ind w:right="-57" w:rightChars="-27" w:firstLine="493" w:firstLineChars="235"/>
        <w:rPr>
          <w:rFonts w:ascii="宋体" w:hAnsi="宋体"/>
          <w:b/>
          <w:color w:val="auto"/>
          <w:szCs w:val="21"/>
          <w:highlight w:val="none"/>
        </w:rPr>
      </w:pPr>
      <w:r>
        <w:rPr>
          <w:rFonts w:hint="eastAsia" w:ascii="宋体" w:hAnsi="宋体"/>
          <w:color w:val="auto"/>
          <w:szCs w:val="21"/>
          <w:highlight w:val="none"/>
        </w:rPr>
        <w:t>二、以往工程中因违约被招标人书面拒绝投标的名单</w:t>
      </w:r>
    </w:p>
    <w:p>
      <w:pPr>
        <w:spacing w:line="400" w:lineRule="exact"/>
        <w:rPr>
          <w:strike/>
          <w:color w:val="auto"/>
          <w:highlight w:val="none"/>
        </w:rPr>
      </w:pPr>
    </w:p>
    <w:p>
      <w:pPr>
        <w:spacing w:line="400" w:lineRule="exact"/>
        <w:rPr>
          <w:color w:val="auto"/>
          <w:highlight w:val="none"/>
        </w:rPr>
      </w:pPr>
      <w:r>
        <w:rPr>
          <w:rFonts w:hint="eastAsia"/>
          <w:color w:val="auto"/>
          <w:highlight w:val="none"/>
        </w:rPr>
        <w:t>　　　　　　　　　　　　　　　　　　　　　　　</w:t>
      </w:r>
    </w:p>
    <w:p>
      <w:pPr>
        <w:spacing w:line="400" w:lineRule="exact"/>
        <w:jc w:val="both"/>
        <w:rPr>
          <w:rFonts w:hint="eastAsia" w:eastAsia="宋体" w:cs="宋体"/>
          <w:color w:val="auto"/>
          <w:highlight w:val="none"/>
        </w:rPr>
      </w:pPr>
    </w:p>
    <w:p>
      <w:pPr>
        <w:spacing w:line="400" w:lineRule="exact"/>
        <w:ind w:firstLine="5460" w:firstLineChars="2600"/>
        <w:jc w:val="both"/>
        <w:rPr>
          <w:rFonts w:eastAsia="宋体" w:cs="宋体"/>
          <w:color w:val="auto"/>
          <w:highlight w:val="none"/>
        </w:rPr>
      </w:pPr>
      <w:r>
        <w:rPr>
          <w:rFonts w:hint="eastAsia" w:eastAsia="宋体" w:cs="宋体"/>
          <w:color w:val="auto"/>
          <w:highlight w:val="none"/>
        </w:rPr>
        <w:t>招标人：东莞市轨道</w:t>
      </w:r>
      <w:r>
        <w:rPr>
          <w:rFonts w:hint="eastAsia" w:eastAsia="宋体" w:cs="宋体"/>
          <w:color w:val="auto"/>
          <w:highlight w:val="none"/>
          <w:lang w:val="en-US" w:eastAsia="zh-CN"/>
        </w:rPr>
        <w:t>交通</w:t>
      </w:r>
      <w:r>
        <w:rPr>
          <w:rFonts w:hint="eastAsia" w:eastAsia="宋体" w:cs="宋体"/>
          <w:color w:val="auto"/>
          <w:highlight w:val="none"/>
        </w:rPr>
        <w:t>有限公司</w:t>
      </w:r>
    </w:p>
    <w:p>
      <w:pPr>
        <w:spacing w:line="400" w:lineRule="exact"/>
        <w:jc w:val="center"/>
        <w:rPr>
          <w:rFonts w:eastAsia="宋体" w:cs="宋体"/>
          <w:color w:val="auto"/>
          <w:highlight w:val="none"/>
        </w:rPr>
      </w:pPr>
      <w:r>
        <w:rPr>
          <w:rFonts w:hint="eastAsia" w:eastAsia="宋体" w:cs="宋体"/>
          <w:color w:val="auto"/>
          <w:highlight w:val="none"/>
          <w:lang w:val="en-US" w:eastAsia="zh-CN"/>
        </w:rPr>
        <w:t xml:space="preserve">                    </w:t>
      </w:r>
      <w:r>
        <w:rPr>
          <w:rFonts w:hint="eastAsia" w:cs="宋体"/>
          <w:color w:val="auto"/>
          <w:highlight w:val="none"/>
          <w:lang w:val="en-US" w:eastAsia="zh-CN"/>
        </w:rPr>
        <w:t xml:space="preserve">                    </w:t>
      </w:r>
      <w:r>
        <w:rPr>
          <w:rFonts w:hint="eastAsia" w:eastAsia="宋体" w:cs="宋体"/>
          <w:color w:val="auto"/>
          <w:highlight w:val="none"/>
          <w:lang w:val="en-US" w:eastAsia="zh-CN"/>
        </w:rPr>
        <w:t xml:space="preserve">  </w:t>
      </w:r>
      <w:r>
        <w:rPr>
          <w:rFonts w:hint="eastAsia" w:eastAsia="宋体" w:cs="宋体"/>
          <w:color w:val="auto"/>
          <w:highlight w:val="none"/>
        </w:rPr>
        <w:t>招标代理：</w:t>
      </w:r>
      <w:r>
        <w:rPr>
          <w:rFonts w:hint="eastAsia"/>
          <w:color w:val="auto"/>
          <w:highlight w:val="none"/>
        </w:rPr>
        <w:t>国义招标股份有限公司</w:t>
      </w:r>
    </w:p>
    <w:p>
      <w:pPr>
        <w:spacing w:line="400" w:lineRule="exact"/>
        <w:jc w:val="center"/>
        <w:rPr>
          <w:rFonts w:eastAsia="宋体" w:cs="宋体"/>
          <w:color w:val="auto"/>
          <w:highlight w:val="none"/>
        </w:rPr>
      </w:pPr>
      <w:r>
        <w:rPr>
          <w:rFonts w:hint="eastAsia" w:cs="宋体"/>
          <w:color w:val="auto"/>
          <w:highlight w:val="none"/>
          <w:u w:val="none"/>
          <w:lang w:val="en-US" w:eastAsia="zh-CN"/>
        </w:rPr>
        <w:t xml:space="preserve">                                          </w:t>
      </w:r>
      <w:r>
        <w:rPr>
          <w:rFonts w:eastAsia="宋体" w:cs="宋体"/>
          <w:color w:val="auto"/>
          <w:highlight w:val="none"/>
          <w:u w:val="single"/>
        </w:rPr>
        <w:t xml:space="preserve">  20</w:t>
      </w:r>
      <w:r>
        <w:rPr>
          <w:rFonts w:hint="eastAsia" w:eastAsia="宋体" w:cs="宋体"/>
          <w:color w:val="auto"/>
          <w:highlight w:val="none"/>
          <w:u w:val="single"/>
          <w:lang w:val="en-US" w:eastAsia="zh-CN"/>
        </w:rPr>
        <w:t>25</w:t>
      </w:r>
      <w:r>
        <w:rPr>
          <w:rFonts w:eastAsia="宋体" w:cs="宋体"/>
          <w:color w:val="auto"/>
          <w:highlight w:val="none"/>
          <w:u w:val="single"/>
        </w:rPr>
        <w:t xml:space="preserve"> </w:t>
      </w:r>
      <w:r>
        <w:rPr>
          <w:rFonts w:hint="eastAsia" w:eastAsia="宋体" w:cs="宋体"/>
          <w:color w:val="auto"/>
          <w:highlight w:val="none"/>
        </w:rPr>
        <w:t>年</w:t>
      </w:r>
      <w:r>
        <w:rPr>
          <w:rFonts w:eastAsia="宋体" w:cs="宋体"/>
          <w:color w:val="auto"/>
          <w:highlight w:val="none"/>
          <w:u w:val="single"/>
        </w:rPr>
        <w:t xml:space="preserve">  </w:t>
      </w:r>
      <w:r>
        <w:rPr>
          <w:rFonts w:hint="eastAsia" w:eastAsia="宋体" w:cs="宋体"/>
          <w:color w:val="auto"/>
          <w:highlight w:val="none"/>
          <w:u w:val="single"/>
          <w:lang w:val="en-US" w:eastAsia="zh-CN"/>
        </w:rPr>
        <w:t>5</w:t>
      </w:r>
      <w:r>
        <w:rPr>
          <w:rFonts w:eastAsia="宋体" w:cs="宋体"/>
          <w:color w:val="auto"/>
          <w:highlight w:val="none"/>
          <w:u w:val="single"/>
        </w:rPr>
        <w:t xml:space="preserve"> </w:t>
      </w:r>
      <w:r>
        <w:rPr>
          <w:rFonts w:hint="eastAsia" w:eastAsia="宋体" w:cs="宋体"/>
          <w:color w:val="auto"/>
          <w:highlight w:val="none"/>
        </w:rPr>
        <w:t>月</w:t>
      </w:r>
      <w:r>
        <w:rPr>
          <w:rFonts w:eastAsia="宋体" w:cs="宋体"/>
          <w:color w:val="auto"/>
          <w:highlight w:val="none"/>
          <w:u w:val="single"/>
        </w:rPr>
        <w:t xml:space="preserve">       </w:t>
      </w:r>
      <w:r>
        <w:rPr>
          <w:rFonts w:hint="eastAsia" w:eastAsia="宋体" w:cs="宋体"/>
          <w:color w:val="auto"/>
          <w:highlight w:val="none"/>
        </w:rPr>
        <w:t>日</w:t>
      </w:r>
    </w:p>
    <w:p>
      <w:pPr>
        <w:rPr>
          <w:rFonts w:hint="eastAsia" w:eastAsia="宋体" w:cs="宋体"/>
          <w:color w:val="auto"/>
          <w:szCs w:val="21"/>
          <w:highlight w:val="none"/>
          <w:lang w:val="en-US" w:eastAsia="zh-CN"/>
        </w:rPr>
      </w:pPr>
      <w:r>
        <w:rPr>
          <w:color w:val="auto"/>
          <w:highlight w:val="none"/>
        </w:rPr>
        <w:br w:type="page"/>
      </w:r>
      <w:r>
        <w:rPr>
          <w:rFonts w:hint="eastAsia" w:eastAsia="宋体" w:cs="宋体"/>
          <w:color w:val="auto"/>
          <w:szCs w:val="21"/>
          <w:highlight w:val="none"/>
          <w:lang w:val="en-US" w:eastAsia="zh-CN"/>
        </w:rPr>
        <w:t xml:space="preserve">  </w:t>
      </w:r>
    </w:p>
    <w:p>
      <w:pPr>
        <w:ind w:right="-57" w:rightChars="-27"/>
        <w:jc w:val="center"/>
        <w:rPr>
          <w:rFonts w:ascii="宋体" w:hAnsi="宋体"/>
          <w:color w:val="auto"/>
          <w:szCs w:val="21"/>
          <w:highlight w:val="none"/>
        </w:rPr>
      </w:pPr>
    </w:p>
    <w:p>
      <w:pPr>
        <w:ind w:right="-57" w:rightChars="-27"/>
        <w:rPr>
          <w:rFonts w:ascii="宋体" w:hAnsi="宋体"/>
          <w:b/>
          <w:color w:val="auto"/>
          <w:szCs w:val="21"/>
          <w:highlight w:val="none"/>
        </w:rPr>
      </w:pPr>
      <w:r>
        <w:rPr>
          <w:rFonts w:hint="eastAsia" w:ascii="宋体" w:hAnsi="宋体"/>
          <w:b/>
          <w:color w:val="auto"/>
          <w:szCs w:val="21"/>
          <w:highlight w:val="none"/>
        </w:rPr>
        <w:t>附件一：</w:t>
      </w:r>
    </w:p>
    <w:p>
      <w:pPr>
        <w:ind w:right="-57" w:rightChars="-27"/>
        <w:jc w:val="center"/>
        <w:rPr>
          <w:rFonts w:ascii="宋体" w:hAnsi="宋体"/>
          <w:b/>
          <w:color w:val="auto"/>
          <w:szCs w:val="21"/>
          <w:highlight w:val="none"/>
        </w:rPr>
      </w:pPr>
      <w:r>
        <w:rPr>
          <w:rFonts w:hint="eastAsia" w:ascii="宋体" w:hAnsi="宋体"/>
          <w:b/>
          <w:color w:val="auto"/>
          <w:szCs w:val="21"/>
          <w:highlight w:val="none"/>
        </w:rPr>
        <w:t>投标申请人声明</w:t>
      </w:r>
    </w:p>
    <w:p>
      <w:pPr>
        <w:ind w:right="-57" w:rightChars="-27"/>
        <w:jc w:val="left"/>
        <w:rPr>
          <w:rFonts w:ascii="宋体" w:hAnsi="宋体"/>
          <w:color w:val="auto"/>
          <w:szCs w:val="21"/>
          <w:highlight w:val="none"/>
        </w:rPr>
      </w:pP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none"/>
          <w:lang w:eastAsia="zh-CN"/>
        </w:rPr>
        <w:t>（</w:t>
      </w:r>
      <w:r>
        <w:rPr>
          <w:rFonts w:hint="eastAsia"/>
          <w:color w:val="auto"/>
          <w:highlight w:val="none"/>
          <w:u w:val="none"/>
          <w:lang w:val="en-US" w:eastAsia="zh-CN"/>
        </w:rPr>
        <w:t>项目名称</w:t>
      </w:r>
      <w:r>
        <w:rPr>
          <w:rFonts w:hint="eastAsia"/>
          <w:color w:val="auto"/>
          <w:highlight w:val="none"/>
          <w:u w:val="none"/>
          <w:lang w:eastAsia="zh-CN"/>
        </w:rPr>
        <w:t>）</w:t>
      </w:r>
      <w:r>
        <w:rPr>
          <w:color w:val="auto"/>
          <w:highlight w:val="none"/>
        </w:rPr>
        <w:t>标</w:t>
      </w:r>
      <w:r>
        <w:rPr>
          <w:rFonts w:hint="eastAsia" w:ascii="宋体" w:hAnsi="宋体" w:cs="宋体"/>
          <w:color w:val="auto"/>
          <w:kern w:val="0"/>
          <w:szCs w:val="21"/>
          <w:highlight w:val="none"/>
        </w:rPr>
        <w:t>投标工作，作出郑重声明：</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一、本公司保证投标登记材料及其后提供的一切材料都是真实的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我司</w:t>
      </w:r>
      <w:r>
        <w:rPr>
          <w:rFonts w:hint="eastAsia" w:ascii="宋体" w:hAnsi="宋体" w:cs="宋体"/>
          <w:color w:val="auto"/>
          <w:kern w:val="0"/>
          <w:szCs w:val="21"/>
          <w:highlight w:val="none"/>
          <w:lang w:val="en-US" w:eastAsia="zh-CN"/>
        </w:rPr>
        <w:t>承诺：在中标公示期间或合同签署前，招标人有权对我司投标文件中所提供的的证书、证件、业绩佐证材料、</w:t>
      </w:r>
      <w:r>
        <w:rPr>
          <w:rFonts w:hint="eastAsia" w:ascii="宋体" w:hAnsi="宋体" w:cs="宋体"/>
          <w:color w:val="auto"/>
          <w:kern w:val="0"/>
          <w:szCs w:val="21"/>
          <w:highlight w:val="none"/>
        </w:rPr>
        <w:t>对招标文件实质性条款响应文件、履约能力证明文件</w:t>
      </w:r>
      <w:r>
        <w:rPr>
          <w:rFonts w:hint="eastAsia" w:ascii="宋体" w:hAnsi="宋体" w:cs="宋体"/>
          <w:color w:val="auto"/>
          <w:kern w:val="0"/>
          <w:szCs w:val="21"/>
          <w:highlight w:val="none"/>
          <w:lang w:val="en-US" w:eastAsia="zh-CN"/>
        </w:rPr>
        <w:t>等进行</w:t>
      </w:r>
      <w:r>
        <w:rPr>
          <w:rFonts w:hint="eastAsia" w:ascii="宋体" w:hAnsi="宋体" w:cs="宋体"/>
          <w:color w:val="auto"/>
          <w:kern w:val="0"/>
          <w:szCs w:val="21"/>
          <w:highlight w:val="none"/>
        </w:rPr>
        <w:t>核查</w:t>
      </w:r>
      <w:r>
        <w:rPr>
          <w:rFonts w:hint="eastAsia" w:ascii="宋体" w:hAnsi="宋体" w:cs="宋体"/>
          <w:color w:val="auto"/>
          <w:kern w:val="0"/>
          <w:szCs w:val="21"/>
          <w:highlight w:val="none"/>
          <w:lang w:val="en-US" w:eastAsia="zh-CN"/>
        </w:rPr>
        <w:t>，若我司无法在招标文件规定的时间内提供真实的资料，招标人有权取消我司中标资格</w:t>
      </w:r>
      <w:r>
        <w:rPr>
          <w:rFonts w:hint="eastAsia" w:ascii="宋体" w:hAnsi="宋体" w:cs="宋体"/>
          <w:color w:val="auto"/>
          <w:kern w:val="0"/>
          <w:szCs w:val="21"/>
          <w:highlight w:val="none"/>
        </w:rPr>
        <w:t>。如我司成为本项目中标候选人，我司同意并授权招标人将我司投标文件的人员、业绩、奖项等资料进行公示。</w:t>
      </w:r>
      <w:bookmarkStart w:id="2701" w:name="_GoBack"/>
      <w:bookmarkEnd w:id="2701"/>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二、本公司保证在本项目投标中不与其他单位围标、串标，不出让投标资格，不向招标人或评标委员会成员行贿，同时不出现其他不廉洁行为。</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本公司及其有隶属关系机构的相关人员，没有参加本项目评标委员会；本公司与本工程的承包单位以及建筑材料、建筑构配件和设备供应单位没有隶属关系或其他利害关系。</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五、本公司承诺，中标后严格执行安全生产相关管理规定。</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六、投标人须确保投标保函真实、有效。</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本公司违反上述保证，或本声明陈述与事实不符，经查实，本公司愿意接受公开通报，承担由此带来的法律后果。并愿意停止参加广州市及东莞市行政区域内的招标投标活动三个月，</w:t>
      </w:r>
      <w:r>
        <w:rPr>
          <w:rFonts w:hint="eastAsia" w:ascii="宋体" w:hAnsi="宋体" w:cs="宋体"/>
          <w:b/>
          <w:bCs/>
          <w:color w:val="auto"/>
          <w:kern w:val="0"/>
          <w:szCs w:val="21"/>
          <w:highlight w:val="none"/>
          <w:lang w:val="en-US" w:eastAsia="zh-CN"/>
        </w:rPr>
        <w:t>一</w:t>
      </w:r>
      <w:r>
        <w:rPr>
          <w:rFonts w:hint="eastAsia" w:ascii="宋体" w:hAnsi="宋体" w:cs="宋体"/>
          <w:b/>
          <w:bCs/>
          <w:color w:val="auto"/>
          <w:kern w:val="0"/>
          <w:szCs w:val="21"/>
          <w:highlight w:val="none"/>
        </w:rPr>
        <w:t>年内不得参加本项目和本项目招标人其他项目的招标活动</w:t>
      </w:r>
      <w:r>
        <w:rPr>
          <w:rFonts w:hint="eastAsia" w:ascii="宋体" w:hAnsi="宋体" w:cs="宋体"/>
          <w:color w:val="auto"/>
          <w:kern w:val="0"/>
          <w:szCs w:val="21"/>
          <w:highlight w:val="none"/>
        </w:rPr>
        <w:t>。其中，本声明陈述与事实不符的，属于弄虚作假骗取中标，将依法接受监管部门的处罚。</w:t>
      </w:r>
    </w:p>
    <w:p>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特此声明</w:t>
      </w:r>
      <w:r>
        <w:rPr>
          <w:rFonts w:hint="eastAsia" w:ascii="宋体" w:hAnsi="宋体" w:cs="宋体"/>
          <w:color w:val="auto"/>
          <w:kern w:val="0"/>
          <w:szCs w:val="21"/>
          <w:highlight w:val="none"/>
          <w:lang w:eastAsia="zh-CN"/>
        </w:rPr>
        <w:t>。</w:t>
      </w:r>
    </w:p>
    <w:p>
      <w:pPr>
        <w:pStyle w:val="11"/>
        <w:rPr>
          <w:rFonts w:hint="eastAsia" w:ascii="宋体" w:hAnsi="宋体" w:cs="宋体"/>
          <w:color w:val="auto"/>
          <w:kern w:val="0"/>
          <w:szCs w:val="21"/>
          <w:highlight w:val="none"/>
        </w:rPr>
      </w:pPr>
    </w:p>
    <w:p>
      <w:pPr>
        <w:pStyle w:val="11"/>
        <w:rPr>
          <w:rFonts w:hint="eastAsia" w:ascii="宋体" w:hAnsi="宋体" w:cs="宋体"/>
          <w:color w:val="auto"/>
          <w:kern w:val="0"/>
          <w:szCs w:val="21"/>
          <w:highlight w:val="none"/>
        </w:rPr>
      </w:pPr>
    </w:p>
    <w:p>
      <w:pPr>
        <w:pStyle w:val="11"/>
        <w:rPr>
          <w:rFonts w:hint="eastAsia" w:ascii="宋体" w:hAnsi="宋体" w:cs="宋体"/>
          <w:color w:val="auto"/>
          <w:kern w:val="0"/>
          <w:szCs w:val="21"/>
          <w:highlight w:val="none"/>
        </w:rPr>
      </w:pPr>
    </w:p>
    <w:p>
      <w:pPr>
        <w:snapToGrid w:val="0"/>
        <w:spacing w:line="360" w:lineRule="auto"/>
        <w:ind w:firstLine="3780" w:firstLineChars="1800"/>
        <w:rPr>
          <w:rFonts w:ascii="宋体" w:hAnsi="宋体" w:cs="宋体"/>
          <w:color w:val="auto"/>
          <w:kern w:val="0"/>
          <w:szCs w:val="21"/>
          <w:highlight w:val="none"/>
        </w:rPr>
      </w:pPr>
      <w:r>
        <w:rPr>
          <w:rFonts w:hint="eastAsia" w:ascii="宋体" w:hAnsi="宋体" w:cs="宋体"/>
          <w:color w:val="auto"/>
          <w:kern w:val="0"/>
          <w:szCs w:val="21"/>
          <w:highlight w:val="none"/>
        </w:rPr>
        <w:t>声明企业：            (企业公章)</w:t>
      </w:r>
    </w:p>
    <w:p>
      <w:pPr>
        <w:snapToGrid w:val="0"/>
        <w:spacing w:line="360" w:lineRule="auto"/>
        <w:ind w:firstLine="3721" w:firstLineChars="1772"/>
        <w:rPr>
          <w:rFonts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lang w:val="en-US" w:eastAsia="zh-CN"/>
        </w:rPr>
        <w:t>或签章</w:t>
      </w:r>
      <w:r>
        <w:rPr>
          <w:rFonts w:hint="eastAsia" w:ascii="宋体" w:hAnsi="宋体" w:cs="宋体"/>
          <w:color w:val="auto"/>
          <w:kern w:val="0"/>
          <w:szCs w:val="21"/>
          <w:highlight w:val="none"/>
        </w:rPr>
        <w:t>：</w:t>
      </w:r>
    </w:p>
    <w:p>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年   月   日</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11"/>
        <w:rPr>
          <w:rFonts w:hint="eastAsia" w:ascii="宋体" w:hAnsi="宋体" w:cs="宋体"/>
          <w:color w:val="auto"/>
          <w:kern w:val="0"/>
          <w:szCs w:val="21"/>
          <w:highlight w:val="none"/>
        </w:rPr>
      </w:pPr>
    </w:p>
    <w:p>
      <w:pPr>
        <w:ind w:right="-57" w:rightChars="-27"/>
        <w:jc w:val="center"/>
        <w:rPr>
          <w:rFonts w:ascii="宋体" w:hAnsi="宋体"/>
          <w:color w:val="auto"/>
          <w:szCs w:val="21"/>
          <w:highlight w:val="none"/>
        </w:rPr>
      </w:pPr>
    </w:p>
    <w:p>
      <w:pPr>
        <w:ind w:right="-57" w:rightChars="-27"/>
        <w:rPr>
          <w:rFonts w:ascii="宋体" w:hAnsi="宋体"/>
          <w:b/>
          <w:color w:val="auto"/>
          <w:szCs w:val="21"/>
          <w:highlight w:val="none"/>
        </w:rPr>
      </w:pPr>
      <w:r>
        <w:rPr>
          <w:rFonts w:hint="eastAsia" w:ascii="宋体" w:hAnsi="宋体"/>
          <w:b/>
          <w:color w:val="auto"/>
          <w:szCs w:val="21"/>
          <w:highlight w:val="none"/>
        </w:rPr>
        <w:t>附件二：</w:t>
      </w:r>
    </w:p>
    <w:p>
      <w:pPr>
        <w:spacing w:line="360" w:lineRule="auto"/>
        <w:ind w:right="-57" w:rightChars="-27"/>
        <w:rPr>
          <w:rFonts w:hint="eastAsia" w:ascii="宋体" w:hAnsi="宋体"/>
          <w:b/>
          <w:color w:val="auto"/>
          <w:szCs w:val="21"/>
          <w:highlight w:val="none"/>
        </w:rPr>
      </w:pPr>
    </w:p>
    <w:tbl>
      <w:tblPr>
        <w:tblStyle w:val="14"/>
        <w:tblW w:w="0" w:type="auto"/>
        <w:tblInd w:w="93" w:type="dxa"/>
        <w:tblLayout w:type="fixed"/>
        <w:tblCellMar>
          <w:top w:w="0" w:type="dxa"/>
          <w:left w:w="108" w:type="dxa"/>
          <w:bottom w:w="0" w:type="dxa"/>
          <w:right w:w="108" w:type="dxa"/>
        </w:tblCellMar>
      </w:tblPr>
      <w:tblGrid>
        <w:gridCol w:w="780"/>
        <w:gridCol w:w="8380"/>
      </w:tblGrid>
      <w:tr>
        <w:tblPrEx>
          <w:tblCellMar>
            <w:top w:w="0" w:type="dxa"/>
            <w:left w:w="108" w:type="dxa"/>
            <w:bottom w:w="0" w:type="dxa"/>
            <w:right w:w="108" w:type="dxa"/>
          </w:tblCellMar>
        </w:tblPrEx>
        <w:trPr>
          <w:trHeight w:val="945" w:hRule="atLeast"/>
        </w:trPr>
        <w:tc>
          <w:tcPr>
            <w:tcW w:w="9160" w:type="dxa"/>
            <w:gridSpan w:val="2"/>
            <w:tcBorders>
              <w:top w:val="nil"/>
              <w:left w:val="nil"/>
              <w:bottom w:val="single" w:color="auto" w:sz="4" w:space="0"/>
              <w:right w:val="nil"/>
            </w:tcBorders>
            <w:noWrap w:val="0"/>
            <w:vAlign w:val="center"/>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以往工程中因违约被招标人书面拒绝投标的名单</w:t>
            </w:r>
          </w:p>
        </w:tc>
      </w:tr>
      <w:tr>
        <w:tblPrEx>
          <w:tblCellMar>
            <w:top w:w="0" w:type="dxa"/>
            <w:left w:w="108" w:type="dxa"/>
            <w:bottom w:w="0" w:type="dxa"/>
            <w:right w:w="108" w:type="dxa"/>
          </w:tblCellMar>
        </w:tblPrEx>
        <w:trPr>
          <w:trHeight w:val="754"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8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单位名称及个人姓名</w:t>
            </w:r>
          </w:p>
        </w:tc>
      </w:tr>
      <w:tr>
        <w:tblPrEx>
          <w:tblCellMar>
            <w:top w:w="0" w:type="dxa"/>
            <w:left w:w="108" w:type="dxa"/>
            <w:bottom w:w="0" w:type="dxa"/>
            <w:right w:w="108" w:type="dxa"/>
          </w:tblCellMar>
        </w:tblPrEx>
        <w:trPr>
          <w:trHeight w:val="941"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p>
        </w:tc>
        <w:tc>
          <w:tcPr>
            <w:tcW w:w="83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bl>
    <w:p>
      <w:pPr>
        <w:rPr>
          <w:rFonts w:ascii="黑体" w:hAnsi="黑体" w:eastAsia="黑体"/>
          <w:color w:val="auto"/>
          <w:sz w:val="24"/>
          <w:highlight w:val="none"/>
        </w:rPr>
      </w:pPr>
      <w:r>
        <w:rPr>
          <w:rFonts w:ascii="黑体" w:hAnsi="黑体" w:eastAsia="黑体"/>
          <w:color w:val="auto"/>
          <w:sz w:val="24"/>
          <w:highlight w:val="none"/>
        </w:rPr>
        <w:br w:type="page"/>
      </w:r>
    </w:p>
    <w:p>
      <w:pPr>
        <w:pStyle w:val="12"/>
        <w:rPr>
          <w:color w:val="auto"/>
          <w:highlight w:val="none"/>
        </w:rPr>
        <w:sectPr>
          <w:footerReference r:id="rId5" w:type="default"/>
          <w:pgSz w:w="11906" w:h="16838"/>
          <w:pgMar w:top="1134" w:right="1134" w:bottom="1134" w:left="1134" w:header="851" w:footer="964" w:gutter="0"/>
          <w:pgNumType w:fmt="decimal" w:start="2"/>
          <w:cols w:space="720" w:num="1"/>
          <w:docGrid w:type="lines" w:linePitch="312" w:charSpace="0"/>
        </w:sectPr>
      </w:pPr>
    </w:p>
    <w:p>
      <w:pPr>
        <w:pStyle w:val="2"/>
        <w:spacing w:line="360" w:lineRule="auto"/>
        <w:jc w:val="center"/>
        <w:rPr>
          <w:rFonts w:hint="eastAsia"/>
          <w:color w:val="auto"/>
          <w:highlight w:val="none"/>
        </w:rPr>
      </w:pPr>
      <w:bookmarkStart w:id="68" w:name="_Toc15468"/>
      <w:bookmarkStart w:id="69" w:name="_Toc156398321"/>
      <w:bookmarkStart w:id="70" w:name="_Toc11510"/>
      <w:bookmarkStart w:id="71" w:name="_Toc6607"/>
      <w:bookmarkStart w:id="72" w:name="_Toc24883"/>
      <w:bookmarkStart w:id="73" w:name="_Toc27057"/>
      <w:r>
        <w:rPr>
          <w:rFonts w:hint="eastAsia"/>
          <w:color w:val="auto"/>
          <w:highlight w:val="none"/>
        </w:rPr>
        <w:t>第二章投标人须知</w:t>
      </w:r>
      <w:bookmarkEnd w:id="68"/>
      <w:bookmarkEnd w:id="69"/>
      <w:bookmarkEnd w:id="70"/>
      <w:bookmarkEnd w:id="71"/>
      <w:bookmarkEnd w:id="72"/>
      <w:bookmarkEnd w:id="73"/>
    </w:p>
    <w:p>
      <w:pPr>
        <w:pStyle w:val="3"/>
        <w:rPr>
          <w:rFonts w:ascii="Times New Roman" w:hAnsi="Times New Roman"/>
          <w:color w:val="auto"/>
          <w:highlight w:val="none"/>
        </w:rPr>
      </w:pPr>
      <w:bookmarkStart w:id="74" w:name="_Toc11461"/>
      <w:bookmarkStart w:id="75" w:name="_Toc3838"/>
      <w:bookmarkStart w:id="76" w:name="_Toc2983"/>
      <w:bookmarkStart w:id="77" w:name="_Toc13330"/>
      <w:bookmarkStart w:id="78" w:name="_Toc3502"/>
      <w:bookmarkStart w:id="79" w:name="_Toc156398322"/>
      <w:r>
        <w:rPr>
          <w:rFonts w:hint="eastAsia" w:ascii="Times New Roman" w:hAnsi="Times New Roman"/>
          <w:color w:val="auto"/>
          <w:highlight w:val="none"/>
        </w:rPr>
        <w:t>投标人须知前附表</w:t>
      </w:r>
      <w:bookmarkEnd w:id="74"/>
      <w:bookmarkEnd w:id="75"/>
      <w:bookmarkEnd w:id="76"/>
      <w:bookmarkEnd w:id="77"/>
      <w:bookmarkEnd w:id="78"/>
      <w:bookmarkEnd w:id="79"/>
    </w:p>
    <w:tbl>
      <w:tblPr>
        <w:tblStyle w:val="14"/>
        <w:tblW w:w="0" w:type="auto"/>
        <w:tblInd w:w="0" w:type="dxa"/>
        <w:tblLayout w:type="fixed"/>
        <w:tblCellMar>
          <w:top w:w="0" w:type="dxa"/>
          <w:left w:w="108" w:type="dxa"/>
          <w:bottom w:w="0" w:type="dxa"/>
          <w:right w:w="108" w:type="dxa"/>
        </w:tblCellMar>
      </w:tblPr>
      <w:tblGrid>
        <w:gridCol w:w="1164"/>
        <w:gridCol w:w="2495"/>
        <w:gridCol w:w="5656"/>
      </w:tblGrid>
      <w:tr>
        <w:tblPrEx>
          <w:tblCellMar>
            <w:top w:w="0" w:type="dxa"/>
            <w:left w:w="108" w:type="dxa"/>
            <w:bottom w:w="0" w:type="dxa"/>
            <w:right w:w="108" w:type="dxa"/>
          </w:tblCellMar>
        </w:tblPrEx>
        <w:trPr>
          <w:tblHead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条款号</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条款名称</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编列内容</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招标人</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color w:val="auto"/>
                <w:highlight w:val="none"/>
              </w:rPr>
            </w:pPr>
            <w:r>
              <w:rPr>
                <w:rFonts w:hint="eastAsia"/>
                <w:color w:val="auto"/>
                <w:highlight w:val="none"/>
              </w:rPr>
              <w:t>名称：东莞市轨道交通有限公司</w:t>
            </w:r>
          </w:p>
          <w:p>
            <w:pPr>
              <w:spacing w:line="440" w:lineRule="exact"/>
              <w:rPr>
                <w:rFonts w:hint="eastAsia"/>
                <w:color w:val="auto"/>
                <w:highlight w:val="none"/>
              </w:rPr>
            </w:pPr>
            <w:r>
              <w:rPr>
                <w:rFonts w:hint="eastAsia"/>
                <w:color w:val="auto"/>
                <w:highlight w:val="none"/>
              </w:rPr>
              <w:t>地址：东莞市南城区东莞大道116号</w:t>
            </w:r>
          </w:p>
          <w:p>
            <w:pPr>
              <w:spacing w:line="440" w:lineRule="exact"/>
              <w:rPr>
                <w:color w:val="auto"/>
                <w:highlight w:val="none"/>
              </w:rPr>
            </w:pPr>
            <w:r>
              <w:rPr>
                <w:rFonts w:hint="eastAsia"/>
                <w:color w:val="auto"/>
                <w:highlight w:val="none"/>
              </w:rPr>
              <w:t>联系人：</w:t>
            </w:r>
            <w:r>
              <w:rPr>
                <w:rFonts w:hint="eastAsia"/>
                <w:color w:val="auto"/>
                <w:highlight w:val="none"/>
                <w:lang w:val="en-US" w:eastAsia="zh-CN"/>
              </w:rPr>
              <w:t>林工、谭</w:t>
            </w:r>
            <w:r>
              <w:rPr>
                <w:rFonts w:hint="eastAsia" w:ascii="宋体" w:hAnsi="宋体" w:cs="宋体"/>
                <w:color w:val="auto"/>
                <w:szCs w:val="21"/>
                <w:highlight w:val="none"/>
              </w:rPr>
              <w:t>工</w:t>
            </w:r>
          </w:p>
          <w:p>
            <w:pPr>
              <w:spacing w:line="440" w:lineRule="exact"/>
              <w:rPr>
                <w:rFonts w:hint="default" w:eastAsia="宋体"/>
                <w:color w:val="auto"/>
                <w:highlight w:val="none"/>
                <w:lang w:val="en-US" w:eastAsia="zh-CN"/>
              </w:rPr>
            </w:pPr>
            <w:r>
              <w:rPr>
                <w:rFonts w:hint="eastAsia"/>
                <w:color w:val="auto"/>
                <w:highlight w:val="none"/>
              </w:rPr>
              <w:t>电话：</w:t>
            </w:r>
            <w:r>
              <w:rPr>
                <w:rFonts w:hint="eastAsia" w:ascii="宋体" w:hAnsi="宋体" w:cs="宋体"/>
                <w:color w:val="auto"/>
                <w:szCs w:val="21"/>
                <w:highlight w:val="none"/>
              </w:rPr>
              <w:t>0769-</w:t>
            </w:r>
            <w:r>
              <w:rPr>
                <w:rFonts w:hint="eastAsia" w:ascii="宋体" w:hAnsi="宋体" w:cs="宋体"/>
                <w:color w:val="auto"/>
                <w:szCs w:val="21"/>
                <w:highlight w:val="none"/>
                <w:lang w:val="en-US" w:eastAsia="zh-CN"/>
              </w:rPr>
              <w:t>28639848、28639803</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招标代理机构</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color w:val="auto"/>
                <w:highlight w:val="none"/>
              </w:rPr>
            </w:pPr>
            <w:r>
              <w:rPr>
                <w:rFonts w:hint="eastAsia"/>
                <w:color w:val="auto"/>
                <w:highlight w:val="none"/>
              </w:rPr>
              <w:t>名称：国义招标股份有限公司</w:t>
            </w:r>
          </w:p>
          <w:p>
            <w:pPr>
              <w:spacing w:line="440" w:lineRule="exact"/>
              <w:rPr>
                <w:rFonts w:hint="eastAsia"/>
                <w:color w:val="auto"/>
                <w:highlight w:val="none"/>
              </w:rPr>
            </w:pPr>
            <w:r>
              <w:rPr>
                <w:rFonts w:hint="eastAsia"/>
                <w:color w:val="auto"/>
                <w:highlight w:val="none"/>
              </w:rPr>
              <w:t>地址：广州市越秀区东风东路726号</w:t>
            </w:r>
          </w:p>
          <w:p>
            <w:pPr>
              <w:spacing w:line="440" w:lineRule="exact"/>
              <w:rPr>
                <w:color w:val="auto"/>
                <w:highlight w:val="none"/>
              </w:rPr>
            </w:pPr>
            <w:r>
              <w:rPr>
                <w:rFonts w:hint="eastAsia" w:ascii="Times New Roman" w:hAnsi="Times New Roman" w:eastAsia="宋体" w:cs="Times New Roman"/>
                <w:color w:val="auto"/>
                <w:highlight w:val="none"/>
              </w:rPr>
              <w:t>联系人：</w:t>
            </w:r>
            <w:r>
              <w:rPr>
                <w:rFonts w:hint="eastAsia" w:cs="Times New Roman"/>
                <w:color w:val="auto"/>
                <w:highlight w:val="none"/>
                <w:lang w:val="en-US" w:eastAsia="zh-CN"/>
              </w:rPr>
              <w:t>张</w:t>
            </w:r>
            <w:r>
              <w:rPr>
                <w:rFonts w:hint="eastAsia" w:ascii="Times New Roman" w:hAnsi="Times New Roman" w:eastAsia="宋体" w:cs="Times New Roman"/>
                <w:color w:val="auto"/>
                <w:highlight w:val="none"/>
              </w:rPr>
              <w:t>工、赵工</w:t>
            </w:r>
          </w:p>
          <w:p>
            <w:pPr>
              <w:spacing w:line="440" w:lineRule="exact"/>
              <w:rPr>
                <w:rFonts w:hint="default" w:eastAsia="宋体"/>
                <w:color w:val="auto"/>
                <w:highlight w:val="none"/>
                <w:lang w:val="en-US" w:eastAsia="zh-CN"/>
              </w:rPr>
            </w:pPr>
            <w:r>
              <w:rPr>
                <w:rFonts w:hint="eastAsia"/>
                <w:color w:val="auto"/>
                <w:highlight w:val="none"/>
              </w:rPr>
              <w:t>电话：020-3786074</w:t>
            </w:r>
            <w:r>
              <w:rPr>
                <w:rFonts w:hint="eastAsia"/>
                <w:color w:val="auto"/>
                <w:highlight w:val="none"/>
                <w:lang w:val="en-US" w:eastAsia="zh-CN"/>
              </w:rPr>
              <w:t>2</w:t>
            </w:r>
            <w:r>
              <w:rPr>
                <w:rFonts w:hint="eastAsia"/>
                <w:color w:val="auto"/>
                <w:highlight w:val="none"/>
              </w:rPr>
              <w:t>、37861031</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1.1.4</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招标项目名称</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详见招标公告第</w:t>
            </w:r>
            <w:r>
              <w:rPr>
                <w:color w:val="auto"/>
                <w:highlight w:val="none"/>
                <w:u w:val="single"/>
              </w:rPr>
              <w:t>2.1</w:t>
            </w:r>
            <w:r>
              <w:rPr>
                <w:rFonts w:hint="eastAsia"/>
                <w:color w:val="auto"/>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1.1.5</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项目建设地点</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详见招标公告第</w:t>
            </w:r>
            <w:r>
              <w:rPr>
                <w:color w:val="auto"/>
                <w:highlight w:val="none"/>
                <w:u w:val="single"/>
              </w:rPr>
              <w:t>2.1</w:t>
            </w:r>
            <w:r>
              <w:rPr>
                <w:rFonts w:hint="eastAsia"/>
                <w:color w:val="auto"/>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1.1.6</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项目建设规模</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详见招标公告第</w:t>
            </w:r>
            <w:r>
              <w:rPr>
                <w:color w:val="auto"/>
                <w:highlight w:val="none"/>
                <w:u w:val="single"/>
              </w:rPr>
              <w:t>2.1</w:t>
            </w:r>
            <w:r>
              <w:rPr>
                <w:rFonts w:hint="eastAsia"/>
                <w:color w:val="auto"/>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1.1.7</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工程项目施工预计开工日期和建设周期</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详见招标公告第</w:t>
            </w:r>
            <w:r>
              <w:rPr>
                <w:color w:val="auto"/>
                <w:highlight w:val="none"/>
                <w:u w:val="single"/>
              </w:rPr>
              <w:t>2.</w:t>
            </w:r>
            <w:r>
              <w:rPr>
                <w:rFonts w:hint="eastAsia"/>
                <w:color w:val="auto"/>
                <w:highlight w:val="none"/>
                <w:u w:val="single"/>
              </w:rPr>
              <w:t>2</w:t>
            </w:r>
            <w:r>
              <w:rPr>
                <w:rFonts w:hint="eastAsia"/>
                <w:color w:val="auto"/>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1.1.8</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建筑安装工程费</w:t>
            </w:r>
            <w:r>
              <w:rPr>
                <w:color w:val="auto"/>
                <w:highlight w:val="none"/>
              </w:rPr>
              <w:t>/</w:t>
            </w:r>
            <w:r>
              <w:rPr>
                <w:rFonts w:hint="eastAsia"/>
                <w:color w:val="auto"/>
                <w:highlight w:val="none"/>
              </w:rPr>
              <w:t>工程服务收费计费额</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eastAsia="宋体"/>
                <w:color w:val="auto"/>
                <w:highlight w:val="none"/>
                <w:lang w:val="en-US" w:eastAsia="zh-CN"/>
              </w:rPr>
            </w:pPr>
            <w:r>
              <w:rPr>
                <w:rFonts w:hint="eastAsia"/>
                <w:color w:val="auto"/>
                <w:highlight w:val="none"/>
                <w:lang w:val="en-US" w:eastAsia="zh-CN"/>
              </w:rPr>
              <w:t>本项目不适用</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1.2.1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资金来源及比例</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详见招标公告第</w:t>
            </w:r>
            <w:r>
              <w:rPr>
                <w:color w:val="auto"/>
                <w:highlight w:val="none"/>
                <w:u w:val="single"/>
              </w:rPr>
              <w:t>1</w:t>
            </w:r>
            <w:r>
              <w:rPr>
                <w:rFonts w:hint="eastAsia"/>
                <w:color w:val="auto"/>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1.2.2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资金落实情况</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已落实</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1.3.1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招标范围</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详见招标公告第</w:t>
            </w:r>
            <w:r>
              <w:rPr>
                <w:color w:val="auto"/>
                <w:highlight w:val="none"/>
                <w:u w:val="single"/>
              </w:rPr>
              <w:t>2.2</w:t>
            </w:r>
            <w:r>
              <w:rPr>
                <w:rFonts w:hint="eastAsia"/>
                <w:color w:val="auto"/>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1.3.2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服务期限</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详见招标公告第</w:t>
            </w:r>
            <w:r>
              <w:rPr>
                <w:color w:val="auto"/>
                <w:highlight w:val="none"/>
                <w:u w:val="single"/>
              </w:rPr>
              <w:t>2.2</w:t>
            </w:r>
            <w:r>
              <w:rPr>
                <w:rFonts w:hint="eastAsia"/>
                <w:color w:val="auto"/>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1.3.3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质量标准</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遵循国家及地方建筑工程施工质量验收标准、规范等有关规定</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1.4.1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投标人资质条件、能力、信誉</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440" w:lineRule="exact"/>
              <w:rPr>
                <w:rFonts w:hint="eastAsia"/>
                <w:color w:val="auto"/>
                <w:highlight w:val="none"/>
              </w:rPr>
            </w:pPr>
            <w:r>
              <w:rPr>
                <w:rFonts w:hint="eastAsia"/>
                <w:color w:val="auto"/>
                <w:highlight w:val="none"/>
              </w:rPr>
              <w:t>资质要求：</w:t>
            </w:r>
            <w:r>
              <w:rPr>
                <w:color w:val="auto"/>
                <w:highlight w:val="none"/>
              </w:rPr>
              <w:t>/</w:t>
            </w:r>
          </w:p>
          <w:p>
            <w:pPr>
              <w:numPr>
                <w:ilvl w:val="0"/>
                <w:numId w:val="2"/>
              </w:numPr>
              <w:spacing w:line="440" w:lineRule="exact"/>
              <w:rPr>
                <w:color w:val="auto"/>
                <w:highlight w:val="none"/>
              </w:rPr>
            </w:pPr>
            <w:r>
              <w:rPr>
                <w:rFonts w:hint="eastAsia"/>
                <w:color w:val="auto"/>
                <w:highlight w:val="none"/>
              </w:rPr>
              <w:t>（</w:t>
            </w:r>
            <w:r>
              <w:rPr>
                <w:color w:val="auto"/>
                <w:highlight w:val="none"/>
              </w:rPr>
              <w:t>2</w:t>
            </w:r>
            <w:r>
              <w:rPr>
                <w:rFonts w:hint="eastAsia"/>
                <w:color w:val="auto"/>
                <w:highlight w:val="none"/>
              </w:rPr>
              <w:t>）财务要求：</w:t>
            </w:r>
            <w:r>
              <w:rPr>
                <w:color w:val="auto"/>
                <w:highlight w:val="none"/>
              </w:rPr>
              <w:t>/</w:t>
            </w:r>
          </w:p>
          <w:p>
            <w:pPr>
              <w:spacing w:line="440" w:lineRule="exact"/>
              <w:rPr>
                <w:color w:val="auto"/>
                <w:highlight w:val="none"/>
              </w:rPr>
            </w:pPr>
            <w:r>
              <w:rPr>
                <w:rFonts w:hint="eastAsia"/>
                <w:color w:val="auto"/>
                <w:highlight w:val="none"/>
              </w:rPr>
              <w:t>（</w:t>
            </w:r>
            <w:r>
              <w:rPr>
                <w:color w:val="auto"/>
                <w:highlight w:val="none"/>
              </w:rPr>
              <w:t>3</w:t>
            </w:r>
            <w:r>
              <w:rPr>
                <w:rFonts w:hint="eastAsia"/>
                <w:color w:val="auto"/>
                <w:highlight w:val="none"/>
              </w:rPr>
              <w:t>）业绩要求：详见招标公告第</w:t>
            </w:r>
            <w:r>
              <w:rPr>
                <w:color w:val="auto"/>
                <w:highlight w:val="none"/>
                <w:u w:val="single"/>
              </w:rPr>
              <w:t>3.1.</w:t>
            </w:r>
            <w:r>
              <w:rPr>
                <w:rFonts w:hint="eastAsia"/>
                <w:color w:val="auto"/>
                <w:highlight w:val="none"/>
                <w:u w:val="single"/>
                <w:lang w:val="en-US" w:eastAsia="zh-CN"/>
              </w:rPr>
              <w:t>1</w:t>
            </w:r>
            <w:r>
              <w:rPr>
                <w:rFonts w:hint="eastAsia"/>
                <w:color w:val="auto"/>
                <w:highlight w:val="none"/>
              </w:rPr>
              <w:t>条</w:t>
            </w:r>
          </w:p>
          <w:p>
            <w:pPr>
              <w:spacing w:line="400" w:lineRule="exact"/>
              <w:rPr>
                <w:color w:val="auto"/>
                <w:highlight w:val="none"/>
              </w:rPr>
            </w:pPr>
            <w:r>
              <w:rPr>
                <w:rFonts w:hint="eastAsia"/>
                <w:color w:val="auto"/>
                <w:highlight w:val="none"/>
              </w:rPr>
              <w:t>（</w:t>
            </w:r>
            <w:r>
              <w:rPr>
                <w:color w:val="auto"/>
                <w:highlight w:val="none"/>
              </w:rPr>
              <w:t>4</w:t>
            </w:r>
            <w:r>
              <w:rPr>
                <w:rFonts w:hint="eastAsia"/>
                <w:color w:val="auto"/>
                <w:highlight w:val="none"/>
              </w:rPr>
              <w:t>）信誉要求：/</w:t>
            </w:r>
          </w:p>
          <w:p>
            <w:pPr>
              <w:spacing w:line="440" w:lineRule="exact"/>
              <w:rPr>
                <w:rFonts w:hint="eastAsia" w:eastAsia="宋体"/>
                <w:color w:val="auto"/>
                <w:highlight w:val="none"/>
                <w:lang w:eastAsia="zh-CN"/>
              </w:rPr>
            </w:pPr>
            <w:r>
              <w:rPr>
                <w:rFonts w:hint="eastAsia"/>
                <w:color w:val="auto"/>
                <w:highlight w:val="none"/>
              </w:rPr>
              <w:t>（</w:t>
            </w:r>
            <w:r>
              <w:rPr>
                <w:color w:val="auto"/>
                <w:highlight w:val="none"/>
              </w:rPr>
              <w:t>5</w:t>
            </w:r>
            <w:r>
              <w:rPr>
                <w:rFonts w:hint="eastAsia"/>
                <w:color w:val="auto"/>
                <w:highlight w:val="none"/>
              </w:rPr>
              <w:t>）</w:t>
            </w:r>
            <w:r>
              <w:rPr>
                <w:rFonts w:hint="eastAsia"/>
                <w:color w:val="auto"/>
                <w:highlight w:val="none"/>
                <w:lang w:val="en-US" w:eastAsia="zh-CN"/>
              </w:rPr>
              <w:t>项目经理</w:t>
            </w:r>
            <w:r>
              <w:rPr>
                <w:rFonts w:hint="eastAsia"/>
                <w:color w:val="auto"/>
                <w:highlight w:val="none"/>
              </w:rPr>
              <w:t>要求：</w:t>
            </w:r>
            <w:r>
              <w:rPr>
                <w:rFonts w:hint="eastAsia"/>
                <w:color w:val="auto"/>
                <w:highlight w:val="none"/>
                <w:lang w:val="en-US" w:eastAsia="zh-CN"/>
              </w:rPr>
              <w:t>/</w:t>
            </w:r>
          </w:p>
          <w:p>
            <w:pPr>
              <w:spacing w:line="440" w:lineRule="exact"/>
              <w:rPr>
                <w:color w:val="auto"/>
                <w:highlight w:val="none"/>
              </w:rPr>
            </w:pPr>
            <w:r>
              <w:rPr>
                <w:rFonts w:hint="eastAsia"/>
                <w:color w:val="auto"/>
                <w:highlight w:val="none"/>
              </w:rPr>
              <w:t>（6）其他</w:t>
            </w:r>
            <w:r>
              <w:rPr>
                <w:rFonts w:hint="eastAsia"/>
                <w:color w:val="auto"/>
                <w:highlight w:val="none"/>
                <w:lang w:val="en-US" w:eastAsia="zh-CN"/>
              </w:rPr>
              <w:t>主要</w:t>
            </w:r>
            <w:r>
              <w:rPr>
                <w:rFonts w:hint="eastAsia"/>
                <w:color w:val="auto"/>
                <w:highlight w:val="none"/>
              </w:rPr>
              <w:t>人员要求：</w:t>
            </w:r>
            <w:r>
              <w:rPr>
                <w:rFonts w:hint="eastAsia"/>
                <w:color w:val="auto"/>
                <w:highlight w:val="none"/>
                <w:lang w:val="en-US" w:eastAsia="zh-CN"/>
              </w:rPr>
              <w:t>/</w:t>
            </w:r>
          </w:p>
          <w:p>
            <w:pPr>
              <w:spacing w:line="440" w:lineRule="exact"/>
              <w:rPr>
                <w:color w:val="auto"/>
                <w:highlight w:val="none"/>
              </w:rPr>
            </w:pPr>
            <w:r>
              <w:rPr>
                <w:rFonts w:hint="eastAsia"/>
                <w:color w:val="auto"/>
                <w:highlight w:val="none"/>
              </w:rPr>
              <w:t>（7）试验检测仪器设备要求：</w:t>
            </w:r>
            <w:r>
              <w:rPr>
                <w:color w:val="auto"/>
                <w:highlight w:val="none"/>
              </w:rPr>
              <w:t>/</w:t>
            </w:r>
          </w:p>
          <w:p>
            <w:pPr>
              <w:spacing w:line="360" w:lineRule="auto"/>
              <w:rPr>
                <w:color w:val="auto"/>
                <w:highlight w:val="none"/>
              </w:rPr>
            </w:pPr>
            <w:r>
              <w:rPr>
                <w:rFonts w:hint="eastAsia"/>
                <w:color w:val="auto"/>
                <w:highlight w:val="none"/>
              </w:rPr>
              <w:t>（</w:t>
            </w:r>
            <w:r>
              <w:rPr>
                <w:color w:val="auto"/>
                <w:highlight w:val="none"/>
              </w:rPr>
              <w:t>8</w:t>
            </w:r>
            <w:r>
              <w:rPr>
                <w:rFonts w:hint="eastAsia"/>
                <w:color w:val="auto"/>
                <w:highlight w:val="none"/>
              </w:rPr>
              <w:t>）其他要求：详见招标公告第</w:t>
            </w:r>
            <w:r>
              <w:rPr>
                <w:color w:val="auto"/>
                <w:highlight w:val="none"/>
                <w:u w:val="single"/>
              </w:rPr>
              <w:t>3.1.</w:t>
            </w:r>
            <w:r>
              <w:rPr>
                <w:rFonts w:hint="eastAsia"/>
                <w:color w:val="auto"/>
                <w:highlight w:val="none"/>
                <w:u w:val="single"/>
                <w:lang w:val="en-US" w:eastAsia="zh-CN"/>
              </w:rPr>
              <w:t>2</w:t>
            </w:r>
            <w:r>
              <w:rPr>
                <w:rFonts w:hint="eastAsia"/>
                <w:color w:val="auto"/>
                <w:highlight w:val="none"/>
                <w:u w:val="single"/>
              </w:rPr>
              <w:t>、3</w:t>
            </w:r>
            <w:r>
              <w:rPr>
                <w:rFonts w:hint="eastAsia"/>
                <w:color w:val="auto"/>
                <w:highlight w:val="none"/>
                <w:u w:val="single"/>
                <w:lang w:val="en-US" w:eastAsia="zh-CN"/>
              </w:rPr>
              <w:t>.3</w:t>
            </w:r>
            <w:r>
              <w:rPr>
                <w:rFonts w:hint="eastAsia"/>
                <w:color w:val="auto"/>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1.4.2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是否接受联合体投标</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color w:val="auto"/>
                <w:sz w:val="32"/>
                <w:highlight w:val="none"/>
                <w:u w:val="single"/>
              </w:rPr>
            </w:pPr>
            <w:r>
              <w:rPr>
                <w:rFonts w:hint="eastAsia"/>
                <w:color w:val="auto"/>
                <w:highlight w:val="none"/>
              </w:rPr>
              <w:t>不接受</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1.4.3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rFonts w:hint="eastAsia"/>
                <w:color w:val="auto"/>
                <w:szCs w:val="21"/>
                <w:highlight w:val="none"/>
              </w:rPr>
              <w:t>投标人不得存在的其他情形</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pStyle w:val="11"/>
              <w:rPr>
                <w:color w:val="auto"/>
                <w:highlight w:val="none"/>
              </w:rPr>
            </w:pPr>
            <w:bookmarkStart w:id="80" w:name="_Toc72758222"/>
            <w:bookmarkStart w:id="81" w:name="_Toc74157433"/>
            <w:bookmarkStart w:id="82" w:name="_Toc55573026"/>
            <w:bookmarkStart w:id="83" w:name="_Toc55571682"/>
            <w:bookmarkStart w:id="84" w:name="_Toc72500704"/>
            <w:bookmarkStart w:id="85" w:name="_Toc55572304"/>
            <w:bookmarkStart w:id="86" w:name="_Toc72740205"/>
            <w:r>
              <w:rPr>
                <w:rFonts w:hint="eastAsia"/>
                <w:color w:val="auto"/>
                <w:highlight w:val="none"/>
              </w:rPr>
              <w:t>/</w:t>
            </w:r>
            <w:bookmarkEnd w:id="80"/>
            <w:bookmarkEnd w:id="81"/>
            <w:bookmarkEnd w:id="82"/>
            <w:bookmarkEnd w:id="83"/>
            <w:bookmarkEnd w:id="84"/>
            <w:bookmarkEnd w:id="85"/>
            <w:bookmarkEnd w:id="86"/>
          </w:p>
        </w:tc>
      </w:tr>
      <w:tr>
        <w:tblPrEx>
          <w:tblCellMar>
            <w:top w:w="0" w:type="dxa"/>
            <w:left w:w="108" w:type="dxa"/>
            <w:bottom w:w="0" w:type="dxa"/>
            <w:right w:w="108" w:type="dxa"/>
          </w:tblCellMar>
        </w:tblPrEx>
        <w:trPr>
          <w:trHeight w:val="6595"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1.9.1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踏勘现场</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rFonts w:ascii="Times New Roman"/>
                <w:color w:val="auto"/>
                <w:sz w:val="21"/>
                <w:szCs w:val="21"/>
                <w:highlight w:val="none"/>
              </w:rPr>
            </w:pPr>
            <w:r>
              <w:rPr>
                <w:rFonts w:hint="eastAsia" w:hAnsi="宋体" w:cs="宋体"/>
                <w:color w:val="auto"/>
                <w:spacing w:val="-2"/>
                <w:position w:val="1"/>
                <w:highlight w:val="none"/>
                <w:bdr w:val="single" w:color="auto" w:sz="4" w:space="0"/>
              </w:rPr>
              <w:t>√</w:t>
            </w:r>
            <w:r>
              <w:rPr>
                <w:rFonts w:hint="eastAsia" w:ascii="Times New Roman"/>
                <w:color w:val="auto"/>
                <w:sz w:val="21"/>
                <w:szCs w:val="21"/>
                <w:highlight w:val="none"/>
              </w:rPr>
              <w:t>不组织</w:t>
            </w:r>
          </w:p>
          <w:p>
            <w:pPr>
              <w:pStyle w:val="7"/>
              <w:topLinePunct/>
              <w:spacing w:line="400" w:lineRule="exact"/>
              <w:rPr>
                <w:rFonts w:ascii="Times New Roman"/>
                <w:color w:val="auto"/>
                <w:sz w:val="21"/>
                <w:szCs w:val="21"/>
                <w:highlight w:val="none"/>
              </w:rPr>
            </w:pPr>
            <w:r>
              <w:rPr>
                <w:rFonts w:hint="eastAsia" w:ascii="Times New Roman"/>
                <w:color w:val="auto"/>
                <w:sz w:val="21"/>
                <w:szCs w:val="21"/>
                <w:highlight w:val="none"/>
              </w:rPr>
              <w:t>补充说明如下：</w:t>
            </w:r>
          </w:p>
          <w:p>
            <w:pPr>
              <w:pStyle w:val="7"/>
              <w:topLinePunct/>
              <w:spacing w:line="400" w:lineRule="exact"/>
              <w:rPr>
                <w:rFonts w:ascii="Times New Roman"/>
                <w:color w:val="auto"/>
                <w:sz w:val="21"/>
                <w:szCs w:val="21"/>
                <w:highlight w:val="none"/>
              </w:rPr>
            </w:pPr>
            <w:r>
              <w:rPr>
                <w:rFonts w:hint="eastAsia" w:ascii="Times New Roman"/>
                <w:color w:val="auto"/>
                <w:sz w:val="21"/>
                <w:szCs w:val="21"/>
                <w:highlight w:val="none"/>
              </w:rPr>
              <w:t>（</w:t>
            </w:r>
            <w:r>
              <w:rPr>
                <w:rFonts w:ascii="Times New Roman"/>
                <w:color w:val="auto"/>
                <w:sz w:val="21"/>
                <w:szCs w:val="21"/>
                <w:highlight w:val="none"/>
              </w:rPr>
              <w:t>1</w:t>
            </w:r>
            <w:r>
              <w:rPr>
                <w:rFonts w:hint="eastAsia" w:ascii="Times New Roman"/>
                <w:color w:val="auto"/>
                <w:sz w:val="21"/>
                <w:szCs w:val="21"/>
                <w:highlight w:val="none"/>
              </w:rPr>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pStyle w:val="7"/>
              <w:topLinePunct/>
              <w:spacing w:line="400" w:lineRule="exact"/>
              <w:rPr>
                <w:rFonts w:ascii="Times New Roman"/>
                <w:color w:val="auto"/>
                <w:sz w:val="21"/>
                <w:szCs w:val="21"/>
                <w:highlight w:val="none"/>
              </w:rPr>
            </w:pPr>
            <w:r>
              <w:rPr>
                <w:rFonts w:hint="eastAsia" w:ascii="Times New Roman"/>
                <w:color w:val="auto"/>
                <w:sz w:val="21"/>
                <w:szCs w:val="21"/>
                <w:highlight w:val="none"/>
              </w:rPr>
              <w:t>（</w:t>
            </w:r>
            <w:r>
              <w:rPr>
                <w:rFonts w:ascii="Times New Roman"/>
                <w:color w:val="auto"/>
                <w:sz w:val="21"/>
                <w:szCs w:val="21"/>
                <w:highlight w:val="none"/>
              </w:rPr>
              <w:t>2</w:t>
            </w:r>
            <w:r>
              <w:rPr>
                <w:rFonts w:hint="eastAsia" w:ascii="Times New Roman"/>
                <w:color w:val="auto"/>
                <w:sz w:val="21"/>
                <w:szCs w:val="21"/>
                <w:highlight w:val="none"/>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7"/>
              <w:topLinePunct/>
              <w:spacing w:line="400" w:lineRule="exact"/>
              <w:rPr>
                <w:rFonts w:ascii="Times New Roman"/>
                <w:color w:val="auto"/>
                <w:sz w:val="21"/>
                <w:szCs w:val="21"/>
                <w:highlight w:val="none"/>
              </w:rPr>
            </w:pPr>
            <w:r>
              <w:rPr>
                <w:rFonts w:hint="eastAsia" w:ascii="Times New Roman"/>
                <w:color w:val="auto"/>
                <w:sz w:val="21"/>
                <w:szCs w:val="21"/>
                <w:highlight w:val="none"/>
              </w:rPr>
              <w:t>（</w:t>
            </w:r>
            <w:r>
              <w:rPr>
                <w:rFonts w:ascii="Times New Roman"/>
                <w:color w:val="auto"/>
                <w:sz w:val="21"/>
                <w:szCs w:val="21"/>
                <w:highlight w:val="none"/>
              </w:rPr>
              <w:t>3</w:t>
            </w:r>
            <w:r>
              <w:rPr>
                <w:rFonts w:hint="eastAsia" w:ascii="Times New Roman"/>
                <w:color w:val="auto"/>
                <w:sz w:val="21"/>
                <w:szCs w:val="21"/>
                <w:highlight w:val="none"/>
              </w:rPr>
              <w:t>）在现场考察中由招标人提供的资料和数据，只是为了使投标人能够利用招标人现有的资料。招标人对投标人由此而作出的推论、解释和结论概不负责。</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1.10.1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投标预备会</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color w:val="auto"/>
                <w:highlight w:val="none"/>
              </w:rPr>
            </w:pPr>
            <w:r>
              <w:rPr>
                <w:rFonts w:hint="eastAsia" w:ascii="Times New Roman"/>
                <w:color w:val="auto"/>
                <w:sz w:val="21"/>
                <w:szCs w:val="22"/>
                <w:highlight w:val="none"/>
              </w:rPr>
              <w:t>不召开</w:t>
            </w:r>
          </w:p>
        </w:tc>
      </w:tr>
      <w:tr>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1.10.2</w:t>
            </w:r>
          </w:p>
        </w:tc>
        <w:tc>
          <w:tcPr>
            <w:tcW w:w="24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投标人在投标预备会前提出问题</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时间：</w:t>
            </w:r>
            <w:r>
              <w:rPr>
                <w:color w:val="auto"/>
                <w:highlight w:val="none"/>
              </w:rPr>
              <w:t>/</w:t>
            </w:r>
          </w:p>
        </w:tc>
      </w:tr>
      <w:tr>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形式：</w:t>
            </w:r>
            <w:r>
              <w:rPr>
                <w:color w:val="auto"/>
                <w:highlight w:val="none"/>
              </w:rPr>
              <w:t>/</w:t>
            </w:r>
          </w:p>
        </w:tc>
      </w:tr>
      <w:tr>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1.10.3</w:t>
            </w:r>
          </w:p>
        </w:tc>
        <w:tc>
          <w:tcPr>
            <w:tcW w:w="2495" w:type="dxa"/>
            <w:tcBorders>
              <w:top w:val="nil"/>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招标文件澄清发出的形式</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w:t>
            </w:r>
          </w:p>
        </w:tc>
      </w:tr>
      <w:tr>
        <w:tblPrEx>
          <w:tblCellMar>
            <w:top w:w="0" w:type="dxa"/>
            <w:left w:w="108" w:type="dxa"/>
            <w:bottom w:w="0" w:type="dxa"/>
            <w:right w:w="108" w:type="dxa"/>
          </w:tblCellMar>
        </w:tblPrEx>
        <w:trPr>
          <w:trHeight w:val="552"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1.12.1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其他实质性要求和条件</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rFonts w:ascii="Times New Roman"/>
                <w:color w:val="auto"/>
                <w:sz w:val="21"/>
                <w:szCs w:val="22"/>
                <w:highlight w:val="none"/>
              </w:rPr>
            </w:pPr>
            <w:r>
              <w:rPr>
                <w:rFonts w:ascii="Times New Roman"/>
                <w:color w:val="auto"/>
                <w:highlight w:val="none"/>
              </w:rPr>
              <w:t>/</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1.12.3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偏差</w:t>
            </w:r>
          </w:p>
        </w:tc>
        <w:tc>
          <w:tcPr>
            <w:tcW w:w="565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szCs w:val="21"/>
                <w:highlight w:val="none"/>
              </w:rPr>
            </w:pPr>
            <w:r>
              <w:rPr>
                <w:rFonts w:hint="eastAsia" w:ascii="宋体" w:hAnsi="宋体" w:cs="宋体"/>
                <w:color w:val="auto"/>
                <w:spacing w:val="-2"/>
                <w:position w:val="1"/>
                <w:highlight w:val="none"/>
                <w:bdr w:val="single" w:color="auto" w:sz="4" w:space="0"/>
              </w:rPr>
              <w:t>√</w:t>
            </w:r>
            <w:r>
              <w:rPr>
                <w:rFonts w:hint="eastAsia"/>
                <w:color w:val="auto"/>
                <w:szCs w:val="21"/>
                <w:highlight w:val="none"/>
              </w:rPr>
              <w:t>不允许</w:t>
            </w:r>
          </w:p>
          <w:p>
            <w:pPr>
              <w:pStyle w:val="7"/>
              <w:topLinePunct/>
              <w:spacing w:line="400" w:lineRule="exact"/>
              <w:rPr>
                <w:rFonts w:ascii="Times New Roman"/>
                <w:color w:val="auto"/>
                <w:sz w:val="21"/>
                <w:szCs w:val="22"/>
                <w:highlight w:val="none"/>
                <w:u w:val="single"/>
              </w:rPr>
            </w:pPr>
            <w:r>
              <w:rPr>
                <w:rFonts w:hint="eastAsia"/>
                <w:color w:val="auto"/>
                <w:highlight w:val="none"/>
              </w:rPr>
              <w:t>□</w:t>
            </w:r>
            <w:r>
              <w:rPr>
                <w:rFonts w:hint="eastAsia" w:ascii="Times New Roman"/>
                <w:color w:val="auto"/>
                <w:sz w:val="21"/>
                <w:szCs w:val="21"/>
                <w:highlight w:val="none"/>
              </w:rPr>
              <w:t>允许，</w:t>
            </w:r>
            <w:r>
              <w:rPr>
                <w:rFonts w:hint="eastAsia" w:ascii="Times New Roman"/>
                <w:color w:val="auto"/>
                <w:sz w:val="21"/>
                <w:szCs w:val="22"/>
                <w:highlight w:val="none"/>
              </w:rPr>
              <w:t>偏差范围：</w:t>
            </w:r>
            <w:r>
              <w:rPr>
                <w:rFonts w:ascii="Times New Roman"/>
                <w:color w:val="auto"/>
                <w:sz w:val="21"/>
                <w:szCs w:val="22"/>
                <w:highlight w:val="none"/>
                <w:u w:val="single"/>
              </w:rPr>
              <w:t xml:space="preserve">     </w:t>
            </w:r>
          </w:p>
          <w:p>
            <w:pPr>
              <w:pStyle w:val="7"/>
              <w:topLinePunct/>
              <w:spacing w:line="400" w:lineRule="exact"/>
              <w:ind w:firstLine="945" w:firstLineChars="450"/>
              <w:rPr>
                <w:rFonts w:ascii="Times New Roman"/>
                <w:color w:val="auto"/>
                <w:sz w:val="21"/>
                <w:szCs w:val="22"/>
                <w:highlight w:val="none"/>
              </w:rPr>
            </w:pPr>
            <w:r>
              <w:rPr>
                <w:rFonts w:hint="eastAsia" w:ascii="Times New Roman"/>
                <w:color w:val="auto"/>
                <w:sz w:val="21"/>
                <w:szCs w:val="22"/>
                <w:highlight w:val="none"/>
              </w:rPr>
              <w:t>偏差幅度：</w:t>
            </w:r>
            <w:r>
              <w:rPr>
                <w:rFonts w:ascii="Times New Roman"/>
                <w:color w:val="auto"/>
                <w:sz w:val="21"/>
                <w:szCs w:val="22"/>
                <w:highlight w:val="none"/>
                <w:u w:val="single"/>
              </w:rPr>
              <w:t xml:space="preserve">     </w:t>
            </w:r>
          </w:p>
        </w:tc>
      </w:tr>
      <w:tr>
        <w:tblPrEx>
          <w:tblCellMar>
            <w:top w:w="0" w:type="dxa"/>
            <w:left w:w="108" w:type="dxa"/>
            <w:bottom w:w="0" w:type="dxa"/>
            <w:right w:w="108" w:type="dxa"/>
          </w:tblCellMar>
        </w:tblPrEx>
        <w:trPr>
          <w:trHeight w:val="90"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构成招标文件的其他资料</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w:t>
            </w:r>
          </w:p>
        </w:tc>
      </w:tr>
      <w:tr>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2.2.1</w:t>
            </w:r>
          </w:p>
        </w:tc>
        <w:tc>
          <w:tcPr>
            <w:tcW w:w="24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投标人要求澄清招标文件</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时间：</w:t>
            </w:r>
            <w:r>
              <w:rPr>
                <w:color w:val="auto"/>
                <w:szCs w:val="21"/>
                <w:highlight w:val="none"/>
                <w:u w:val="single"/>
              </w:rPr>
              <w:t xml:space="preserve"> </w:t>
            </w:r>
            <w:r>
              <w:rPr>
                <w:rFonts w:hint="eastAsia"/>
                <w:color w:val="auto"/>
                <w:szCs w:val="21"/>
                <w:highlight w:val="none"/>
                <w:u w:val="single"/>
              </w:rPr>
              <w:t>202</w:t>
            </w:r>
            <w:r>
              <w:rPr>
                <w:rFonts w:hint="eastAsia"/>
                <w:color w:val="auto"/>
                <w:szCs w:val="21"/>
                <w:highlight w:val="none"/>
                <w:u w:val="single"/>
                <w:lang w:val="en-US" w:eastAsia="zh-CN"/>
              </w:rPr>
              <w:t>5</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u w:val="single"/>
              </w:rPr>
              <w:t xml:space="preserve">    </w:t>
            </w:r>
            <w:r>
              <w:rPr>
                <w:rFonts w:hint="eastAsia"/>
                <w:color w:val="auto"/>
                <w:szCs w:val="21"/>
                <w:highlight w:val="none"/>
              </w:rPr>
              <w:t>时（</w:t>
            </w:r>
            <w:r>
              <w:rPr>
                <w:rFonts w:hint="eastAsia" w:ascii="宋体" w:hAnsi="宋体"/>
                <w:color w:val="auto"/>
                <w:highlight w:val="none"/>
              </w:rPr>
              <w:t>在提交投标文件截止时间15天前提出）</w:t>
            </w:r>
          </w:p>
        </w:tc>
      </w:tr>
      <w:tr>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color w:val="auto"/>
                <w:highlight w:val="none"/>
                <w:u w:val="single"/>
              </w:rPr>
            </w:pPr>
            <w:r>
              <w:rPr>
                <w:rFonts w:hint="eastAsia"/>
                <w:color w:val="auto"/>
                <w:highlight w:val="none"/>
              </w:rPr>
              <w:t>形式：</w:t>
            </w:r>
            <w:r>
              <w:rPr>
                <w:rFonts w:hint="eastAsia"/>
                <w:color w:val="auto"/>
                <w:highlight w:val="none"/>
                <w:u w:val="single"/>
              </w:rPr>
              <w:t>在广州公共资源交易中心网站通过项目答疑专区网上公开发布</w:t>
            </w:r>
          </w:p>
          <w:p>
            <w:pPr>
              <w:spacing w:line="440" w:lineRule="exact"/>
              <w:rPr>
                <w:color w:val="auto"/>
                <w:highlight w:val="none"/>
              </w:rPr>
            </w:pPr>
            <w:r>
              <w:rPr>
                <w:rFonts w:hint="eastAsia"/>
                <w:color w:val="auto"/>
                <w:highlight w:val="none"/>
              </w:rPr>
              <w:t>（</w:t>
            </w:r>
            <w:r>
              <w:rPr>
                <w:color w:val="auto"/>
                <w:highlight w:val="none"/>
              </w:rPr>
              <w:t>1</w:t>
            </w:r>
            <w:r>
              <w:rPr>
                <w:rFonts w:hint="eastAsia"/>
                <w:color w:val="auto"/>
                <w:highlight w:val="none"/>
              </w:rPr>
              <w:t>）招标答疑采用网上答疑方式进行。投标人若对招标文件（包括招标图纸、清单、招标控制价）有疑问的，</w:t>
            </w:r>
            <w:r>
              <w:rPr>
                <w:rFonts w:hint="eastAsia" w:ascii="宋体" w:hAnsi="宋体" w:cs="宋体"/>
                <w:color w:val="auto"/>
                <w:szCs w:val="21"/>
                <w:highlight w:val="none"/>
              </w:rPr>
              <w:t>可在规定的时间内通过广州公共资源交易中心网站进入“招标答疑提问”页面将问题提交给招标人或招标代理人，提交问题时一律不得署名。</w:t>
            </w:r>
          </w:p>
          <w:p>
            <w:pPr>
              <w:spacing w:line="440" w:lineRule="exact"/>
              <w:ind w:firstLine="435"/>
              <w:rPr>
                <w:color w:val="auto"/>
                <w:highlight w:val="none"/>
              </w:rPr>
            </w:pPr>
            <w:r>
              <w:rPr>
                <w:rFonts w:hint="eastAsia"/>
                <w:color w:val="auto"/>
                <w:highlight w:val="none"/>
              </w:rPr>
              <w:t>网上答疑的操作指南为：</w:t>
            </w:r>
            <w:r>
              <w:rPr>
                <w:rFonts w:hint="eastAsia" w:ascii="宋体" w:hAnsi="宋体" w:cs="宋体"/>
                <w:color w:val="auto"/>
                <w:szCs w:val="21"/>
                <w:highlight w:val="none"/>
              </w:rPr>
              <w:t>登录广州公共资源交易中心数字交易平台→进入“我的投标”页面→进入“招标答疑提问”页面→通过项目编号或名称找到所需的项目→在上述的答疑时间内点击“答疑提问”→无记名或匿名提出问题。</w:t>
            </w:r>
          </w:p>
          <w:p>
            <w:pPr>
              <w:spacing w:line="440" w:lineRule="exact"/>
              <w:rPr>
                <w:color w:val="auto"/>
                <w:highlight w:val="none"/>
              </w:rPr>
            </w:pPr>
            <w:r>
              <w:rPr>
                <w:rFonts w:hint="eastAsia"/>
                <w:color w:val="auto"/>
                <w:highlight w:val="none"/>
              </w:rPr>
              <w:t>（</w:t>
            </w:r>
            <w:r>
              <w:rPr>
                <w:color w:val="auto"/>
                <w:highlight w:val="none"/>
              </w:rPr>
              <w:t>2</w:t>
            </w:r>
            <w:r>
              <w:rPr>
                <w:rFonts w:hint="eastAsia"/>
                <w:color w:val="auto"/>
                <w:highlight w:val="none"/>
              </w:rPr>
              <w:t>）投标人应在投标截止时间</w:t>
            </w:r>
            <w:r>
              <w:rPr>
                <w:color w:val="auto"/>
                <w:highlight w:val="none"/>
                <w:u w:val="single"/>
              </w:rPr>
              <w:t xml:space="preserve">  </w:t>
            </w:r>
            <w:r>
              <w:rPr>
                <w:rFonts w:hint="eastAsia"/>
                <w:color w:val="auto"/>
                <w:highlight w:val="none"/>
                <w:u w:val="single"/>
              </w:rPr>
              <w:t>15</w:t>
            </w:r>
            <w:r>
              <w:rPr>
                <w:color w:val="auto"/>
                <w:highlight w:val="none"/>
                <w:u w:val="single"/>
              </w:rPr>
              <w:t xml:space="preserve">  </w:t>
            </w:r>
            <w:r>
              <w:rPr>
                <w:rFonts w:hint="eastAsia"/>
                <w:color w:val="auto"/>
                <w:highlight w:val="none"/>
              </w:rPr>
              <w:t>日前停止提问。</w:t>
            </w:r>
          </w:p>
        </w:tc>
      </w:tr>
      <w:tr>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2.2.2</w:t>
            </w:r>
          </w:p>
        </w:tc>
        <w:tc>
          <w:tcPr>
            <w:tcW w:w="2495" w:type="dxa"/>
            <w:tcBorders>
              <w:top w:val="nil"/>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招标文件澄清发出的形式</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本项目的招标文件澄清及答疑文件将在广州公共资源交易中心网上发布，投标人自行下载。从招标文件澄清及答疑文件发布之日起即视为投标人已确认收到。</w:t>
            </w:r>
          </w:p>
        </w:tc>
      </w:tr>
      <w:tr>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2.2.3</w:t>
            </w:r>
          </w:p>
        </w:tc>
        <w:tc>
          <w:tcPr>
            <w:tcW w:w="24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投标人确认收到招标文件澄清</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时间：</w:t>
            </w:r>
            <w:r>
              <w:rPr>
                <w:rFonts w:hint="eastAsia"/>
                <w:color w:val="auto"/>
                <w:szCs w:val="21"/>
                <w:highlight w:val="none"/>
                <w:u w:val="single"/>
              </w:rPr>
              <w:t>从招标文件澄清及答疑文件发布之日起即视为投标人已确认收到。</w:t>
            </w:r>
          </w:p>
        </w:tc>
      </w:tr>
      <w:tr>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形式：</w:t>
            </w:r>
            <w:r>
              <w:rPr>
                <w:rFonts w:hint="eastAsia"/>
                <w:color w:val="auto"/>
                <w:szCs w:val="21"/>
                <w:highlight w:val="none"/>
                <w:u w:val="single"/>
              </w:rPr>
              <w:t>本项目的招标文件澄清及答疑文件将在广州公共资源交易中心网发布，投标人自行下载。</w:t>
            </w:r>
          </w:p>
        </w:tc>
      </w:tr>
      <w:tr>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2.3.1</w:t>
            </w:r>
          </w:p>
        </w:tc>
        <w:tc>
          <w:tcPr>
            <w:tcW w:w="2495" w:type="dxa"/>
            <w:tcBorders>
              <w:top w:val="nil"/>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招标文件修改发出的形式</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在广州公共资源交易中心网站项目答疑专区或以补充公告形式发布。</w:t>
            </w:r>
          </w:p>
        </w:tc>
      </w:tr>
      <w:tr>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2.3.2</w:t>
            </w:r>
          </w:p>
        </w:tc>
        <w:tc>
          <w:tcPr>
            <w:tcW w:w="24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投标人确认收到招标文件修改</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时间：</w:t>
            </w:r>
            <w:r>
              <w:rPr>
                <w:rFonts w:hint="eastAsia"/>
                <w:color w:val="auto"/>
                <w:szCs w:val="21"/>
                <w:highlight w:val="none"/>
                <w:u w:val="single"/>
              </w:rPr>
              <w:t>从招标文件修改文件发布之日起即视为投标人已确认收到。</w:t>
            </w:r>
          </w:p>
        </w:tc>
      </w:tr>
      <w:tr>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形式：</w:t>
            </w:r>
            <w:r>
              <w:rPr>
                <w:rFonts w:hint="eastAsia"/>
                <w:color w:val="auto"/>
                <w:szCs w:val="21"/>
                <w:highlight w:val="none"/>
                <w:u w:val="single"/>
              </w:rPr>
              <w:t>本项目的招标文件修改文件将在广州公共资源交易中心网发布，投标人自行下载</w:t>
            </w:r>
            <w:r>
              <w:rPr>
                <w:rFonts w:hint="eastAsia"/>
                <w:color w:val="auto"/>
                <w:szCs w:val="21"/>
                <w:highlight w:val="none"/>
              </w:rPr>
              <w:t>。</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3.1.1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trike/>
                <w:color w:val="auto"/>
                <w:highlight w:val="none"/>
              </w:rPr>
            </w:pPr>
            <w:r>
              <w:rPr>
                <w:rFonts w:hint="eastAsia"/>
                <w:color w:val="auto"/>
                <w:highlight w:val="none"/>
              </w:rPr>
              <w:t>构成投标文件的其他资料</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eastAsia="宋体" w:cs="宋体"/>
                <w:color w:val="auto"/>
                <w:highlight w:val="none"/>
              </w:rPr>
              <w:t>投标单位组织</w:t>
            </w:r>
            <w:r>
              <w:rPr>
                <w:rFonts w:hint="eastAsia"/>
                <w:color w:val="auto"/>
                <w:highlight w:val="none"/>
              </w:rPr>
              <w:t>机构表（附框图）；</w:t>
            </w:r>
          </w:p>
          <w:p>
            <w:pPr>
              <w:spacing w:line="440" w:lineRule="exact"/>
              <w:rPr>
                <w:color w:val="auto"/>
                <w:highlight w:val="none"/>
              </w:rPr>
            </w:pPr>
            <w:r>
              <w:rPr>
                <w:rFonts w:hint="eastAsia"/>
                <w:color w:val="auto"/>
                <w:highlight w:val="none"/>
              </w:rPr>
              <w:t>（</w:t>
            </w:r>
            <w:r>
              <w:rPr>
                <w:color w:val="auto"/>
                <w:highlight w:val="none"/>
              </w:rPr>
              <w:t>2</w:t>
            </w:r>
            <w:r>
              <w:rPr>
                <w:rFonts w:hint="eastAsia"/>
                <w:color w:val="auto"/>
                <w:highlight w:val="none"/>
              </w:rPr>
              <w:t>）拟投入本项目的主要试验检测仪器设备表；</w:t>
            </w:r>
          </w:p>
          <w:p>
            <w:pPr>
              <w:spacing w:line="440" w:lineRule="exact"/>
              <w:rPr>
                <w:color w:val="auto"/>
                <w:highlight w:val="none"/>
              </w:rPr>
            </w:pPr>
            <w:r>
              <w:rPr>
                <w:rFonts w:hint="eastAsia"/>
                <w:color w:val="auto"/>
                <w:highlight w:val="none"/>
              </w:rPr>
              <w:t>（</w:t>
            </w:r>
            <w:r>
              <w:rPr>
                <w:color w:val="auto"/>
                <w:highlight w:val="none"/>
              </w:rPr>
              <w:t>3</w:t>
            </w:r>
            <w:r>
              <w:rPr>
                <w:rFonts w:hint="eastAsia"/>
                <w:color w:val="auto"/>
                <w:highlight w:val="none"/>
              </w:rPr>
              <w:t>）合同条款响应性承诺书；</w:t>
            </w:r>
          </w:p>
          <w:p>
            <w:pPr>
              <w:spacing w:line="440" w:lineRule="exact"/>
              <w:rPr>
                <w:color w:val="auto"/>
                <w:highlight w:val="none"/>
              </w:rPr>
            </w:pPr>
            <w:r>
              <w:rPr>
                <w:rFonts w:hint="eastAsia"/>
                <w:color w:val="auto"/>
                <w:highlight w:val="none"/>
              </w:rPr>
              <w:t>（</w:t>
            </w:r>
            <w:r>
              <w:rPr>
                <w:color w:val="auto"/>
                <w:highlight w:val="none"/>
              </w:rPr>
              <w:t>4</w:t>
            </w:r>
            <w:r>
              <w:rPr>
                <w:rFonts w:hint="eastAsia"/>
                <w:color w:val="auto"/>
                <w:highlight w:val="none"/>
              </w:rPr>
              <w:t>）</w:t>
            </w:r>
            <w:r>
              <w:rPr>
                <w:rFonts w:hint="eastAsia"/>
                <w:color w:val="auto"/>
                <w:highlight w:val="none"/>
                <w:lang w:val="en-US" w:eastAsia="zh-CN"/>
              </w:rPr>
              <w:t>设备集成服务</w:t>
            </w:r>
            <w:r>
              <w:rPr>
                <w:rFonts w:hint="eastAsia"/>
                <w:color w:val="auto"/>
                <w:highlight w:val="none"/>
              </w:rPr>
              <w:t>人员承诺函；</w:t>
            </w:r>
          </w:p>
          <w:p>
            <w:pPr>
              <w:spacing w:line="440" w:lineRule="exact"/>
              <w:rPr>
                <w:color w:val="auto"/>
                <w:highlight w:val="none"/>
              </w:rPr>
            </w:pPr>
            <w:r>
              <w:rPr>
                <w:rFonts w:hint="eastAsia"/>
                <w:color w:val="auto"/>
                <w:highlight w:val="none"/>
              </w:rPr>
              <w:t>（</w:t>
            </w:r>
            <w:r>
              <w:rPr>
                <w:color w:val="auto"/>
                <w:highlight w:val="none"/>
              </w:rPr>
              <w:t>5</w:t>
            </w:r>
            <w:r>
              <w:rPr>
                <w:rFonts w:hint="eastAsia"/>
                <w:color w:val="auto"/>
                <w:highlight w:val="none"/>
              </w:rPr>
              <w:t>）投标人认为需要提交的其他资料。</w:t>
            </w:r>
          </w:p>
          <w:p>
            <w:pPr>
              <w:spacing w:line="440" w:lineRule="exact"/>
              <w:rPr>
                <w:color w:val="auto"/>
                <w:highlight w:val="none"/>
              </w:rPr>
            </w:pPr>
            <w:r>
              <w:rPr>
                <w:rFonts w:hint="eastAsia"/>
                <w:color w:val="auto"/>
                <w:highlight w:val="none"/>
              </w:rPr>
              <w:t>具体内容要求按投标文件格式填写，均须用单位数字证书加盖电子印章。</w:t>
            </w:r>
          </w:p>
          <w:p>
            <w:pPr>
              <w:spacing w:line="440" w:lineRule="exact"/>
              <w:rPr>
                <w:color w:val="auto"/>
                <w:highlight w:val="none"/>
              </w:rPr>
            </w:pPr>
            <w:r>
              <w:rPr>
                <w:rFonts w:hint="eastAsia"/>
                <w:color w:val="auto"/>
                <w:highlight w:val="none"/>
              </w:rPr>
              <w:t>投标人必须按照招标文件提供的投标书格式的要求如实填写（表格可以按同样格式扩展、缩小，内容项目不能变化）。</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3.2.1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增值税税金的计算方法</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不含税总价</w:t>
            </w:r>
            <w:r>
              <w:rPr>
                <w:color w:val="auto"/>
                <w:highlight w:val="none"/>
              </w:rPr>
              <w:t>*6%</w:t>
            </w:r>
            <w:r>
              <w:rPr>
                <w:rFonts w:hint="eastAsia" w:ascii="宋体" w:hAnsi="宋体"/>
                <w:color w:val="auto"/>
                <w:highlight w:val="none"/>
              </w:rPr>
              <w:t>（税率暂按</w:t>
            </w:r>
            <w:r>
              <w:rPr>
                <w:color w:val="auto"/>
                <w:highlight w:val="none"/>
              </w:rPr>
              <w:t>6%</w:t>
            </w:r>
            <w:r>
              <w:rPr>
                <w:rFonts w:hint="eastAsia" w:ascii="宋体" w:hAnsi="宋体"/>
                <w:color w:val="auto"/>
                <w:highlight w:val="none"/>
              </w:rPr>
              <w:t>计，在合同履行期间，因国家税收政策调整，则合同价的增值税金额和合同总价相应调整）</w:t>
            </w:r>
          </w:p>
        </w:tc>
      </w:tr>
      <w:tr>
        <w:tblPrEx>
          <w:tblCellMar>
            <w:top w:w="0" w:type="dxa"/>
            <w:left w:w="108" w:type="dxa"/>
            <w:bottom w:w="0" w:type="dxa"/>
            <w:right w:w="108" w:type="dxa"/>
          </w:tblCellMar>
        </w:tblPrEx>
        <w:trPr>
          <w:trHeight w:val="530"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3.2.3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报价方式</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eastAsia="宋体" w:cs="宋体"/>
                <w:color w:val="auto"/>
                <w:highlight w:val="none"/>
              </w:rPr>
              <w:t>按设备集成服务报价清单自行报价（以“元”为单位，精确到小数位后</w:t>
            </w:r>
            <w:r>
              <w:rPr>
                <w:rFonts w:eastAsia="宋体" w:cs="宋体"/>
                <w:color w:val="auto"/>
                <w:highlight w:val="none"/>
              </w:rPr>
              <w:t>2</w:t>
            </w:r>
            <w:r>
              <w:rPr>
                <w:rFonts w:hint="eastAsia" w:eastAsia="宋体" w:cs="宋体"/>
                <w:color w:val="auto"/>
                <w:highlight w:val="none"/>
              </w:rPr>
              <w:t>位）</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3.2.4</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最高投标限价</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color w:val="auto"/>
                <w:highlight w:val="none"/>
              </w:rPr>
            </w:pPr>
            <w:r>
              <w:rPr>
                <w:rFonts w:hint="eastAsia" w:hAnsi="宋体" w:cs="宋体"/>
                <w:color w:val="auto"/>
                <w:spacing w:val="-2"/>
                <w:position w:val="1"/>
                <w:highlight w:val="none"/>
                <w:bdr w:val="single" w:color="auto" w:sz="4" w:space="0"/>
              </w:rPr>
              <w:t>√</w:t>
            </w:r>
            <w:r>
              <w:rPr>
                <w:rFonts w:hint="eastAsia"/>
                <w:color w:val="auto"/>
                <w:highlight w:val="none"/>
              </w:rPr>
              <w:t>有，最高投标限价：</w:t>
            </w:r>
          </w:p>
          <w:p>
            <w:pPr>
              <w:spacing w:line="560" w:lineRule="exact"/>
              <w:ind w:firstLine="420" w:firstLineChars="200"/>
              <w:rPr>
                <w:color w:val="auto"/>
                <w:highlight w:val="none"/>
              </w:rPr>
            </w:pPr>
            <w:r>
              <w:rPr>
                <w:rFonts w:hint="eastAsia" w:ascii="宋体" w:hAnsi="宋体" w:cs="宋体"/>
                <w:color w:val="auto"/>
                <w:szCs w:val="21"/>
                <w:highlight w:val="none"/>
                <w:u w:val="single"/>
                <w:lang w:val="en-US" w:eastAsia="zh-CN"/>
              </w:rPr>
              <w:t>12160000</w:t>
            </w:r>
            <w:r>
              <w:rPr>
                <w:rFonts w:hint="eastAsia" w:ascii="宋体" w:hAnsi="宋体" w:cs="宋体"/>
                <w:color w:val="auto"/>
                <w:szCs w:val="21"/>
                <w:highlight w:val="none"/>
              </w:rPr>
              <w:t>元</w:t>
            </w:r>
            <w:r>
              <w:rPr>
                <w:rFonts w:hint="eastAsia"/>
                <w:color w:val="auto"/>
                <w:highlight w:val="none"/>
              </w:rPr>
              <w:t>（即招标控制价，下同）</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3.2.5</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投标报价的其他要求</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对同一招标项目未出现两个或以上投标报价</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bookmarkStart w:id="87" w:name="_Toc361508582" w:colFirst="2" w:colLast="2"/>
            <w:bookmarkStart w:id="88" w:name="_Toc384308207" w:colFirst="2" w:colLast="2"/>
            <w:bookmarkStart w:id="89" w:name="_Toc352691470" w:colFirst="2" w:colLast="2"/>
            <w:bookmarkStart w:id="90" w:name="_Toc369531512" w:colFirst="2" w:colLast="2"/>
            <w:bookmarkStart w:id="91" w:name="_Toc300834946" w:colFirst="2" w:colLast="2"/>
            <w:bookmarkStart w:id="92" w:name="_Toc1789" w:colFirst="2" w:colLast="2"/>
            <w:r>
              <w:rPr>
                <w:color w:val="auto"/>
                <w:highlight w:val="none"/>
              </w:rPr>
              <w:t>3.3.1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投标有效期</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180</w:t>
            </w:r>
            <w:r>
              <w:rPr>
                <w:rFonts w:hint="eastAsia"/>
                <w:color w:val="auto"/>
                <w:highlight w:val="none"/>
              </w:rPr>
              <w:t>日历天（从投标截止之日算起）</w:t>
            </w:r>
          </w:p>
        </w:tc>
      </w:tr>
      <w:bookmarkEnd w:id="87"/>
      <w:bookmarkEnd w:id="88"/>
      <w:bookmarkEnd w:id="89"/>
      <w:bookmarkEnd w:id="90"/>
      <w:bookmarkEnd w:id="91"/>
      <w:bookmarkEnd w:id="92"/>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3.4.1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投标保证金</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rFonts w:hint="eastAsia" w:ascii="Times New Roman"/>
                <w:color w:val="auto"/>
                <w:sz w:val="21"/>
                <w:szCs w:val="22"/>
                <w:highlight w:val="none"/>
              </w:rPr>
            </w:pPr>
            <w:r>
              <w:rPr>
                <w:rFonts w:hint="eastAsia" w:hAnsi="宋体" w:cs="宋体"/>
                <w:color w:val="auto"/>
                <w:spacing w:val="-2"/>
                <w:position w:val="1"/>
                <w:highlight w:val="none"/>
                <w:bdr w:val="single" w:color="auto" w:sz="4" w:space="0"/>
              </w:rPr>
              <w:t>√</w:t>
            </w:r>
            <w:r>
              <w:rPr>
                <w:rFonts w:hint="eastAsia" w:ascii="Times New Roman"/>
                <w:color w:val="auto"/>
                <w:sz w:val="21"/>
                <w:szCs w:val="22"/>
                <w:highlight w:val="none"/>
              </w:rPr>
              <w:t>要求</w:t>
            </w:r>
          </w:p>
          <w:p>
            <w:pPr>
              <w:pStyle w:val="7"/>
              <w:topLinePunct/>
              <w:spacing w:line="400" w:lineRule="exact"/>
              <w:rPr>
                <w:rFonts w:hint="eastAsia" w:ascii="Times New Roman"/>
                <w:color w:val="auto"/>
                <w:sz w:val="21"/>
                <w:szCs w:val="22"/>
                <w:highlight w:val="none"/>
              </w:rPr>
            </w:pPr>
            <w:r>
              <w:rPr>
                <w:rFonts w:hint="eastAsia" w:ascii="Times New Roman"/>
                <w:color w:val="auto"/>
                <w:sz w:val="21"/>
                <w:szCs w:val="22"/>
                <w:highlight w:val="none"/>
              </w:rPr>
              <w:t>投标保证金</w:t>
            </w:r>
            <w:r>
              <w:rPr>
                <w:rFonts w:hint="eastAsia" w:ascii="Times New Roman"/>
                <w:color w:val="auto"/>
                <w:sz w:val="21"/>
                <w:szCs w:val="22"/>
                <w:highlight w:val="none"/>
                <w:lang w:val="en-US" w:eastAsia="zh-CN"/>
              </w:rPr>
              <w:t>金额</w:t>
            </w:r>
            <w:r>
              <w:rPr>
                <w:rFonts w:hint="eastAsia" w:ascii="Times New Roman"/>
                <w:color w:val="auto"/>
                <w:sz w:val="21"/>
                <w:szCs w:val="22"/>
                <w:highlight w:val="none"/>
              </w:rPr>
              <w:t>：</w:t>
            </w:r>
            <w:r>
              <w:rPr>
                <w:rFonts w:hint="eastAsia" w:ascii="Times New Roman"/>
                <w:color w:val="auto"/>
                <w:sz w:val="21"/>
                <w:szCs w:val="22"/>
                <w:highlight w:val="none"/>
                <w:u w:val="single"/>
              </w:rPr>
              <w:t>人民币10万元</w:t>
            </w:r>
          </w:p>
          <w:p>
            <w:pPr>
              <w:pStyle w:val="7"/>
              <w:topLinePunct/>
              <w:spacing w:line="400" w:lineRule="exact"/>
              <w:rPr>
                <w:rFonts w:hint="eastAsia" w:ascii="Times New Roman"/>
                <w:color w:val="auto"/>
                <w:sz w:val="21"/>
                <w:szCs w:val="22"/>
                <w:highlight w:val="none"/>
              </w:rPr>
            </w:pPr>
            <w:r>
              <w:rPr>
                <w:rFonts w:hint="eastAsia" w:ascii="Times New Roman"/>
                <w:color w:val="auto"/>
                <w:sz w:val="21"/>
                <w:szCs w:val="22"/>
                <w:highlight w:val="none"/>
              </w:rPr>
              <w:t>投标保证金的形式：转账、现金、支票、汇票、银行保函、保证保险、专业工程担保公司担保等能够实现保证目的的方式；须在递交投标文件截止时间前完成缴纳，否则视为放弃本次投标机会。</w:t>
            </w:r>
          </w:p>
          <w:p>
            <w:pPr>
              <w:pStyle w:val="7"/>
              <w:topLinePunct/>
              <w:spacing w:line="400" w:lineRule="exact"/>
              <w:rPr>
                <w:rFonts w:hint="eastAsia" w:ascii="Times New Roman" w:eastAsia="宋体"/>
                <w:color w:val="auto"/>
                <w:sz w:val="21"/>
                <w:szCs w:val="22"/>
                <w:highlight w:val="none"/>
                <w:lang w:eastAsia="zh-CN"/>
              </w:rPr>
            </w:pPr>
            <w:r>
              <w:rPr>
                <w:rFonts w:hint="eastAsia" w:ascii="Times New Roman"/>
                <w:color w:val="auto"/>
                <w:sz w:val="21"/>
                <w:szCs w:val="22"/>
                <w:highlight w:val="none"/>
              </w:rPr>
              <w:t>投标保证金有效期：应长于或等于投标有效期，若投标有效期延长的，有效期应相应延长，且延长后的有效期应满足前述要求</w:t>
            </w:r>
            <w:r>
              <w:rPr>
                <w:rFonts w:hint="eastAsia" w:ascii="Times New Roman"/>
                <w:color w:val="auto"/>
                <w:sz w:val="21"/>
                <w:szCs w:val="22"/>
                <w:highlight w:val="none"/>
                <w:lang w:eastAsia="zh-CN"/>
              </w:rPr>
              <w:t>。</w:t>
            </w:r>
          </w:p>
          <w:p>
            <w:pPr>
              <w:pStyle w:val="7"/>
              <w:topLinePunct/>
              <w:spacing w:line="400" w:lineRule="exact"/>
              <w:rPr>
                <w:rFonts w:hint="eastAsia" w:ascii="Times New Roman" w:hAnsi="Times New Roman"/>
                <w:color w:val="auto"/>
                <w:sz w:val="21"/>
                <w:szCs w:val="22"/>
                <w:highlight w:val="none"/>
                <w:u w:val="single"/>
                <w:lang w:eastAsia="zh-CN"/>
              </w:rPr>
            </w:pPr>
            <w:r>
              <w:rPr>
                <w:rFonts w:hint="eastAsia" w:ascii="Times New Roman" w:hAnsi="Times New Roman"/>
                <w:color w:val="auto"/>
                <w:sz w:val="21"/>
                <w:szCs w:val="22"/>
                <w:highlight w:val="none"/>
                <w:u w:val="single"/>
              </w:rPr>
              <w:t>（1）如采用转账、现金</w:t>
            </w:r>
            <w:r>
              <w:rPr>
                <w:rFonts w:hint="eastAsia" w:ascii="Times New Roman" w:hAnsi="Times New Roman"/>
                <w:color w:val="auto"/>
                <w:sz w:val="21"/>
                <w:szCs w:val="22"/>
                <w:highlight w:val="none"/>
                <w:u w:val="single"/>
                <w:lang w:eastAsia="zh-CN"/>
              </w:rPr>
              <w:t>、</w:t>
            </w:r>
            <w:r>
              <w:rPr>
                <w:rFonts w:hint="eastAsia" w:ascii="Times New Roman" w:hAnsi="Times New Roman"/>
                <w:color w:val="auto"/>
                <w:sz w:val="21"/>
                <w:szCs w:val="22"/>
                <w:highlight w:val="none"/>
                <w:u w:val="single"/>
              </w:rPr>
              <w:t>支票或汇票形式提交的</w:t>
            </w:r>
            <w:r>
              <w:rPr>
                <w:rFonts w:hint="eastAsia" w:ascii="Times New Roman" w:hAnsi="Times New Roman"/>
                <w:color w:val="auto"/>
                <w:sz w:val="21"/>
                <w:szCs w:val="22"/>
                <w:highlight w:val="none"/>
                <w:u w:val="single"/>
                <w:lang w:eastAsia="zh-CN"/>
              </w:rPr>
              <w:t>：</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lang w:val="en-US" w:eastAsia="zh-CN"/>
              </w:rPr>
              <w:t>①</w:t>
            </w:r>
            <w:r>
              <w:rPr>
                <w:rFonts w:hint="eastAsia" w:ascii="Times New Roman" w:hAnsi="Times New Roman"/>
                <w:color w:val="auto"/>
                <w:sz w:val="21"/>
                <w:szCs w:val="21"/>
                <w:highlight w:val="none"/>
                <w:u w:val="none"/>
              </w:rPr>
              <w:t>投标保证金缴纳账户：</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户名：</w:t>
            </w:r>
            <w:r>
              <w:rPr>
                <w:rFonts w:hint="eastAsia" w:hAnsi="宋体" w:cs="宋体"/>
                <w:color w:val="auto"/>
                <w:sz w:val="21"/>
                <w:szCs w:val="21"/>
                <w:highlight w:val="none"/>
                <w:u w:val="none"/>
                <w:shd w:val="clear" w:color="auto" w:fill="FFFFFF"/>
              </w:rPr>
              <w:t>广州交易集团有限公司</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开户银行：中国建设银行广州天润路支行</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银行账号：44001583404059333333</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咨询电话：</w:t>
            </w:r>
            <w:r>
              <w:rPr>
                <w:rFonts w:ascii="Times New Roman" w:hAnsi="Times New Roman"/>
                <w:color w:val="auto"/>
                <w:sz w:val="21"/>
                <w:szCs w:val="21"/>
                <w:highlight w:val="none"/>
                <w:u w:val="none"/>
              </w:rPr>
              <w:t>020-28866000</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lang w:val="en-US" w:eastAsia="zh-CN"/>
              </w:rPr>
              <w:t>②</w:t>
            </w:r>
            <w:r>
              <w:rPr>
                <w:rFonts w:hint="eastAsia" w:ascii="Times New Roman" w:hAnsi="Times New Roman"/>
                <w:color w:val="auto"/>
                <w:sz w:val="21"/>
                <w:szCs w:val="21"/>
                <w:highlight w:val="none"/>
                <w:u w:val="none"/>
              </w:rPr>
              <w:t>投标保证金的缴纳分两个步骤进行：</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1）投标人应从其基本账户将保证金按次汇入该账户。投标人可登陆交易中心网站查询汇款到账情况。</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2）</w:t>
            </w:r>
            <w:r>
              <w:rPr>
                <w:rFonts w:hint="eastAsia" w:ascii="Times New Roman" w:hAnsi="Times New Roman"/>
                <w:b/>
                <w:color w:val="auto"/>
                <w:sz w:val="21"/>
                <w:szCs w:val="21"/>
                <w:highlight w:val="none"/>
                <w:u w:val="none"/>
              </w:rPr>
              <w:t>款项到账后，投标人在完成投标登记后至开标前，可登陆交易中心网站，将上述到账资金转到对应的投标项目，完成保证金缴纳</w:t>
            </w:r>
            <w:r>
              <w:rPr>
                <w:rFonts w:hint="eastAsia" w:ascii="Times New Roman" w:hAnsi="Times New Roman"/>
                <w:color w:val="auto"/>
                <w:sz w:val="21"/>
                <w:szCs w:val="21"/>
                <w:highlight w:val="none"/>
                <w:u w:val="none"/>
              </w:rPr>
              <w:t>。</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注：请投标人于开标前预留充裕时间向广州公共资源交易中心缴纳本次投标保证金以确保投标保证金缴纳成功。</w:t>
            </w:r>
          </w:p>
          <w:p>
            <w:pPr>
              <w:pStyle w:val="7"/>
              <w:topLinePunct/>
              <w:spacing w:line="400" w:lineRule="exact"/>
              <w:rPr>
                <w:rFonts w:hint="eastAsia" w:ascii="Times New Roman" w:hAnsi="Times New Roman"/>
                <w:color w:val="auto"/>
                <w:sz w:val="21"/>
                <w:szCs w:val="22"/>
                <w:highlight w:val="none"/>
                <w:u w:val="none"/>
                <w:lang w:eastAsia="zh-CN"/>
              </w:rPr>
            </w:pPr>
            <w:r>
              <w:rPr>
                <w:rFonts w:hint="eastAsia" w:ascii="Times New Roman" w:hAnsi="Times New Roman"/>
                <w:color w:val="auto"/>
                <w:sz w:val="21"/>
                <w:szCs w:val="21"/>
                <w:highlight w:val="none"/>
                <w:u w:val="none"/>
                <w:lang w:val="en-US" w:eastAsia="zh-CN"/>
              </w:rPr>
              <w:t>③</w:t>
            </w:r>
            <w:r>
              <w:rPr>
                <w:rFonts w:hint="eastAsia" w:ascii="Times New Roman" w:hAnsi="Times New Roman"/>
                <w:color w:val="auto"/>
                <w:sz w:val="21"/>
                <w:szCs w:val="21"/>
                <w:highlight w:val="none"/>
                <w:u w:val="none"/>
              </w:rPr>
              <w:t>招标人委托广州公共资源交易中心具体实施保证金的收取和退还工作。缴款情况以广州公共资源交易中心数据库记录的信息为准。</w:t>
            </w:r>
          </w:p>
          <w:p>
            <w:pPr>
              <w:numPr>
                <w:ilvl w:val="0"/>
                <w:numId w:val="3"/>
              </w:numPr>
              <w:topLinePunct/>
              <w:spacing w:line="400" w:lineRule="exact"/>
              <w:rPr>
                <w:rFonts w:hint="eastAsia" w:ascii="Times New Roman" w:hAnsi="Times New Roman"/>
                <w:color w:val="auto"/>
                <w:highlight w:val="none"/>
                <w:u w:val="none"/>
              </w:rPr>
            </w:pPr>
            <w:r>
              <w:rPr>
                <w:rFonts w:hint="eastAsia" w:ascii="Times New Roman" w:hAnsi="Times New Roman"/>
                <w:color w:val="auto"/>
                <w:highlight w:val="none"/>
                <w:u w:val="single"/>
              </w:rPr>
              <w:t>如采用非电子形式</w:t>
            </w:r>
            <w:r>
              <w:rPr>
                <w:rFonts w:hint="eastAsia" w:ascii="Times New Roman" w:hAnsi="Times New Roman"/>
                <w:color w:val="auto"/>
                <w:highlight w:val="none"/>
                <w:u w:val="single"/>
                <w:lang w:eastAsia="zh-CN"/>
              </w:rPr>
              <w:t>（</w:t>
            </w:r>
            <w:r>
              <w:rPr>
                <w:rFonts w:hint="eastAsia" w:ascii="Times New Roman" w:hAnsi="Times New Roman"/>
                <w:color w:val="auto"/>
                <w:highlight w:val="none"/>
                <w:u w:val="single"/>
                <w:lang w:val="en-US" w:eastAsia="zh-CN"/>
              </w:rPr>
              <w:t>即</w:t>
            </w:r>
            <w:r>
              <w:rPr>
                <w:rFonts w:hint="eastAsia" w:ascii="Times New Roman" w:hAnsi="Times New Roman"/>
                <w:color w:val="auto"/>
                <w:sz w:val="21"/>
                <w:szCs w:val="21"/>
                <w:highlight w:val="none"/>
                <w:u w:val="single"/>
              </w:rPr>
              <w:t>纸质</w:t>
            </w:r>
            <w:r>
              <w:rPr>
                <w:rFonts w:hint="eastAsia" w:ascii="Times New Roman" w:hAnsi="Times New Roman"/>
                <w:color w:val="auto"/>
                <w:sz w:val="21"/>
                <w:szCs w:val="21"/>
                <w:highlight w:val="none"/>
                <w:u w:val="single"/>
                <w:lang w:val="en-US" w:eastAsia="zh-CN"/>
              </w:rPr>
              <w:t>形式</w:t>
            </w:r>
            <w:r>
              <w:rPr>
                <w:rFonts w:hint="eastAsia" w:ascii="Times New Roman" w:hAnsi="Times New Roman"/>
                <w:color w:val="auto"/>
                <w:highlight w:val="none"/>
                <w:u w:val="single"/>
                <w:lang w:eastAsia="zh-CN"/>
              </w:rPr>
              <w:t>）</w:t>
            </w:r>
            <w:r>
              <w:rPr>
                <w:rFonts w:hint="eastAsia" w:ascii="Times New Roman" w:hAnsi="Times New Roman"/>
                <w:color w:val="auto"/>
                <w:highlight w:val="none"/>
                <w:u w:val="single"/>
              </w:rPr>
              <w:t>的银行保函、专业工程担保公司担保</w:t>
            </w:r>
            <w:r>
              <w:rPr>
                <w:rFonts w:hint="eastAsia" w:ascii="Times New Roman" w:hAnsi="Times New Roman"/>
                <w:color w:val="auto"/>
                <w:highlight w:val="none"/>
                <w:u w:val="single"/>
                <w:lang w:val="en-US" w:eastAsia="zh-CN"/>
              </w:rPr>
              <w:t>或投标</w:t>
            </w:r>
            <w:r>
              <w:rPr>
                <w:rFonts w:hint="eastAsia" w:ascii="Times New Roman" w:hAnsi="Times New Roman"/>
                <w:color w:val="auto"/>
                <w:highlight w:val="none"/>
                <w:u w:val="single"/>
              </w:rPr>
              <w:t>保证保险提交的</w:t>
            </w:r>
            <w:r>
              <w:rPr>
                <w:rFonts w:hint="eastAsia" w:ascii="Times New Roman" w:hAnsi="Times New Roman"/>
                <w:color w:val="auto"/>
                <w:highlight w:val="none"/>
                <w:u w:val="none"/>
              </w:rPr>
              <w:t>，由招标人</w:t>
            </w:r>
            <w:r>
              <w:rPr>
                <w:rFonts w:hint="eastAsia" w:ascii="Times New Roman" w:hAnsi="Times New Roman"/>
                <w:color w:val="auto"/>
                <w:highlight w:val="none"/>
                <w:u w:val="none"/>
                <w:lang w:val="en-US" w:eastAsia="zh-CN"/>
              </w:rPr>
              <w:t>\招标代理</w:t>
            </w:r>
            <w:r>
              <w:rPr>
                <w:rFonts w:hint="eastAsia" w:ascii="Times New Roman" w:hAnsi="Times New Roman"/>
                <w:color w:val="auto"/>
                <w:highlight w:val="none"/>
                <w:u w:val="none"/>
              </w:rPr>
              <w:t>收</w:t>
            </w:r>
            <w:r>
              <w:rPr>
                <w:rFonts w:hint="eastAsia" w:ascii="Times New Roman" w:hAnsi="Times New Roman" w:cs="Times New Roman"/>
                <w:color w:val="auto"/>
                <w:highlight w:val="none"/>
                <w:u w:val="none"/>
              </w:rPr>
              <w:t>取</w:t>
            </w:r>
            <w:r>
              <w:rPr>
                <w:rFonts w:hint="eastAsia" w:ascii="Times New Roman" w:hAnsi="Times New Roman" w:cs="Times New Roman"/>
                <w:color w:val="auto"/>
                <w:highlight w:val="none"/>
                <w:u w:val="none"/>
                <w:lang w:eastAsia="zh-CN"/>
              </w:rPr>
              <w:t>，</w:t>
            </w:r>
            <w:r>
              <w:rPr>
                <w:rFonts w:hint="eastAsia" w:ascii="Times New Roman" w:hAnsi="Times New Roman" w:cs="Times New Roman"/>
                <w:b/>
                <w:bCs/>
                <w:color w:val="auto"/>
                <w:highlight w:val="none"/>
                <w:u w:val="none"/>
                <w:lang w:val="en-US" w:eastAsia="zh-CN"/>
              </w:rPr>
              <w:t>原件</w:t>
            </w:r>
            <w:r>
              <w:rPr>
                <w:rFonts w:hint="eastAsia" w:ascii="Times New Roman" w:hAnsi="Times New Roman" w:cs="Times New Roman"/>
                <w:b/>
                <w:bCs/>
                <w:color w:val="auto"/>
                <w:highlight w:val="none"/>
                <w:u w:val="none"/>
              </w:rPr>
              <w:t>须在投标截止时间前单独密封递交至开标室</w:t>
            </w:r>
            <w:r>
              <w:rPr>
                <w:rFonts w:hint="eastAsia" w:ascii="Times New Roman" w:hAnsi="Times New Roman" w:cs="Times New Roman"/>
                <w:color w:val="auto"/>
                <w:highlight w:val="none"/>
                <w:u w:val="none"/>
                <w:lang w:val="en-US" w:eastAsia="zh-CN"/>
              </w:rPr>
              <w:t>(</w:t>
            </w:r>
            <w:r>
              <w:rPr>
                <w:rFonts w:hint="eastAsia" w:ascii="Times New Roman" w:hAnsi="Times New Roman"/>
                <w:color w:val="auto"/>
                <w:highlight w:val="none"/>
                <w:u w:val="none"/>
                <w:lang w:eastAsia="zh-CN"/>
              </w:rPr>
              <w:t>密封袋上应写明“[</w:t>
            </w:r>
            <w:r>
              <w:rPr>
                <w:rFonts w:hint="eastAsia" w:ascii="Times New Roman" w:hAnsi="Times New Roman"/>
                <w:color w:val="auto"/>
                <w:highlight w:val="none"/>
                <w:u w:val="none"/>
                <w:lang w:val="en-US" w:eastAsia="zh-CN"/>
              </w:rPr>
              <w:t>项目</w:t>
            </w:r>
            <w:r>
              <w:rPr>
                <w:rFonts w:hint="eastAsia" w:ascii="Times New Roman" w:hAnsi="Times New Roman"/>
                <w:color w:val="auto"/>
                <w:highlight w:val="none"/>
                <w:u w:val="none"/>
                <w:lang w:eastAsia="zh-CN"/>
              </w:rPr>
              <w:t>名称]投标保证金凭证原件”，</w:t>
            </w:r>
            <w:r>
              <w:rPr>
                <w:rFonts w:hint="eastAsia" w:ascii="Times New Roman" w:hAnsi="Times New Roman"/>
                <w:color w:val="auto"/>
                <w:highlight w:val="none"/>
                <w:u w:val="none"/>
              </w:rPr>
              <w:t>时间及地点同递交投标文件备用光盘的时间及地点）</w:t>
            </w:r>
            <w:r>
              <w:rPr>
                <w:rFonts w:hint="eastAsia" w:ascii="Times New Roman" w:hAnsi="Times New Roman"/>
                <w:color w:val="auto"/>
                <w:highlight w:val="none"/>
                <w:u w:val="none"/>
                <w:lang w:eastAsia="zh-CN"/>
              </w:rPr>
              <w:t>，</w:t>
            </w:r>
            <w:r>
              <w:rPr>
                <w:rFonts w:hint="eastAsia" w:ascii="Times New Roman" w:hAnsi="Times New Roman" w:cs="Times New Roman"/>
                <w:color w:val="auto"/>
                <w:highlight w:val="none"/>
                <w:u w:val="none"/>
              </w:rPr>
              <w:t>其复印</w:t>
            </w:r>
            <w:r>
              <w:rPr>
                <w:rFonts w:hint="eastAsia" w:ascii="Times New Roman" w:hAnsi="Times New Roman"/>
                <w:color w:val="auto"/>
                <w:highlight w:val="none"/>
                <w:u w:val="none"/>
              </w:rPr>
              <w:t>件需附在投标文件中。投标人提供的银行保函、专业工程担保公司担保</w:t>
            </w:r>
            <w:r>
              <w:rPr>
                <w:rFonts w:hint="eastAsia" w:ascii="Times New Roman" w:hAnsi="Times New Roman"/>
                <w:color w:val="auto"/>
                <w:highlight w:val="none"/>
                <w:u w:val="none"/>
                <w:lang w:val="en-US" w:eastAsia="zh-CN"/>
              </w:rPr>
              <w:t>或投标</w:t>
            </w:r>
            <w:r>
              <w:rPr>
                <w:rFonts w:hint="eastAsia" w:ascii="Times New Roman" w:hAnsi="Times New Roman"/>
                <w:color w:val="auto"/>
                <w:highlight w:val="none"/>
                <w:u w:val="none"/>
              </w:rPr>
              <w:t>保证保险需开具给招标人</w:t>
            </w:r>
            <w:r>
              <w:rPr>
                <w:rFonts w:hint="eastAsia" w:ascii="Times New Roman" w:hAnsi="Times New Roman"/>
                <w:color w:val="auto"/>
                <w:highlight w:val="none"/>
                <w:u w:val="none"/>
                <w:lang w:eastAsia="zh-CN"/>
              </w:rPr>
              <w:t>，</w:t>
            </w:r>
            <w:r>
              <w:rPr>
                <w:rFonts w:hint="eastAsia" w:ascii="Times New Roman" w:hAnsi="Times New Roman"/>
                <w:color w:val="auto"/>
                <w:highlight w:val="none"/>
                <w:u w:val="none"/>
              </w:rPr>
              <w:t>应为无条件、见索即付、不可撤销的投标保证</w:t>
            </w:r>
            <w:r>
              <w:rPr>
                <w:rFonts w:hint="eastAsia" w:ascii="Times New Roman" w:hAnsi="Times New Roman"/>
                <w:color w:val="auto"/>
                <w:highlight w:val="none"/>
                <w:u w:val="none"/>
                <w:lang w:eastAsia="zh-CN"/>
              </w:rPr>
              <w:t>。</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highlight w:val="none"/>
                <w:u w:val="none"/>
                <w:lang w:val="en-US" w:eastAsia="zh-CN"/>
              </w:rPr>
              <w:t>注：</w:t>
            </w:r>
            <w:r>
              <w:rPr>
                <w:rFonts w:hint="eastAsia" w:ascii="Times New Roman" w:hAnsi="Times New Roman"/>
                <w:color w:val="auto"/>
                <w:sz w:val="21"/>
                <w:szCs w:val="21"/>
                <w:highlight w:val="none"/>
                <w:u w:val="none"/>
              </w:rPr>
              <w:t>采用纸质</w:t>
            </w:r>
            <w:r>
              <w:rPr>
                <w:rFonts w:hint="eastAsia" w:ascii="Times New Roman" w:hAnsi="Times New Roman"/>
                <w:color w:val="auto"/>
                <w:sz w:val="21"/>
                <w:szCs w:val="21"/>
                <w:highlight w:val="none"/>
                <w:u w:val="none"/>
                <w:lang w:val="en-US" w:eastAsia="zh-CN"/>
              </w:rPr>
              <w:t>形式银行</w:t>
            </w:r>
            <w:r>
              <w:rPr>
                <w:rFonts w:hint="eastAsia" w:ascii="Times New Roman" w:hAnsi="Times New Roman"/>
                <w:color w:val="auto"/>
                <w:sz w:val="21"/>
                <w:szCs w:val="21"/>
                <w:highlight w:val="none"/>
                <w:u w:val="none"/>
              </w:rPr>
              <w:t>保函递交的，应符合下列规定：</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a.采用招标文件提供的格式（</w:t>
            </w:r>
            <w:r>
              <w:rPr>
                <w:rFonts w:ascii="Times New Roman" w:hAnsi="Times New Roman"/>
                <w:color w:val="auto"/>
                <w:sz w:val="21"/>
                <w:szCs w:val="21"/>
                <w:highlight w:val="none"/>
                <w:u w:val="none"/>
              </w:rPr>
              <w:t>A8</w:t>
            </w:r>
            <w:r>
              <w:rPr>
                <w:rFonts w:hint="eastAsia" w:ascii="Times New Roman" w:hAnsi="Times New Roman"/>
                <w:color w:val="auto"/>
                <w:sz w:val="21"/>
                <w:szCs w:val="21"/>
                <w:highlight w:val="none"/>
                <w:u w:val="none"/>
              </w:rPr>
              <w:t>保函格式）或招标人接受的其它格式出具的银行保函；</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b.由招标人接受的银行（中国境内的银行或在中国境内注册的外国银行）开具；</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c.银行保函有效期与投标文件的有效期一致；</w:t>
            </w:r>
          </w:p>
          <w:p>
            <w:pPr>
              <w:pStyle w:val="7"/>
              <w:topLinePunct/>
              <w:spacing w:line="400" w:lineRule="exact"/>
              <w:rPr>
                <w:rFonts w:ascii="Times New Roman" w:hAnsi="Times New Roman"/>
                <w:color w:val="auto"/>
                <w:sz w:val="21"/>
                <w:szCs w:val="21"/>
                <w:highlight w:val="none"/>
                <w:u w:val="none"/>
              </w:rPr>
            </w:pPr>
            <w:r>
              <w:rPr>
                <w:rFonts w:hint="eastAsia" w:ascii="Times New Roman" w:hAnsi="Times New Roman"/>
                <w:color w:val="auto"/>
                <w:sz w:val="21"/>
                <w:szCs w:val="21"/>
                <w:highlight w:val="none"/>
                <w:u w:val="none"/>
              </w:rPr>
              <w:t>d.投标人须确保投标保函真实、有效，如发现投标保函虚假、无效，将根据本招标文件约定及按法律法规规定处理。</w:t>
            </w:r>
          </w:p>
          <w:p>
            <w:pPr>
              <w:pStyle w:val="7"/>
              <w:topLinePunct/>
              <w:spacing w:line="400" w:lineRule="exact"/>
              <w:rPr>
                <w:rFonts w:hint="eastAsia" w:ascii="Times New Roman" w:hAnsi="Times New Roman"/>
                <w:color w:val="auto"/>
                <w:sz w:val="21"/>
                <w:szCs w:val="22"/>
                <w:highlight w:val="none"/>
                <w:u w:val="none"/>
              </w:rPr>
            </w:pPr>
            <w:r>
              <w:rPr>
                <w:rFonts w:hint="eastAsia" w:ascii="Times New Roman" w:hAnsi="Times New Roman"/>
                <w:color w:val="auto"/>
                <w:sz w:val="21"/>
                <w:szCs w:val="22"/>
                <w:highlight w:val="none"/>
                <w:u w:val="single"/>
              </w:rPr>
              <w:t>（3）本项目允许</w:t>
            </w:r>
            <w:r>
              <w:rPr>
                <w:rFonts w:hint="eastAsia" w:ascii="Times New Roman" w:hAnsi="Times New Roman"/>
                <w:color w:val="auto"/>
                <w:sz w:val="21"/>
                <w:szCs w:val="22"/>
                <w:highlight w:val="none"/>
                <w:u w:val="single"/>
                <w:lang w:val="en-US" w:eastAsia="zh-CN"/>
              </w:rPr>
              <w:t>采用</w:t>
            </w:r>
            <w:r>
              <w:rPr>
                <w:rFonts w:hint="eastAsia" w:ascii="Times New Roman" w:hAnsi="Times New Roman"/>
                <w:color w:val="auto"/>
                <w:sz w:val="21"/>
                <w:szCs w:val="22"/>
                <w:highlight w:val="none"/>
                <w:u w:val="single"/>
              </w:rPr>
              <w:t>电子化形式保函、担保或保证保险递交投标保证金</w:t>
            </w:r>
            <w:r>
              <w:rPr>
                <w:rFonts w:hint="eastAsia" w:ascii="Times New Roman" w:hAnsi="Times New Roman"/>
                <w:color w:val="auto"/>
                <w:sz w:val="21"/>
                <w:szCs w:val="22"/>
                <w:highlight w:val="none"/>
                <w:u w:val="none"/>
              </w:rPr>
              <w:t>，具体操作详见广州公共资源交易中心网站的“广州公共资源交易中心关于进一步完善电子保函服务功能的通知”。</w:t>
            </w:r>
          </w:p>
          <w:p>
            <w:pPr>
              <w:pStyle w:val="7"/>
              <w:topLinePunct/>
              <w:spacing w:line="400" w:lineRule="exact"/>
              <w:rPr>
                <w:rFonts w:ascii="Times New Roman"/>
                <w:color w:val="auto"/>
                <w:szCs w:val="22"/>
                <w:highlight w:val="none"/>
              </w:rPr>
            </w:pPr>
            <w:r>
              <w:rPr>
                <w:rFonts w:ascii="Times New Roman"/>
                <w:color w:val="auto"/>
                <w:sz w:val="32"/>
                <w:highlight w:val="none"/>
              </w:rPr>
              <w:t>□</w:t>
            </w:r>
            <w:r>
              <w:rPr>
                <w:rFonts w:hint="eastAsia" w:ascii="Times New Roman"/>
                <w:color w:val="auto"/>
                <w:sz w:val="21"/>
                <w:szCs w:val="22"/>
                <w:highlight w:val="none"/>
              </w:rPr>
              <w:t>不要求</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3.4</w:t>
            </w:r>
            <w:r>
              <w:rPr>
                <w:color w:val="auto"/>
                <w:highlight w:val="none"/>
              </w:rPr>
              <w:t>.3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Cs w:val="21"/>
                <w:highlight w:val="none"/>
              </w:rPr>
            </w:pPr>
            <w:r>
              <w:rPr>
                <w:rFonts w:hint="eastAsia"/>
                <w:color w:val="auto"/>
                <w:szCs w:val="21"/>
                <w:highlight w:val="none"/>
              </w:rPr>
              <w:t>投标保证金的退还</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color w:val="auto"/>
                <w:highlight w:val="none"/>
              </w:rPr>
            </w:pPr>
            <w:r>
              <w:rPr>
                <w:rFonts w:hint="eastAsia"/>
                <w:color w:val="auto"/>
                <w:highlight w:val="none"/>
              </w:rPr>
              <w:t>3.4.3招标人应当在与中标通知书发出之日起后五日内，将投标保证金退回中标候选人以外的投标人，在书面合同订立之日起五日内将投标保证金退回中标人和其他中标候选人。</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3.4.4</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szCs w:val="21"/>
                <w:highlight w:val="none"/>
              </w:rPr>
              <w:t>其他可以不予退还投标保证金的情形</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eastAsia="宋体"/>
                <w:color w:val="auto"/>
                <w:highlight w:val="none"/>
                <w:lang w:eastAsia="zh-CN"/>
              </w:rPr>
            </w:pPr>
            <w:r>
              <w:rPr>
                <w:rFonts w:hint="eastAsia"/>
                <w:color w:val="auto"/>
                <w:highlight w:val="none"/>
              </w:rPr>
              <w:t>（1）投标人（在投标有效期内撤销其投标）除投标保证金不予退还外，招标人将上报政府建设管理相关部门</w:t>
            </w:r>
            <w:r>
              <w:rPr>
                <w:rFonts w:hint="eastAsia"/>
                <w:color w:val="auto"/>
                <w:highlight w:val="none"/>
                <w:lang w:eastAsia="zh-CN"/>
              </w:rPr>
              <w:t>。</w:t>
            </w:r>
          </w:p>
          <w:p>
            <w:pPr>
              <w:spacing w:line="440" w:lineRule="exact"/>
              <w:jc w:val="left"/>
              <w:rPr>
                <w:rFonts w:hint="eastAsia" w:eastAsia="宋体"/>
                <w:color w:val="auto"/>
                <w:highlight w:val="none"/>
                <w:lang w:eastAsia="zh-CN"/>
              </w:rPr>
            </w:pPr>
            <w:r>
              <w:rPr>
                <w:rFonts w:hint="eastAsia"/>
                <w:color w:val="auto"/>
                <w:highlight w:val="none"/>
              </w:rPr>
              <w:t>（2）投标人不接受经评标委员会修正后的评标价</w:t>
            </w:r>
            <w:r>
              <w:rPr>
                <w:rFonts w:hint="eastAsia"/>
                <w:color w:val="auto"/>
                <w:highlight w:val="none"/>
                <w:lang w:eastAsia="zh-CN"/>
              </w:rPr>
              <w:t>。</w:t>
            </w:r>
          </w:p>
          <w:p>
            <w:pPr>
              <w:spacing w:line="440" w:lineRule="exact"/>
              <w:jc w:val="left"/>
              <w:rPr>
                <w:rFonts w:hint="eastAsia"/>
                <w:color w:val="auto"/>
                <w:highlight w:val="none"/>
              </w:rPr>
            </w:pPr>
            <w:r>
              <w:rPr>
                <w:rFonts w:hint="eastAsia"/>
                <w:color w:val="auto"/>
                <w:highlight w:val="none"/>
              </w:rPr>
              <w:t>（3）经查实投标人有串通投标、弄虚作假等违法行为。</w:t>
            </w:r>
          </w:p>
          <w:p>
            <w:pPr>
              <w:spacing w:line="440" w:lineRule="exact"/>
              <w:jc w:val="left"/>
              <w:rPr>
                <w:rFonts w:hint="eastAsia"/>
                <w:color w:val="auto"/>
                <w:highlight w:val="none"/>
              </w:rPr>
            </w:pPr>
            <w:r>
              <w:rPr>
                <w:rFonts w:hint="eastAsia"/>
                <w:color w:val="auto"/>
                <w:highlight w:val="none"/>
              </w:rPr>
              <w:t>（4）如果中标人不</w:t>
            </w:r>
            <w:r>
              <w:rPr>
                <w:rFonts w:hint="eastAsia" w:ascii="Times New Roman" w:hAnsi="Times New Roman" w:eastAsia="宋体" w:cs="Times New Roman"/>
                <w:color w:val="auto"/>
                <w:highlight w:val="none"/>
              </w:rPr>
              <w:t>遵守本须知 7.6款或 7.7款的规定，招标人将有充分的理由废除授标，并不退还其投标保证金。</w:t>
            </w:r>
          </w:p>
          <w:p>
            <w:pPr>
              <w:spacing w:line="440" w:lineRule="exact"/>
              <w:jc w:val="left"/>
              <w:rPr>
                <w:rFonts w:hint="eastAsia"/>
                <w:color w:val="auto"/>
                <w:highlight w:val="none"/>
              </w:rPr>
            </w:pPr>
            <w:r>
              <w:rPr>
                <w:rFonts w:hint="eastAsia"/>
                <w:color w:val="auto"/>
                <w:highlight w:val="none"/>
              </w:rPr>
              <w:t>（5）投标人放弃中标（含对投标文件提出实质性修改）。</w:t>
            </w:r>
          </w:p>
          <w:p>
            <w:pPr>
              <w:spacing w:line="440" w:lineRule="exact"/>
              <w:jc w:val="left"/>
              <w:rPr>
                <w:rFonts w:hint="eastAsia"/>
                <w:color w:val="auto"/>
                <w:highlight w:val="none"/>
              </w:rPr>
            </w:pPr>
            <w:r>
              <w:rPr>
                <w:rFonts w:hint="eastAsia"/>
                <w:color w:val="auto"/>
                <w:highlight w:val="none"/>
              </w:rPr>
              <w:t>（6）投标人中标后未按招标文件要求办理相关手续，影响合同签订工作的。</w:t>
            </w:r>
          </w:p>
          <w:p>
            <w:pPr>
              <w:spacing w:line="440" w:lineRule="exact"/>
              <w:rPr>
                <w:color w:val="auto"/>
                <w:highlight w:val="none"/>
              </w:rPr>
            </w:pPr>
            <w:r>
              <w:rPr>
                <w:rFonts w:hint="eastAsia"/>
                <w:color w:val="auto"/>
                <w:highlight w:val="none"/>
              </w:rPr>
              <w:t>（7）</w:t>
            </w:r>
            <w:r>
              <w:rPr>
                <w:rFonts w:hint="eastAsia" w:ascii="宋体" w:hAnsi="宋体" w:cs="宋体"/>
                <w:color w:val="auto"/>
                <w:szCs w:val="21"/>
                <w:highlight w:val="none"/>
              </w:rPr>
              <w:t>投标人中标后未能按照招标文件规定向招标代理机构支付“</w:t>
            </w:r>
            <w:r>
              <w:rPr>
                <w:rFonts w:hint="eastAsia" w:ascii="宋体" w:hAnsi="宋体" w:cs="宋体"/>
                <w:color w:val="auto"/>
                <w:kern w:val="0"/>
                <w:szCs w:val="21"/>
                <w:highlight w:val="none"/>
              </w:rPr>
              <w:t>招标代理服务费</w:t>
            </w:r>
            <w:r>
              <w:rPr>
                <w:rFonts w:hint="eastAsia" w:ascii="宋体" w:hAnsi="宋体" w:cs="宋体"/>
                <w:color w:val="auto"/>
                <w:szCs w:val="21"/>
                <w:highlight w:val="none"/>
              </w:rPr>
              <w:t>”（适用于有招标代理的项目）。</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3.5</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rFonts w:hint="eastAsia"/>
                <w:color w:val="auto"/>
                <w:highlight w:val="none"/>
              </w:rPr>
              <w:t>资格审查资料</w:t>
            </w:r>
            <w:r>
              <w:rPr>
                <w:rFonts w:hint="eastAsia"/>
                <w:color w:val="auto"/>
                <w:szCs w:val="21"/>
                <w:highlight w:val="none"/>
              </w:rPr>
              <w:t>的特殊要求</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topLinePunct/>
              <w:spacing w:after="120" w:line="400" w:lineRule="exact"/>
              <w:rPr>
                <w:color w:val="auto"/>
                <w:szCs w:val="21"/>
                <w:highlight w:val="none"/>
              </w:rPr>
            </w:pPr>
            <w:r>
              <w:rPr>
                <w:color w:val="auto"/>
                <w:sz w:val="24"/>
                <w:highlight w:val="none"/>
                <w:bdr w:val="single" w:color="auto" w:sz="4" w:space="0"/>
              </w:rPr>
              <w:t xml:space="preserve">√ </w:t>
            </w:r>
            <w:r>
              <w:rPr>
                <w:rFonts w:hint="eastAsia"/>
                <w:color w:val="auto"/>
                <w:highlight w:val="none"/>
                <w:lang w:val="en-US" w:eastAsia="zh-CN"/>
              </w:rPr>
              <w:t xml:space="preserve"> </w:t>
            </w:r>
            <w:r>
              <w:rPr>
                <w:rFonts w:hint="eastAsia"/>
                <w:color w:val="auto"/>
                <w:highlight w:val="none"/>
              </w:rPr>
              <w:t>无</w:t>
            </w:r>
          </w:p>
          <w:p>
            <w:pPr>
              <w:spacing w:line="440" w:lineRule="exact"/>
              <w:rPr>
                <w:color w:val="auto"/>
                <w:highlight w:val="none"/>
              </w:rPr>
            </w:pPr>
            <w:r>
              <w:rPr>
                <w:rFonts w:hint="eastAsia"/>
                <w:color w:val="auto"/>
                <w:highlight w:val="none"/>
              </w:rPr>
              <w:t>□有，具体要求：</w:t>
            </w:r>
          </w:p>
          <w:p>
            <w:pPr>
              <w:spacing w:line="440" w:lineRule="exact"/>
              <w:rPr>
                <w:color w:val="auto"/>
                <w:highlight w:val="none"/>
              </w:rPr>
            </w:pPr>
            <w:r>
              <w:rPr>
                <w:rFonts w:hint="eastAsia"/>
                <w:color w:val="auto"/>
                <w:highlight w:val="none"/>
              </w:rPr>
              <w:t>（1）本招标项目不要求提供“近年财务状况表”、“正在监理和新承接的项目情况表”、“近年发生的诉讼及仲裁情况”作为资格审查内容；</w:t>
            </w:r>
          </w:p>
          <w:p>
            <w:pPr>
              <w:spacing w:line="440" w:lineRule="exact"/>
              <w:rPr>
                <w:rFonts w:hint="eastAsia"/>
                <w:color w:val="auto"/>
                <w:highlight w:val="none"/>
              </w:rPr>
            </w:pPr>
            <w:r>
              <w:rPr>
                <w:rFonts w:hint="eastAsia"/>
                <w:color w:val="auto"/>
                <w:highlight w:val="none"/>
              </w:rPr>
              <w:t>（2）本招标项目要求提供的“拟委任的主要人员汇总表”、 “主要人员简历表”、“拟投入本项目的主要试验检测仪器设备表”（详见投标文件格式），具体资格评审内容及标准详见评标办法。</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3.5.2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rFonts w:hint="eastAsia"/>
                <w:color w:val="auto"/>
                <w:highlight w:val="none"/>
              </w:rPr>
              <w:t>近年财务状况的年份要求</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u w:val="single"/>
              </w:rPr>
            </w:pPr>
            <w:r>
              <w:rPr>
                <w:color w:val="auto"/>
                <w:highlight w:val="none"/>
              </w:rPr>
              <w:t>/</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3.5.3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rFonts w:hint="eastAsia"/>
                <w:color w:val="auto"/>
                <w:highlight w:val="none"/>
              </w:rPr>
              <w:t>近年完成的类似项目情况的时间要求</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szCs w:val="24"/>
                <w:highlight w:val="none"/>
                <w:u w:val="single"/>
                <w:lang w:val="en-US" w:eastAsia="zh-CN"/>
              </w:rPr>
              <w:t>2020年1</w:t>
            </w:r>
            <w:r>
              <w:rPr>
                <w:rFonts w:hint="eastAsia"/>
                <w:color w:val="auto"/>
                <w:szCs w:val="24"/>
                <w:highlight w:val="none"/>
                <w:u w:val="single"/>
                <w:lang w:eastAsia="zh-CN"/>
              </w:rPr>
              <w:t>月</w:t>
            </w:r>
            <w:r>
              <w:rPr>
                <w:color w:val="auto"/>
                <w:szCs w:val="24"/>
                <w:highlight w:val="none"/>
                <w:u w:val="single"/>
              </w:rPr>
              <w:t xml:space="preserve"> </w:t>
            </w:r>
            <w:r>
              <w:rPr>
                <w:rFonts w:hint="eastAsia"/>
                <w:color w:val="auto"/>
                <w:szCs w:val="24"/>
                <w:highlight w:val="none"/>
                <w:u w:val="single"/>
              </w:rPr>
              <w:t>1</w:t>
            </w:r>
            <w:r>
              <w:rPr>
                <w:color w:val="auto"/>
                <w:szCs w:val="24"/>
                <w:highlight w:val="none"/>
                <w:u w:val="single"/>
              </w:rPr>
              <w:t xml:space="preserve"> </w:t>
            </w:r>
            <w:r>
              <w:rPr>
                <w:rFonts w:hint="eastAsia"/>
                <w:color w:val="auto"/>
                <w:szCs w:val="24"/>
                <w:highlight w:val="none"/>
              </w:rPr>
              <w:t>日至投标截止日</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3.5.5</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rFonts w:hint="eastAsia"/>
                <w:color w:val="auto"/>
                <w:highlight w:val="none"/>
              </w:rPr>
              <w:t>近年发生的诉讼及仲裁情况的时间要求</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3.6.1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是否允许递交备选投标方案</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color w:val="auto"/>
                <w:highlight w:val="none"/>
              </w:rPr>
            </w:pPr>
            <w:r>
              <w:rPr>
                <w:rFonts w:hint="eastAsia" w:hAnsi="宋体" w:cs="宋体"/>
                <w:color w:val="auto"/>
                <w:spacing w:val="-2"/>
                <w:position w:val="1"/>
                <w:highlight w:val="none"/>
                <w:bdr w:val="single" w:color="auto" w:sz="4" w:space="0"/>
              </w:rPr>
              <w:t>√</w:t>
            </w:r>
            <w:r>
              <w:rPr>
                <w:rFonts w:hint="eastAsia" w:ascii="Times New Roman"/>
                <w:color w:val="auto"/>
                <w:sz w:val="21"/>
                <w:szCs w:val="22"/>
                <w:highlight w:val="none"/>
              </w:rPr>
              <w:t>不允许</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3.7.3</w:t>
            </w:r>
            <w:r>
              <w:rPr>
                <w:rFonts w:hint="eastAsia"/>
                <w:color w:val="auto"/>
                <w:highlight w:val="none"/>
              </w:rPr>
              <w:t>（</w:t>
            </w:r>
            <w:r>
              <w:rPr>
                <w:color w:val="auto"/>
                <w:highlight w:val="none"/>
              </w:rPr>
              <w:t>B</w:t>
            </w:r>
            <w:r>
              <w:rPr>
                <w:rFonts w:hint="eastAsia"/>
                <w:color w:val="auto"/>
                <w:highlight w:val="none"/>
              </w:rPr>
              <w:t>）</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rFonts w:hint="eastAsia"/>
                <w:color w:val="auto"/>
                <w:highlight w:val="none"/>
              </w:rPr>
              <w:t>投标文件所附证书证件要求</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sz w:val="32"/>
                <w:highlight w:val="none"/>
              </w:rPr>
            </w:pPr>
            <w:r>
              <w:rPr>
                <w:rFonts w:hint="eastAsia" w:ascii="宋体" w:hAnsi="宋体" w:cs="宋体"/>
                <w:color w:val="auto"/>
                <w:szCs w:val="21"/>
                <w:highlight w:val="none"/>
              </w:rPr>
              <w:t>投标文件所附证书证件要求：证书证件需为原件清晰扫描件，并采用单位数字证书，按照招标文件要求在相应位置用单位数字证书加盖电子印章。</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3.7.3</w:t>
            </w:r>
            <w:r>
              <w:rPr>
                <w:rFonts w:hint="eastAsia"/>
                <w:color w:val="auto"/>
                <w:highlight w:val="none"/>
              </w:rPr>
              <w:t>（</w:t>
            </w:r>
            <w:r>
              <w:rPr>
                <w:color w:val="auto"/>
                <w:highlight w:val="none"/>
              </w:rPr>
              <w:t>B</w:t>
            </w:r>
            <w:r>
              <w:rPr>
                <w:rFonts w:hint="eastAsia"/>
                <w:color w:val="auto"/>
                <w:highlight w:val="none"/>
              </w:rPr>
              <w:t>）</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rFonts w:hint="eastAsia"/>
                <w:color w:val="auto"/>
                <w:highlight w:val="none"/>
              </w:rPr>
              <w:t>投标文件签字或盖章要求</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sz w:val="32"/>
                <w:highlight w:val="none"/>
              </w:rPr>
            </w:pPr>
            <w:r>
              <w:rPr>
                <w:rFonts w:hint="eastAsia" w:ascii="宋体" w:hAnsi="宋体" w:cs="宋体"/>
                <w:color w:val="auto"/>
                <w:szCs w:val="21"/>
                <w:highlight w:val="none"/>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4.1.1</w:t>
            </w:r>
            <w:r>
              <w:rPr>
                <w:rFonts w:hint="eastAsia"/>
                <w:color w:val="auto"/>
                <w:highlight w:val="none"/>
              </w:rPr>
              <w:t>（</w:t>
            </w:r>
            <w:r>
              <w:rPr>
                <w:color w:val="auto"/>
                <w:highlight w:val="none"/>
              </w:rPr>
              <w:t>B</w:t>
            </w:r>
            <w:r>
              <w:rPr>
                <w:rFonts w:hint="eastAsia"/>
                <w:color w:val="auto"/>
                <w:highlight w:val="none"/>
              </w:rPr>
              <w:t>）</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rFonts w:hint="eastAsia"/>
                <w:color w:val="auto"/>
                <w:highlight w:val="none"/>
              </w:rPr>
              <w:t>投标文件加密要求</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sz w:val="32"/>
                <w:highlight w:val="none"/>
              </w:rPr>
            </w:pPr>
            <w:r>
              <w:rPr>
                <w:rFonts w:hint="eastAsia" w:ascii="宋体" w:hAnsi="宋体" w:cs="宋体"/>
                <w:color w:val="auto"/>
                <w:szCs w:val="21"/>
                <w:highlight w:val="none"/>
              </w:rPr>
              <w:t>网上递交的电子投标文件须进行加密，具体操作详见《房屋建筑和市政基础设施工程全流程电子化项目操作专章》</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4.1.2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封套上应载明的信息</w:t>
            </w:r>
          </w:p>
          <w:p>
            <w:pPr>
              <w:spacing w:line="440" w:lineRule="exact"/>
              <w:jc w:val="center"/>
              <w:rPr>
                <w:color w:val="auto"/>
                <w:highlight w:val="none"/>
                <w:shd w:val="clear" w:color="auto" w:fill="D9D9D9"/>
              </w:rPr>
            </w:pPr>
            <w:r>
              <w:rPr>
                <w:rFonts w:hint="eastAsia"/>
                <w:color w:val="auto"/>
                <w:highlight w:val="none"/>
              </w:rPr>
              <w:t>（适用于提交备用光盘的情况）</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354" w:lineRule="exact"/>
              <w:rPr>
                <w:rFonts w:ascii="宋体" w:hAnsi="宋体"/>
                <w:color w:val="auto"/>
                <w:szCs w:val="21"/>
                <w:highlight w:val="none"/>
              </w:rPr>
            </w:pPr>
            <w:r>
              <w:rPr>
                <w:rFonts w:hint="eastAsia" w:ascii="宋体" w:hAnsi="宋体"/>
                <w:color w:val="auto"/>
                <w:szCs w:val="21"/>
                <w:highlight w:val="none"/>
              </w:rPr>
              <w:t>招标人名称：</w:t>
            </w:r>
            <w:r>
              <w:rPr>
                <w:rFonts w:ascii="宋体" w:hAnsi="宋体"/>
                <w:color w:val="auto"/>
                <w:szCs w:val="21"/>
                <w:highlight w:val="none"/>
                <w:u w:val="single"/>
              </w:rPr>
              <w:t xml:space="preserve">             </w:t>
            </w:r>
          </w:p>
          <w:p>
            <w:pPr>
              <w:pStyle w:val="7"/>
              <w:topLinePunct/>
              <w:spacing w:line="400" w:lineRule="exact"/>
              <w:rPr>
                <w:rFonts w:hAnsi="宋体"/>
                <w:color w:val="auto"/>
                <w:sz w:val="21"/>
                <w:szCs w:val="21"/>
                <w:highlight w:val="none"/>
                <w:u w:val="single"/>
              </w:rPr>
            </w:pPr>
            <w:r>
              <w:rPr>
                <w:rFonts w:hint="eastAsia" w:hAnsi="宋体"/>
                <w:color w:val="auto"/>
                <w:sz w:val="21"/>
                <w:szCs w:val="21"/>
                <w:highlight w:val="none"/>
              </w:rPr>
              <w:t>招标人地址：</w:t>
            </w:r>
            <w:r>
              <w:rPr>
                <w:rFonts w:hAnsi="宋体"/>
                <w:color w:val="auto"/>
                <w:sz w:val="21"/>
                <w:szCs w:val="21"/>
                <w:highlight w:val="none"/>
                <w:u w:val="single"/>
              </w:rPr>
              <w:t xml:space="preserve">             </w:t>
            </w:r>
          </w:p>
          <w:p>
            <w:pPr>
              <w:pStyle w:val="7"/>
              <w:topLinePunct/>
              <w:spacing w:line="400" w:lineRule="exact"/>
              <w:rPr>
                <w:rFonts w:hAnsi="宋体"/>
                <w:color w:val="auto"/>
                <w:sz w:val="21"/>
                <w:szCs w:val="21"/>
                <w:highlight w:val="none"/>
              </w:rPr>
            </w:pPr>
            <w:r>
              <w:rPr>
                <w:rFonts w:hAnsi="宋体"/>
                <w:color w:val="auto"/>
                <w:sz w:val="21"/>
                <w:szCs w:val="21"/>
                <w:highlight w:val="none"/>
                <w:u w:val="single"/>
              </w:rPr>
              <w:t xml:space="preserve">          </w:t>
            </w:r>
            <w:r>
              <w:rPr>
                <w:rFonts w:hint="eastAsia" w:hAnsi="宋体"/>
                <w:color w:val="auto"/>
                <w:sz w:val="21"/>
                <w:szCs w:val="21"/>
                <w:highlight w:val="none"/>
              </w:rPr>
              <w:t>（项目名称）投标文件</w:t>
            </w:r>
          </w:p>
          <w:p>
            <w:pPr>
              <w:pStyle w:val="7"/>
              <w:topLinePunct/>
              <w:spacing w:line="400" w:lineRule="exact"/>
              <w:rPr>
                <w:rFonts w:hAnsi="宋体"/>
                <w:color w:val="auto"/>
                <w:sz w:val="21"/>
                <w:szCs w:val="21"/>
                <w:highlight w:val="none"/>
              </w:rPr>
            </w:pPr>
            <w:r>
              <w:rPr>
                <w:rFonts w:hint="eastAsia" w:hAnsi="宋体"/>
                <w:color w:val="auto"/>
                <w:sz w:val="21"/>
                <w:szCs w:val="21"/>
                <w:highlight w:val="none"/>
              </w:rPr>
              <w:t>招标项目编号：</w:t>
            </w:r>
            <w:r>
              <w:rPr>
                <w:rFonts w:hAnsi="宋体"/>
                <w:color w:val="auto"/>
                <w:sz w:val="21"/>
                <w:szCs w:val="21"/>
                <w:highlight w:val="none"/>
                <w:u w:val="single"/>
              </w:rPr>
              <w:t xml:space="preserve">             </w:t>
            </w:r>
          </w:p>
          <w:p>
            <w:pPr>
              <w:pStyle w:val="7"/>
              <w:topLinePunct/>
              <w:spacing w:line="400" w:lineRule="exact"/>
              <w:rPr>
                <w:rFonts w:ascii="Times New Roman"/>
                <w:color w:val="auto"/>
                <w:sz w:val="21"/>
                <w:szCs w:val="21"/>
                <w:highlight w:val="none"/>
              </w:rPr>
            </w:pPr>
            <w:r>
              <w:rPr>
                <w:rFonts w:hint="eastAsia" w:hAnsi="宋体"/>
                <w:color w:val="auto"/>
                <w:sz w:val="21"/>
                <w:szCs w:val="21"/>
                <w:highlight w:val="none"/>
              </w:rPr>
              <w:t>在</w:t>
            </w:r>
            <w:r>
              <w:rPr>
                <w:rFonts w:hAnsi="宋体"/>
                <w:color w:val="auto"/>
                <w:sz w:val="21"/>
                <w:szCs w:val="21"/>
                <w:highlight w:val="none"/>
                <w:u w:val="single"/>
              </w:rPr>
              <w:t xml:space="preserve">    </w:t>
            </w:r>
            <w:r>
              <w:rPr>
                <w:rFonts w:hint="eastAsia" w:hAnsi="宋体"/>
                <w:color w:val="auto"/>
                <w:sz w:val="21"/>
                <w:szCs w:val="21"/>
                <w:highlight w:val="none"/>
              </w:rPr>
              <w:t>年</w:t>
            </w:r>
            <w:r>
              <w:rPr>
                <w:rFonts w:hAnsi="宋体"/>
                <w:color w:val="auto"/>
                <w:sz w:val="21"/>
                <w:szCs w:val="21"/>
                <w:highlight w:val="none"/>
                <w:u w:val="single"/>
              </w:rPr>
              <w:t xml:space="preserve">    </w:t>
            </w:r>
            <w:r>
              <w:rPr>
                <w:rFonts w:hint="eastAsia" w:hAnsi="宋体"/>
                <w:color w:val="auto"/>
                <w:sz w:val="21"/>
                <w:szCs w:val="21"/>
                <w:highlight w:val="none"/>
              </w:rPr>
              <w:t>月</w:t>
            </w:r>
            <w:r>
              <w:rPr>
                <w:rFonts w:hAnsi="宋体"/>
                <w:color w:val="auto"/>
                <w:sz w:val="21"/>
                <w:szCs w:val="21"/>
                <w:highlight w:val="none"/>
                <w:u w:val="single"/>
              </w:rPr>
              <w:t xml:space="preserve">    </w:t>
            </w:r>
            <w:r>
              <w:rPr>
                <w:rFonts w:hint="eastAsia" w:hAnsi="宋体"/>
                <w:color w:val="auto"/>
                <w:sz w:val="21"/>
                <w:szCs w:val="21"/>
                <w:highlight w:val="none"/>
              </w:rPr>
              <w:t>日</w:t>
            </w:r>
            <w:r>
              <w:rPr>
                <w:rFonts w:hAnsi="宋体"/>
                <w:color w:val="auto"/>
                <w:sz w:val="21"/>
                <w:szCs w:val="21"/>
                <w:highlight w:val="none"/>
                <w:u w:val="single"/>
              </w:rPr>
              <w:t xml:space="preserve">    </w:t>
            </w:r>
            <w:r>
              <w:rPr>
                <w:rFonts w:hint="eastAsia" w:hAnsi="宋体"/>
                <w:color w:val="auto"/>
                <w:sz w:val="21"/>
                <w:szCs w:val="21"/>
                <w:highlight w:val="none"/>
              </w:rPr>
              <w:t>时前不得开启（填入前附表第</w:t>
            </w:r>
            <w:r>
              <w:rPr>
                <w:rFonts w:hAnsi="宋体"/>
                <w:color w:val="auto"/>
                <w:sz w:val="21"/>
                <w:szCs w:val="21"/>
                <w:highlight w:val="none"/>
              </w:rPr>
              <w:t>4.2.1</w:t>
            </w:r>
            <w:r>
              <w:rPr>
                <w:rFonts w:hint="eastAsia" w:hAnsi="宋体"/>
                <w:color w:val="auto"/>
                <w:sz w:val="21"/>
                <w:szCs w:val="21"/>
                <w:highlight w:val="none"/>
              </w:rPr>
              <w:t>条的时间）。</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4.2.1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投标截止时间</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u w:val="single"/>
              </w:rPr>
              <w:t xml:space="preserve">    </w:t>
            </w:r>
            <w:r>
              <w:rPr>
                <w:rFonts w:hint="eastAsia"/>
                <w:color w:val="auto"/>
                <w:szCs w:val="21"/>
                <w:highlight w:val="none"/>
              </w:rPr>
              <w:t>时</w:t>
            </w:r>
            <w:r>
              <w:rPr>
                <w:color w:val="auto"/>
                <w:szCs w:val="21"/>
                <w:highlight w:val="none"/>
                <w:u w:val="single"/>
              </w:rPr>
              <w:t xml:space="preserve">    </w:t>
            </w:r>
            <w:r>
              <w:rPr>
                <w:rFonts w:hint="eastAsia"/>
                <w:color w:val="auto"/>
                <w:szCs w:val="21"/>
                <w:highlight w:val="none"/>
              </w:rPr>
              <w:t>分</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4.2.3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投标文件是否退还</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rFonts w:ascii="Times New Roman"/>
                <w:color w:val="auto"/>
                <w:sz w:val="21"/>
                <w:szCs w:val="22"/>
                <w:highlight w:val="none"/>
              </w:rPr>
            </w:pPr>
            <w:r>
              <w:rPr>
                <w:rFonts w:hint="eastAsia" w:hAnsi="宋体" w:cs="宋体"/>
                <w:color w:val="auto"/>
                <w:spacing w:val="-2"/>
                <w:position w:val="1"/>
                <w:sz w:val="21"/>
                <w:szCs w:val="21"/>
                <w:highlight w:val="none"/>
                <w:bdr w:val="single" w:color="auto" w:sz="4" w:space="0"/>
              </w:rPr>
              <w:t>√</w:t>
            </w:r>
            <w:r>
              <w:rPr>
                <w:rFonts w:hint="eastAsia" w:ascii="Times New Roman"/>
                <w:color w:val="auto"/>
                <w:sz w:val="21"/>
                <w:szCs w:val="21"/>
                <w:highlight w:val="none"/>
              </w:rPr>
              <w:t>否</w:t>
            </w:r>
          </w:p>
        </w:tc>
      </w:tr>
      <w:tr>
        <w:tblPrEx>
          <w:tblCellMar>
            <w:top w:w="0" w:type="dxa"/>
            <w:left w:w="108" w:type="dxa"/>
            <w:bottom w:w="0" w:type="dxa"/>
            <w:right w:w="108" w:type="dxa"/>
          </w:tblCellMar>
        </w:tblPrEx>
        <w:trPr>
          <w:trHeight w:val="2926" w:hRule="atLeast"/>
        </w:trPr>
        <w:tc>
          <w:tcPr>
            <w:tcW w:w="1164" w:type="dxa"/>
            <w:tcBorders>
              <w:top w:val="single" w:color="auto" w:sz="4" w:space="0"/>
              <w:left w:val="single" w:color="auto" w:sz="4" w:space="0"/>
              <w:bottom w:val="nil"/>
              <w:right w:val="single" w:color="auto" w:sz="4" w:space="0"/>
            </w:tcBorders>
            <w:noWrap w:val="0"/>
            <w:vAlign w:val="center"/>
          </w:tcPr>
          <w:p>
            <w:pPr>
              <w:spacing w:line="440" w:lineRule="exact"/>
              <w:jc w:val="center"/>
              <w:rPr>
                <w:rFonts w:hint="eastAsia"/>
                <w:color w:val="auto"/>
                <w:highlight w:val="none"/>
              </w:rPr>
            </w:pPr>
            <w:r>
              <w:rPr>
                <w:color w:val="auto"/>
                <w:highlight w:val="none"/>
              </w:rPr>
              <w:t>5.1</w:t>
            </w:r>
            <w:r>
              <w:rPr>
                <w:rFonts w:hint="eastAsia"/>
                <w:color w:val="auto"/>
                <w:highlight w:val="none"/>
              </w:rPr>
              <w:t>（</w:t>
            </w:r>
            <w:r>
              <w:rPr>
                <w:color w:val="auto"/>
                <w:highlight w:val="none"/>
              </w:rPr>
              <w:t>B</w:t>
            </w:r>
            <w:r>
              <w:rPr>
                <w:rFonts w:hint="eastAsia"/>
                <w:color w:val="auto"/>
                <w:highlight w:val="none"/>
              </w:rPr>
              <w:t>）</w:t>
            </w:r>
          </w:p>
          <w:p>
            <w:pPr>
              <w:spacing w:line="440" w:lineRule="exact"/>
              <w:jc w:val="center"/>
              <w:rPr>
                <w:color w:val="auto"/>
                <w:highlight w:val="none"/>
              </w:rPr>
            </w:pPr>
            <w:r>
              <w:rPr>
                <w:rFonts w:hint="eastAsia"/>
                <w:color w:val="auto"/>
                <w:highlight w:val="none"/>
              </w:rPr>
              <w:t>（新增）</w:t>
            </w:r>
          </w:p>
        </w:tc>
        <w:tc>
          <w:tcPr>
            <w:tcW w:w="2495" w:type="dxa"/>
            <w:tcBorders>
              <w:top w:val="single" w:color="auto" w:sz="4" w:space="0"/>
              <w:left w:val="single" w:color="auto" w:sz="4" w:space="0"/>
              <w:bottom w:val="nil"/>
              <w:right w:val="single" w:color="auto" w:sz="4" w:space="0"/>
            </w:tcBorders>
            <w:noWrap w:val="0"/>
            <w:vAlign w:val="center"/>
          </w:tcPr>
          <w:p>
            <w:pPr>
              <w:spacing w:line="440" w:lineRule="exact"/>
              <w:jc w:val="center"/>
              <w:rPr>
                <w:color w:val="auto"/>
                <w:highlight w:val="none"/>
              </w:rPr>
            </w:pPr>
            <w:r>
              <w:rPr>
                <w:rFonts w:hint="eastAsia"/>
                <w:color w:val="auto"/>
                <w:highlight w:val="none"/>
              </w:rPr>
              <w:t>开标时间和地点</w:t>
            </w:r>
          </w:p>
        </w:tc>
        <w:tc>
          <w:tcPr>
            <w:tcW w:w="5656" w:type="dxa"/>
            <w:tcBorders>
              <w:top w:val="single" w:color="auto" w:sz="4" w:space="0"/>
              <w:left w:val="single" w:color="auto" w:sz="4" w:space="0"/>
              <w:bottom w:val="nil"/>
              <w:right w:val="single" w:color="auto" w:sz="4" w:space="0"/>
            </w:tcBorders>
            <w:noWrap w:val="0"/>
            <w:vAlign w:val="center"/>
          </w:tcPr>
          <w:p>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本电子招投标项目在本章4.2.1项规定的投标截止时间（开标时间），在广州公共资源交易中心公开开标，并邀请所有投标人的法定代表人或其授权代表准时参加。</w:t>
            </w:r>
          </w:p>
          <w:p>
            <w:pPr>
              <w:spacing w:line="440" w:lineRule="exact"/>
              <w:jc w:val="left"/>
              <w:rPr>
                <w:color w:val="auto"/>
                <w:highlight w:val="none"/>
              </w:rPr>
            </w:pPr>
            <w:r>
              <w:rPr>
                <w:rFonts w:hint="eastAsia" w:ascii="宋体" w:hAnsi="宋体"/>
                <w:color w:val="auto"/>
                <w:szCs w:val="21"/>
                <w:highlight w:val="none"/>
              </w:rPr>
              <w:t>开标时，投标人代表有权出席开标会，也可以自主决定不参加开标会，若投标人代表对开标过程提出异议，该投标人代表须同时出示本人身份证原件。</w:t>
            </w:r>
          </w:p>
        </w:tc>
      </w:tr>
      <w:tr>
        <w:tblPrEx>
          <w:tblCellMar>
            <w:top w:w="0" w:type="dxa"/>
            <w:left w:w="108" w:type="dxa"/>
            <w:bottom w:w="0" w:type="dxa"/>
            <w:right w:w="108" w:type="dxa"/>
          </w:tblCellMar>
        </w:tblPrEx>
        <w:trPr>
          <w:trHeight w:val="381" w:hRule="atLeast"/>
        </w:trPr>
        <w:tc>
          <w:tcPr>
            <w:tcW w:w="1164" w:type="dxa"/>
            <w:tcBorders>
              <w:top w:val="single" w:color="auto" w:sz="4" w:space="0"/>
              <w:left w:val="single" w:color="auto" w:sz="4" w:space="0"/>
              <w:bottom w:val="nil"/>
              <w:right w:val="single" w:color="auto" w:sz="4" w:space="0"/>
            </w:tcBorders>
            <w:noWrap w:val="0"/>
            <w:vAlign w:val="center"/>
          </w:tcPr>
          <w:p>
            <w:pPr>
              <w:spacing w:line="440" w:lineRule="exact"/>
              <w:jc w:val="center"/>
              <w:rPr>
                <w:rFonts w:hint="eastAsia"/>
                <w:color w:val="auto"/>
                <w:highlight w:val="none"/>
              </w:rPr>
            </w:pPr>
            <w:r>
              <w:rPr>
                <w:color w:val="auto"/>
                <w:highlight w:val="none"/>
              </w:rPr>
              <w:t>5.2</w:t>
            </w:r>
            <w:r>
              <w:rPr>
                <w:rFonts w:hint="eastAsia"/>
                <w:color w:val="auto"/>
                <w:highlight w:val="none"/>
              </w:rPr>
              <w:t>（</w:t>
            </w:r>
            <w:r>
              <w:rPr>
                <w:color w:val="auto"/>
                <w:highlight w:val="none"/>
              </w:rPr>
              <w:t>B</w:t>
            </w:r>
            <w:r>
              <w:rPr>
                <w:rFonts w:hint="eastAsia"/>
                <w:color w:val="auto"/>
                <w:highlight w:val="none"/>
              </w:rPr>
              <w:t>）</w:t>
            </w:r>
          </w:p>
          <w:p>
            <w:pPr>
              <w:spacing w:line="440" w:lineRule="exact"/>
              <w:jc w:val="center"/>
              <w:rPr>
                <w:color w:val="auto"/>
                <w:highlight w:val="none"/>
              </w:rPr>
            </w:pPr>
            <w:r>
              <w:rPr>
                <w:rFonts w:hint="eastAsia"/>
                <w:color w:val="auto"/>
                <w:highlight w:val="none"/>
              </w:rPr>
              <w:t>（新增）</w:t>
            </w:r>
          </w:p>
        </w:tc>
        <w:tc>
          <w:tcPr>
            <w:tcW w:w="2495" w:type="dxa"/>
            <w:tcBorders>
              <w:top w:val="single" w:color="auto" w:sz="4" w:space="0"/>
              <w:left w:val="single" w:color="auto" w:sz="4" w:space="0"/>
              <w:bottom w:val="nil"/>
              <w:right w:val="single" w:color="auto" w:sz="4" w:space="0"/>
            </w:tcBorders>
            <w:noWrap w:val="0"/>
            <w:vAlign w:val="center"/>
          </w:tcPr>
          <w:p>
            <w:pPr>
              <w:spacing w:line="440" w:lineRule="exact"/>
              <w:jc w:val="center"/>
              <w:rPr>
                <w:color w:val="auto"/>
                <w:highlight w:val="none"/>
              </w:rPr>
            </w:pPr>
            <w:r>
              <w:rPr>
                <w:rFonts w:hint="eastAsia"/>
                <w:color w:val="auto"/>
                <w:highlight w:val="none"/>
              </w:rPr>
              <w:t>电子招投标开标程序</w:t>
            </w:r>
          </w:p>
        </w:tc>
        <w:tc>
          <w:tcPr>
            <w:tcW w:w="5656" w:type="dxa"/>
            <w:tcBorders>
              <w:top w:val="single" w:color="auto" w:sz="4" w:space="0"/>
              <w:left w:val="single" w:color="auto" w:sz="4" w:space="0"/>
              <w:bottom w:val="nil"/>
              <w:right w:val="single" w:color="auto" w:sz="4" w:space="0"/>
            </w:tcBorders>
            <w:noWrap w:val="0"/>
            <w:vAlign w:val="center"/>
          </w:tcPr>
          <w:p>
            <w:pPr>
              <w:spacing w:line="360" w:lineRule="auto"/>
              <w:rPr>
                <w:color w:val="auto"/>
                <w:highlight w:val="none"/>
              </w:rPr>
            </w:pPr>
            <w:r>
              <w:rPr>
                <w:rFonts w:hint="eastAsia"/>
                <w:color w:val="auto"/>
                <w:highlight w:val="none"/>
              </w:rPr>
              <w:t>电子招投标项目开标按下列程序进行：</w:t>
            </w:r>
          </w:p>
          <w:p>
            <w:pPr>
              <w:spacing w:line="360" w:lineRule="auto"/>
              <w:rPr>
                <w:color w:val="auto"/>
                <w:highlight w:val="none"/>
              </w:rPr>
            </w:pPr>
            <w:r>
              <w:rPr>
                <w:color w:val="auto"/>
                <w:highlight w:val="none"/>
              </w:rPr>
              <w:t>5.2.1</w:t>
            </w:r>
            <w:r>
              <w:rPr>
                <w:rFonts w:hint="eastAsia"/>
                <w:color w:val="auto"/>
                <w:highlight w:val="none"/>
              </w:rPr>
              <w:t>主持人按下列程序进行开标：</w:t>
            </w:r>
          </w:p>
          <w:p>
            <w:pPr>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）宣布开标纪律；</w:t>
            </w:r>
          </w:p>
          <w:p>
            <w:pPr>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）公布在投标截止时间前递交投标文件的投标人名称；</w:t>
            </w:r>
          </w:p>
          <w:p>
            <w:pPr>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）宣布开标人、唱标人、记录人、监标人等有关人员姓名；</w:t>
            </w:r>
          </w:p>
          <w:p>
            <w:pPr>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w:t>
            </w:r>
            <w:r>
              <w:rPr>
                <w:color w:val="auto"/>
                <w:highlight w:val="none"/>
              </w:rPr>
              <w:t>B</w:t>
            </w:r>
            <w:r>
              <w:rPr>
                <w:rFonts w:hint="eastAsia"/>
                <w:color w:val="auto"/>
                <w:highlight w:val="none"/>
              </w:rPr>
              <w:t>）投标人通过电子招标投标交易平台对已递交的电子投标文件进行解密，公布招标项目名称、投标人名称、投标保证金的递交情况、投标报价及其他内容，并记录在案；</w:t>
            </w:r>
          </w:p>
          <w:p>
            <w:pPr>
              <w:spacing w:line="360" w:lineRule="auto"/>
              <w:rPr>
                <w:color w:val="auto"/>
                <w:highlight w:val="none"/>
              </w:rPr>
            </w:pPr>
            <w:r>
              <w:rPr>
                <w:rFonts w:hint="eastAsia"/>
                <w:color w:val="auto"/>
                <w:highlight w:val="none"/>
              </w:rPr>
              <w:t>（</w:t>
            </w:r>
            <w:r>
              <w:rPr>
                <w:color w:val="auto"/>
                <w:highlight w:val="none"/>
              </w:rPr>
              <w:t>5</w:t>
            </w:r>
            <w:r>
              <w:rPr>
                <w:rFonts w:hint="eastAsia"/>
                <w:color w:val="auto"/>
                <w:highlight w:val="none"/>
              </w:rPr>
              <w:t>）（</w:t>
            </w:r>
            <w:r>
              <w:rPr>
                <w:color w:val="auto"/>
                <w:highlight w:val="none"/>
              </w:rPr>
              <w:t>B</w:t>
            </w:r>
            <w:r>
              <w:rPr>
                <w:rFonts w:hint="eastAsia"/>
                <w:color w:val="auto"/>
                <w:highlight w:val="none"/>
              </w:rPr>
              <w:t>）投标人代表、招标人代表、监标人、记录人等有关人员在开标记录上签字确认；若有关人员不签字的，不影响开标程序；</w:t>
            </w:r>
          </w:p>
          <w:p>
            <w:pPr>
              <w:spacing w:line="360" w:lineRule="auto"/>
              <w:rPr>
                <w:color w:val="auto"/>
                <w:highlight w:val="none"/>
              </w:rPr>
            </w:pPr>
            <w:r>
              <w:rPr>
                <w:rFonts w:hint="eastAsia"/>
                <w:color w:val="auto"/>
                <w:highlight w:val="none"/>
              </w:rPr>
              <w:t>（</w:t>
            </w:r>
            <w:r>
              <w:rPr>
                <w:color w:val="auto"/>
                <w:highlight w:val="none"/>
              </w:rPr>
              <w:t>6</w:t>
            </w:r>
            <w:r>
              <w:rPr>
                <w:rFonts w:hint="eastAsia"/>
                <w:color w:val="auto"/>
                <w:highlight w:val="none"/>
              </w:rPr>
              <w:t>）开标结束。</w:t>
            </w:r>
          </w:p>
          <w:p>
            <w:pPr>
              <w:spacing w:line="360" w:lineRule="auto"/>
              <w:rPr>
                <w:b/>
                <w:color w:val="auto"/>
                <w:sz w:val="32"/>
                <w:highlight w:val="none"/>
              </w:rPr>
            </w:pPr>
            <w:r>
              <w:rPr>
                <w:color w:val="auto"/>
                <w:highlight w:val="none"/>
              </w:rPr>
              <w:t>5.2.2</w:t>
            </w:r>
            <w:r>
              <w:rPr>
                <w:rFonts w:hint="eastAsia"/>
                <w:color w:val="auto"/>
                <w:highlight w:val="none"/>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pPr>
              <w:spacing w:line="360" w:lineRule="auto"/>
              <w:rPr>
                <w:color w:val="auto"/>
                <w:highlight w:val="none"/>
              </w:rPr>
            </w:pPr>
            <w:r>
              <w:rPr>
                <w:color w:val="auto"/>
                <w:highlight w:val="none"/>
              </w:rPr>
              <w:t>5.2.3</w:t>
            </w:r>
            <w:r>
              <w:rPr>
                <w:rFonts w:hint="eastAsia"/>
                <w:color w:val="auto"/>
                <w:highlight w:val="none"/>
              </w:rPr>
              <w:t>开标时，两个（含两个）以上的投标人加密打包投标文件电脑机器特征码一致的，不参与下一程序，并由评标委员会否决其投标。</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6.1.1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评标委员会的组建</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评标专家确定方式：</w:t>
            </w:r>
            <w:r>
              <w:rPr>
                <w:rFonts w:hint="eastAsia" w:ascii="宋体" w:hAnsi="宋体" w:cs="宋体"/>
                <w:color w:val="auto"/>
                <w:spacing w:val="-7"/>
                <w:highlight w:val="none"/>
                <w:u w:val="single"/>
              </w:rPr>
              <w:t>评标委员会依法组建</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6.3.2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评标委员会推荐中标候选人的人数</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b w:val="0"/>
                <w:bCs w:val="0"/>
                <w:color w:val="auto"/>
                <w:highlight w:val="none"/>
                <w:u w:val="single"/>
              </w:rPr>
            </w:pPr>
            <w:r>
              <w:rPr>
                <w:rFonts w:hint="eastAsia"/>
                <w:b w:val="0"/>
                <w:bCs w:val="0"/>
                <w:color w:val="auto"/>
                <w:highlight w:val="none"/>
                <w:u w:val="single"/>
              </w:rPr>
              <w:t>3家（第一中标候选人、第二中标候选人、第三中标候选人）。</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7.1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highlight w:val="none"/>
              </w:rPr>
            </w:pPr>
            <w:r>
              <w:rPr>
                <w:rFonts w:hint="eastAsia"/>
                <w:color w:val="auto"/>
                <w:highlight w:val="none"/>
              </w:rPr>
              <w:t>中标候选人公示媒介及期限</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公示媒介：</w:t>
            </w:r>
            <w:r>
              <w:rPr>
                <w:rFonts w:hint="eastAsia" w:ascii="宋体" w:hAnsi="宋体" w:cs="宋体"/>
                <w:color w:val="auto"/>
                <w:szCs w:val="21"/>
                <w:highlight w:val="none"/>
                <w:u w:val="single"/>
              </w:rPr>
              <w:t>广州公共资源交易网、中国招标投标公共服务平台、广东省招标投标监管网、全国公共资源交易平台（广东省·东莞市）和东莞市轨道交通有限公司官网</w:t>
            </w:r>
            <w:r>
              <w:rPr>
                <w:color w:val="auto"/>
                <w:highlight w:val="none"/>
                <w:u w:val="single"/>
              </w:rPr>
              <w:t xml:space="preserve"> </w:t>
            </w:r>
          </w:p>
          <w:p>
            <w:pPr>
              <w:spacing w:line="440" w:lineRule="exact"/>
              <w:rPr>
                <w:color w:val="auto"/>
                <w:sz w:val="32"/>
                <w:highlight w:val="none"/>
              </w:rPr>
            </w:pPr>
            <w:r>
              <w:rPr>
                <w:rFonts w:hint="eastAsia"/>
                <w:color w:val="auto"/>
                <w:highlight w:val="none"/>
              </w:rPr>
              <w:t>公示期限：</w:t>
            </w:r>
            <w:r>
              <w:rPr>
                <w:color w:val="auto"/>
                <w:highlight w:val="none"/>
                <w:u w:val="single"/>
              </w:rPr>
              <w:t xml:space="preserve">  3  </w:t>
            </w:r>
            <w:r>
              <w:rPr>
                <w:rFonts w:hint="eastAsia"/>
                <w:color w:val="auto"/>
                <w:highlight w:val="none"/>
              </w:rPr>
              <w:t>日，公示结束日为工作日。</w:t>
            </w:r>
          </w:p>
        </w:tc>
      </w:tr>
      <w:tr>
        <w:tblPrEx>
          <w:tblCellMar>
            <w:top w:w="0" w:type="dxa"/>
            <w:left w:w="108" w:type="dxa"/>
            <w:bottom w:w="0" w:type="dxa"/>
            <w:right w:w="108" w:type="dxa"/>
          </w:tblCellMar>
        </w:tblPrEx>
        <w:trPr>
          <w:trHeight w:val="109"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7.4</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是否授权评标委员会确定中标人</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color w:val="auto"/>
                <w:highlight w:val="none"/>
              </w:rPr>
            </w:pPr>
            <w:r>
              <w:rPr>
                <w:rFonts w:hint="eastAsia" w:ascii="宋体" w:hAnsi="宋体" w:cs="宋体"/>
                <w:color w:val="auto"/>
                <w:spacing w:val="-2"/>
                <w:position w:val="1"/>
                <w:highlight w:val="none"/>
                <w:bdr w:val="single" w:color="auto" w:sz="4" w:space="0"/>
              </w:rPr>
              <w:t>√</w:t>
            </w:r>
            <w:r>
              <w:rPr>
                <w:rFonts w:hint="eastAsia"/>
                <w:color w:val="auto"/>
                <w:highlight w:val="none"/>
              </w:rPr>
              <w:t>否</w:t>
            </w:r>
          </w:p>
          <w:p>
            <w:pPr>
              <w:snapToGrid w:val="0"/>
              <w:spacing w:line="360" w:lineRule="auto"/>
              <w:rPr>
                <w:color w:val="auto"/>
                <w:highlight w:val="none"/>
              </w:rPr>
            </w:pPr>
            <w:r>
              <w:rPr>
                <w:rFonts w:hint="eastAsia"/>
                <w:color w:val="auto"/>
                <w:highlight w:val="none"/>
              </w:rPr>
              <w:t>补充说明：</w:t>
            </w:r>
          </w:p>
          <w:p>
            <w:pPr>
              <w:snapToGrid w:val="0"/>
              <w:spacing w:line="360" w:lineRule="auto"/>
              <w:rPr>
                <w:color w:val="auto"/>
                <w:highlight w:val="none"/>
              </w:rPr>
            </w:pPr>
            <w:r>
              <w:rPr>
                <w:rFonts w:hint="eastAsia" w:ascii="宋体" w:hAnsi="宋体" w:cs="Tahoma"/>
                <w:color w:val="auto"/>
                <w:szCs w:val="21"/>
                <w:highlight w:val="none"/>
              </w:rPr>
              <w:t>（1）</w:t>
            </w:r>
            <w:r>
              <w:rPr>
                <w:rFonts w:ascii="宋体" w:hAnsi="宋体" w:cs="Tahoma"/>
                <w:color w:val="auto"/>
                <w:szCs w:val="21"/>
                <w:highlight w:val="none"/>
              </w:rPr>
              <w:t>招标人根据评标报告，最终审定中标人。</w:t>
            </w:r>
          </w:p>
          <w:p>
            <w:pPr>
              <w:snapToGrid w:val="0"/>
              <w:spacing w:line="360" w:lineRule="auto"/>
              <w:rPr>
                <w:rFonts w:ascii="宋体" w:hAnsi="宋体" w:cs="Tahoma"/>
                <w:color w:val="auto"/>
                <w:szCs w:val="21"/>
                <w:highlight w:val="none"/>
              </w:rPr>
            </w:pPr>
            <w:r>
              <w:rPr>
                <w:rFonts w:hint="eastAsia"/>
                <w:color w:val="auto"/>
                <w:highlight w:val="none"/>
              </w:rPr>
              <w:t>（2）</w:t>
            </w:r>
            <w:r>
              <w:rPr>
                <w:rFonts w:hint="eastAsia" w:ascii="宋体" w:hAnsi="宋体" w:cs="Tahoma"/>
                <w:color w:val="auto"/>
                <w:szCs w:val="21"/>
                <w:highlight w:val="none"/>
              </w:rPr>
              <w:t>依法必须进行公开招标的项目，招标人应当确定排名第一的中标候选人为中标人。</w:t>
            </w:r>
          </w:p>
          <w:p>
            <w:pPr>
              <w:spacing w:line="360" w:lineRule="auto"/>
              <w:rPr>
                <w:rFonts w:hint="eastAsia" w:ascii="宋体" w:hAnsi="宋体" w:cs="Tahoma"/>
                <w:color w:val="auto"/>
                <w:szCs w:val="21"/>
                <w:highlight w:val="none"/>
              </w:rPr>
            </w:pPr>
            <w:r>
              <w:rPr>
                <w:rFonts w:hint="eastAsia" w:ascii="宋体" w:hAnsi="宋体" w:cs="Tahoma"/>
                <w:color w:val="auto"/>
                <w:szCs w:val="21"/>
                <w:highlight w:val="none"/>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color w:val="auto"/>
                <w:highlight w:val="none"/>
              </w:rPr>
            </w:pPr>
            <w:r>
              <w:rPr>
                <w:rFonts w:hint="eastAsia" w:ascii="宋体" w:hAnsi="宋体" w:eastAsia="宋体" w:cs="Tahoma"/>
                <w:color w:val="auto"/>
                <w:sz w:val="21"/>
                <w:szCs w:val="21"/>
                <w:highlight w:val="none"/>
              </w:rPr>
              <w:t>（4）招标人有权对中标人投标文件中所提供的的证书、证件、业绩佐证材料、分包商资料等进行核实。中标人有义务提交上述资料原件，无正当理由不提交原件核查的，招标人有权取消其中标资格，招标人可以按照评标委员会提出的中标候选人名单排序依次确定其他中标候选人为中标人，也可以重新招标。</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7.6.1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履约保证金</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rFonts w:ascii="Times New Roman"/>
                <w:color w:val="auto"/>
                <w:sz w:val="21"/>
                <w:szCs w:val="21"/>
                <w:highlight w:val="none"/>
              </w:rPr>
            </w:pPr>
            <w:r>
              <w:rPr>
                <w:rFonts w:hint="eastAsia" w:ascii="Times New Roman"/>
                <w:color w:val="auto"/>
                <w:sz w:val="21"/>
                <w:szCs w:val="21"/>
                <w:highlight w:val="none"/>
              </w:rPr>
              <w:t>是否要求中标人提交履约保证金：</w:t>
            </w:r>
          </w:p>
          <w:p>
            <w:pPr>
              <w:topLinePunct/>
              <w:spacing w:after="120" w:line="400" w:lineRule="exact"/>
              <w:rPr>
                <w:color w:val="auto"/>
                <w:szCs w:val="21"/>
                <w:highlight w:val="none"/>
                <w:u w:val="single"/>
              </w:rPr>
            </w:pPr>
            <w:r>
              <w:rPr>
                <w:rFonts w:hint="eastAsia" w:hAnsi="宋体" w:cs="宋体"/>
                <w:color w:val="auto"/>
                <w:spacing w:val="-2"/>
                <w:position w:val="1"/>
                <w:highlight w:val="none"/>
                <w:bdr w:val="single" w:color="auto" w:sz="4" w:space="0"/>
              </w:rPr>
              <w:t>√</w:t>
            </w:r>
            <w:r>
              <w:rPr>
                <w:rFonts w:hint="eastAsia"/>
                <w:color w:val="auto"/>
                <w:szCs w:val="21"/>
                <w:highlight w:val="none"/>
              </w:rPr>
              <w:t>要求，履约保证金的形式：</w:t>
            </w:r>
            <w:r>
              <w:rPr>
                <w:rFonts w:hint="eastAsia"/>
                <w:color w:val="auto"/>
                <w:szCs w:val="21"/>
                <w:highlight w:val="none"/>
                <w:u w:val="single"/>
              </w:rPr>
              <w:t>银行保函或现金转账</w:t>
            </w:r>
          </w:p>
          <w:p>
            <w:pPr>
              <w:spacing w:line="440" w:lineRule="exact"/>
              <w:rPr>
                <w:rFonts w:hint="eastAsia"/>
                <w:b w:val="0"/>
                <w:bCs w:val="0"/>
                <w:color w:val="auto"/>
                <w:szCs w:val="21"/>
                <w:highlight w:val="none"/>
                <w:u w:val="single"/>
              </w:rPr>
            </w:pPr>
            <w:r>
              <w:rPr>
                <w:b w:val="0"/>
                <w:bCs w:val="0"/>
                <w:color w:val="auto"/>
                <w:szCs w:val="21"/>
                <w:highlight w:val="none"/>
              </w:rPr>
              <w:t>履约保证金的金额：</w:t>
            </w:r>
            <w:r>
              <w:rPr>
                <w:rFonts w:hint="eastAsia"/>
                <w:b w:val="0"/>
                <w:bCs w:val="0"/>
                <w:color w:val="auto"/>
                <w:szCs w:val="21"/>
                <w:highlight w:val="none"/>
                <w:u w:val="single"/>
              </w:rPr>
              <w:t>中标价的10％。</w:t>
            </w:r>
          </w:p>
          <w:p>
            <w:pPr>
              <w:tabs>
                <w:tab w:val="center" w:pos="4153"/>
                <w:tab w:val="right" w:pos="8306"/>
              </w:tabs>
              <w:spacing w:line="440" w:lineRule="exact"/>
              <w:rPr>
                <w:color w:val="auto"/>
                <w:szCs w:val="21"/>
                <w:highlight w:val="none"/>
              </w:rPr>
            </w:pPr>
            <w:r>
              <w:rPr>
                <w:color w:val="auto"/>
                <w:szCs w:val="21"/>
                <w:highlight w:val="none"/>
              </w:rPr>
              <w:t>履约保证金汇入以下专用账户：</w:t>
            </w:r>
          </w:p>
          <w:p>
            <w:pPr>
              <w:tabs>
                <w:tab w:val="center" w:pos="4153"/>
                <w:tab w:val="right" w:pos="8306"/>
              </w:tabs>
              <w:spacing w:line="440" w:lineRule="exact"/>
              <w:rPr>
                <w:color w:val="auto"/>
                <w:szCs w:val="21"/>
                <w:highlight w:val="none"/>
              </w:rPr>
            </w:pPr>
            <w:r>
              <w:rPr>
                <w:color w:val="auto"/>
                <w:szCs w:val="21"/>
                <w:highlight w:val="none"/>
              </w:rPr>
              <w:t>账户名称：东莞市财政国库支付中心（工程履约保证金专户）</w:t>
            </w:r>
          </w:p>
          <w:p>
            <w:pPr>
              <w:tabs>
                <w:tab w:val="center" w:pos="4153"/>
                <w:tab w:val="right" w:pos="8306"/>
              </w:tabs>
              <w:spacing w:line="440" w:lineRule="exact"/>
              <w:rPr>
                <w:color w:val="auto"/>
                <w:szCs w:val="21"/>
                <w:highlight w:val="none"/>
              </w:rPr>
            </w:pPr>
            <w:r>
              <w:rPr>
                <w:color w:val="auto"/>
                <w:szCs w:val="21"/>
                <w:highlight w:val="none"/>
              </w:rPr>
              <w:t>开户行：东莞银行中心区政和支行</w:t>
            </w:r>
          </w:p>
          <w:p>
            <w:pPr>
              <w:tabs>
                <w:tab w:val="center" w:pos="4153"/>
                <w:tab w:val="right" w:pos="8306"/>
              </w:tabs>
              <w:spacing w:line="440" w:lineRule="exact"/>
              <w:rPr>
                <w:rFonts w:hint="eastAsia"/>
                <w:color w:val="auto"/>
                <w:szCs w:val="21"/>
                <w:highlight w:val="none"/>
              </w:rPr>
            </w:pPr>
            <w:r>
              <w:rPr>
                <w:color w:val="auto"/>
                <w:szCs w:val="21"/>
                <w:highlight w:val="none"/>
              </w:rPr>
              <w:t>账号：590000110368368</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9</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是否采用电子招标投标</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hAnsi="宋体" w:cs="宋体"/>
                <w:color w:val="auto"/>
                <w:spacing w:val="-2"/>
                <w:position w:val="1"/>
                <w:highlight w:val="none"/>
                <w:bdr w:val="single" w:color="auto" w:sz="4" w:space="0"/>
              </w:rPr>
              <w:t>√</w:t>
            </w:r>
            <w:r>
              <w:rPr>
                <w:rFonts w:hint="eastAsia"/>
                <w:color w:val="auto"/>
                <w:highlight w:val="none"/>
              </w:rPr>
              <w:t>是，具体要求：</w:t>
            </w:r>
          </w:p>
          <w:p>
            <w:pPr>
              <w:spacing w:line="440" w:lineRule="exact"/>
              <w:rPr>
                <w:color w:val="auto"/>
                <w:highlight w:val="none"/>
              </w:rPr>
            </w:pPr>
            <w:r>
              <w:rPr>
                <w:rFonts w:hint="eastAsia"/>
                <w:color w:val="auto"/>
                <w:highlight w:val="none"/>
              </w:rPr>
              <w:t>（</w:t>
            </w:r>
            <w:r>
              <w:rPr>
                <w:color w:val="auto"/>
                <w:highlight w:val="none"/>
              </w:rPr>
              <w:t>1</w:t>
            </w:r>
            <w:r>
              <w:rPr>
                <w:rFonts w:hint="eastAsia"/>
                <w:color w:val="auto"/>
                <w:highlight w:val="none"/>
              </w:rPr>
              <w:t>）具体操作详见附件《房屋建筑和市政基础设施工程全流程电子化项目操作专章》。</w:t>
            </w:r>
          </w:p>
          <w:p>
            <w:pPr>
              <w:spacing w:line="440" w:lineRule="exact"/>
              <w:rPr>
                <w:color w:val="auto"/>
                <w:highlight w:val="none"/>
              </w:rPr>
            </w:pPr>
            <w:r>
              <w:rPr>
                <w:rFonts w:hint="eastAsia"/>
                <w:color w:val="auto"/>
                <w:highlight w:val="none"/>
              </w:rPr>
              <w:t>（</w:t>
            </w:r>
            <w:r>
              <w:rPr>
                <w:color w:val="auto"/>
                <w:highlight w:val="none"/>
              </w:rPr>
              <w:t>2</w:t>
            </w:r>
            <w:r>
              <w:rPr>
                <w:rFonts w:hint="eastAsia"/>
                <w:color w:val="auto"/>
                <w:highlight w:val="none"/>
              </w:rPr>
              <w:t>）提交投标文件光盘备用</w:t>
            </w:r>
          </w:p>
          <w:p>
            <w:pPr>
              <w:spacing w:line="440" w:lineRule="exact"/>
              <w:rPr>
                <w:rFonts w:hint="eastAsia"/>
                <w:color w:val="auto"/>
                <w:highlight w:val="none"/>
                <w:lang w:eastAsia="zh-CN"/>
              </w:rPr>
            </w:pPr>
            <w:r>
              <w:rPr>
                <w:rFonts w:hint="eastAsia"/>
                <w:color w:val="auto"/>
                <w:highlight w:val="none"/>
              </w:rPr>
              <w:t>投标人制作非加密的电子投标文件（</w:t>
            </w:r>
            <w:r>
              <w:rPr>
                <w:color w:val="auto"/>
                <w:highlight w:val="none"/>
              </w:rPr>
              <w:t>PDF</w:t>
            </w:r>
            <w:r>
              <w:rPr>
                <w:rFonts w:hint="eastAsia"/>
                <w:color w:val="auto"/>
                <w:highlight w:val="none"/>
              </w:rPr>
              <w:t>格式及其相应</w:t>
            </w:r>
            <w:r>
              <w:rPr>
                <w:color w:val="auto"/>
                <w:highlight w:val="none"/>
              </w:rPr>
              <w:t>word</w:t>
            </w:r>
            <w:r>
              <w:rPr>
                <w:rFonts w:hint="eastAsia"/>
                <w:color w:val="auto"/>
                <w:highlight w:val="none"/>
              </w:rPr>
              <w:t>格式或</w:t>
            </w:r>
            <w:r>
              <w:rPr>
                <w:color w:val="auto"/>
                <w:highlight w:val="none"/>
              </w:rPr>
              <w:t>excel</w:t>
            </w:r>
            <w:r>
              <w:rPr>
                <w:rFonts w:hint="eastAsia"/>
                <w:color w:val="auto"/>
                <w:highlight w:val="none"/>
              </w:rPr>
              <w:t>格式文档）刻入光盘（</w:t>
            </w:r>
            <w:r>
              <w:rPr>
                <w:color w:val="auto"/>
                <w:highlight w:val="none"/>
              </w:rPr>
              <w:t>1</w:t>
            </w:r>
            <w:r>
              <w:rPr>
                <w:rFonts w:hint="eastAsia"/>
                <w:color w:val="auto"/>
                <w:highlight w:val="none"/>
              </w:rPr>
              <w:t>份），按招标公告规定的时间、地点提交备用。</w:t>
            </w:r>
            <w:r>
              <w:rPr>
                <w:color w:val="auto"/>
                <w:highlight w:val="none"/>
              </w:rPr>
              <w:t>(</w:t>
            </w:r>
            <w:r>
              <w:rPr>
                <w:rFonts w:hint="eastAsia"/>
                <w:color w:val="auto"/>
                <w:highlight w:val="none"/>
              </w:rPr>
              <w:t>刻录好的投标文件光盘密封在密封袋中，并在封口处加盖投标人单位公章。密封袋上应写明的内容见投标人须知前附表要求</w:t>
            </w:r>
            <w:r>
              <w:rPr>
                <w:color w:val="auto"/>
                <w:highlight w:val="none"/>
              </w:rPr>
              <w:t>4.1.2</w:t>
            </w:r>
            <w:r>
              <w:rPr>
                <w:rFonts w:hint="eastAsia"/>
                <w:color w:val="auto"/>
                <w:highlight w:val="none"/>
                <w:lang w:eastAsia="zh-CN"/>
              </w:rPr>
              <w:t>。</w:t>
            </w:r>
          </w:p>
          <w:p>
            <w:pPr>
              <w:spacing w:line="440" w:lineRule="exact"/>
              <w:rPr>
                <w:rFonts w:hint="eastAsia"/>
                <w:color w:val="auto"/>
                <w:highlight w:val="none"/>
              </w:rPr>
            </w:pPr>
            <w:r>
              <w:rPr>
                <w:rFonts w:hint="eastAsia"/>
                <w:color w:val="auto"/>
                <w:highlight w:val="none"/>
              </w:rPr>
              <w:t>递交的投标文件（光盘）不得加密。光盘（投标文件）无法读取或导入的，则视为未提交备用投标文件光盘。如果投标人没有按规定通过交易平台网上递交电子投标文件的，不再读取提交的光盘。</w:t>
            </w:r>
            <w:r>
              <w:rPr>
                <w:rFonts w:hint="eastAsia" w:ascii="Times New Roman" w:hAnsi="Times New Roman"/>
                <w:color w:val="auto"/>
                <w:highlight w:val="none"/>
                <w:u w:val="single"/>
              </w:rPr>
              <w:t>投标人可选择不提交光盘备用。</w:t>
            </w:r>
          </w:p>
          <w:p>
            <w:pPr>
              <w:spacing w:line="440" w:lineRule="exact"/>
              <w:rPr>
                <w:color w:val="auto"/>
                <w:highlight w:val="none"/>
              </w:rPr>
            </w:pPr>
            <w:r>
              <w:rPr>
                <w:rFonts w:hint="eastAsia"/>
                <w:color w:val="auto"/>
                <w:highlight w:val="none"/>
              </w:rPr>
              <w:t>（</w:t>
            </w:r>
            <w:r>
              <w:rPr>
                <w:color w:val="auto"/>
                <w:highlight w:val="none"/>
              </w:rPr>
              <w:t>3</w:t>
            </w:r>
            <w:r>
              <w:rPr>
                <w:rFonts w:hint="eastAsia"/>
                <w:color w:val="auto"/>
                <w:highlight w:val="none"/>
              </w:rPr>
              <w:t>）补救方案</w:t>
            </w:r>
          </w:p>
          <w:p>
            <w:pPr>
              <w:spacing w:line="440" w:lineRule="exact"/>
              <w:rPr>
                <w:color w:val="auto"/>
                <w:highlight w:val="none"/>
              </w:rPr>
            </w:pPr>
            <w:r>
              <w:rPr>
                <w:color w:val="auto"/>
                <w:highlight w:val="none"/>
              </w:rPr>
              <w:t>1</w:t>
            </w:r>
            <w:r>
              <w:rPr>
                <w:rFonts w:hint="eastAsia"/>
                <w:color w:val="auto"/>
                <w:highlight w:val="none"/>
              </w:rPr>
              <w:t>）投标文件解密失败的补救方案：</w:t>
            </w:r>
          </w:p>
          <w:p>
            <w:pPr>
              <w:spacing w:line="440" w:lineRule="exact"/>
              <w:rPr>
                <w:color w:val="auto"/>
                <w:highlight w:val="none"/>
              </w:rPr>
            </w:pPr>
            <w:r>
              <w:rPr>
                <w:rFonts w:hint="eastAsia"/>
                <w:color w:val="auto"/>
                <w:highlight w:val="none"/>
              </w:rPr>
              <w:t>在规定时间内，因投标人之外原因</w:t>
            </w:r>
            <w:r>
              <w:rPr>
                <w:color w:val="auto"/>
                <w:highlight w:val="none"/>
              </w:rPr>
              <w:t>(</w:t>
            </w:r>
            <w:r>
              <w:rPr>
                <w:rFonts w:hint="eastAsia"/>
                <w:color w:val="auto"/>
                <w:highlight w:val="none"/>
              </w:rPr>
              <w:t>指网络瘫痪、服务器损坏、交易系统故障短期无法恢复</w:t>
            </w:r>
            <w:r>
              <w:rPr>
                <w:color w:val="auto"/>
                <w:highlight w:val="none"/>
              </w:rPr>
              <w:t>)</w:t>
            </w:r>
            <w:r>
              <w:rPr>
                <w:rFonts w:hint="eastAsia"/>
                <w:color w:val="auto"/>
                <w:highlight w:val="none"/>
              </w:rPr>
              <w:t>导致的电子投标文件解密失败，在开标现场读取光盘内容，继续开标程序。评标委员会对其投标文件的评审以光盘内容为准。因投标人之外原因解密失败且未递交电子光盘的，视为撤回投标文件。</w:t>
            </w:r>
          </w:p>
          <w:p>
            <w:pPr>
              <w:spacing w:line="440" w:lineRule="exact"/>
              <w:rPr>
                <w:color w:val="auto"/>
                <w:highlight w:val="none"/>
              </w:rPr>
            </w:pPr>
            <w:r>
              <w:rPr>
                <w:color w:val="auto"/>
                <w:highlight w:val="none"/>
              </w:rPr>
              <w:t>2</w:t>
            </w:r>
            <w:r>
              <w:rPr>
                <w:rFonts w:hint="eastAsia"/>
                <w:color w:val="auto"/>
                <w:highlight w:val="none"/>
              </w:rPr>
              <w:t>）评标时突发情况的补救方案</w:t>
            </w:r>
          </w:p>
          <w:p>
            <w:pPr>
              <w:spacing w:line="440" w:lineRule="exact"/>
              <w:rPr>
                <w:color w:val="auto"/>
                <w:highlight w:val="none"/>
              </w:rPr>
            </w:pPr>
            <w:r>
              <w:rPr>
                <w:rFonts w:hint="eastAsia"/>
                <w:color w:val="auto"/>
                <w:highlight w:val="none"/>
              </w:rPr>
              <w:t>若遇不可抗力发生（如：网络瘫痪、服务器损坏、交易系统故障短期无法恢复等因素），由评标委员会开启现场递交的全部投标文件光盘，并按光盘内容进行评审。</w:t>
            </w:r>
          </w:p>
          <w:p>
            <w:pPr>
              <w:spacing w:line="440" w:lineRule="exact"/>
              <w:rPr>
                <w:color w:val="auto"/>
                <w:highlight w:val="none"/>
              </w:rPr>
            </w:pPr>
            <w:r>
              <w:rPr>
                <w:color w:val="auto"/>
                <w:highlight w:val="none"/>
              </w:rPr>
              <w:t>3</w:t>
            </w:r>
            <w:r>
              <w:rPr>
                <w:rFonts w:hint="eastAsia"/>
                <w:color w:val="auto"/>
                <w:highlight w:val="none"/>
              </w:rPr>
              <w:t>）除发生上述情况外，开标评标均以投标人通过交易平台网上递交的电子投标文件为准。</w:t>
            </w:r>
          </w:p>
        </w:tc>
      </w:tr>
      <w:tr>
        <w:tblPrEx>
          <w:tblCellMar>
            <w:top w:w="0" w:type="dxa"/>
            <w:left w:w="108" w:type="dxa"/>
            <w:bottom w:w="0" w:type="dxa"/>
            <w:right w:w="108" w:type="dxa"/>
          </w:tblCellMar>
        </w:tblPrEx>
        <w:trPr>
          <w:trHeight w:val="50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10</w:t>
            </w:r>
          </w:p>
        </w:tc>
        <w:tc>
          <w:tcPr>
            <w:tcW w:w="815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auto"/>
                <w:kern w:val="0"/>
                <w:szCs w:val="21"/>
                <w:highlight w:val="none"/>
              </w:rPr>
            </w:pPr>
            <w:r>
              <w:rPr>
                <w:rFonts w:hint="eastAsia"/>
                <w:color w:val="auto"/>
                <w:highlight w:val="none"/>
              </w:rPr>
              <w:t>需要补充的其他内容</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10.1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特别提示</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投标人在本项目招标人的工程项目中存在下列行为的，将被拒绝</w:t>
            </w:r>
            <w:r>
              <w:rPr>
                <w:rFonts w:hint="eastAsia" w:ascii="宋体" w:hAnsi="宋体" w:cs="宋体"/>
                <w:color w:val="auto"/>
                <w:kern w:val="0"/>
                <w:szCs w:val="21"/>
                <w:highlight w:val="none"/>
                <w:lang w:val="en-US" w:eastAsia="zh-CN"/>
              </w:rPr>
              <w:t>一年</w:t>
            </w:r>
            <w:r>
              <w:rPr>
                <w:rFonts w:hint="eastAsia" w:ascii="宋体" w:hAnsi="宋体" w:cs="宋体"/>
                <w:color w:val="auto"/>
                <w:kern w:val="0"/>
                <w:szCs w:val="21"/>
                <w:highlight w:val="none"/>
              </w:rPr>
              <w:t>内参与我单位后续工程投标。（注：拒绝投标时限由招标人视严重程度确定，最低三个月起，自招标人发出通知之日起计）：</w:t>
            </w:r>
          </w:p>
          <w:p>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1）将中标工程转包或者违法分包的；</w:t>
            </w:r>
          </w:p>
          <w:p>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2）在中标工程中不执行质量、安全生产相关规定的，造成质量或安全事故的；</w:t>
            </w:r>
          </w:p>
          <w:p>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3）存在围标或串标情形的；</w:t>
            </w:r>
          </w:p>
          <w:p>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4）存在弄虚作假骗取中标情形的；</w:t>
            </w:r>
          </w:p>
        </w:tc>
      </w:tr>
      <w:tr>
        <w:tblPrEx>
          <w:tblCellMar>
            <w:top w:w="0" w:type="dxa"/>
            <w:left w:w="108" w:type="dxa"/>
            <w:bottom w:w="0" w:type="dxa"/>
            <w:right w:w="108" w:type="dxa"/>
          </w:tblCellMar>
        </w:tblPrEx>
        <w:trPr>
          <w:trHeight w:val="856"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10.</w:t>
            </w:r>
            <w:r>
              <w:rPr>
                <w:rFonts w:hint="eastAsia"/>
                <w:color w:val="auto"/>
                <w:highlight w:val="none"/>
              </w:rPr>
              <w:t>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资格审查方式</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资格后审</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10.</w:t>
            </w:r>
            <w:r>
              <w:rPr>
                <w:rFonts w:hint="eastAsia"/>
                <w:color w:val="auto"/>
                <w:highlight w:val="none"/>
              </w:rPr>
              <w:t>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招标失败的处理</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color w:val="auto"/>
                <w:szCs w:val="21"/>
                <w:highlight w:val="none"/>
              </w:rPr>
            </w:pPr>
            <w:r>
              <w:rPr>
                <w:rFonts w:hint="eastAsia"/>
                <w:color w:val="auto"/>
                <w:szCs w:val="21"/>
                <w:highlight w:val="none"/>
              </w:rPr>
              <w:t>招标人因两次或多次招标失败，需申请改变招标方式或不招标的，应按</w:t>
            </w:r>
            <w:r>
              <w:rPr>
                <w:rFonts w:hint="eastAsia"/>
                <w:color w:val="auto"/>
                <w:szCs w:val="24"/>
                <w:highlight w:val="none"/>
                <w:u w:val="single"/>
              </w:rPr>
              <w:t>《东莞市建设工程招标投标管理办法》（东府【2022】28号）相关规定执行</w:t>
            </w: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10.</w:t>
            </w:r>
            <w:r>
              <w:rPr>
                <w:rFonts w:hint="eastAsia"/>
                <w:color w:val="auto"/>
                <w:highlight w:val="none"/>
              </w:rPr>
              <w:t>4</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合同签署前的补充约定</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10.5</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中标价的核准原则</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auto"/>
                <w:highlight w:val="none"/>
              </w:rPr>
            </w:pPr>
            <w:r>
              <w:rPr>
                <w:rFonts w:hint="eastAsia"/>
                <w:color w:val="auto"/>
                <w:highlight w:val="none"/>
              </w:rPr>
              <w:t>（</w:t>
            </w:r>
            <w:r>
              <w:rPr>
                <w:color w:val="auto"/>
                <w:highlight w:val="none"/>
              </w:rPr>
              <w:t>1</w:t>
            </w:r>
            <w:r>
              <w:rPr>
                <w:rFonts w:hint="eastAsia"/>
                <w:color w:val="auto"/>
                <w:highlight w:val="none"/>
              </w:rPr>
              <w:t>）投标文件中的大写金额与小写金额不一致的，以大写金额为准；</w:t>
            </w:r>
          </w:p>
          <w:p>
            <w:pPr>
              <w:spacing w:line="400" w:lineRule="exact"/>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）总价金额与单价金额不一致的，以总价金额为准。</w:t>
            </w:r>
          </w:p>
        </w:tc>
      </w:tr>
      <w:tr>
        <w:tblPrEx>
          <w:tblCellMar>
            <w:top w:w="0" w:type="dxa"/>
            <w:left w:w="108" w:type="dxa"/>
            <w:bottom w:w="0" w:type="dxa"/>
            <w:right w:w="108" w:type="dxa"/>
          </w:tblCellMar>
        </w:tblPrEx>
        <w:trPr>
          <w:trHeight w:val="602"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10.</w:t>
            </w:r>
            <w:r>
              <w:rPr>
                <w:rFonts w:hint="eastAsia"/>
                <w:color w:val="auto"/>
                <w:highlight w:val="none"/>
              </w:rPr>
              <w:t>6</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其他</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auto"/>
                <w:highlight w:val="none"/>
              </w:rPr>
            </w:pPr>
            <w:r>
              <w:rPr>
                <w:rFonts w:hint="eastAsia"/>
                <w:color w:val="auto"/>
                <w:highlight w:val="none"/>
              </w:rPr>
              <w:t>（1）投标人应认真对待投标书的真实性，投标书中所附的各种评分材料不允许有造假行为，一经发现，则单项得分为零。</w:t>
            </w:r>
          </w:p>
          <w:p>
            <w:pPr>
              <w:spacing w:line="400" w:lineRule="exact"/>
              <w:rPr>
                <w:rFonts w:hint="eastAsia"/>
                <w:color w:val="auto"/>
                <w:highlight w:val="none"/>
              </w:rPr>
            </w:pPr>
            <w:r>
              <w:rPr>
                <w:rFonts w:hint="eastAsia"/>
                <w:color w:val="auto"/>
                <w:highlight w:val="none"/>
              </w:rPr>
              <w:t>（2）投标人必须按照招标文件规定的清单格式进行报价，除了标书清单报价，招标人不再接受其他任何形式的报价说明（比如降价函、报价补充说明、优惠报价说明等等）。</w:t>
            </w:r>
          </w:p>
          <w:p>
            <w:pPr>
              <w:spacing w:line="400" w:lineRule="exact"/>
              <w:rPr>
                <w:rFonts w:hint="eastAsia"/>
                <w:color w:val="auto"/>
                <w:highlight w:val="none"/>
              </w:rPr>
            </w:pPr>
            <w:r>
              <w:rPr>
                <w:rFonts w:hint="eastAsia"/>
                <w:color w:val="auto"/>
                <w:highlight w:val="none"/>
              </w:rPr>
              <w:t>（3）招标人和评标专家保留接受或拒绝任何变化、偏离或选择性报价的权力。凡超出招标文件规定的，或使招标人得到未曾要求的效益的变化、偏离、选择性报价或其它因素在评标时将不予考虑。</w:t>
            </w:r>
          </w:p>
          <w:p>
            <w:pPr>
              <w:spacing w:line="400" w:lineRule="exact"/>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）中标人应根据政府有关规定，向广州公共资源交易中心交纳交易服务费，最终以交易中心实际收取额为准。</w:t>
            </w:r>
          </w:p>
          <w:p>
            <w:pPr>
              <w:spacing w:line="400" w:lineRule="exact"/>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）中标人应按照招标代理合同向招标代理机构支付本项目的招标代理服务费。</w:t>
            </w:r>
          </w:p>
          <w:p>
            <w:pPr>
              <w:spacing w:line="400" w:lineRule="exact"/>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）中标人应按招标人通知要求在规定时间内到公共资源交易中心配合办理中标通知书的相关手续。</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ascii="宋体" w:hAnsi="宋体" w:cs="宋体"/>
                <w:color w:val="auto"/>
                <w:szCs w:val="21"/>
                <w:highlight w:val="none"/>
              </w:rPr>
              <w:t>10.7</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highlight w:val="none"/>
              </w:rPr>
            </w:pPr>
            <w:r>
              <w:rPr>
                <w:rFonts w:hint="eastAsia" w:ascii="宋体" w:hAnsi="宋体" w:cs="宋体"/>
                <w:color w:val="auto"/>
                <w:szCs w:val="21"/>
                <w:highlight w:val="none"/>
              </w:rPr>
              <w:t>合同签订原则</w:t>
            </w:r>
          </w:p>
        </w:tc>
        <w:tc>
          <w:tcPr>
            <w:tcW w:w="5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业主单位、招标人与中标人将在投标有效期内并自中标通知书发出之日起30日内，按照招标文件和中标人的投标文件商定合同和签订合同，项目业主、招标人和中标人不得再行订立背离合同实质性内容的其他协议。</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中标人如不按上述规定与招标人、业主单位订立合同，则招标人将取消其中标资格，因此给招标人造成损失的，招标人有权要求其承担赔偿责任。</w:t>
            </w:r>
          </w:p>
          <w:p>
            <w:pPr>
              <w:spacing w:line="400" w:lineRule="exact"/>
              <w:ind w:firstLine="420" w:firstLineChars="200"/>
              <w:rPr>
                <w:rFonts w:hint="eastAsia"/>
                <w:color w:val="auto"/>
                <w:highlight w:val="none"/>
              </w:rPr>
            </w:pPr>
            <w:r>
              <w:rPr>
                <w:rFonts w:hint="eastAsia" w:ascii="宋体" w:hAnsi="宋体" w:cs="宋体"/>
                <w:color w:val="auto"/>
                <w:kern w:val="0"/>
                <w:szCs w:val="21"/>
                <w:highlight w:val="none"/>
              </w:rPr>
              <w:t>业主单位、</w:t>
            </w:r>
            <w:r>
              <w:rPr>
                <w:rFonts w:hint="eastAsia" w:ascii="宋体" w:hAnsi="宋体" w:cs="宋体"/>
                <w:color w:val="auto"/>
                <w:szCs w:val="21"/>
                <w:highlight w:val="none"/>
              </w:rPr>
              <w:t>招标人与最终确定的中标候选人签订。</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w:t>
            </w:r>
          </w:p>
        </w:tc>
        <w:tc>
          <w:tcPr>
            <w:tcW w:w="24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真实性审查</w:t>
            </w:r>
          </w:p>
        </w:tc>
        <w:tc>
          <w:tcPr>
            <w:tcW w:w="5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1）在授予合同前，招标人有权组织对投标人的真实性审查。包括对投标人的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取消其投标或中标候选人资格。</w:t>
            </w:r>
          </w:p>
          <w:p>
            <w:pPr>
              <w:spacing w:line="360" w:lineRule="auto"/>
              <w:rPr>
                <w:rFonts w:hint="eastAsia"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（2）投标人在招标人通知其提供上述证明资料原件进行核查的要求后，未能在</w:t>
            </w:r>
            <w:r>
              <w:rPr>
                <w:rFonts w:ascii="宋体" w:hAnsi="宋体"/>
                <w:bCs/>
                <w:color w:val="auto"/>
                <w:szCs w:val="21"/>
                <w:highlight w:val="none"/>
              </w:rPr>
              <w:t>通知后5个自然日</w:t>
            </w:r>
            <w:r>
              <w:rPr>
                <w:rFonts w:hint="eastAsia" w:ascii="宋体" w:hAnsi="宋体"/>
                <w:bCs/>
                <w:color w:val="auto"/>
                <w:szCs w:val="21"/>
                <w:highlight w:val="none"/>
              </w:rPr>
              <w:t>内提供原件进行核查的，视为投标人无法提供真实的资料，招标人有权按照评标委员会提出的中标候选人名单排序依次确定其他中标候选人为中标人或重新招标。</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备注：</w:t>
      </w:r>
      <w:r>
        <w:rPr>
          <w:rFonts w:hint="eastAsia"/>
          <w:color w:val="auto"/>
          <w:highlight w:val="none"/>
          <w:lang w:val="en-US" w:eastAsia="zh-CN"/>
        </w:rPr>
        <w:t>1</w:t>
      </w:r>
      <w:r>
        <w:rPr>
          <w:rFonts w:hint="eastAsia" w:ascii="宋体" w:hAnsi="宋体"/>
          <w:color w:val="auto"/>
          <w:szCs w:val="21"/>
          <w:highlight w:val="none"/>
        </w:rPr>
        <w:t>.</w:t>
      </w:r>
      <w:r>
        <w:rPr>
          <w:rFonts w:hint="eastAsia"/>
          <w:color w:val="auto"/>
          <w:highlight w:val="none"/>
        </w:rPr>
        <w:t>投标人须知正文与《投标人须知前附表》描述存在不一致之处，以《投标人须知前附表》为准。</w:t>
      </w:r>
    </w:p>
    <w:p>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color w:val="auto"/>
          <w:highlight w:val="none"/>
        </w:rPr>
      </w:pPr>
      <w:r>
        <w:rPr>
          <w:rFonts w:hint="eastAsia" w:ascii="宋体" w:hAnsi="宋体"/>
          <w:color w:val="auto"/>
          <w:szCs w:val="21"/>
          <w:highlight w:val="none"/>
        </w:rPr>
        <w:t>2.《房建市政全流程电子化项目操作专章》，详见广州公共资源交易中心网站服务指南栏目的办事指引栏（以最新发布的为准）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bookmarkStart w:id="93" w:name="_Toc29882"/>
      <w:bookmarkStart w:id="94" w:name="_Toc156398323"/>
      <w:bookmarkStart w:id="95" w:name="_Toc32239"/>
      <w:bookmarkStart w:id="96" w:name="_Toc19757"/>
      <w:bookmarkStart w:id="97" w:name="_Toc24804"/>
      <w:bookmarkStart w:id="98" w:name="_Toc17632"/>
      <w:r>
        <w:rPr>
          <w:rFonts w:ascii="Times New Roman" w:hAnsi="Times New Roman"/>
          <w:color w:val="auto"/>
          <w:highlight w:val="none"/>
        </w:rPr>
        <w:br w:type="page"/>
      </w:r>
    </w:p>
    <w:p>
      <w:pPr>
        <w:pStyle w:val="3"/>
        <w:spacing w:line="240" w:lineRule="auto"/>
        <w:rPr>
          <w:rFonts w:ascii="Times New Roman" w:hAnsi="Times New Roman"/>
          <w:color w:val="auto"/>
          <w:highlight w:val="none"/>
        </w:rPr>
      </w:pPr>
      <w:r>
        <w:rPr>
          <w:rFonts w:ascii="Times New Roman" w:hAnsi="Times New Roman"/>
          <w:color w:val="auto"/>
          <w:highlight w:val="none"/>
        </w:rPr>
        <w:t xml:space="preserve">1. </w:t>
      </w:r>
      <w:r>
        <w:rPr>
          <w:rFonts w:hint="eastAsia" w:ascii="Times New Roman" w:hAnsi="Times New Roman"/>
          <w:color w:val="auto"/>
          <w:highlight w:val="none"/>
        </w:rPr>
        <w:t>总则</w:t>
      </w:r>
      <w:bookmarkEnd w:id="93"/>
      <w:bookmarkEnd w:id="94"/>
      <w:bookmarkEnd w:id="95"/>
      <w:bookmarkEnd w:id="96"/>
      <w:bookmarkEnd w:id="97"/>
      <w:bookmarkEnd w:id="98"/>
    </w:p>
    <w:p>
      <w:pPr>
        <w:pStyle w:val="4"/>
        <w:spacing w:line="240" w:lineRule="auto"/>
        <w:ind w:firstLine="137"/>
        <w:rPr>
          <w:rFonts w:ascii="Times New Roman"/>
          <w:color w:val="auto"/>
          <w:highlight w:val="none"/>
        </w:rPr>
      </w:pPr>
      <w:bookmarkStart w:id="99" w:name="_Toc26554"/>
      <w:bookmarkStart w:id="100" w:name="_Toc156398324"/>
      <w:bookmarkStart w:id="101" w:name="_Toc11877"/>
      <w:bookmarkStart w:id="102" w:name="_Toc20796"/>
      <w:bookmarkStart w:id="103" w:name="_Toc17239"/>
      <w:r>
        <w:rPr>
          <w:rFonts w:ascii="Times New Roman"/>
          <w:color w:val="auto"/>
          <w:highlight w:val="none"/>
        </w:rPr>
        <w:t xml:space="preserve">1.1 </w:t>
      </w:r>
      <w:r>
        <w:rPr>
          <w:rFonts w:hint="eastAsia" w:ascii="Times New Roman"/>
          <w:color w:val="auto"/>
          <w:highlight w:val="none"/>
        </w:rPr>
        <w:t>招标项目概况</w:t>
      </w:r>
      <w:bookmarkEnd w:id="99"/>
      <w:bookmarkEnd w:id="100"/>
      <w:bookmarkEnd w:id="101"/>
      <w:bookmarkEnd w:id="102"/>
      <w:bookmarkEnd w:id="103"/>
    </w:p>
    <w:p>
      <w:pPr>
        <w:spacing w:line="400" w:lineRule="exact"/>
        <w:ind w:firstLine="420" w:firstLineChars="200"/>
        <w:rPr>
          <w:color w:val="auto"/>
          <w:highlight w:val="none"/>
        </w:rPr>
      </w:pPr>
      <w:r>
        <w:rPr>
          <w:color w:val="auto"/>
          <w:highlight w:val="none"/>
        </w:rPr>
        <w:t>1.1.1</w:t>
      </w:r>
      <w:r>
        <w:rPr>
          <w:rFonts w:hint="eastAsia"/>
          <w:color w:val="auto"/>
          <w:highlight w:val="none"/>
        </w:rPr>
        <w:t>根据《中华人民共和国招标投标法》、《中华人民共和国招标投标法实施条例》等有关法律、法规和规章的规定，本招标项目已具备招标条件，现对</w:t>
      </w:r>
      <w:r>
        <w:rPr>
          <w:rFonts w:hint="eastAsia"/>
          <w:color w:val="auto"/>
          <w:highlight w:val="none"/>
          <w:u w:val="single"/>
          <w:lang w:val="en-US" w:eastAsia="zh-CN"/>
        </w:rPr>
        <w:t>强弱电系统和车站设备集成服务</w:t>
      </w:r>
      <w:r>
        <w:rPr>
          <w:rFonts w:hint="eastAsia"/>
          <w:color w:val="auto"/>
          <w:highlight w:val="none"/>
        </w:rPr>
        <w:t>进行招标。</w:t>
      </w:r>
    </w:p>
    <w:p>
      <w:pPr>
        <w:spacing w:line="400" w:lineRule="exact"/>
        <w:ind w:firstLine="420" w:firstLineChars="200"/>
        <w:rPr>
          <w:color w:val="auto"/>
          <w:highlight w:val="none"/>
        </w:rPr>
      </w:pPr>
      <w:r>
        <w:rPr>
          <w:color w:val="auto"/>
          <w:highlight w:val="none"/>
        </w:rPr>
        <w:t xml:space="preserve">1.1.2 </w:t>
      </w:r>
      <w:r>
        <w:rPr>
          <w:rFonts w:hint="eastAsia"/>
          <w:color w:val="auto"/>
          <w:highlight w:val="none"/>
        </w:rPr>
        <w:t>招标人：见投标人须知前附表。</w:t>
      </w:r>
    </w:p>
    <w:p>
      <w:pPr>
        <w:spacing w:line="400" w:lineRule="exact"/>
        <w:ind w:firstLine="420" w:firstLineChars="200"/>
        <w:rPr>
          <w:color w:val="auto"/>
          <w:highlight w:val="none"/>
        </w:rPr>
      </w:pPr>
      <w:r>
        <w:rPr>
          <w:color w:val="auto"/>
          <w:highlight w:val="none"/>
        </w:rPr>
        <w:t xml:space="preserve">1.1.3 </w:t>
      </w:r>
      <w:r>
        <w:rPr>
          <w:rFonts w:hint="eastAsia"/>
          <w:color w:val="auto"/>
          <w:highlight w:val="none"/>
        </w:rPr>
        <w:t>招标代理机构：见投标人须知前附表。</w:t>
      </w:r>
    </w:p>
    <w:p>
      <w:pPr>
        <w:spacing w:line="400" w:lineRule="exact"/>
        <w:ind w:firstLine="420" w:firstLineChars="200"/>
        <w:rPr>
          <w:color w:val="auto"/>
          <w:highlight w:val="none"/>
        </w:rPr>
      </w:pPr>
      <w:r>
        <w:rPr>
          <w:color w:val="auto"/>
          <w:highlight w:val="none"/>
        </w:rPr>
        <w:t xml:space="preserve">1.1.4 </w:t>
      </w:r>
      <w:r>
        <w:rPr>
          <w:rFonts w:hint="eastAsia"/>
          <w:color w:val="auto"/>
          <w:highlight w:val="none"/>
        </w:rPr>
        <w:t>招标项目名称：见投标人须知前附表。</w:t>
      </w:r>
    </w:p>
    <w:p>
      <w:pPr>
        <w:spacing w:line="400" w:lineRule="exact"/>
        <w:ind w:firstLine="420" w:firstLineChars="200"/>
        <w:rPr>
          <w:color w:val="auto"/>
          <w:highlight w:val="none"/>
        </w:rPr>
      </w:pPr>
      <w:r>
        <w:rPr>
          <w:color w:val="auto"/>
          <w:highlight w:val="none"/>
        </w:rPr>
        <w:t xml:space="preserve">1.1.5 </w:t>
      </w:r>
      <w:r>
        <w:rPr>
          <w:rFonts w:hint="eastAsia"/>
          <w:color w:val="auto"/>
          <w:highlight w:val="none"/>
        </w:rPr>
        <w:t>项目建设地点：见投标人须知前附表。</w:t>
      </w:r>
    </w:p>
    <w:p>
      <w:pPr>
        <w:spacing w:line="400" w:lineRule="exact"/>
        <w:ind w:firstLine="420" w:firstLineChars="200"/>
        <w:rPr>
          <w:color w:val="auto"/>
          <w:highlight w:val="none"/>
        </w:rPr>
      </w:pPr>
      <w:r>
        <w:rPr>
          <w:color w:val="auto"/>
          <w:highlight w:val="none"/>
        </w:rPr>
        <w:t xml:space="preserve">1.1.6 </w:t>
      </w:r>
      <w:r>
        <w:rPr>
          <w:rFonts w:hint="eastAsia"/>
          <w:color w:val="auto"/>
          <w:highlight w:val="none"/>
        </w:rPr>
        <w:t>项目建设规模：见投标人须知前附表。</w:t>
      </w:r>
    </w:p>
    <w:p>
      <w:pPr>
        <w:spacing w:line="400" w:lineRule="exact"/>
        <w:ind w:firstLine="420" w:firstLineChars="200"/>
        <w:rPr>
          <w:color w:val="auto"/>
          <w:highlight w:val="none"/>
        </w:rPr>
      </w:pPr>
      <w:r>
        <w:rPr>
          <w:color w:val="auto"/>
          <w:highlight w:val="none"/>
        </w:rPr>
        <w:t xml:space="preserve">1.1.7 </w:t>
      </w:r>
      <w:r>
        <w:rPr>
          <w:rFonts w:hint="eastAsia"/>
          <w:color w:val="auto"/>
          <w:highlight w:val="none"/>
        </w:rPr>
        <w:t>工程项目施工预计开工日期和建设周期：见投标人须知前附表。</w:t>
      </w:r>
    </w:p>
    <w:p>
      <w:pPr>
        <w:spacing w:line="400" w:lineRule="exact"/>
        <w:ind w:firstLine="420" w:firstLineChars="200"/>
        <w:rPr>
          <w:color w:val="auto"/>
          <w:highlight w:val="none"/>
        </w:rPr>
      </w:pPr>
      <w:r>
        <w:rPr>
          <w:color w:val="auto"/>
          <w:highlight w:val="none"/>
        </w:rPr>
        <w:t>1.1.8</w:t>
      </w:r>
      <w:r>
        <w:rPr>
          <w:rFonts w:hint="eastAsia"/>
          <w:color w:val="auto"/>
          <w:highlight w:val="none"/>
          <w:lang w:val="en-US" w:eastAsia="zh-CN"/>
        </w:rPr>
        <w:t xml:space="preserve"> </w:t>
      </w:r>
      <w:r>
        <w:rPr>
          <w:rFonts w:hint="eastAsia"/>
          <w:color w:val="auto"/>
          <w:highlight w:val="none"/>
        </w:rPr>
        <w:t>建筑安装工程费</w:t>
      </w:r>
      <w:r>
        <w:rPr>
          <w:color w:val="auto"/>
          <w:highlight w:val="none"/>
        </w:rPr>
        <w:t>/</w:t>
      </w:r>
      <w:r>
        <w:rPr>
          <w:rFonts w:hint="eastAsia"/>
          <w:color w:val="auto"/>
          <w:highlight w:val="none"/>
        </w:rPr>
        <w:t>工程服务收费计费额</w:t>
      </w:r>
      <w:r>
        <w:rPr>
          <w:rFonts w:hint="eastAsia" w:eastAsia="宋体" w:cs="宋体"/>
          <w:color w:val="auto"/>
          <w:highlight w:val="none"/>
        </w:rPr>
        <w:t>：</w:t>
      </w:r>
      <w:r>
        <w:rPr>
          <w:rFonts w:hint="eastAsia"/>
          <w:color w:val="auto"/>
          <w:highlight w:val="none"/>
        </w:rPr>
        <w:t>见投标人须知前附表。</w:t>
      </w:r>
    </w:p>
    <w:p>
      <w:pPr>
        <w:pStyle w:val="4"/>
        <w:spacing w:line="240" w:lineRule="auto"/>
        <w:ind w:firstLine="137"/>
        <w:rPr>
          <w:rFonts w:ascii="Times New Roman"/>
          <w:color w:val="auto"/>
          <w:highlight w:val="none"/>
        </w:rPr>
      </w:pPr>
      <w:bookmarkStart w:id="104" w:name="_Toc26722"/>
      <w:bookmarkStart w:id="105" w:name="_Toc5550"/>
      <w:bookmarkStart w:id="106" w:name="_Toc28327"/>
      <w:bookmarkStart w:id="107" w:name="_Toc156398325"/>
      <w:bookmarkStart w:id="108" w:name="_Toc30509"/>
      <w:r>
        <w:rPr>
          <w:rFonts w:ascii="Times New Roman"/>
          <w:color w:val="auto"/>
          <w:highlight w:val="none"/>
        </w:rPr>
        <w:t xml:space="preserve">1.2 </w:t>
      </w:r>
      <w:r>
        <w:rPr>
          <w:rFonts w:hint="eastAsia" w:ascii="Times New Roman"/>
          <w:color w:val="auto"/>
          <w:highlight w:val="none"/>
        </w:rPr>
        <w:t>招标项目的资金来源和落实情况</w:t>
      </w:r>
      <w:bookmarkEnd w:id="104"/>
      <w:bookmarkEnd w:id="105"/>
      <w:bookmarkEnd w:id="106"/>
      <w:bookmarkEnd w:id="107"/>
      <w:bookmarkEnd w:id="108"/>
    </w:p>
    <w:p>
      <w:pPr>
        <w:spacing w:line="400" w:lineRule="exact"/>
        <w:ind w:firstLine="420" w:firstLineChars="200"/>
        <w:rPr>
          <w:color w:val="auto"/>
          <w:highlight w:val="none"/>
        </w:rPr>
      </w:pPr>
      <w:r>
        <w:rPr>
          <w:color w:val="auto"/>
          <w:highlight w:val="none"/>
        </w:rPr>
        <w:t xml:space="preserve">1.2.1 </w:t>
      </w:r>
      <w:r>
        <w:rPr>
          <w:rFonts w:hint="eastAsia"/>
          <w:color w:val="auto"/>
          <w:highlight w:val="none"/>
        </w:rPr>
        <w:t>资金来源及比例：见投标人须知前附表。</w:t>
      </w:r>
    </w:p>
    <w:p>
      <w:pPr>
        <w:spacing w:line="400" w:lineRule="exact"/>
        <w:ind w:firstLine="420" w:firstLineChars="200"/>
        <w:rPr>
          <w:color w:val="auto"/>
          <w:highlight w:val="none"/>
        </w:rPr>
      </w:pPr>
      <w:r>
        <w:rPr>
          <w:color w:val="auto"/>
          <w:highlight w:val="none"/>
        </w:rPr>
        <w:t xml:space="preserve">1.2.2 </w:t>
      </w:r>
      <w:r>
        <w:rPr>
          <w:rFonts w:hint="eastAsia"/>
          <w:color w:val="auto"/>
          <w:highlight w:val="none"/>
        </w:rPr>
        <w:t>资金落实情况：见投标人须知前附表。</w:t>
      </w:r>
    </w:p>
    <w:p>
      <w:pPr>
        <w:pStyle w:val="4"/>
        <w:spacing w:line="240" w:lineRule="auto"/>
        <w:ind w:firstLine="137"/>
        <w:rPr>
          <w:rFonts w:ascii="Times New Roman"/>
          <w:color w:val="auto"/>
          <w:highlight w:val="none"/>
        </w:rPr>
      </w:pPr>
      <w:bookmarkStart w:id="109" w:name="_Toc18102"/>
      <w:bookmarkStart w:id="110" w:name="_Toc156398326"/>
      <w:bookmarkStart w:id="111" w:name="_Toc19787"/>
      <w:bookmarkStart w:id="112" w:name="_Toc4356"/>
      <w:bookmarkStart w:id="113" w:name="_Toc16748"/>
      <w:r>
        <w:rPr>
          <w:rFonts w:ascii="Times New Roman"/>
          <w:color w:val="auto"/>
          <w:highlight w:val="none"/>
        </w:rPr>
        <w:t xml:space="preserve">1.3 </w:t>
      </w:r>
      <w:r>
        <w:rPr>
          <w:rFonts w:hint="eastAsia" w:ascii="Times New Roman"/>
          <w:color w:val="auto"/>
          <w:highlight w:val="none"/>
        </w:rPr>
        <w:t>招标范围、</w:t>
      </w:r>
      <w:r>
        <w:rPr>
          <w:rFonts w:hint="eastAsia" w:ascii="Times New Roman"/>
          <w:color w:val="auto"/>
          <w:highlight w:val="none"/>
          <w:lang w:val="en-US" w:eastAsia="zh-CN"/>
        </w:rPr>
        <w:t>集成服务</w:t>
      </w:r>
      <w:r>
        <w:rPr>
          <w:rFonts w:hint="eastAsia" w:ascii="Times New Roman"/>
          <w:color w:val="auto"/>
          <w:highlight w:val="none"/>
        </w:rPr>
        <w:t>服务期限和质量标准</w:t>
      </w:r>
      <w:bookmarkEnd w:id="109"/>
      <w:bookmarkEnd w:id="110"/>
      <w:bookmarkEnd w:id="111"/>
      <w:bookmarkEnd w:id="112"/>
      <w:bookmarkEnd w:id="113"/>
    </w:p>
    <w:p>
      <w:pPr>
        <w:spacing w:line="400" w:lineRule="exact"/>
        <w:ind w:firstLine="420" w:firstLineChars="200"/>
        <w:rPr>
          <w:color w:val="auto"/>
          <w:highlight w:val="none"/>
        </w:rPr>
      </w:pPr>
      <w:r>
        <w:rPr>
          <w:color w:val="auto"/>
          <w:highlight w:val="none"/>
        </w:rPr>
        <w:t xml:space="preserve">1.3.1 </w:t>
      </w:r>
      <w:r>
        <w:rPr>
          <w:rFonts w:hint="eastAsia"/>
          <w:color w:val="auto"/>
          <w:highlight w:val="none"/>
        </w:rPr>
        <w:t>招标范围：见投标人须知前附表。</w:t>
      </w:r>
    </w:p>
    <w:p>
      <w:pPr>
        <w:spacing w:line="400" w:lineRule="exact"/>
        <w:ind w:firstLine="420" w:firstLineChars="200"/>
        <w:rPr>
          <w:color w:val="auto"/>
          <w:highlight w:val="none"/>
        </w:rPr>
      </w:pPr>
      <w:r>
        <w:rPr>
          <w:color w:val="auto"/>
          <w:highlight w:val="none"/>
        </w:rPr>
        <w:t xml:space="preserve">1.3.2 </w:t>
      </w:r>
      <w:r>
        <w:rPr>
          <w:rFonts w:hint="eastAsia"/>
          <w:color w:val="auto"/>
          <w:highlight w:val="none"/>
        </w:rPr>
        <w:t>服务期限：见投标人须知前附表。</w:t>
      </w:r>
    </w:p>
    <w:p>
      <w:pPr>
        <w:spacing w:line="400" w:lineRule="exact"/>
        <w:ind w:firstLine="420" w:firstLineChars="200"/>
        <w:rPr>
          <w:color w:val="auto"/>
          <w:highlight w:val="none"/>
        </w:rPr>
      </w:pPr>
      <w:r>
        <w:rPr>
          <w:color w:val="auto"/>
          <w:highlight w:val="none"/>
        </w:rPr>
        <w:t xml:space="preserve">1.3.3 </w:t>
      </w:r>
      <w:r>
        <w:rPr>
          <w:rFonts w:hint="eastAsia"/>
          <w:color w:val="auto"/>
          <w:highlight w:val="none"/>
        </w:rPr>
        <w:t>质量标准：见投标人须知前附表。</w:t>
      </w:r>
    </w:p>
    <w:p>
      <w:pPr>
        <w:pStyle w:val="4"/>
        <w:spacing w:line="240" w:lineRule="auto"/>
        <w:ind w:firstLine="137"/>
        <w:rPr>
          <w:rFonts w:ascii="Times New Roman"/>
          <w:color w:val="auto"/>
          <w:highlight w:val="none"/>
        </w:rPr>
      </w:pPr>
      <w:bookmarkStart w:id="114" w:name="_Toc12708"/>
      <w:bookmarkStart w:id="115" w:name="_Toc8990"/>
      <w:bookmarkStart w:id="116" w:name="_Toc27037"/>
      <w:bookmarkStart w:id="117" w:name="_Toc156398327"/>
      <w:bookmarkStart w:id="118" w:name="_Toc30465"/>
      <w:r>
        <w:rPr>
          <w:rFonts w:ascii="Times New Roman"/>
          <w:color w:val="auto"/>
          <w:highlight w:val="none"/>
        </w:rPr>
        <w:t xml:space="preserve">1.4 </w:t>
      </w:r>
      <w:r>
        <w:rPr>
          <w:rFonts w:hint="eastAsia" w:ascii="Times New Roman"/>
          <w:color w:val="auto"/>
          <w:highlight w:val="none"/>
        </w:rPr>
        <w:t>投标人资格要求</w:t>
      </w:r>
      <w:bookmarkEnd w:id="114"/>
      <w:bookmarkEnd w:id="115"/>
      <w:bookmarkEnd w:id="116"/>
      <w:bookmarkEnd w:id="117"/>
      <w:bookmarkEnd w:id="118"/>
    </w:p>
    <w:p>
      <w:pPr>
        <w:spacing w:line="400" w:lineRule="exact"/>
        <w:ind w:firstLine="420" w:firstLineChars="200"/>
        <w:rPr>
          <w:color w:val="auto"/>
          <w:highlight w:val="none"/>
        </w:rPr>
      </w:pPr>
      <w:r>
        <w:rPr>
          <w:color w:val="auto"/>
          <w:highlight w:val="none"/>
        </w:rPr>
        <w:t xml:space="preserve">1.4.1 </w:t>
      </w:r>
      <w:r>
        <w:rPr>
          <w:rFonts w:hint="eastAsia"/>
          <w:color w:val="auto"/>
          <w:highlight w:val="none"/>
        </w:rPr>
        <w:t>投标人应具备承担本招标项目资质条件、能力和信誉：</w:t>
      </w:r>
    </w:p>
    <w:p>
      <w:pPr>
        <w:spacing w:line="40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）资质要求：见投标人须知前附表；</w:t>
      </w:r>
    </w:p>
    <w:p>
      <w:pPr>
        <w:spacing w:line="400" w:lineRule="exact"/>
        <w:ind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）财务要求：见投标人须知前附表；</w:t>
      </w:r>
    </w:p>
    <w:p>
      <w:pPr>
        <w:spacing w:line="400" w:lineRule="exact"/>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）业绩要求：见投标人须知前附表；</w:t>
      </w:r>
    </w:p>
    <w:p>
      <w:pPr>
        <w:spacing w:line="400" w:lineRule="exact"/>
        <w:ind w:firstLine="315" w:firstLineChars="150"/>
        <w:rPr>
          <w:color w:val="auto"/>
          <w:highlight w:val="none"/>
        </w:rPr>
      </w:pPr>
      <w:r>
        <w:rPr>
          <w:rFonts w:hint="eastAsia"/>
          <w:color w:val="auto"/>
          <w:highlight w:val="none"/>
        </w:rPr>
        <w:t>（</w:t>
      </w:r>
      <w:r>
        <w:rPr>
          <w:color w:val="auto"/>
          <w:highlight w:val="none"/>
        </w:rPr>
        <w:t>4</w:t>
      </w:r>
      <w:r>
        <w:rPr>
          <w:rFonts w:hint="eastAsia"/>
          <w:color w:val="auto"/>
          <w:highlight w:val="none"/>
        </w:rPr>
        <w:t>）信誉要求：见投标人须知前附表；</w:t>
      </w:r>
    </w:p>
    <w:p>
      <w:pPr>
        <w:spacing w:line="400" w:lineRule="exact"/>
        <w:ind w:firstLine="315" w:firstLineChars="150"/>
        <w:rPr>
          <w:color w:val="auto"/>
          <w:highlight w:val="none"/>
        </w:rPr>
      </w:pPr>
      <w:r>
        <w:rPr>
          <w:rFonts w:hint="eastAsia"/>
          <w:color w:val="auto"/>
          <w:highlight w:val="none"/>
        </w:rPr>
        <w:t>（</w:t>
      </w:r>
      <w:r>
        <w:rPr>
          <w:color w:val="auto"/>
          <w:highlight w:val="none"/>
        </w:rPr>
        <w:t>5</w:t>
      </w:r>
      <w:r>
        <w:rPr>
          <w:rFonts w:hint="eastAsia"/>
          <w:color w:val="auto"/>
          <w:highlight w:val="none"/>
        </w:rPr>
        <w:t>）</w:t>
      </w:r>
      <w:r>
        <w:rPr>
          <w:rFonts w:hint="eastAsia"/>
          <w:color w:val="auto"/>
          <w:highlight w:val="none"/>
          <w:lang w:val="en-US" w:eastAsia="zh-CN"/>
        </w:rPr>
        <w:t>项目经理</w:t>
      </w:r>
      <w:r>
        <w:rPr>
          <w:rFonts w:hint="eastAsia"/>
          <w:color w:val="auto"/>
          <w:highlight w:val="none"/>
        </w:rPr>
        <w:t>的资格要求：见投标人须知前附表；</w:t>
      </w:r>
    </w:p>
    <w:p>
      <w:pPr>
        <w:spacing w:line="400" w:lineRule="exact"/>
        <w:ind w:firstLine="315" w:firstLineChars="150"/>
        <w:rPr>
          <w:color w:val="auto"/>
          <w:highlight w:val="none"/>
        </w:rPr>
      </w:pPr>
      <w:r>
        <w:rPr>
          <w:rFonts w:hint="eastAsia"/>
          <w:color w:val="auto"/>
          <w:highlight w:val="none"/>
        </w:rPr>
        <w:t>（</w:t>
      </w:r>
      <w:r>
        <w:rPr>
          <w:color w:val="auto"/>
          <w:highlight w:val="none"/>
        </w:rPr>
        <w:t>6</w:t>
      </w:r>
      <w:r>
        <w:rPr>
          <w:rFonts w:hint="eastAsia"/>
          <w:color w:val="auto"/>
          <w:highlight w:val="none"/>
        </w:rPr>
        <w:t>）其他主要人员要求：见投标人须知前附表。</w:t>
      </w:r>
    </w:p>
    <w:p>
      <w:pPr>
        <w:spacing w:line="400" w:lineRule="exact"/>
        <w:ind w:firstLine="315" w:firstLineChars="150"/>
        <w:rPr>
          <w:color w:val="auto"/>
          <w:highlight w:val="none"/>
        </w:rPr>
      </w:pPr>
      <w:r>
        <w:rPr>
          <w:rFonts w:hint="eastAsia"/>
          <w:color w:val="auto"/>
          <w:highlight w:val="none"/>
        </w:rPr>
        <w:t>（</w:t>
      </w:r>
      <w:r>
        <w:rPr>
          <w:color w:val="auto"/>
          <w:highlight w:val="none"/>
        </w:rPr>
        <w:t>7</w:t>
      </w:r>
      <w:r>
        <w:rPr>
          <w:rFonts w:hint="eastAsia"/>
          <w:color w:val="auto"/>
          <w:highlight w:val="none"/>
        </w:rPr>
        <w:t>）试验检测仪器设备要求：见投标人须知前附表。</w:t>
      </w:r>
    </w:p>
    <w:p>
      <w:pPr>
        <w:spacing w:line="400" w:lineRule="exact"/>
        <w:ind w:firstLine="315" w:firstLineChars="150"/>
        <w:rPr>
          <w:color w:val="auto"/>
          <w:highlight w:val="none"/>
        </w:rPr>
      </w:pPr>
      <w:r>
        <w:rPr>
          <w:rFonts w:hint="eastAsia"/>
          <w:color w:val="auto"/>
          <w:highlight w:val="none"/>
        </w:rPr>
        <w:t>（</w:t>
      </w:r>
      <w:r>
        <w:rPr>
          <w:color w:val="auto"/>
          <w:highlight w:val="none"/>
        </w:rPr>
        <w:t>8</w:t>
      </w:r>
      <w:r>
        <w:rPr>
          <w:rFonts w:hint="eastAsia"/>
          <w:color w:val="auto"/>
          <w:highlight w:val="none"/>
        </w:rPr>
        <w:t>）其他要求：见投标人须知前附表。</w:t>
      </w:r>
    </w:p>
    <w:p>
      <w:pPr>
        <w:spacing w:line="400" w:lineRule="exact"/>
        <w:ind w:firstLine="315" w:firstLineChars="150"/>
        <w:rPr>
          <w:color w:val="auto"/>
          <w:highlight w:val="none"/>
        </w:rPr>
      </w:pPr>
      <w:r>
        <w:rPr>
          <w:rFonts w:hint="eastAsia"/>
          <w:color w:val="auto"/>
          <w:highlight w:val="none"/>
        </w:rPr>
        <w:t>需要提交的相关证明材料见本章第</w:t>
      </w:r>
      <w:r>
        <w:rPr>
          <w:color w:val="auto"/>
          <w:highlight w:val="none"/>
        </w:rPr>
        <w:t>3.5</w:t>
      </w:r>
      <w:r>
        <w:rPr>
          <w:rFonts w:hint="eastAsia"/>
          <w:color w:val="auto"/>
          <w:highlight w:val="none"/>
        </w:rPr>
        <w:t>款的规定。</w:t>
      </w:r>
    </w:p>
    <w:p>
      <w:pPr>
        <w:spacing w:line="400" w:lineRule="exact"/>
        <w:ind w:firstLine="315" w:firstLineChars="150"/>
        <w:rPr>
          <w:color w:val="auto"/>
          <w:highlight w:val="none"/>
        </w:rPr>
      </w:pPr>
      <w:r>
        <w:rPr>
          <w:color w:val="auto"/>
          <w:highlight w:val="none"/>
        </w:rPr>
        <w:t>1.4.2</w:t>
      </w:r>
      <w:r>
        <w:rPr>
          <w:rFonts w:hint="eastAsia"/>
          <w:color w:val="auto"/>
          <w:highlight w:val="none"/>
        </w:rPr>
        <w:t>投标人须知前附表规定接受联合体投标的，联合体除应符合本章第</w:t>
      </w:r>
      <w:r>
        <w:rPr>
          <w:color w:val="auto"/>
          <w:highlight w:val="none"/>
        </w:rPr>
        <w:t>1.4.1</w:t>
      </w:r>
      <w:r>
        <w:rPr>
          <w:rFonts w:hint="eastAsia"/>
          <w:color w:val="auto"/>
          <w:highlight w:val="none"/>
        </w:rPr>
        <w:t>项和投标人须知前附表的要求外，还应遵守以下规定：</w:t>
      </w:r>
    </w:p>
    <w:p>
      <w:pPr>
        <w:spacing w:line="40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）联合体各方应按招标文件提供的格式签订联合体协议书，明确联合体牵头人和各方权利义务，并承诺就中标项目向招标人承担连带责任；</w:t>
      </w:r>
    </w:p>
    <w:p>
      <w:pPr>
        <w:spacing w:line="400" w:lineRule="exact"/>
        <w:ind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）由同一专业的单位组成的联合体，按照资质等级较低的单位确定资质等级；</w:t>
      </w:r>
    </w:p>
    <w:p>
      <w:pPr>
        <w:spacing w:line="400" w:lineRule="exact"/>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）联合体各方不得再以自己名义单独或参加其他联合体在本招标项目中投标，否则各相关投标均无效。</w:t>
      </w:r>
    </w:p>
    <w:p>
      <w:pPr>
        <w:spacing w:line="400" w:lineRule="exact"/>
        <w:ind w:firstLine="420" w:firstLineChars="200"/>
        <w:rPr>
          <w:color w:val="auto"/>
          <w:szCs w:val="21"/>
          <w:highlight w:val="none"/>
        </w:rPr>
      </w:pPr>
      <w:r>
        <w:rPr>
          <w:color w:val="auto"/>
          <w:szCs w:val="21"/>
          <w:highlight w:val="none"/>
        </w:rPr>
        <w:t xml:space="preserve">1.4.3 </w:t>
      </w:r>
      <w:r>
        <w:rPr>
          <w:rFonts w:hint="eastAsia"/>
          <w:color w:val="auto"/>
          <w:szCs w:val="21"/>
          <w:highlight w:val="none"/>
        </w:rPr>
        <w:t>投标人不得存在下列情形之一：</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）为招标人不具有独立法人资格的附属机构（单位）；</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）与招标人存在利害关系且可能影响招标公正性；</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）与本招标项目的其他投标人为同一个单位负责人；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）与本招标项目的其他投标人存在控股、管理关系；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）为本招标项目的代建人；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）为本招标项目的招标代理机构；</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）与本招标项目的代建人或招标代理机构同为一个法定代表人；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）与本招标项目的代建人或招标代理机构存在控股或参股关系；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）与本招标项目的施工承包人以及建筑材料、建筑构配件和设备供应商有隶属关系或者其他利害关系；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）被依法暂停或者取消投标资格；</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）被责令停产停业、暂扣或者吊销许可证、暂扣或者吊销执照；</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）进入清算程序，或被宣告破产，或其他丧失履约能力的情形；</w:t>
      </w:r>
    </w:p>
    <w:p>
      <w:pPr>
        <w:spacing w:line="400" w:lineRule="exac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）在最近三年内发生重大</w:t>
      </w:r>
      <w:r>
        <w:rPr>
          <w:rFonts w:hint="eastAsia"/>
          <w:color w:val="auto"/>
          <w:szCs w:val="21"/>
          <w:highlight w:val="none"/>
          <w:lang w:val="en-US" w:eastAsia="zh-CN"/>
        </w:rPr>
        <w:t>工程质量</w:t>
      </w:r>
      <w:r>
        <w:rPr>
          <w:rFonts w:hint="eastAsia"/>
          <w:color w:val="auto"/>
          <w:szCs w:val="21"/>
          <w:highlight w:val="none"/>
        </w:rPr>
        <w:t>问题（以相关行业主管部门的行政处罚决定或司法机关出具的有关法律文书为准）；若最近三年内无重大质量问题，按招标文件要求提供“投标申请人声明”即可。</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14</w:t>
      </w:r>
      <w:r>
        <w:rPr>
          <w:rFonts w:hint="eastAsia"/>
          <w:color w:val="auto"/>
          <w:szCs w:val="21"/>
          <w:highlight w:val="none"/>
        </w:rPr>
        <w:t>）被工商行政管理机关在全国企业信用信息公示系统中列入严重违法失信企业名单；</w:t>
      </w:r>
    </w:p>
    <w:p>
      <w:pPr>
        <w:spacing w:line="400" w:lineRule="exac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15</w:t>
      </w:r>
      <w:r>
        <w:rPr>
          <w:rFonts w:hint="eastAsia"/>
          <w:color w:val="auto"/>
          <w:szCs w:val="21"/>
          <w:highlight w:val="none"/>
        </w:rPr>
        <w:t>）被最高人民法院在</w:t>
      </w:r>
      <w:r>
        <w:rPr>
          <w:color w:val="auto"/>
          <w:szCs w:val="21"/>
          <w:highlight w:val="none"/>
        </w:rPr>
        <w:t>“</w:t>
      </w:r>
      <w:r>
        <w:rPr>
          <w:rFonts w:hint="eastAsia"/>
          <w:color w:val="auto"/>
          <w:szCs w:val="21"/>
          <w:highlight w:val="none"/>
        </w:rPr>
        <w:t>信用中国</w:t>
      </w:r>
      <w:r>
        <w:rPr>
          <w:color w:val="auto"/>
          <w:szCs w:val="21"/>
          <w:highlight w:val="none"/>
        </w:rPr>
        <w:t>”</w:t>
      </w:r>
      <w:r>
        <w:rPr>
          <w:rFonts w:hint="eastAsia"/>
          <w:color w:val="auto"/>
          <w:szCs w:val="21"/>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18"/>
          <w:color w:val="auto"/>
          <w:szCs w:val="21"/>
          <w:highlight w:val="none"/>
        </w:rPr>
        <w:t>www.creditchina.gov.cn</w:t>
      </w:r>
      <w:r>
        <w:rPr>
          <w:color w:val="auto"/>
          <w:highlight w:val="none"/>
        </w:rPr>
        <w:fldChar w:fldCharType="end"/>
      </w:r>
      <w:r>
        <w:rPr>
          <w:rFonts w:hint="eastAsia"/>
          <w:color w:val="auto"/>
          <w:szCs w:val="21"/>
          <w:highlight w:val="none"/>
        </w:rPr>
        <w:t>）或各级信用信息共享平台中列入失信被执行人名单；</w:t>
      </w:r>
    </w:p>
    <w:p>
      <w:pPr>
        <w:numPr>
          <w:ilvl w:val="0"/>
          <w:numId w:val="4"/>
        </w:numPr>
        <w:spacing w:line="400" w:lineRule="exact"/>
        <w:ind w:firstLine="420" w:firstLineChars="200"/>
        <w:rPr>
          <w:rFonts w:hint="eastAsia"/>
          <w:color w:val="auto"/>
          <w:szCs w:val="21"/>
          <w:highlight w:val="none"/>
        </w:rPr>
      </w:pPr>
      <w:r>
        <w:rPr>
          <w:rFonts w:hint="eastAsia"/>
          <w:color w:val="auto"/>
          <w:szCs w:val="21"/>
          <w:highlight w:val="none"/>
        </w:rPr>
        <w:t>未被列入“信用中国”网（www.creditchina.gov.cn）“失信被执行人或重大税收违法案件当事人名单或政府采购严重违法失信行为”记录名单及“国家企业信用信息公示系统”网站（http://www.gsxt.gov.cn）严重违法失信企业名单；</w:t>
      </w:r>
    </w:p>
    <w:p>
      <w:pPr>
        <w:numPr>
          <w:ilvl w:val="0"/>
          <w:numId w:val="4"/>
        </w:numPr>
        <w:spacing w:line="400" w:lineRule="exact"/>
        <w:ind w:firstLine="420" w:firstLineChars="200"/>
        <w:rPr>
          <w:rFonts w:hint="eastAsia"/>
          <w:color w:val="auto"/>
          <w:szCs w:val="21"/>
          <w:highlight w:val="none"/>
        </w:rPr>
      </w:pPr>
      <w:r>
        <w:rPr>
          <w:rFonts w:hint="eastAsia"/>
          <w:color w:val="auto"/>
          <w:szCs w:val="21"/>
          <w:highlight w:val="none"/>
        </w:rPr>
        <w:t>未被列入“中国执行信息公开网”失信被执行人；</w:t>
      </w:r>
    </w:p>
    <w:p>
      <w:pPr>
        <w:numPr>
          <w:ilvl w:val="0"/>
          <w:numId w:val="4"/>
        </w:numPr>
        <w:spacing w:line="400" w:lineRule="exact"/>
        <w:ind w:firstLine="420" w:firstLineChars="200"/>
        <w:rPr>
          <w:rFonts w:hint="eastAsia"/>
          <w:color w:val="auto"/>
          <w:szCs w:val="21"/>
          <w:highlight w:val="none"/>
        </w:rPr>
      </w:pPr>
      <w:r>
        <w:rPr>
          <w:rFonts w:hint="eastAsia"/>
          <w:color w:val="auto"/>
          <w:szCs w:val="21"/>
          <w:highlight w:val="none"/>
        </w:rPr>
        <w:t>不处于中国政府采购网（www.ccgp.gov.cn）“政府采购严重违法失信行为信息记录”中禁止参加政府采购活动期间；</w:t>
      </w:r>
    </w:p>
    <w:p>
      <w:pPr>
        <w:numPr>
          <w:ilvl w:val="0"/>
          <w:numId w:val="4"/>
        </w:numPr>
        <w:spacing w:line="400" w:lineRule="exact"/>
        <w:ind w:firstLine="420" w:firstLineChars="200"/>
        <w:rPr>
          <w:rFonts w:hint="eastAsia"/>
          <w:color w:val="auto"/>
          <w:szCs w:val="21"/>
          <w:highlight w:val="none"/>
        </w:rPr>
      </w:pPr>
      <w:r>
        <w:rPr>
          <w:rFonts w:hint="eastAsia"/>
          <w:color w:val="auto"/>
          <w:szCs w:val="21"/>
          <w:highlight w:val="none"/>
        </w:rPr>
        <w:t>不存在大额诉讼或多宗诉讼或其他违法、违约等影响本次招标项目正常履行的情形；</w:t>
      </w:r>
    </w:p>
    <w:p>
      <w:pPr>
        <w:numPr>
          <w:ilvl w:val="0"/>
          <w:numId w:val="4"/>
        </w:numPr>
        <w:spacing w:line="400" w:lineRule="exact"/>
        <w:ind w:firstLine="420" w:firstLineChars="200"/>
        <w:rPr>
          <w:rFonts w:hint="eastAsia"/>
          <w:color w:val="auto"/>
          <w:szCs w:val="21"/>
          <w:highlight w:val="none"/>
        </w:rPr>
      </w:pPr>
      <w:r>
        <w:rPr>
          <w:rFonts w:hint="eastAsia"/>
          <w:color w:val="auto"/>
          <w:szCs w:val="21"/>
          <w:highlight w:val="none"/>
        </w:rPr>
        <w:t>投标人或其关联公司不存在曾与东莞市轨道交通有限公司及其下属企业签订合同，且在履约过程中发生因投标人或其关联公司严重违约而导致合同变更、中止、解除的情形；</w:t>
      </w:r>
    </w:p>
    <w:p>
      <w:pPr>
        <w:numPr>
          <w:ilvl w:val="0"/>
          <w:numId w:val="4"/>
        </w:numPr>
        <w:spacing w:line="400" w:lineRule="exact"/>
        <w:ind w:firstLine="420" w:firstLineChars="200"/>
        <w:rPr>
          <w:rFonts w:hint="eastAsia"/>
          <w:color w:val="auto"/>
          <w:szCs w:val="21"/>
          <w:highlight w:val="none"/>
        </w:rPr>
      </w:pPr>
      <w:r>
        <w:rPr>
          <w:rFonts w:hint="eastAsia"/>
          <w:color w:val="auto"/>
          <w:szCs w:val="21"/>
          <w:highlight w:val="none"/>
        </w:rPr>
        <w:t>投标人或其关联公司未正在与东莞市轨道交通有限公司及其下属企业发生诉讼；</w:t>
      </w:r>
    </w:p>
    <w:p>
      <w:pPr>
        <w:numPr>
          <w:ilvl w:val="0"/>
          <w:numId w:val="4"/>
        </w:numPr>
        <w:spacing w:line="400" w:lineRule="exact"/>
        <w:ind w:firstLine="420" w:firstLineChars="200"/>
        <w:rPr>
          <w:rFonts w:hint="eastAsia"/>
          <w:color w:val="auto"/>
          <w:szCs w:val="21"/>
          <w:highlight w:val="none"/>
        </w:rPr>
      </w:pPr>
      <w:r>
        <w:rPr>
          <w:rFonts w:hint="eastAsia"/>
          <w:color w:val="auto"/>
          <w:szCs w:val="21"/>
          <w:highlight w:val="none"/>
        </w:rPr>
        <w:t>不存在法院判决或仲裁裁决认定投标人或其关联公司在与东莞市轨道交通有限公司及其下属企业履约过程中存在违约责任或过失责任的情形；</w:t>
      </w:r>
    </w:p>
    <w:p>
      <w:pPr>
        <w:spacing w:line="400" w:lineRule="exact"/>
        <w:ind w:firstLine="420" w:firstLineChars="200"/>
        <w:rPr>
          <w:color w:val="auto"/>
          <w:szCs w:val="21"/>
          <w:highlight w:val="none"/>
        </w:rPr>
      </w:pPr>
      <w:r>
        <w:rPr>
          <w:rFonts w:hint="eastAsia"/>
          <w:color w:val="auto"/>
          <w:szCs w:val="21"/>
          <w:highlight w:val="none"/>
        </w:rPr>
        <w:t>（23）在近三年内投标人或其法定代表人、拟委任的</w:t>
      </w:r>
      <w:r>
        <w:rPr>
          <w:rFonts w:hint="eastAsia"/>
          <w:color w:val="auto"/>
          <w:szCs w:val="21"/>
          <w:highlight w:val="none"/>
          <w:lang w:val="en-US" w:eastAsia="zh-CN"/>
        </w:rPr>
        <w:t>项目经理</w:t>
      </w:r>
      <w:r>
        <w:rPr>
          <w:rFonts w:hint="eastAsia"/>
          <w:color w:val="auto"/>
          <w:szCs w:val="21"/>
          <w:highlight w:val="none"/>
        </w:rPr>
        <w:t>有行贿犯罪行为的；</w:t>
      </w:r>
    </w:p>
    <w:p>
      <w:pPr>
        <w:spacing w:line="400" w:lineRule="exact"/>
        <w:ind w:firstLine="420" w:firstLineChars="200"/>
        <w:rPr>
          <w:rFonts w:hint="eastAsia"/>
          <w:color w:val="auto"/>
          <w:szCs w:val="21"/>
          <w:highlight w:val="none"/>
        </w:rPr>
      </w:pPr>
      <w:r>
        <w:rPr>
          <w:rFonts w:hint="eastAsia"/>
          <w:color w:val="auto"/>
          <w:szCs w:val="21"/>
          <w:highlight w:val="none"/>
        </w:rPr>
        <w:t>（24）法律法规或投标人须知前附表规定的其他情形。</w:t>
      </w:r>
    </w:p>
    <w:p>
      <w:pPr>
        <w:pStyle w:val="4"/>
        <w:spacing w:line="240" w:lineRule="auto"/>
        <w:ind w:firstLine="137"/>
        <w:rPr>
          <w:rFonts w:ascii="Times New Roman"/>
          <w:color w:val="auto"/>
          <w:highlight w:val="none"/>
        </w:rPr>
      </w:pPr>
      <w:bookmarkStart w:id="119" w:name="_Toc21761"/>
      <w:bookmarkStart w:id="120" w:name="_Toc29227"/>
      <w:bookmarkStart w:id="121" w:name="_Toc32697"/>
      <w:bookmarkStart w:id="122" w:name="_Toc23283"/>
      <w:bookmarkStart w:id="123" w:name="_Toc156398328"/>
      <w:r>
        <w:rPr>
          <w:rFonts w:ascii="Times New Roman"/>
          <w:color w:val="auto"/>
          <w:highlight w:val="none"/>
        </w:rPr>
        <w:t xml:space="preserve">1.5 </w:t>
      </w:r>
      <w:r>
        <w:rPr>
          <w:rFonts w:hint="eastAsia" w:ascii="Times New Roman"/>
          <w:color w:val="auto"/>
          <w:highlight w:val="none"/>
        </w:rPr>
        <w:t>费用承担</w:t>
      </w:r>
      <w:bookmarkEnd w:id="119"/>
      <w:bookmarkEnd w:id="120"/>
      <w:bookmarkEnd w:id="121"/>
      <w:bookmarkEnd w:id="122"/>
      <w:bookmarkEnd w:id="123"/>
    </w:p>
    <w:p>
      <w:pPr>
        <w:spacing w:line="400" w:lineRule="exact"/>
        <w:ind w:firstLine="420" w:firstLineChars="200"/>
        <w:rPr>
          <w:color w:val="auto"/>
          <w:highlight w:val="none"/>
        </w:rPr>
      </w:pPr>
      <w:r>
        <w:rPr>
          <w:rFonts w:hint="eastAsia"/>
          <w:color w:val="auto"/>
          <w:highlight w:val="none"/>
        </w:rPr>
        <w:t>投标人准备和参加投标活动发生的费用自理。</w:t>
      </w:r>
    </w:p>
    <w:p>
      <w:pPr>
        <w:pStyle w:val="4"/>
        <w:spacing w:line="240" w:lineRule="auto"/>
        <w:ind w:firstLine="137"/>
        <w:rPr>
          <w:rFonts w:ascii="Times New Roman"/>
          <w:color w:val="auto"/>
          <w:highlight w:val="none"/>
        </w:rPr>
      </w:pPr>
      <w:bookmarkStart w:id="124" w:name="_Toc18504"/>
      <w:bookmarkStart w:id="125" w:name="_Toc26232"/>
      <w:bookmarkStart w:id="126" w:name="_Toc156398329"/>
      <w:bookmarkStart w:id="127" w:name="_Toc17596"/>
      <w:bookmarkStart w:id="128" w:name="_Toc17951"/>
      <w:r>
        <w:rPr>
          <w:rFonts w:ascii="Times New Roman"/>
          <w:color w:val="auto"/>
          <w:highlight w:val="none"/>
        </w:rPr>
        <w:t xml:space="preserve">1.6 </w:t>
      </w:r>
      <w:r>
        <w:rPr>
          <w:rFonts w:hint="eastAsia" w:ascii="Times New Roman"/>
          <w:color w:val="auto"/>
          <w:highlight w:val="none"/>
        </w:rPr>
        <w:t>保密</w:t>
      </w:r>
      <w:bookmarkEnd w:id="124"/>
      <w:bookmarkEnd w:id="125"/>
      <w:bookmarkEnd w:id="126"/>
      <w:bookmarkEnd w:id="127"/>
      <w:bookmarkEnd w:id="128"/>
    </w:p>
    <w:p>
      <w:pPr>
        <w:spacing w:line="400" w:lineRule="exact"/>
        <w:ind w:firstLine="420" w:firstLineChars="200"/>
        <w:rPr>
          <w:color w:val="auto"/>
          <w:highlight w:val="none"/>
        </w:rPr>
      </w:pPr>
      <w:r>
        <w:rPr>
          <w:rFonts w:hint="eastAsia"/>
          <w:color w:val="auto"/>
          <w:highlight w:val="none"/>
        </w:rPr>
        <w:t>参与招标投标活动的各方应对招标文件和投标文件中</w:t>
      </w:r>
      <w:bookmarkStart w:id="129" w:name="_Toc369531519"/>
      <w:bookmarkStart w:id="130" w:name="_Toc352691477"/>
      <w:bookmarkStart w:id="131" w:name="_Toc361508589"/>
      <w:bookmarkStart w:id="132" w:name="_Toc384308214"/>
      <w:bookmarkStart w:id="133" w:name="_Toc5326"/>
      <w:r>
        <w:rPr>
          <w:rFonts w:hint="eastAsia"/>
          <w:color w:val="auto"/>
          <w:highlight w:val="none"/>
        </w:rPr>
        <w:t>的商业和技术等秘密保密</w:t>
      </w:r>
      <w:bookmarkEnd w:id="129"/>
      <w:bookmarkEnd w:id="130"/>
      <w:bookmarkEnd w:id="131"/>
      <w:bookmarkEnd w:id="132"/>
      <w:bookmarkEnd w:id="133"/>
      <w:r>
        <w:rPr>
          <w:rFonts w:hint="eastAsia"/>
          <w:color w:val="auto"/>
          <w:highlight w:val="none"/>
        </w:rPr>
        <w:t>，否则应承担相应的法律责任。</w:t>
      </w:r>
    </w:p>
    <w:p>
      <w:pPr>
        <w:pStyle w:val="4"/>
        <w:spacing w:line="240" w:lineRule="auto"/>
        <w:ind w:firstLine="137"/>
        <w:rPr>
          <w:rFonts w:ascii="Times New Roman"/>
          <w:color w:val="auto"/>
          <w:highlight w:val="none"/>
        </w:rPr>
      </w:pPr>
      <w:bookmarkStart w:id="134" w:name="_Toc117"/>
      <w:bookmarkStart w:id="135" w:name="_Toc156398330"/>
      <w:bookmarkStart w:id="136" w:name="_Toc15313"/>
      <w:bookmarkStart w:id="137" w:name="_Toc23829"/>
      <w:bookmarkStart w:id="138" w:name="_Toc1649"/>
      <w:r>
        <w:rPr>
          <w:rFonts w:ascii="Times New Roman"/>
          <w:color w:val="auto"/>
          <w:highlight w:val="none"/>
        </w:rPr>
        <w:t xml:space="preserve">1.7 </w:t>
      </w:r>
      <w:r>
        <w:rPr>
          <w:rFonts w:hint="eastAsia" w:ascii="Times New Roman"/>
          <w:color w:val="auto"/>
          <w:highlight w:val="none"/>
        </w:rPr>
        <w:t>语言文字</w:t>
      </w:r>
      <w:bookmarkEnd w:id="134"/>
      <w:bookmarkEnd w:id="135"/>
      <w:bookmarkEnd w:id="136"/>
      <w:bookmarkEnd w:id="137"/>
      <w:bookmarkEnd w:id="138"/>
    </w:p>
    <w:p>
      <w:pPr>
        <w:spacing w:line="400" w:lineRule="exact"/>
        <w:ind w:firstLine="420" w:firstLineChars="200"/>
        <w:rPr>
          <w:color w:val="auto"/>
          <w:highlight w:val="none"/>
        </w:rPr>
      </w:pPr>
      <w:r>
        <w:rPr>
          <w:rFonts w:hint="eastAsia"/>
          <w:color w:val="auto"/>
          <w:highlight w:val="none"/>
        </w:rPr>
        <w:t>招标投标文件使用的语言文字为中文。专用术语使用外文的，应附有中文注释。</w:t>
      </w:r>
    </w:p>
    <w:p>
      <w:pPr>
        <w:pStyle w:val="4"/>
        <w:spacing w:line="240" w:lineRule="auto"/>
        <w:ind w:firstLine="137"/>
        <w:rPr>
          <w:rFonts w:ascii="Times New Roman"/>
          <w:color w:val="auto"/>
          <w:highlight w:val="none"/>
        </w:rPr>
      </w:pPr>
      <w:bookmarkStart w:id="139" w:name="_Toc25878"/>
      <w:bookmarkStart w:id="140" w:name="_Toc12171"/>
      <w:bookmarkStart w:id="141" w:name="_Toc30318"/>
      <w:bookmarkStart w:id="142" w:name="_Toc2754"/>
      <w:bookmarkStart w:id="143" w:name="_Toc156398331"/>
      <w:r>
        <w:rPr>
          <w:rFonts w:ascii="Times New Roman"/>
          <w:color w:val="auto"/>
          <w:highlight w:val="none"/>
        </w:rPr>
        <w:t xml:space="preserve">1.8 </w:t>
      </w:r>
      <w:r>
        <w:rPr>
          <w:rFonts w:hint="eastAsia" w:ascii="Times New Roman"/>
          <w:color w:val="auto"/>
          <w:highlight w:val="none"/>
        </w:rPr>
        <w:t>计量单位</w:t>
      </w:r>
      <w:bookmarkEnd w:id="139"/>
      <w:bookmarkEnd w:id="140"/>
      <w:bookmarkEnd w:id="141"/>
      <w:bookmarkEnd w:id="142"/>
      <w:bookmarkEnd w:id="143"/>
    </w:p>
    <w:p>
      <w:pPr>
        <w:spacing w:line="400" w:lineRule="exact"/>
        <w:ind w:firstLine="420" w:firstLineChars="200"/>
        <w:rPr>
          <w:color w:val="auto"/>
          <w:highlight w:val="none"/>
        </w:rPr>
      </w:pPr>
      <w:r>
        <w:rPr>
          <w:rFonts w:hint="eastAsia"/>
          <w:color w:val="auto"/>
          <w:highlight w:val="none"/>
        </w:rPr>
        <w:t>所有计量均采用中华人民共和国法定计量单位。</w:t>
      </w:r>
    </w:p>
    <w:p>
      <w:pPr>
        <w:pStyle w:val="4"/>
        <w:spacing w:line="240" w:lineRule="auto"/>
        <w:ind w:firstLine="137"/>
        <w:rPr>
          <w:rFonts w:ascii="Times New Roman"/>
          <w:color w:val="auto"/>
          <w:highlight w:val="none"/>
        </w:rPr>
      </w:pPr>
      <w:bookmarkStart w:id="144" w:name="_Toc2965"/>
      <w:bookmarkStart w:id="145" w:name="_Toc152042315"/>
      <w:bookmarkStart w:id="146" w:name="_Toc391393967"/>
      <w:bookmarkStart w:id="147" w:name="_Toc482188480"/>
      <w:bookmarkStart w:id="148" w:name="_Toc247527563"/>
      <w:bookmarkStart w:id="149" w:name="_Toc361508594"/>
      <w:bookmarkStart w:id="150" w:name="_Toc384308219"/>
      <w:bookmarkStart w:id="151" w:name="_Toc370676289"/>
      <w:bookmarkStart w:id="152" w:name="_Toc31072"/>
      <w:bookmarkStart w:id="153" w:name="_Toc300834959"/>
      <w:bookmarkStart w:id="154" w:name="_Toc156398332"/>
      <w:bookmarkStart w:id="155" w:name="_Toc152045539"/>
      <w:bookmarkStart w:id="156" w:name="_Toc247513962"/>
      <w:bookmarkStart w:id="157" w:name="_Toc144974507"/>
      <w:bookmarkStart w:id="158" w:name="_Toc7141"/>
      <w:bookmarkStart w:id="159" w:name="_Toc1570"/>
      <w:r>
        <w:rPr>
          <w:rFonts w:ascii="Times New Roman"/>
          <w:color w:val="auto"/>
          <w:highlight w:val="none"/>
        </w:rPr>
        <w:t xml:space="preserve">1.9 </w:t>
      </w:r>
      <w:r>
        <w:rPr>
          <w:rFonts w:hint="eastAsia" w:ascii="Times New Roman"/>
          <w:color w:val="auto"/>
          <w:highlight w:val="none"/>
        </w:rPr>
        <w:t>踏勘现场</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400" w:lineRule="exact"/>
        <w:ind w:firstLine="420" w:firstLineChars="200"/>
        <w:rPr>
          <w:color w:val="auto"/>
          <w:highlight w:val="none"/>
        </w:rPr>
      </w:pPr>
      <w:r>
        <w:rPr>
          <w:color w:val="auto"/>
          <w:highlight w:val="none"/>
        </w:rPr>
        <w:t xml:space="preserve">1.9.1 </w:t>
      </w:r>
      <w:r>
        <w:rPr>
          <w:rFonts w:hint="eastAsia"/>
          <w:color w:val="auto"/>
          <w:highlight w:val="none"/>
        </w:rPr>
        <w:t>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color w:val="auto"/>
          <w:highlight w:val="none"/>
        </w:rPr>
      </w:pPr>
      <w:r>
        <w:rPr>
          <w:color w:val="auto"/>
          <w:highlight w:val="none"/>
        </w:rPr>
        <w:t xml:space="preserve">1.9.2 </w:t>
      </w:r>
      <w:r>
        <w:rPr>
          <w:rFonts w:hint="eastAsia"/>
          <w:color w:val="auto"/>
          <w:highlight w:val="none"/>
        </w:rPr>
        <w:t>投标人踏勘现场发生的费用自理。</w:t>
      </w:r>
    </w:p>
    <w:p>
      <w:pPr>
        <w:spacing w:line="400" w:lineRule="exact"/>
        <w:ind w:firstLine="420" w:firstLineChars="200"/>
        <w:rPr>
          <w:color w:val="auto"/>
          <w:highlight w:val="none"/>
        </w:rPr>
      </w:pPr>
      <w:r>
        <w:rPr>
          <w:color w:val="auto"/>
          <w:highlight w:val="none"/>
        </w:rPr>
        <w:t xml:space="preserve">1.9.3 </w:t>
      </w:r>
      <w:r>
        <w:rPr>
          <w:rFonts w:hint="eastAsia"/>
          <w:color w:val="auto"/>
          <w:highlight w:val="none"/>
        </w:rPr>
        <w:t>除招标人的原因外，投标人自行负责在踏勘现场中所发生的人员伤亡和财产损失。</w:t>
      </w:r>
    </w:p>
    <w:p>
      <w:pPr>
        <w:spacing w:line="400" w:lineRule="exact"/>
        <w:ind w:firstLine="420" w:firstLineChars="200"/>
        <w:rPr>
          <w:color w:val="auto"/>
          <w:highlight w:val="none"/>
        </w:rPr>
      </w:pPr>
      <w:r>
        <w:rPr>
          <w:color w:val="auto"/>
          <w:highlight w:val="none"/>
        </w:rPr>
        <w:t xml:space="preserve">1.9.4 </w:t>
      </w:r>
      <w:r>
        <w:rPr>
          <w:rFonts w:hint="eastAsia"/>
          <w:color w:val="auto"/>
          <w:highlight w:val="none"/>
        </w:rPr>
        <w:t>招标人在踏勘现场中介绍的工程场地和相关的周边环境情况，供投标人在编制投标文件时参考，招标人不对投标人据此作出的判断和决策负责。</w:t>
      </w:r>
    </w:p>
    <w:p>
      <w:pPr>
        <w:pStyle w:val="4"/>
        <w:spacing w:line="240" w:lineRule="auto"/>
        <w:ind w:firstLine="137"/>
        <w:rPr>
          <w:rFonts w:ascii="Times New Roman"/>
          <w:color w:val="auto"/>
          <w:highlight w:val="none"/>
        </w:rPr>
      </w:pPr>
      <w:bookmarkStart w:id="160" w:name="_Toc5104"/>
      <w:bookmarkStart w:id="161" w:name="_Toc29476"/>
      <w:bookmarkStart w:id="162" w:name="_Toc156398333"/>
      <w:bookmarkStart w:id="163" w:name="_Toc7294"/>
      <w:bookmarkStart w:id="164" w:name="_Toc12090"/>
      <w:r>
        <w:rPr>
          <w:rFonts w:ascii="Times New Roman"/>
          <w:color w:val="auto"/>
          <w:highlight w:val="none"/>
        </w:rPr>
        <w:t xml:space="preserve">1.10 </w:t>
      </w:r>
      <w:r>
        <w:rPr>
          <w:rFonts w:hint="eastAsia" w:ascii="Times New Roman"/>
          <w:color w:val="auto"/>
          <w:highlight w:val="none"/>
        </w:rPr>
        <w:t>投标预备会</w:t>
      </w:r>
      <w:bookmarkEnd w:id="160"/>
      <w:bookmarkEnd w:id="161"/>
      <w:bookmarkEnd w:id="162"/>
      <w:bookmarkEnd w:id="163"/>
      <w:bookmarkEnd w:id="164"/>
    </w:p>
    <w:p>
      <w:pPr>
        <w:spacing w:line="400" w:lineRule="exact"/>
        <w:ind w:firstLine="420" w:firstLineChars="200"/>
        <w:rPr>
          <w:color w:val="auto"/>
          <w:highlight w:val="none"/>
        </w:rPr>
      </w:pPr>
      <w:r>
        <w:rPr>
          <w:color w:val="auto"/>
          <w:highlight w:val="none"/>
        </w:rPr>
        <w:t xml:space="preserve">1.10.1 </w:t>
      </w:r>
      <w:r>
        <w:rPr>
          <w:rFonts w:hint="eastAsia"/>
          <w:color w:val="auto"/>
          <w:highlight w:val="none"/>
        </w:rPr>
        <w:t>投标人须知前附表规定召开投标预备会的，招标人按投标人须知前附表规定的时间和地点召开投标预备会，澄清投标人提出的问题。</w:t>
      </w:r>
    </w:p>
    <w:p>
      <w:pPr>
        <w:spacing w:line="400" w:lineRule="exact"/>
        <w:ind w:firstLine="420" w:firstLineChars="200"/>
        <w:rPr>
          <w:color w:val="auto"/>
          <w:highlight w:val="none"/>
        </w:rPr>
      </w:pPr>
      <w:r>
        <w:rPr>
          <w:color w:val="auto"/>
          <w:highlight w:val="none"/>
        </w:rPr>
        <w:t xml:space="preserve">1.10.2 </w:t>
      </w:r>
      <w:r>
        <w:rPr>
          <w:rFonts w:hint="eastAsia"/>
          <w:color w:val="auto"/>
          <w:highlight w:val="none"/>
        </w:rPr>
        <w:t>投标人应按投标人须知前附表规定的时间和形式将提出的问题送达招标人，以便招标人在会议期间澄清。</w:t>
      </w:r>
    </w:p>
    <w:p>
      <w:pPr>
        <w:spacing w:line="400" w:lineRule="exact"/>
        <w:ind w:firstLine="420" w:firstLineChars="200"/>
        <w:rPr>
          <w:color w:val="auto"/>
          <w:highlight w:val="none"/>
        </w:rPr>
      </w:pPr>
      <w:r>
        <w:rPr>
          <w:color w:val="auto"/>
          <w:highlight w:val="none"/>
        </w:rPr>
        <w:t xml:space="preserve">1.10.3 </w:t>
      </w:r>
      <w:r>
        <w:rPr>
          <w:rFonts w:hint="eastAsia"/>
          <w:color w:val="auto"/>
          <w:highlight w:val="none"/>
        </w:rPr>
        <w:t>投标预备会后，招标人将对投标人所提问题的澄清，以投标人须知前附表规定的形式通知所有购买招标文件的投标人。该澄清内容为招标文件的组成部分。</w:t>
      </w:r>
    </w:p>
    <w:p>
      <w:pPr>
        <w:pStyle w:val="4"/>
        <w:spacing w:line="240" w:lineRule="auto"/>
        <w:ind w:firstLine="137"/>
        <w:rPr>
          <w:rFonts w:ascii="Times New Roman"/>
          <w:color w:val="auto"/>
          <w:highlight w:val="none"/>
        </w:rPr>
      </w:pPr>
      <w:bookmarkStart w:id="165" w:name="_Toc22616"/>
      <w:bookmarkStart w:id="166" w:name="_Toc18157"/>
      <w:bookmarkStart w:id="167" w:name="_Toc15543"/>
      <w:bookmarkStart w:id="168" w:name="_Toc10861"/>
      <w:bookmarkStart w:id="169" w:name="_Toc156398334"/>
      <w:r>
        <w:rPr>
          <w:rFonts w:ascii="Times New Roman"/>
          <w:color w:val="auto"/>
          <w:highlight w:val="none"/>
        </w:rPr>
        <w:t xml:space="preserve">1.11 </w:t>
      </w:r>
      <w:r>
        <w:rPr>
          <w:rFonts w:hint="eastAsia" w:ascii="Times New Roman"/>
          <w:color w:val="auto"/>
          <w:highlight w:val="none"/>
        </w:rPr>
        <w:t>分包</w:t>
      </w:r>
      <w:bookmarkEnd w:id="165"/>
      <w:bookmarkEnd w:id="166"/>
      <w:bookmarkEnd w:id="167"/>
      <w:bookmarkEnd w:id="168"/>
      <w:bookmarkEnd w:id="169"/>
    </w:p>
    <w:p>
      <w:pPr>
        <w:spacing w:line="400" w:lineRule="exact"/>
        <w:ind w:firstLine="420" w:firstLineChars="200"/>
        <w:rPr>
          <w:color w:val="auto"/>
          <w:highlight w:val="none"/>
        </w:rPr>
      </w:pPr>
      <w:r>
        <w:rPr>
          <w:rFonts w:hint="eastAsia"/>
          <w:color w:val="auto"/>
          <w:highlight w:val="none"/>
        </w:rPr>
        <w:t>本项目未经招标人/发包人允许，严禁分包。</w:t>
      </w:r>
    </w:p>
    <w:p>
      <w:pPr>
        <w:pStyle w:val="4"/>
        <w:spacing w:line="240" w:lineRule="auto"/>
        <w:ind w:firstLine="137"/>
        <w:rPr>
          <w:rFonts w:ascii="Times New Roman"/>
          <w:color w:val="auto"/>
          <w:highlight w:val="none"/>
        </w:rPr>
      </w:pPr>
      <w:bookmarkStart w:id="170" w:name="_Toc16311"/>
      <w:bookmarkStart w:id="171" w:name="_Toc30342"/>
      <w:bookmarkStart w:id="172" w:name="_Toc23825"/>
      <w:bookmarkStart w:id="173" w:name="_Toc13344"/>
      <w:bookmarkStart w:id="174" w:name="_Toc156398335"/>
      <w:r>
        <w:rPr>
          <w:rFonts w:ascii="Times New Roman"/>
          <w:color w:val="auto"/>
          <w:highlight w:val="none"/>
        </w:rPr>
        <w:t xml:space="preserve">1.12 </w:t>
      </w:r>
      <w:r>
        <w:rPr>
          <w:rFonts w:hint="eastAsia" w:ascii="Times New Roman"/>
          <w:color w:val="auto"/>
          <w:highlight w:val="none"/>
        </w:rPr>
        <w:t>响应和偏差</w:t>
      </w:r>
      <w:bookmarkEnd w:id="170"/>
      <w:bookmarkEnd w:id="171"/>
      <w:bookmarkEnd w:id="172"/>
      <w:bookmarkEnd w:id="173"/>
      <w:bookmarkEnd w:id="174"/>
    </w:p>
    <w:p>
      <w:pPr>
        <w:spacing w:line="400" w:lineRule="exact"/>
        <w:ind w:firstLine="420" w:firstLineChars="200"/>
        <w:rPr>
          <w:color w:val="auto"/>
          <w:highlight w:val="none"/>
        </w:rPr>
      </w:pPr>
      <w:r>
        <w:rPr>
          <w:color w:val="auto"/>
          <w:highlight w:val="none"/>
        </w:rPr>
        <w:t>1.12.1</w:t>
      </w:r>
      <w:r>
        <w:rPr>
          <w:rFonts w:hint="eastAsia"/>
          <w:color w:val="auto"/>
          <w:highlight w:val="none"/>
        </w:rPr>
        <w:t>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color w:val="auto"/>
          <w:highlight w:val="none"/>
        </w:rPr>
      </w:pPr>
      <w:r>
        <w:rPr>
          <w:color w:val="auto"/>
          <w:highlight w:val="none"/>
        </w:rPr>
        <w:t xml:space="preserve">1.12.2 </w:t>
      </w:r>
      <w:r>
        <w:rPr>
          <w:rFonts w:hint="eastAsia"/>
          <w:color w:val="auto"/>
          <w:szCs w:val="21"/>
          <w:highlight w:val="none"/>
        </w:rPr>
        <w:t>投标人应根据招标文件的要求提供</w:t>
      </w:r>
      <w:r>
        <w:rPr>
          <w:rFonts w:hint="eastAsia"/>
          <w:color w:val="auto"/>
          <w:highlight w:val="none"/>
        </w:rPr>
        <w:t>投标</w:t>
      </w:r>
      <w:r>
        <w:rPr>
          <w:rFonts w:hint="eastAsia"/>
          <w:color w:val="auto"/>
          <w:highlight w:val="none"/>
          <w:lang w:val="en-US" w:eastAsia="zh-CN"/>
        </w:rPr>
        <w:t>集成服务</w:t>
      </w:r>
      <w:r>
        <w:rPr>
          <w:rFonts w:hint="eastAsia"/>
          <w:color w:val="auto"/>
          <w:highlight w:val="none"/>
        </w:rPr>
        <w:t>大纲等内容以对招标文件作出响应。</w:t>
      </w:r>
    </w:p>
    <w:p>
      <w:pPr>
        <w:spacing w:line="400" w:lineRule="exact"/>
        <w:ind w:firstLine="435"/>
        <w:rPr>
          <w:rFonts w:hint="eastAsia"/>
          <w:color w:val="auto"/>
          <w:highlight w:val="none"/>
        </w:rPr>
      </w:pPr>
      <w:r>
        <w:rPr>
          <w:color w:val="auto"/>
          <w:highlight w:val="none"/>
        </w:rPr>
        <w:t>1.12.3</w:t>
      </w:r>
      <w:r>
        <w:rPr>
          <w:rFonts w:hint="eastAsia"/>
          <w:color w:val="auto"/>
          <w:highlight w:val="none"/>
        </w:rPr>
        <w:t>投标人须知前附表允许投标文件偏离招标文件某些要求的，偏差应当符合招标文件规定的偏差范围和幅度。</w:t>
      </w:r>
    </w:p>
    <w:p>
      <w:pPr>
        <w:pStyle w:val="3"/>
        <w:spacing w:line="240" w:lineRule="auto"/>
        <w:rPr>
          <w:rFonts w:ascii="Times New Roman" w:hAnsi="Times New Roman"/>
          <w:color w:val="auto"/>
          <w:highlight w:val="none"/>
        </w:rPr>
      </w:pPr>
      <w:bookmarkStart w:id="175" w:name="_Toc156398336"/>
      <w:bookmarkStart w:id="176" w:name="_Toc14370"/>
      <w:bookmarkStart w:id="177" w:name="_Toc20157"/>
      <w:bookmarkStart w:id="178" w:name="_Toc32073"/>
      <w:bookmarkStart w:id="179" w:name="_Toc23315"/>
      <w:bookmarkStart w:id="180" w:name="_Toc23887"/>
      <w:r>
        <w:rPr>
          <w:rFonts w:ascii="Times New Roman" w:hAnsi="Times New Roman"/>
          <w:color w:val="auto"/>
          <w:highlight w:val="none"/>
        </w:rPr>
        <w:t xml:space="preserve">2. </w:t>
      </w:r>
      <w:r>
        <w:rPr>
          <w:rFonts w:hint="eastAsia" w:ascii="Times New Roman" w:hAnsi="Times New Roman"/>
          <w:color w:val="auto"/>
          <w:highlight w:val="none"/>
        </w:rPr>
        <w:t>招标文件</w:t>
      </w:r>
      <w:bookmarkEnd w:id="175"/>
      <w:bookmarkEnd w:id="176"/>
      <w:bookmarkEnd w:id="177"/>
      <w:bookmarkEnd w:id="178"/>
      <w:bookmarkEnd w:id="179"/>
      <w:bookmarkEnd w:id="180"/>
    </w:p>
    <w:p>
      <w:pPr>
        <w:pStyle w:val="4"/>
        <w:spacing w:line="240" w:lineRule="auto"/>
        <w:ind w:firstLine="137"/>
        <w:rPr>
          <w:rFonts w:ascii="Times New Roman"/>
          <w:color w:val="auto"/>
          <w:highlight w:val="none"/>
        </w:rPr>
      </w:pPr>
      <w:bookmarkStart w:id="181" w:name="_Toc29955"/>
      <w:bookmarkStart w:id="182" w:name="_Toc14407"/>
      <w:bookmarkStart w:id="183" w:name="_Toc9446"/>
      <w:bookmarkStart w:id="184" w:name="_Toc156398337"/>
      <w:bookmarkStart w:id="185" w:name="_Toc30004"/>
      <w:r>
        <w:rPr>
          <w:rFonts w:ascii="Times New Roman"/>
          <w:color w:val="auto"/>
          <w:highlight w:val="none"/>
        </w:rPr>
        <w:t xml:space="preserve">2.1 </w:t>
      </w:r>
      <w:r>
        <w:rPr>
          <w:rFonts w:hint="eastAsia" w:ascii="Times New Roman"/>
          <w:color w:val="auto"/>
          <w:highlight w:val="none"/>
        </w:rPr>
        <w:t>招标文件的组成</w:t>
      </w:r>
      <w:bookmarkEnd w:id="181"/>
      <w:bookmarkEnd w:id="182"/>
      <w:bookmarkEnd w:id="183"/>
      <w:bookmarkEnd w:id="184"/>
      <w:bookmarkEnd w:id="185"/>
    </w:p>
    <w:p>
      <w:pPr>
        <w:spacing w:line="400" w:lineRule="exact"/>
        <w:ind w:firstLine="359" w:firstLineChars="171"/>
        <w:rPr>
          <w:color w:val="auto"/>
          <w:highlight w:val="none"/>
        </w:rPr>
      </w:pPr>
      <w:r>
        <w:rPr>
          <w:rFonts w:hint="eastAsia"/>
          <w:color w:val="auto"/>
          <w:highlight w:val="none"/>
        </w:rPr>
        <w:t>本招标文件包括：</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）招标公告（或投标邀请书）；</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）投标人须知；</w:t>
      </w:r>
    </w:p>
    <w:p>
      <w:pPr>
        <w:spacing w:line="400" w:lineRule="exact"/>
        <w:ind w:firstLine="359" w:firstLineChars="171"/>
        <w:rPr>
          <w:color w:val="auto"/>
          <w:highlight w:val="none"/>
        </w:rPr>
      </w:pPr>
      <w:r>
        <w:rPr>
          <w:rFonts w:hint="eastAsia"/>
          <w:color w:val="auto"/>
          <w:highlight w:val="none"/>
        </w:rPr>
        <w:t>（</w:t>
      </w:r>
      <w:r>
        <w:rPr>
          <w:color w:val="auto"/>
          <w:highlight w:val="none"/>
        </w:rPr>
        <w:t>3</w:t>
      </w:r>
      <w:r>
        <w:rPr>
          <w:rFonts w:hint="eastAsia"/>
          <w:color w:val="auto"/>
          <w:highlight w:val="none"/>
        </w:rPr>
        <w:t>）评标办法；</w:t>
      </w:r>
    </w:p>
    <w:p>
      <w:pPr>
        <w:spacing w:line="40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）合同条款及格式；</w:t>
      </w:r>
    </w:p>
    <w:p>
      <w:pPr>
        <w:spacing w:line="40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）委托人要求；</w:t>
      </w:r>
    </w:p>
    <w:p>
      <w:pPr>
        <w:spacing w:line="40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）投标文件格式；</w:t>
      </w:r>
    </w:p>
    <w:p>
      <w:pPr>
        <w:spacing w:line="400" w:lineRule="exact"/>
        <w:ind w:firstLine="359" w:firstLineChars="171"/>
        <w:rPr>
          <w:color w:val="auto"/>
          <w:highlight w:val="none"/>
        </w:rPr>
      </w:pPr>
      <w:r>
        <w:rPr>
          <w:rFonts w:hint="eastAsia"/>
          <w:color w:val="auto"/>
          <w:highlight w:val="none"/>
        </w:rPr>
        <w:t>（</w:t>
      </w:r>
      <w:r>
        <w:rPr>
          <w:color w:val="auto"/>
          <w:highlight w:val="none"/>
        </w:rPr>
        <w:t>7</w:t>
      </w:r>
      <w:r>
        <w:rPr>
          <w:rFonts w:hint="eastAsia"/>
          <w:color w:val="auto"/>
          <w:highlight w:val="none"/>
        </w:rPr>
        <w:t>）投标人须知前附表规定的其他资料。</w:t>
      </w:r>
    </w:p>
    <w:p>
      <w:pPr>
        <w:spacing w:line="400" w:lineRule="exact"/>
        <w:ind w:firstLine="420" w:firstLineChars="200"/>
        <w:rPr>
          <w:color w:val="auto"/>
          <w:highlight w:val="none"/>
        </w:rPr>
      </w:pPr>
      <w:r>
        <w:rPr>
          <w:rFonts w:hint="eastAsia"/>
          <w:color w:val="auto"/>
          <w:highlight w:val="none"/>
        </w:rPr>
        <w:t>根据本章第</w:t>
      </w:r>
      <w:r>
        <w:rPr>
          <w:color w:val="auto"/>
          <w:highlight w:val="none"/>
        </w:rPr>
        <w:t>1.10</w:t>
      </w:r>
      <w:r>
        <w:rPr>
          <w:rFonts w:hint="eastAsia"/>
          <w:color w:val="auto"/>
          <w:highlight w:val="none"/>
        </w:rPr>
        <w:t>款、第</w:t>
      </w:r>
      <w:r>
        <w:rPr>
          <w:color w:val="auto"/>
          <w:highlight w:val="none"/>
        </w:rPr>
        <w:t>2.2</w:t>
      </w:r>
      <w:r>
        <w:rPr>
          <w:rFonts w:hint="eastAsia"/>
          <w:color w:val="auto"/>
          <w:highlight w:val="none"/>
        </w:rPr>
        <w:t>款和第</w:t>
      </w:r>
      <w:r>
        <w:rPr>
          <w:color w:val="auto"/>
          <w:highlight w:val="none"/>
        </w:rPr>
        <w:t>2.3</w:t>
      </w:r>
      <w:r>
        <w:rPr>
          <w:rFonts w:hint="eastAsia"/>
          <w:color w:val="auto"/>
          <w:highlight w:val="none"/>
        </w:rPr>
        <w:t>款对招标文件所作的澄清、修改，构成招标文件的组成部分。</w:t>
      </w:r>
    </w:p>
    <w:p>
      <w:pPr>
        <w:pStyle w:val="4"/>
        <w:spacing w:line="240" w:lineRule="auto"/>
        <w:ind w:firstLine="137"/>
        <w:rPr>
          <w:rFonts w:ascii="Times New Roman"/>
          <w:color w:val="auto"/>
          <w:highlight w:val="none"/>
        </w:rPr>
      </w:pPr>
      <w:bookmarkStart w:id="186" w:name="_Toc4466"/>
      <w:bookmarkStart w:id="187" w:name="_Toc156398338"/>
      <w:bookmarkStart w:id="188" w:name="_Toc6267"/>
      <w:bookmarkStart w:id="189" w:name="_Toc3277"/>
      <w:bookmarkStart w:id="190" w:name="_Toc706"/>
      <w:r>
        <w:rPr>
          <w:rFonts w:ascii="Times New Roman"/>
          <w:color w:val="auto"/>
          <w:highlight w:val="none"/>
        </w:rPr>
        <w:t xml:space="preserve">2.2 </w:t>
      </w:r>
      <w:r>
        <w:rPr>
          <w:rFonts w:hint="eastAsia" w:ascii="Times New Roman"/>
          <w:color w:val="auto"/>
          <w:highlight w:val="none"/>
        </w:rPr>
        <w:t>招标文件的澄清</w:t>
      </w:r>
      <w:bookmarkEnd w:id="186"/>
      <w:bookmarkEnd w:id="187"/>
      <w:bookmarkEnd w:id="188"/>
      <w:bookmarkEnd w:id="189"/>
      <w:bookmarkEnd w:id="190"/>
    </w:p>
    <w:p>
      <w:pPr>
        <w:spacing w:line="400" w:lineRule="exact"/>
        <w:ind w:firstLine="420" w:firstLineChars="200"/>
        <w:rPr>
          <w:color w:val="auto"/>
          <w:highlight w:val="none"/>
        </w:rPr>
      </w:pPr>
      <w:r>
        <w:rPr>
          <w:color w:val="auto"/>
          <w:highlight w:val="none"/>
        </w:rPr>
        <w:t xml:space="preserve">2.2.1 </w:t>
      </w:r>
      <w:r>
        <w:rPr>
          <w:rFonts w:hint="eastAsia"/>
          <w:color w:val="auto"/>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color w:val="auto"/>
          <w:highlight w:val="none"/>
        </w:rPr>
      </w:pPr>
      <w:r>
        <w:rPr>
          <w:color w:val="auto"/>
          <w:highlight w:val="none"/>
        </w:rPr>
        <w:t>2.2.2</w:t>
      </w:r>
      <w:r>
        <w:rPr>
          <w:rFonts w:hint="eastAsia"/>
          <w:color w:val="auto"/>
          <w:highlight w:val="none"/>
        </w:rPr>
        <w:t>招标文件的澄清以投标人须知前附表规定的形式发给所有购买招标文件的投标人，但不指明澄清问题的来源。澄清发出的时间距本章第</w:t>
      </w:r>
      <w:r>
        <w:rPr>
          <w:color w:val="auto"/>
          <w:highlight w:val="none"/>
        </w:rPr>
        <w:t>4.2.1</w:t>
      </w:r>
      <w:r>
        <w:rPr>
          <w:rFonts w:hint="eastAsia"/>
          <w:color w:val="auto"/>
          <w:highlight w:val="none"/>
        </w:rPr>
        <w:t>项规定的投标截止时间不足</w:t>
      </w:r>
      <w:r>
        <w:rPr>
          <w:color w:val="auto"/>
          <w:highlight w:val="none"/>
        </w:rPr>
        <w:t>15</w:t>
      </w:r>
      <w:r>
        <w:rPr>
          <w:rFonts w:hint="eastAsia"/>
          <w:color w:val="auto"/>
          <w:highlight w:val="none"/>
        </w:rPr>
        <w:t>日的，并且澄清内容可能影响投标文件编制的，将相应延长投标截止时间。</w:t>
      </w:r>
    </w:p>
    <w:p>
      <w:pPr>
        <w:spacing w:line="400" w:lineRule="exact"/>
        <w:ind w:firstLine="420" w:firstLineChars="200"/>
        <w:rPr>
          <w:color w:val="auto"/>
          <w:highlight w:val="none"/>
        </w:rPr>
      </w:pPr>
      <w:r>
        <w:rPr>
          <w:color w:val="auto"/>
          <w:highlight w:val="none"/>
        </w:rPr>
        <w:t xml:space="preserve">2.2.3 </w:t>
      </w:r>
      <w:r>
        <w:rPr>
          <w:rFonts w:hint="eastAsia"/>
          <w:color w:val="auto"/>
          <w:highlight w:val="none"/>
        </w:rPr>
        <w:t>投标人在收到澄清后，应按投标人须知前附表规定的时间和形式通知招标人，确认已收到该澄清。</w:t>
      </w:r>
    </w:p>
    <w:p>
      <w:pPr>
        <w:spacing w:line="400" w:lineRule="exact"/>
        <w:ind w:firstLine="420" w:firstLineChars="200"/>
        <w:rPr>
          <w:color w:val="auto"/>
          <w:highlight w:val="none"/>
        </w:rPr>
      </w:pPr>
      <w:r>
        <w:rPr>
          <w:color w:val="auto"/>
          <w:highlight w:val="none"/>
        </w:rPr>
        <w:t xml:space="preserve">2.2.4 </w:t>
      </w:r>
      <w:r>
        <w:rPr>
          <w:rFonts w:hint="eastAsia"/>
          <w:color w:val="auto"/>
          <w:highlight w:val="none"/>
        </w:rPr>
        <w:t>除非招标人认为确有必要答复，否则，招标人有权拒绝回复投标人在本章第</w:t>
      </w:r>
      <w:r>
        <w:rPr>
          <w:color w:val="auto"/>
          <w:highlight w:val="none"/>
        </w:rPr>
        <w:t>2.2.1</w:t>
      </w:r>
      <w:r>
        <w:rPr>
          <w:rFonts w:hint="eastAsia"/>
          <w:color w:val="auto"/>
          <w:highlight w:val="none"/>
        </w:rPr>
        <w:t>项规定的时间后的任何澄清要求。</w:t>
      </w:r>
    </w:p>
    <w:p>
      <w:pPr>
        <w:pStyle w:val="4"/>
        <w:spacing w:line="240" w:lineRule="auto"/>
        <w:ind w:firstLine="137"/>
        <w:rPr>
          <w:rFonts w:ascii="Times New Roman"/>
          <w:color w:val="auto"/>
          <w:highlight w:val="none"/>
        </w:rPr>
      </w:pPr>
      <w:bookmarkStart w:id="191" w:name="_Toc4598"/>
      <w:bookmarkStart w:id="192" w:name="_Toc28697"/>
      <w:bookmarkStart w:id="193" w:name="_Toc30397"/>
      <w:bookmarkStart w:id="194" w:name="_Toc156398339"/>
      <w:bookmarkStart w:id="195" w:name="_Toc16070"/>
      <w:bookmarkStart w:id="196" w:name="_Toc352691479"/>
      <w:r>
        <w:rPr>
          <w:rFonts w:ascii="Times New Roman"/>
          <w:color w:val="auto"/>
          <w:highlight w:val="none"/>
        </w:rPr>
        <w:t xml:space="preserve">2.3 </w:t>
      </w:r>
      <w:r>
        <w:rPr>
          <w:rFonts w:hint="eastAsia" w:ascii="Times New Roman"/>
          <w:color w:val="auto"/>
          <w:highlight w:val="none"/>
        </w:rPr>
        <w:t>招标文件的修</w:t>
      </w:r>
      <w:bookmarkStart w:id="197" w:name="_Toc369531521"/>
      <w:bookmarkStart w:id="198" w:name="_Toc16514"/>
      <w:r>
        <w:rPr>
          <w:rFonts w:hint="eastAsia" w:ascii="Times New Roman"/>
          <w:color w:val="auto"/>
          <w:highlight w:val="none"/>
        </w:rPr>
        <w:t>改</w:t>
      </w:r>
      <w:bookmarkEnd w:id="191"/>
      <w:bookmarkEnd w:id="192"/>
      <w:bookmarkEnd w:id="193"/>
      <w:bookmarkEnd w:id="194"/>
      <w:bookmarkEnd w:id="195"/>
    </w:p>
    <w:p>
      <w:pPr>
        <w:spacing w:line="400" w:lineRule="exact"/>
        <w:ind w:firstLine="420" w:firstLineChars="200"/>
        <w:rPr>
          <w:color w:val="auto"/>
          <w:highlight w:val="none"/>
        </w:rPr>
      </w:pPr>
      <w:r>
        <w:rPr>
          <w:color w:val="auto"/>
          <w:highlight w:val="none"/>
        </w:rPr>
        <w:t>2.3.1</w:t>
      </w:r>
      <w:r>
        <w:rPr>
          <w:rFonts w:hint="eastAsia"/>
          <w:color w:val="auto"/>
          <w:highlight w:val="none"/>
        </w:rPr>
        <w:t>招标人以投标人须知前附表规定的形式修改招标文件，并通知所有已购买招标文件的投标人。修改招标文件的时间距本章第</w:t>
      </w:r>
      <w:r>
        <w:rPr>
          <w:color w:val="auto"/>
          <w:highlight w:val="none"/>
        </w:rPr>
        <w:t>4.2.1</w:t>
      </w:r>
      <w:r>
        <w:rPr>
          <w:rFonts w:hint="eastAsia"/>
          <w:color w:val="auto"/>
          <w:highlight w:val="none"/>
        </w:rPr>
        <w:t>项规定的投标截止时间不足</w:t>
      </w:r>
      <w:r>
        <w:rPr>
          <w:color w:val="auto"/>
          <w:highlight w:val="none"/>
        </w:rPr>
        <w:t>15</w:t>
      </w:r>
      <w:r>
        <w:rPr>
          <w:rFonts w:hint="eastAsia"/>
          <w:color w:val="auto"/>
          <w:highlight w:val="none"/>
        </w:rPr>
        <w:t>日的，并且修改内容可能影响投标文件编制的，将相应延长投标截止时间。</w:t>
      </w:r>
    </w:p>
    <w:bookmarkEnd w:id="196"/>
    <w:bookmarkEnd w:id="197"/>
    <w:bookmarkEnd w:id="198"/>
    <w:p>
      <w:pPr>
        <w:spacing w:line="400" w:lineRule="exact"/>
        <w:ind w:firstLine="420" w:firstLineChars="200"/>
        <w:rPr>
          <w:color w:val="auto"/>
          <w:highlight w:val="none"/>
        </w:rPr>
      </w:pPr>
      <w:r>
        <w:rPr>
          <w:color w:val="auto"/>
          <w:highlight w:val="none"/>
        </w:rPr>
        <w:t xml:space="preserve">2.3.2 </w:t>
      </w:r>
      <w:r>
        <w:rPr>
          <w:rFonts w:hint="eastAsia"/>
          <w:color w:val="auto"/>
          <w:highlight w:val="none"/>
        </w:rPr>
        <w:t>投标人收到修改内容</w:t>
      </w:r>
      <w:bookmarkStart w:id="199" w:name="_Toc144974506"/>
      <w:bookmarkStart w:id="200" w:name="_Toc352691482"/>
      <w:bookmarkStart w:id="201" w:name="_Toc369531524"/>
      <w:bookmarkStart w:id="202" w:name="_Toc152045538"/>
      <w:bookmarkStart w:id="203" w:name="_Toc247513961"/>
      <w:bookmarkStart w:id="204" w:name="_Toc384308218"/>
      <w:bookmarkStart w:id="205" w:name="_Toc247527562"/>
      <w:bookmarkStart w:id="206" w:name="_Toc361508593"/>
      <w:bookmarkStart w:id="207" w:name="_Toc300834958"/>
      <w:bookmarkStart w:id="208" w:name="_Toc24632"/>
      <w:bookmarkStart w:id="209" w:name="_Toc152042314"/>
      <w:r>
        <w:rPr>
          <w:rFonts w:hint="eastAsia"/>
          <w:color w:val="auto"/>
          <w:highlight w:val="none"/>
        </w:rPr>
        <w:t>后，</w:t>
      </w:r>
      <w:bookmarkEnd w:id="199"/>
      <w:bookmarkEnd w:id="200"/>
      <w:bookmarkEnd w:id="201"/>
      <w:bookmarkEnd w:id="202"/>
      <w:bookmarkEnd w:id="203"/>
      <w:bookmarkEnd w:id="204"/>
      <w:bookmarkEnd w:id="205"/>
      <w:bookmarkEnd w:id="206"/>
      <w:bookmarkEnd w:id="207"/>
      <w:bookmarkEnd w:id="208"/>
      <w:bookmarkEnd w:id="209"/>
      <w:bookmarkStart w:id="210" w:name="_Toc247527564"/>
      <w:bookmarkStart w:id="211" w:name="_Toc361508595"/>
      <w:bookmarkStart w:id="212" w:name="_Toc144974508"/>
      <w:bookmarkStart w:id="213" w:name="_Toc352691484"/>
      <w:bookmarkStart w:id="214" w:name="_Toc152042316"/>
      <w:bookmarkStart w:id="215" w:name="_Toc300834960"/>
      <w:bookmarkStart w:id="216" w:name="_Toc247513963"/>
      <w:bookmarkStart w:id="217" w:name="_Toc369531526"/>
      <w:bookmarkStart w:id="218" w:name="_Toc152045540"/>
      <w:bookmarkStart w:id="219" w:name="_Toc384308220"/>
      <w:bookmarkStart w:id="220" w:name="_Toc16623"/>
      <w:r>
        <w:rPr>
          <w:rFonts w:hint="eastAsia"/>
          <w:color w:val="auto"/>
          <w:highlight w:val="none"/>
        </w:rPr>
        <w:t>应按投标人须知前附表规定的时间和形式通知招标人，确认已收到该修改。</w:t>
      </w:r>
    </w:p>
    <w:p>
      <w:pPr>
        <w:pStyle w:val="4"/>
        <w:spacing w:line="240" w:lineRule="auto"/>
        <w:ind w:firstLine="137"/>
        <w:rPr>
          <w:rFonts w:ascii="Times New Roman"/>
          <w:color w:val="auto"/>
          <w:highlight w:val="none"/>
        </w:rPr>
      </w:pPr>
      <w:bookmarkStart w:id="221" w:name="_Toc17513"/>
      <w:bookmarkStart w:id="222" w:name="_Toc156398340"/>
      <w:bookmarkStart w:id="223" w:name="_Toc2085"/>
      <w:bookmarkStart w:id="224" w:name="_Toc10941"/>
      <w:bookmarkStart w:id="225" w:name="_Toc21996"/>
      <w:r>
        <w:rPr>
          <w:rFonts w:ascii="Times New Roman"/>
          <w:color w:val="auto"/>
          <w:highlight w:val="none"/>
        </w:rPr>
        <w:t>2.</w:t>
      </w:r>
      <w:bookmarkEnd w:id="210"/>
      <w:bookmarkEnd w:id="211"/>
      <w:bookmarkEnd w:id="212"/>
      <w:bookmarkEnd w:id="213"/>
      <w:bookmarkEnd w:id="214"/>
      <w:bookmarkEnd w:id="215"/>
      <w:bookmarkEnd w:id="216"/>
      <w:bookmarkEnd w:id="217"/>
      <w:bookmarkEnd w:id="218"/>
      <w:bookmarkEnd w:id="219"/>
      <w:bookmarkEnd w:id="220"/>
      <w:r>
        <w:rPr>
          <w:rFonts w:ascii="Times New Roman"/>
          <w:color w:val="auto"/>
          <w:highlight w:val="none"/>
        </w:rPr>
        <w:t xml:space="preserve">4 </w:t>
      </w:r>
      <w:r>
        <w:rPr>
          <w:rFonts w:hint="eastAsia" w:ascii="Times New Roman"/>
          <w:color w:val="auto"/>
          <w:highlight w:val="none"/>
        </w:rPr>
        <w:t>招标文件的异议</w:t>
      </w:r>
      <w:bookmarkEnd w:id="221"/>
      <w:bookmarkEnd w:id="222"/>
      <w:bookmarkEnd w:id="223"/>
      <w:bookmarkEnd w:id="224"/>
      <w:bookmarkEnd w:id="225"/>
    </w:p>
    <w:p>
      <w:pPr>
        <w:spacing w:line="400" w:lineRule="exact"/>
        <w:ind w:firstLine="420" w:firstLineChars="200"/>
        <w:rPr>
          <w:rFonts w:hint="eastAsia"/>
          <w:color w:val="auto"/>
          <w:highlight w:val="none"/>
        </w:rPr>
      </w:pPr>
      <w:r>
        <w:rPr>
          <w:rFonts w:hint="eastAsia"/>
          <w:color w:val="auto"/>
          <w:highlight w:val="none"/>
        </w:rPr>
        <w:t>投标人或者其他利害关系人对招标文件有异议的，应当在投标截止时间</w:t>
      </w:r>
      <w:r>
        <w:rPr>
          <w:color w:val="auto"/>
          <w:highlight w:val="none"/>
        </w:rPr>
        <w:t>10</w:t>
      </w:r>
      <w:r>
        <w:rPr>
          <w:rFonts w:hint="eastAsia"/>
          <w:color w:val="auto"/>
          <w:highlight w:val="none"/>
        </w:rPr>
        <w:t>日前以书面形式提出。招标人将在收到异议之日起</w:t>
      </w:r>
      <w:r>
        <w:rPr>
          <w:color w:val="auto"/>
          <w:highlight w:val="none"/>
        </w:rPr>
        <w:t>3</w:t>
      </w:r>
      <w:r>
        <w:rPr>
          <w:rFonts w:hint="eastAsia"/>
          <w:color w:val="auto"/>
          <w:highlight w:val="none"/>
        </w:rPr>
        <w:t>日内作出答复；作出答复前，将暂停招标投标活动。</w:t>
      </w:r>
    </w:p>
    <w:p>
      <w:pPr>
        <w:pStyle w:val="3"/>
        <w:spacing w:line="240" w:lineRule="auto"/>
        <w:rPr>
          <w:rFonts w:ascii="Times New Roman" w:hAnsi="Times New Roman"/>
          <w:color w:val="auto"/>
          <w:highlight w:val="none"/>
        </w:rPr>
      </w:pPr>
      <w:bookmarkStart w:id="226" w:name="_Toc156398341"/>
      <w:bookmarkStart w:id="227" w:name="_Toc10255"/>
      <w:bookmarkStart w:id="228" w:name="_Toc4688"/>
      <w:bookmarkStart w:id="229" w:name="_Toc533"/>
      <w:bookmarkStart w:id="230" w:name="_Toc28596"/>
      <w:bookmarkStart w:id="231" w:name="_Toc12678"/>
      <w:r>
        <w:rPr>
          <w:rFonts w:ascii="Times New Roman" w:hAnsi="Times New Roman"/>
          <w:color w:val="auto"/>
          <w:highlight w:val="none"/>
        </w:rPr>
        <w:t xml:space="preserve">3. </w:t>
      </w:r>
      <w:r>
        <w:rPr>
          <w:rFonts w:hint="eastAsia" w:ascii="Times New Roman" w:hAnsi="Times New Roman"/>
          <w:color w:val="auto"/>
          <w:highlight w:val="none"/>
        </w:rPr>
        <w:t>投标文件</w:t>
      </w:r>
      <w:bookmarkEnd w:id="226"/>
      <w:bookmarkEnd w:id="227"/>
      <w:bookmarkEnd w:id="228"/>
      <w:bookmarkEnd w:id="229"/>
      <w:bookmarkEnd w:id="230"/>
      <w:bookmarkEnd w:id="231"/>
    </w:p>
    <w:p>
      <w:pPr>
        <w:pStyle w:val="4"/>
        <w:spacing w:line="240" w:lineRule="auto"/>
        <w:ind w:firstLine="137"/>
        <w:rPr>
          <w:rFonts w:ascii="Times New Roman"/>
          <w:color w:val="auto"/>
          <w:highlight w:val="none"/>
        </w:rPr>
      </w:pPr>
      <w:bookmarkStart w:id="232" w:name="_Toc12731"/>
      <w:bookmarkStart w:id="233" w:name="_Toc6186"/>
      <w:bookmarkStart w:id="234" w:name="_Toc156398342"/>
      <w:bookmarkStart w:id="235" w:name="_Toc29620"/>
      <w:bookmarkStart w:id="236" w:name="_Toc14276"/>
      <w:r>
        <w:rPr>
          <w:rFonts w:ascii="Times New Roman"/>
          <w:color w:val="auto"/>
          <w:highlight w:val="none"/>
        </w:rPr>
        <w:t xml:space="preserve">3.1 </w:t>
      </w:r>
      <w:r>
        <w:rPr>
          <w:rFonts w:hint="eastAsia" w:ascii="Times New Roman"/>
          <w:color w:val="auto"/>
          <w:highlight w:val="none"/>
        </w:rPr>
        <w:t>投标文件的组成</w:t>
      </w:r>
      <w:bookmarkEnd w:id="232"/>
      <w:bookmarkEnd w:id="233"/>
      <w:bookmarkEnd w:id="234"/>
      <w:bookmarkEnd w:id="235"/>
      <w:bookmarkEnd w:id="236"/>
    </w:p>
    <w:p>
      <w:pPr>
        <w:spacing w:line="400" w:lineRule="exact"/>
        <w:ind w:firstLine="420"/>
        <w:rPr>
          <w:color w:val="auto"/>
          <w:highlight w:val="none"/>
        </w:rPr>
      </w:pPr>
      <w:r>
        <w:rPr>
          <w:color w:val="auto"/>
          <w:highlight w:val="none"/>
        </w:rPr>
        <w:t xml:space="preserve">3.1.1 </w:t>
      </w:r>
      <w:r>
        <w:rPr>
          <w:rFonts w:hint="eastAsia"/>
          <w:color w:val="auto"/>
          <w:highlight w:val="none"/>
        </w:rPr>
        <w:t>投标文件应包括下列内容：</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）投标函及投标函附录；</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）法定代表人身份证明或授权委托书；</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）联合体协议书；</w:t>
      </w:r>
    </w:p>
    <w:p>
      <w:pPr>
        <w:spacing w:line="40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）投标保证金；</w:t>
      </w:r>
    </w:p>
    <w:p>
      <w:pPr>
        <w:spacing w:line="40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w:t>
      </w:r>
      <w:r>
        <w:rPr>
          <w:rFonts w:hint="eastAsia" w:eastAsia="宋体" w:cs="宋体"/>
          <w:color w:val="auto"/>
          <w:highlight w:val="none"/>
        </w:rPr>
        <w:t>设备集成服务报价清单；</w:t>
      </w:r>
    </w:p>
    <w:p>
      <w:pPr>
        <w:spacing w:line="400" w:lineRule="exact"/>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）资格审查资料；</w:t>
      </w:r>
    </w:p>
    <w:p>
      <w:pPr>
        <w:spacing w:line="400" w:lineRule="exact"/>
        <w:ind w:firstLine="42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w:t>
      </w:r>
      <w:r>
        <w:rPr>
          <w:rFonts w:hint="eastAsia" w:eastAsia="宋体" w:cs="宋体"/>
          <w:color w:val="auto"/>
          <w:highlight w:val="none"/>
        </w:rPr>
        <w:t>集成服务大纲；</w:t>
      </w:r>
    </w:p>
    <w:p>
      <w:pPr>
        <w:spacing w:line="400" w:lineRule="exact"/>
        <w:ind w:firstLine="420" w:firstLineChars="200"/>
        <w:rPr>
          <w:color w:val="auto"/>
          <w:highlight w:val="none"/>
        </w:rPr>
      </w:pPr>
      <w:r>
        <w:rPr>
          <w:rFonts w:hint="eastAsia"/>
          <w:color w:val="auto"/>
          <w:highlight w:val="none"/>
        </w:rPr>
        <w:t>（</w:t>
      </w:r>
      <w:r>
        <w:rPr>
          <w:color w:val="auto"/>
          <w:highlight w:val="none"/>
        </w:rPr>
        <w:t>8</w:t>
      </w:r>
      <w:r>
        <w:rPr>
          <w:rFonts w:hint="eastAsia"/>
          <w:color w:val="auto"/>
          <w:highlight w:val="none"/>
        </w:rPr>
        <w:t>）投标人须知前附表规定的其他资料。</w:t>
      </w:r>
    </w:p>
    <w:p>
      <w:pPr>
        <w:spacing w:line="400" w:lineRule="exact"/>
        <w:ind w:firstLine="420" w:firstLineChars="200"/>
        <w:rPr>
          <w:color w:val="auto"/>
          <w:highlight w:val="none"/>
        </w:rPr>
      </w:pPr>
      <w:r>
        <w:rPr>
          <w:rFonts w:hint="eastAsia"/>
          <w:color w:val="auto"/>
          <w:highlight w:val="none"/>
        </w:rPr>
        <w:t>投标人在评标过程中作出的符合法律法规和招标文件规定的澄清确认，构成投标文件的组成部分。</w:t>
      </w:r>
    </w:p>
    <w:p>
      <w:pPr>
        <w:spacing w:line="400" w:lineRule="exact"/>
        <w:ind w:firstLine="359" w:firstLineChars="171"/>
        <w:rPr>
          <w:color w:val="auto"/>
          <w:highlight w:val="none"/>
        </w:rPr>
      </w:pPr>
      <w:r>
        <w:rPr>
          <w:color w:val="auto"/>
          <w:highlight w:val="none"/>
        </w:rPr>
        <w:t xml:space="preserve">3.1.2 </w:t>
      </w:r>
      <w:r>
        <w:rPr>
          <w:rFonts w:hint="eastAsia"/>
          <w:color w:val="auto"/>
          <w:highlight w:val="none"/>
        </w:rPr>
        <w:t>投标人须知前附表规定不接受联合体投标的，或投标人没有组成联合体的，投标文件不包括本章第</w:t>
      </w:r>
      <w:r>
        <w:rPr>
          <w:color w:val="auto"/>
          <w:highlight w:val="none"/>
        </w:rPr>
        <w:t>3.1.1</w:t>
      </w:r>
      <w:r>
        <w:rPr>
          <w:rFonts w:hint="eastAsia"/>
          <w:color w:val="auto"/>
          <w:highlight w:val="none"/>
        </w:rPr>
        <w:t>（</w:t>
      </w:r>
      <w:r>
        <w:rPr>
          <w:color w:val="auto"/>
          <w:highlight w:val="none"/>
        </w:rPr>
        <w:t>3</w:t>
      </w:r>
      <w:r>
        <w:rPr>
          <w:rFonts w:hint="eastAsia"/>
          <w:color w:val="auto"/>
          <w:highlight w:val="none"/>
        </w:rPr>
        <w:t>）目所指的联合体协议书。</w:t>
      </w:r>
    </w:p>
    <w:p>
      <w:pPr>
        <w:spacing w:line="400" w:lineRule="exact"/>
        <w:ind w:firstLine="359" w:firstLineChars="171"/>
        <w:rPr>
          <w:color w:val="auto"/>
          <w:highlight w:val="none"/>
        </w:rPr>
      </w:pPr>
      <w:r>
        <w:rPr>
          <w:color w:val="auto"/>
          <w:highlight w:val="none"/>
        </w:rPr>
        <w:t xml:space="preserve">3.1.3 </w:t>
      </w:r>
      <w:r>
        <w:rPr>
          <w:rFonts w:hint="eastAsia"/>
          <w:color w:val="auto"/>
          <w:highlight w:val="none"/>
        </w:rPr>
        <w:t>投标人须知前附表未要求提交投标保证金的，投标文件不包括本章第</w:t>
      </w:r>
      <w:r>
        <w:rPr>
          <w:color w:val="auto"/>
          <w:highlight w:val="none"/>
        </w:rPr>
        <w:t>3.1.1</w:t>
      </w:r>
      <w:r>
        <w:rPr>
          <w:rFonts w:hint="eastAsia"/>
          <w:color w:val="auto"/>
          <w:highlight w:val="none"/>
        </w:rPr>
        <w:t>（</w:t>
      </w:r>
      <w:r>
        <w:rPr>
          <w:color w:val="auto"/>
          <w:highlight w:val="none"/>
        </w:rPr>
        <w:t>4</w:t>
      </w:r>
      <w:r>
        <w:rPr>
          <w:rFonts w:hint="eastAsia"/>
          <w:color w:val="auto"/>
          <w:highlight w:val="none"/>
        </w:rPr>
        <w:t>）目所指的投标保证金。</w:t>
      </w:r>
    </w:p>
    <w:p>
      <w:pPr>
        <w:pStyle w:val="4"/>
        <w:spacing w:line="240" w:lineRule="auto"/>
        <w:ind w:firstLine="137"/>
        <w:rPr>
          <w:rFonts w:ascii="Times New Roman"/>
          <w:color w:val="auto"/>
          <w:highlight w:val="none"/>
        </w:rPr>
      </w:pPr>
      <w:bookmarkStart w:id="237" w:name="_Toc4763"/>
      <w:bookmarkStart w:id="238" w:name="_Toc17123"/>
      <w:bookmarkStart w:id="239" w:name="_Toc2784"/>
      <w:bookmarkStart w:id="240" w:name="_Toc156398343"/>
      <w:bookmarkStart w:id="241" w:name="_Toc3047"/>
      <w:r>
        <w:rPr>
          <w:rFonts w:ascii="Times New Roman"/>
          <w:color w:val="auto"/>
          <w:highlight w:val="none"/>
        </w:rPr>
        <w:t xml:space="preserve">3.2 </w:t>
      </w:r>
      <w:r>
        <w:rPr>
          <w:rFonts w:hint="eastAsia" w:ascii="Times New Roman"/>
          <w:color w:val="auto"/>
          <w:highlight w:val="none"/>
        </w:rPr>
        <w:t>投标报价</w:t>
      </w:r>
      <w:bookmarkEnd w:id="237"/>
      <w:bookmarkEnd w:id="238"/>
      <w:bookmarkEnd w:id="239"/>
      <w:bookmarkEnd w:id="240"/>
      <w:bookmarkEnd w:id="241"/>
    </w:p>
    <w:p>
      <w:pPr>
        <w:spacing w:line="400" w:lineRule="exact"/>
        <w:ind w:firstLine="420" w:firstLineChars="200"/>
        <w:rPr>
          <w:color w:val="auto"/>
          <w:highlight w:val="none"/>
        </w:rPr>
      </w:pPr>
      <w:r>
        <w:rPr>
          <w:color w:val="auto"/>
          <w:highlight w:val="none"/>
        </w:rPr>
        <w:t>3.2.1</w:t>
      </w:r>
      <w:r>
        <w:rPr>
          <w:rFonts w:hint="eastAsia"/>
          <w:color w:val="auto"/>
          <w:highlight w:val="none"/>
        </w:rPr>
        <w:t>投标报价应包括国家规定的增值税税金，除投标人须知前附表另有规定外，增值税税金按一般计税方法计算。投标人应按第六章</w:t>
      </w:r>
      <w:r>
        <w:rPr>
          <w:color w:val="auto"/>
          <w:highlight w:val="none"/>
        </w:rPr>
        <w:t>“</w:t>
      </w:r>
      <w:r>
        <w:rPr>
          <w:rFonts w:hint="eastAsia"/>
          <w:color w:val="auto"/>
          <w:highlight w:val="none"/>
        </w:rPr>
        <w:t>投标文件格式</w:t>
      </w:r>
      <w:r>
        <w:rPr>
          <w:color w:val="auto"/>
          <w:highlight w:val="none"/>
        </w:rPr>
        <w:t>”</w:t>
      </w:r>
      <w:r>
        <w:rPr>
          <w:rFonts w:hint="eastAsia"/>
          <w:color w:val="auto"/>
          <w:highlight w:val="none"/>
        </w:rPr>
        <w:t>的要求在投标函中进行报价并填写</w:t>
      </w:r>
      <w:r>
        <w:rPr>
          <w:rFonts w:hint="eastAsia" w:eastAsia="宋体" w:cs="宋体"/>
          <w:color w:val="auto"/>
          <w:highlight w:val="none"/>
        </w:rPr>
        <w:t>设备集成服务报价清单</w:t>
      </w:r>
      <w:r>
        <w:rPr>
          <w:rFonts w:hint="eastAsia"/>
          <w:color w:val="auto"/>
          <w:highlight w:val="none"/>
        </w:rPr>
        <w:t>。</w:t>
      </w:r>
    </w:p>
    <w:p>
      <w:pPr>
        <w:spacing w:line="400" w:lineRule="exact"/>
        <w:ind w:firstLine="420" w:firstLineChars="200"/>
        <w:rPr>
          <w:color w:val="auto"/>
          <w:highlight w:val="none"/>
        </w:rPr>
      </w:pPr>
      <w:r>
        <w:rPr>
          <w:color w:val="auto"/>
          <w:highlight w:val="none"/>
        </w:rPr>
        <w:t xml:space="preserve">3.2.2 </w:t>
      </w:r>
      <w:r>
        <w:rPr>
          <w:rFonts w:hint="eastAsia"/>
          <w:color w:val="auto"/>
          <w:highlight w:val="none"/>
        </w:rPr>
        <w:t>投标人应充分了解该项目的总体情况以及影响投标报价的其他要素。</w:t>
      </w:r>
    </w:p>
    <w:p>
      <w:pPr>
        <w:spacing w:line="400" w:lineRule="exact"/>
        <w:ind w:firstLine="420" w:firstLineChars="200"/>
        <w:rPr>
          <w:color w:val="auto"/>
          <w:highlight w:val="none"/>
        </w:rPr>
      </w:pPr>
      <w:r>
        <w:rPr>
          <w:color w:val="auto"/>
          <w:highlight w:val="none"/>
        </w:rPr>
        <w:t xml:space="preserve">3.2.3 </w:t>
      </w:r>
      <w:r>
        <w:rPr>
          <w:rFonts w:hint="eastAsia"/>
          <w:color w:val="auto"/>
          <w:highlight w:val="none"/>
        </w:rPr>
        <w:t>本项目的报价方式见投标人须知前附表。投标人在投标截止时间前修改投标函中的投标报价总额，应同时修改投标文件</w:t>
      </w:r>
      <w:r>
        <w:rPr>
          <w:color w:val="auto"/>
          <w:highlight w:val="none"/>
        </w:rPr>
        <w:t>“</w:t>
      </w:r>
      <w:r>
        <w:rPr>
          <w:rFonts w:hint="eastAsia" w:eastAsia="宋体" w:cs="宋体"/>
          <w:color w:val="auto"/>
          <w:highlight w:val="none"/>
        </w:rPr>
        <w:t>设备集成服务报价清单</w:t>
      </w:r>
      <w:r>
        <w:rPr>
          <w:color w:val="auto"/>
          <w:highlight w:val="none"/>
        </w:rPr>
        <w:t>”</w:t>
      </w:r>
      <w:r>
        <w:rPr>
          <w:rFonts w:hint="eastAsia"/>
          <w:color w:val="auto"/>
          <w:highlight w:val="none"/>
        </w:rPr>
        <w:t>中的相应报价。此修改须符合本章第</w:t>
      </w:r>
      <w:r>
        <w:rPr>
          <w:color w:val="auto"/>
          <w:highlight w:val="none"/>
        </w:rPr>
        <w:t>4.3</w:t>
      </w:r>
      <w:r>
        <w:rPr>
          <w:rFonts w:hint="eastAsia"/>
          <w:color w:val="auto"/>
          <w:highlight w:val="none"/>
        </w:rPr>
        <w:t>款的有关要求。</w:t>
      </w:r>
    </w:p>
    <w:p>
      <w:pPr>
        <w:spacing w:line="400" w:lineRule="exact"/>
        <w:ind w:firstLine="420" w:firstLineChars="200"/>
        <w:rPr>
          <w:color w:val="auto"/>
          <w:highlight w:val="none"/>
        </w:rPr>
      </w:pPr>
      <w:r>
        <w:rPr>
          <w:color w:val="auto"/>
          <w:highlight w:val="none"/>
        </w:rPr>
        <w:t xml:space="preserve">3.2.4 </w:t>
      </w:r>
      <w:r>
        <w:rPr>
          <w:rFonts w:hint="eastAsia"/>
          <w:color w:val="auto"/>
          <w:highlight w:val="none"/>
        </w:rPr>
        <w:t>招标人设有最高投标限价的，投标人的投标报价不得超过最高投标限价，最高投标限价在投标</w:t>
      </w:r>
      <w:bookmarkStart w:id="242" w:name="_Toc152042320"/>
      <w:bookmarkStart w:id="243" w:name="_Toc247513968"/>
      <w:bookmarkStart w:id="244" w:name="_Toc361508600"/>
      <w:bookmarkStart w:id="245" w:name="_Toc300834965"/>
      <w:bookmarkStart w:id="246" w:name="_Toc247527569"/>
      <w:bookmarkStart w:id="247" w:name="_Toc144974512"/>
      <w:bookmarkStart w:id="248" w:name="_Toc352691488"/>
      <w:bookmarkStart w:id="249" w:name="_Toc10429"/>
      <w:bookmarkStart w:id="250" w:name="_Toc152045544"/>
      <w:bookmarkStart w:id="251" w:name="_Toc384308225"/>
      <w:bookmarkStart w:id="252" w:name="_Toc369531531"/>
      <w:r>
        <w:rPr>
          <w:rFonts w:hint="eastAsia"/>
          <w:color w:val="auto"/>
          <w:highlight w:val="none"/>
        </w:rPr>
        <w:t>人须知前附表中载明。</w:t>
      </w:r>
      <w:bookmarkEnd w:id="242"/>
      <w:bookmarkEnd w:id="243"/>
      <w:bookmarkEnd w:id="244"/>
      <w:bookmarkEnd w:id="245"/>
      <w:bookmarkEnd w:id="246"/>
      <w:bookmarkEnd w:id="247"/>
      <w:bookmarkEnd w:id="248"/>
      <w:bookmarkEnd w:id="249"/>
      <w:bookmarkEnd w:id="250"/>
      <w:bookmarkEnd w:id="251"/>
      <w:bookmarkEnd w:id="252"/>
    </w:p>
    <w:p>
      <w:pPr>
        <w:spacing w:line="400" w:lineRule="exact"/>
        <w:ind w:firstLine="420" w:firstLineChars="200"/>
        <w:rPr>
          <w:color w:val="auto"/>
          <w:highlight w:val="none"/>
        </w:rPr>
      </w:pPr>
      <w:r>
        <w:rPr>
          <w:color w:val="auto"/>
          <w:highlight w:val="none"/>
        </w:rPr>
        <w:t xml:space="preserve">3.2.5 </w:t>
      </w:r>
      <w:r>
        <w:rPr>
          <w:rFonts w:hint="eastAsia"/>
          <w:color w:val="auto"/>
          <w:highlight w:val="none"/>
        </w:rPr>
        <w:t>投标报价的其他要求见投标人须知前附表。</w:t>
      </w:r>
    </w:p>
    <w:p>
      <w:pPr>
        <w:pStyle w:val="4"/>
        <w:spacing w:line="240" w:lineRule="auto"/>
        <w:ind w:firstLine="137"/>
        <w:rPr>
          <w:rFonts w:ascii="Times New Roman"/>
          <w:color w:val="auto"/>
          <w:highlight w:val="none"/>
        </w:rPr>
      </w:pPr>
      <w:bookmarkStart w:id="253" w:name="_Toc19977"/>
      <w:bookmarkStart w:id="254" w:name="_Toc156398344"/>
      <w:bookmarkStart w:id="255" w:name="_Toc2033"/>
      <w:bookmarkStart w:id="256" w:name="_Toc13392"/>
      <w:bookmarkStart w:id="257" w:name="_Toc30684"/>
      <w:r>
        <w:rPr>
          <w:rFonts w:ascii="Times New Roman"/>
          <w:color w:val="auto"/>
          <w:highlight w:val="none"/>
        </w:rPr>
        <w:t xml:space="preserve">3.3 </w:t>
      </w:r>
      <w:r>
        <w:rPr>
          <w:rFonts w:hint="eastAsia" w:ascii="Times New Roman"/>
          <w:color w:val="auto"/>
          <w:highlight w:val="none"/>
        </w:rPr>
        <w:t>投标有效期</w:t>
      </w:r>
      <w:bookmarkEnd w:id="253"/>
      <w:bookmarkEnd w:id="254"/>
      <w:bookmarkEnd w:id="255"/>
      <w:bookmarkEnd w:id="256"/>
      <w:bookmarkEnd w:id="257"/>
    </w:p>
    <w:p>
      <w:pPr>
        <w:spacing w:line="400" w:lineRule="exact"/>
        <w:ind w:firstLine="420" w:firstLineChars="200"/>
        <w:rPr>
          <w:color w:val="auto"/>
          <w:highlight w:val="none"/>
        </w:rPr>
      </w:pPr>
      <w:r>
        <w:rPr>
          <w:color w:val="auto"/>
          <w:highlight w:val="none"/>
        </w:rPr>
        <w:t xml:space="preserve">3.3.1 </w:t>
      </w:r>
      <w:r>
        <w:rPr>
          <w:rFonts w:hint="eastAsia"/>
          <w:color w:val="auto"/>
          <w:highlight w:val="none"/>
        </w:rPr>
        <w:t>除投标人须知前附表另有规定外，投标有效期为180天。</w:t>
      </w:r>
    </w:p>
    <w:p>
      <w:pPr>
        <w:spacing w:line="400" w:lineRule="exact"/>
        <w:ind w:firstLine="420" w:firstLineChars="200"/>
        <w:rPr>
          <w:color w:val="auto"/>
          <w:highlight w:val="none"/>
        </w:rPr>
      </w:pPr>
      <w:r>
        <w:rPr>
          <w:color w:val="auto"/>
          <w:highlight w:val="none"/>
        </w:rPr>
        <w:t xml:space="preserve">3.3.2 </w:t>
      </w:r>
      <w:r>
        <w:rPr>
          <w:rFonts w:hint="eastAsia"/>
          <w:color w:val="auto"/>
          <w:highlight w:val="none"/>
        </w:rPr>
        <w:t>在投标有效期内，投标人撤销投标文件的，应承担招标文件和法律规定的责任。</w:t>
      </w:r>
    </w:p>
    <w:p>
      <w:pPr>
        <w:spacing w:line="400" w:lineRule="exact"/>
        <w:ind w:firstLine="420" w:firstLineChars="200"/>
        <w:rPr>
          <w:color w:val="auto"/>
          <w:highlight w:val="none"/>
        </w:rPr>
      </w:pPr>
      <w:r>
        <w:rPr>
          <w:color w:val="auto"/>
          <w:highlight w:val="none"/>
        </w:rPr>
        <w:t xml:space="preserve">3.3.3 </w:t>
      </w:r>
      <w:r>
        <w:rPr>
          <w:rFonts w:hint="eastAsia"/>
          <w:color w:val="auto"/>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w:t>
      </w:r>
    </w:p>
    <w:p>
      <w:pPr>
        <w:pStyle w:val="4"/>
        <w:spacing w:line="240" w:lineRule="auto"/>
        <w:ind w:firstLine="137"/>
        <w:rPr>
          <w:rFonts w:ascii="Times New Roman"/>
          <w:color w:val="auto"/>
          <w:highlight w:val="none"/>
        </w:rPr>
      </w:pPr>
      <w:bookmarkStart w:id="258" w:name="_Toc18470"/>
      <w:bookmarkStart w:id="259" w:name="_Toc5431"/>
      <w:bookmarkStart w:id="260" w:name="_Toc27068"/>
      <w:bookmarkStart w:id="261" w:name="_Toc12968"/>
      <w:bookmarkStart w:id="262" w:name="_Toc156398345"/>
      <w:r>
        <w:rPr>
          <w:rFonts w:ascii="Times New Roman"/>
          <w:color w:val="auto"/>
          <w:highlight w:val="none"/>
        </w:rPr>
        <w:t xml:space="preserve">3.4 </w:t>
      </w:r>
      <w:r>
        <w:rPr>
          <w:rFonts w:hint="eastAsia" w:ascii="Times New Roman"/>
          <w:color w:val="auto"/>
          <w:highlight w:val="none"/>
        </w:rPr>
        <w:t>投标保证金</w:t>
      </w:r>
      <w:bookmarkEnd w:id="258"/>
      <w:bookmarkEnd w:id="259"/>
      <w:bookmarkEnd w:id="260"/>
      <w:bookmarkEnd w:id="261"/>
      <w:bookmarkEnd w:id="262"/>
    </w:p>
    <w:p>
      <w:pPr>
        <w:spacing w:line="400" w:lineRule="exact"/>
        <w:ind w:firstLine="420" w:firstLineChars="200"/>
        <w:rPr>
          <w:color w:val="auto"/>
          <w:highlight w:val="none"/>
        </w:rPr>
      </w:pPr>
      <w:r>
        <w:rPr>
          <w:color w:val="auto"/>
          <w:highlight w:val="none"/>
        </w:rPr>
        <w:t xml:space="preserve">3.4.1 </w:t>
      </w:r>
      <w:r>
        <w:rPr>
          <w:rFonts w:hint="eastAsia"/>
          <w:color w:val="auto"/>
          <w:highlight w:val="none"/>
        </w:rPr>
        <w:t>投标人在递交投标文件的同时，应按投标人须知前附表规定的金额</w:t>
      </w:r>
      <w:bookmarkStart w:id="263" w:name="_Toc144974513"/>
      <w:bookmarkStart w:id="264" w:name="_Toc247513969"/>
      <w:bookmarkStart w:id="265" w:name="_Toc369531532"/>
      <w:bookmarkStart w:id="266" w:name="_Toc152045545"/>
      <w:bookmarkStart w:id="267" w:name="_Toc361508601"/>
      <w:bookmarkStart w:id="268" w:name="_Toc247527570"/>
      <w:bookmarkStart w:id="269" w:name="_Toc4592"/>
      <w:bookmarkStart w:id="270" w:name="_Toc384308226"/>
      <w:bookmarkStart w:id="271" w:name="_Toc352691489"/>
      <w:bookmarkStart w:id="272" w:name="_Toc152042321"/>
      <w:bookmarkStart w:id="273" w:name="_Toc300834966"/>
      <w:r>
        <w:rPr>
          <w:rFonts w:hint="eastAsia"/>
          <w:color w:val="auto"/>
          <w:highlight w:val="none"/>
        </w:rPr>
        <w:t>、形式和第六章</w:t>
      </w:r>
      <w:r>
        <w:rPr>
          <w:color w:val="auto"/>
          <w:highlight w:val="none"/>
        </w:rPr>
        <w:t>“</w:t>
      </w:r>
      <w:r>
        <w:rPr>
          <w:rFonts w:hint="eastAsia"/>
          <w:color w:val="auto"/>
          <w:highlight w:val="none"/>
        </w:rPr>
        <w:t>投标文</w:t>
      </w:r>
      <w:bookmarkEnd w:id="263"/>
      <w:bookmarkEnd w:id="264"/>
      <w:bookmarkEnd w:id="265"/>
      <w:bookmarkEnd w:id="266"/>
      <w:bookmarkEnd w:id="267"/>
      <w:bookmarkEnd w:id="268"/>
      <w:bookmarkEnd w:id="269"/>
      <w:bookmarkEnd w:id="270"/>
      <w:bookmarkEnd w:id="271"/>
      <w:bookmarkEnd w:id="272"/>
      <w:bookmarkEnd w:id="273"/>
      <w:r>
        <w:rPr>
          <w:rFonts w:hint="eastAsia"/>
          <w:color w:val="auto"/>
          <w:highlight w:val="none"/>
        </w:rPr>
        <w:t>件格式</w:t>
      </w:r>
      <w:r>
        <w:rPr>
          <w:color w:val="auto"/>
          <w:highlight w:val="none"/>
        </w:rPr>
        <w:t>”</w:t>
      </w:r>
      <w:r>
        <w:rPr>
          <w:rFonts w:hint="eastAsia"/>
          <w:color w:val="auto"/>
          <w:highlight w:val="none"/>
        </w:rPr>
        <w:t>规定的投标保证金格式递交投标保证金，并作为其投标文件的组成部分。境内投标人以现金或者支票形式提交的投标保证金，应当从其基本账户转出并在投标文件中附上基本账户开户证明或基本存款账户开户银行开具的《基本存款账户信息》扫描件。联合体投标的，其投标保证金可以由牵头人递交，并应符合投标人须知前附表的规定。</w:t>
      </w:r>
    </w:p>
    <w:p>
      <w:pPr>
        <w:spacing w:line="400" w:lineRule="exact"/>
        <w:ind w:firstLine="420" w:firstLineChars="200"/>
        <w:jc w:val="left"/>
        <w:rPr>
          <w:color w:val="auto"/>
          <w:highlight w:val="none"/>
        </w:rPr>
      </w:pPr>
      <w:r>
        <w:rPr>
          <w:color w:val="auto"/>
          <w:highlight w:val="none"/>
        </w:rPr>
        <w:t xml:space="preserve">3.4.2 </w:t>
      </w:r>
      <w:r>
        <w:rPr>
          <w:rFonts w:hint="eastAsia"/>
          <w:color w:val="auto"/>
          <w:highlight w:val="none"/>
        </w:rPr>
        <w:t>投标人不按本章第</w:t>
      </w:r>
      <w:r>
        <w:rPr>
          <w:color w:val="auto"/>
          <w:highlight w:val="none"/>
        </w:rPr>
        <w:t>3.4.1</w:t>
      </w:r>
      <w:r>
        <w:rPr>
          <w:rFonts w:hint="eastAsia"/>
          <w:color w:val="auto"/>
          <w:highlight w:val="none"/>
        </w:rPr>
        <w:t>项</w:t>
      </w:r>
      <w:bookmarkStart w:id="274" w:name="_Toc352691490"/>
      <w:bookmarkStart w:id="275" w:name="_Toc384308227"/>
      <w:bookmarkStart w:id="276" w:name="_Toc361508602"/>
      <w:bookmarkStart w:id="277" w:name="_Toc369531533"/>
      <w:bookmarkStart w:id="278" w:name="_Toc29025"/>
      <w:r>
        <w:rPr>
          <w:rFonts w:hint="eastAsia"/>
          <w:color w:val="auto"/>
          <w:highlight w:val="none"/>
        </w:rPr>
        <w:t>要求提交投标保证金的，</w:t>
      </w:r>
      <w:bookmarkEnd w:id="274"/>
      <w:bookmarkEnd w:id="275"/>
      <w:bookmarkEnd w:id="276"/>
      <w:bookmarkEnd w:id="277"/>
      <w:bookmarkEnd w:id="278"/>
      <w:r>
        <w:rPr>
          <w:rFonts w:hint="eastAsia"/>
          <w:color w:val="auto"/>
          <w:highlight w:val="none"/>
        </w:rPr>
        <w:t>评标委员会将否决其投标。</w:t>
      </w:r>
    </w:p>
    <w:p>
      <w:pPr>
        <w:spacing w:line="400" w:lineRule="exact"/>
        <w:ind w:firstLine="420" w:firstLineChars="200"/>
        <w:rPr>
          <w:color w:val="auto"/>
          <w:highlight w:val="none"/>
        </w:rPr>
      </w:pPr>
      <w:bookmarkStart w:id="279" w:name="OLE_LINK10"/>
      <w:bookmarkStart w:id="280" w:name="OLE_LINK9"/>
      <w:r>
        <w:rPr>
          <w:color w:val="auto"/>
          <w:highlight w:val="none"/>
        </w:rPr>
        <w:t xml:space="preserve">3.4.3 </w:t>
      </w:r>
      <w:r>
        <w:rPr>
          <w:rFonts w:hint="eastAsia"/>
          <w:color w:val="auto"/>
          <w:highlight w:val="none"/>
        </w:rPr>
        <w:t>招标人最迟将在与中标人</w:t>
      </w:r>
      <w:bookmarkStart w:id="281" w:name="_Toc144974514"/>
      <w:bookmarkStart w:id="282" w:name="_Toc384308228"/>
      <w:bookmarkStart w:id="283" w:name="_Toc247513970"/>
      <w:bookmarkStart w:id="284" w:name="_Toc247527571"/>
      <w:bookmarkStart w:id="285" w:name="_Toc152042322"/>
      <w:bookmarkStart w:id="286" w:name="_Toc369531534"/>
      <w:bookmarkStart w:id="287" w:name="_Toc152045546"/>
      <w:bookmarkStart w:id="288" w:name="_Toc361508603"/>
      <w:bookmarkStart w:id="289" w:name="_Toc14751"/>
      <w:bookmarkStart w:id="290" w:name="_Toc352691491"/>
      <w:bookmarkStart w:id="291" w:name="_Toc300834967"/>
      <w:r>
        <w:rPr>
          <w:rFonts w:hint="eastAsia"/>
          <w:color w:val="auto"/>
          <w:highlight w:val="none"/>
        </w:rPr>
        <w:t>签订合同后</w:t>
      </w:r>
      <w:r>
        <w:rPr>
          <w:color w:val="auto"/>
          <w:highlight w:val="none"/>
        </w:rPr>
        <w:t>5</w:t>
      </w:r>
      <w:r>
        <w:rPr>
          <w:rFonts w:hint="eastAsia"/>
          <w:color w:val="auto"/>
          <w:highlight w:val="none"/>
        </w:rPr>
        <w:t>日</w:t>
      </w:r>
      <w:bookmarkEnd w:id="281"/>
      <w:bookmarkEnd w:id="282"/>
      <w:bookmarkEnd w:id="283"/>
      <w:bookmarkEnd w:id="284"/>
      <w:bookmarkEnd w:id="285"/>
      <w:bookmarkEnd w:id="286"/>
      <w:bookmarkEnd w:id="287"/>
      <w:bookmarkEnd w:id="288"/>
      <w:bookmarkEnd w:id="289"/>
      <w:bookmarkEnd w:id="290"/>
      <w:bookmarkEnd w:id="291"/>
      <w:r>
        <w:rPr>
          <w:rFonts w:hint="eastAsia"/>
          <w:color w:val="auto"/>
          <w:highlight w:val="none"/>
        </w:rPr>
        <w:t>内</w:t>
      </w:r>
      <w:bookmarkStart w:id="292" w:name="_Toc144974515"/>
      <w:bookmarkStart w:id="293" w:name="_Toc300834968"/>
      <w:bookmarkStart w:id="294" w:name="_Toc247513971"/>
      <w:bookmarkStart w:id="295" w:name="_Toc352691492"/>
      <w:bookmarkStart w:id="296" w:name="_Toc361508604"/>
      <w:bookmarkStart w:id="297" w:name="_Toc384308229"/>
      <w:bookmarkStart w:id="298" w:name="_Toc369531535"/>
      <w:bookmarkStart w:id="299" w:name="_Toc152042323"/>
      <w:bookmarkStart w:id="300" w:name="_Toc247527572"/>
      <w:bookmarkStart w:id="301" w:name="_Toc17952"/>
      <w:bookmarkStart w:id="302" w:name="_Toc152045547"/>
      <w:r>
        <w:rPr>
          <w:rFonts w:hint="eastAsia"/>
          <w:color w:val="auto"/>
          <w:highlight w:val="none"/>
        </w:rPr>
        <w:t>，向未中标的投标人和中</w:t>
      </w:r>
      <w:bookmarkEnd w:id="292"/>
      <w:bookmarkEnd w:id="293"/>
      <w:bookmarkEnd w:id="294"/>
      <w:bookmarkEnd w:id="295"/>
      <w:bookmarkEnd w:id="296"/>
      <w:bookmarkEnd w:id="297"/>
      <w:bookmarkEnd w:id="298"/>
      <w:bookmarkEnd w:id="299"/>
      <w:bookmarkEnd w:id="300"/>
      <w:bookmarkEnd w:id="301"/>
      <w:bookmarkEnd w:id="302"/>
      <w:r>
        <w:rPr>
          <w:rFonts w:hint="eastAsia"/>
          <w:color w:val="auto"/>
          <w:highlight w:val="none"/>
        </w:rPr>
        <w:t>标人退还投标保证金。</w:t>
      </w:r>
      <w:bookmarkEnd w:id="279"/>
      <w:bookmarkEnd w:id="280"/>
    </w:p>
    <w:p>
      <w:pPr>
        <w:spacing w:line="400" w:lineRule="exact"/>
        <w:ind w:firstLine="420" w:firstLineChars="200"/>
        <w:rPr>
          <w:color w:val="auto"/>
          <w:highlight w:val="none"/>
        </w:rPr>
      </w:pPr>
      <w:r>
        <w:rPr>
          <w:color w:val="auto"/>
          <w:highlight w:val="none"/>
        </w:rPr>
        <w:t xml:space="preserve">3.4.4 </w:t>
      </w:r>
      <w:r>
        <w:rPr>
          <w:rFonts w:hint="eastAsia"/>
          <w:color w:val="auto"/>
          <w:highlight w:val="none"/>
        </w:rPr>
        <w:t>有下列情形之一的，投标保证金将不予退还：</w:t>
      </w:r>
    </w:p>
    <w:p>
      <w:pPr>
        <w:spacing w:line="40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）投标人在投标有效期内撤销投标文件；</w:t>
      </w:r>
    </w:p>
    <w:p>
      <w:pPr>
        <w:spacing w:line="400" w:lineRule="exact"/>
        <w:ind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）中标人在收到中标通知书后，无正当理由不与招标人订立合同，在签订合同时向招标人提出附加条件，或者不按照招标文件要求提交履约保证金；</w:t>
      </w:r>
    </w:p>
    <w:p>
      <w:pPr>
        <w:spacing w:line="400" w:lineRule="exact"/>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）发生投标人须知前附表</w:t>
      </w:r>
      <w:r>
        <w:rPr>
          <w:rFonts w:hint="eastAsia"/>
          <w:color w:val="auto"/>
          <w:szCs w:val="21"/>
          <w:highlight w:val="none"/>
        </w:rPr>
        <w:t>规定的其他可以不予退还投标保证金的情形。</w:t>
      </w:r>
    </w:p>
    <w:p>
      <w:pPr>
        <w:pStyle w:val="4"/>
        <w:spacing w:line="240" w:lineRule="auto"/>
        <w:ind w:firstLine="137"/>
        <w:rPr>
          <w:rFonts w:ascii="Times New Roman"/>
          <w:color w:val="auto"/>
          <w:highlight w:val="none"/>
        </w:rPr>
      </w:pPr>
      <w:bookmarkStart w:id="303" w:name="_Toc156398346"/>
      <w:bookmarkStart w:id="304" w:name="_Toc13634"/>
      <w:bookmarkStart w:id="305" w:name="_Toc8679"/>
      <w:bookmarkStart w:id="306" w:name="_Toc15328"/>
      <w:bookmarkStart w:id="307" w:name="_Toc25132"/>
      <w:r>
        <w:rPr>
          <w:rFonts w:ascii="Times New Roman"/>
          <w:color w:val="auto"/>
          <w:highlight w:val="none"/>
        </w:rPr>
        <w:t xml:space="preserve">3.5 </w:t>
      </w:r>
      <w:r>
        <w:rPr>
          <w:rFonts w:hint="eastAsia" w:ascii="Times New Roman"/>
          <w:color w:val="auto"/>
          <w:highlight w:val="none"/>
        </w:rPr>
        <w:t>资格审查资料（适用于未进行资格预审的）</w:t>
      </w:r>
      <w:bookmarkEnd w:id="303"/>
      <w:bookmarkEnd w:id="304"/>
      <w:bookmarkEnd w:id="305"/>
      <w:bookmarkEnd w:id="306"/>
      <w:bookmarkEnd w:id="307"/>
      <w:r>
        <w:rPr>
          <w:rFonts w:hint="eastAsia" w:ascii="Times New Roman"/>
          <w:color w:val="auto"/>
          <w:highlight w:val="none"/>
        </w:rPr>
        <w:t>（实际按投标文件格式要求提供）</w:t>
      </w:r>
    </w:p>
    <w:p>
      <w:pPr>
        <w:spacing w:line="400" w:lineRule="exact"/>
        <w:ind w:firstLine="420" w:firstLineChars="200"/>
        <w:rPr>
          <w:color w:val="auto"/>
          <w:highlight w:val="none"/>
        </w:rPr>
      </w:pPr>
      <w:r>
        <w:rPr>
          <w:rFonts w:hint="eastAsia"/>
          <w:color w:val="auto"/>
          <w:highlight w:val="none"/>
        </w:rPr>
        <w:t>除投标人须知前附表另有规定外，投标人应按下列规定提供资格审查资料，以证明其满足本章第</w:t>
      </w:r>
      <w:r>
        <w:rPr>
          <w:color w:val="auto"/>
          <w:highlight w:val="none"/>
        </w:rPr>
        <w:t>1.4</w:t>
      </w:r>
      <w:r>
        <w:rPr>
          <w:rFonts w:hint="eastAsia"/>
          <w:color w:val="auto"/>
          <w:highlight w:val="none"/>
        </w:rPr>
        <w:t>款规定的资质、财务、业绩、信誉等要求。</w:t>
      </w:r>
    </w:p>
    <w:p>
      <w:pPr>
        <w:spacing w:line="400" w:lineRule="exact"/>
        <w:ind w:firstLine="420" w:firstLineChars="200"/>
        <w:rPr>
          <w:color w:val="auto"/>
          <w:highlight w:val="none"/>
        </w:rPr>
      </w:pPr>
      <w:r>
        <w:rPr>
          <w:color w:val="auto"/>
          <w:highlight w:val="none"/>
        </w:rPr>
        <w:t>3.5.1 “</w:t>
      </w:r>
      <w:r>
        <w:rPr>
          <w:rFonts w:hint="eastAsia"/>
          <w:color w:val="auto"/>
          <w:highlight w:val="none"/>
        </w:rPr>
        <w:t>投标人基本情况表</w:t>
      </w:r>
      <w:r>
        <w:rPr>
          <w:color w:val="auto"/>
          <w:highlight w:val="none"/>
        </w:rPr>
        <w:t>”</w:t>
      </w:r>
      <w:r>
        <w:rPr>
          <w:rFonts w:hint="eastAsia"/>
          <w:color w:val="auto"/>
          <w:highlight w:val="none"/>
        </w:rPr>
        <w:t>应附投标人营业执照和组织机构代码证的复印件（按照</w:t>
      </w:r>
      <w:r>
        <w:rPr>
          <w:color w:val="auto"/>
          <w:highlight w:val="none"/>
        </w:rPr>
        <w:t>“</w:t>
      </w:r>
      <w:r>
        <w:rPr>
          <w:rFonts w:hint="eastAsia"/>
          <w:color w:val="auto"/>
          <w:highlight w:val="none"/>
        </w:rPr>
        <w:t>三证合一</w:t>
      </w:r>
      <w:r>
        <w:rPr>
          <w:color w:val="auto"/>
          <w:highlight w:val="none"/>
        </w:rPr>
        <w:t>”</w:t>
      </w:r>
      <w:r>
        <w:rPr>
          <w:rFonts w:hint="eastAsia"/>
          <w:color w:val="auto"/>
          <w:highlight w:val="none"/>
        </w:rPr>
        <w:t>或</w:t>
      </w:r>
      <w:r>
        <w:rPr>
          <w:color w:val="auto"/>
          <w:highlight w:val="none"/>
        </w:rPr>
        <w:t>“</w:t>
      </w:r>
      <w:r>
        <w:rPr>
          <w:rFonts w:hint="eastAsia"/>
          <w:color w:val="auto"/>
          <w:highlight w:val="none"/>
        </w:rPr>
        <w:t>五证合一</w:t>
      </w:r>
      <w:r>
        <w:rPr>
          <w:color w:val="auto"/>
          <w:highlight w:val="none"/>
        </w:rPr>
        <w:t>”</w:t>
      </w:r>
      <w:r>
        <w:rPr>
          <w:rFonts w:hint="eastAsia"/>
          <w:color w:val="auto"/>
          <w:highlight w:val="none"/>
        </w:rPr>
        <w:t>登记制度进行登记的，可仅提供营业执照复印件）等材料的</w:t>
      </w:r>
      <w:r>
        <w:rPr>
          <w:rFonts w:hint="eastAsia"/>
          <w:color w:val="auto"/>
          <w:highlight w:val="none"/>
          <w:lang w:val="en-US" w:eastAsia="zh-CN"/>
        </w:rPr>
        <w:t>扫描件</w:t>
      </w:r>
      <w:r>
        <w:rPr>
          <w:rFonts w:hint="eastAsia"/>
          <w:color w:val="auto"/>
          <w:highlight w:val="none"/>
        </w:rPr>
        <w:t>。</w:t>
      </w:r>
    </w:p>
    <w:p>
      <w:pPr>
        <w:spacing w:line="400" w:lineRule="exact"/>
        <w:ind w:firstLine="420" w:firstLineChars="200"/>
        <w:rPr>
          <w:rFonts w:eastAsia="宋体" w:cs="宋体"/>
          <w:color w:val="auto"/>
          <w:highlight w:val="none"/>
        </w:rPr>
      </w:pPr>
      <w:r>
        <w:rPr>
          <w:color w:val="auto"/>
          <w:highlight w:val="none"/>
        </w:rPr>
        <w:t xml:space="preserve">3.5.3 </w:t>
      </w:r>
      <w:r>
        <w:rPr>
          <w:rFonts w:eastAsia="宋体" w:cs="宋体"/>
          <w:color w:val="auto"/>
          <w:highlight w:val="none"/>
        </w:rPr>
        <w:t>“</w:t>
      </w:r>
      <w:r>
        <w:rPr>
          <w:rFonts w:hint="eastAsia" w:eastAsia="宋体" w:cs="宋体"/>
          <w:color w:val="auto"/>
          <w:highlight w:val="none"/>
        </w:rPr>
        <w:t>近年完成的类似设备集成服务项目情况表</w:t>
      </w:r>
      <w:r>
        <w:rPr>
          <w:rFonts w:eastAsia="宋体" w:cs="宋体"/>
          <w:color w:val="auto"/>
          <w:highlight w:val="none"/>
        </w:rPr>
        <w:t>”</w:t>
      </w:r>
      <w:r>
        <w:rPr>
          <w:rFonts w:hint="eastAsia" w:eastAsia="宋体" w:cs="宋体"/>
          <w:color w:val="auto"/>
          <w:highlight w:val="none"/>
        </w:rPr>
        <w:t>应附</w:t>
      </w:r>
      <w:r>
        <w:rPr>
          <w:rFonts w:eastAsia="宋体" w:cs="宋体"/>
          <w:color w:val="auto"/>
          <w:szCs w:val="21"/>
          <w:highlight w:val="none"/>
        </w:rPr>
        <w:t>中标通知书</w:t>
      </w:r>
      <w:r>
        <w:rPr>
          <w:rFonts w:hint="eastAsia" w:eastAsia="宋体" w:cs="宋体"/>
          <w:color w:val="auto"/>
          <w:szCs w:val="21"/>
          <w:highlight w:val="none"/>
          <w:lang w:eastAsia="zh-CN"/>
        </w:rPr>
        <w:t>（</w:t>
      </w:r>
      <w:r>
        <w:rPr>
          <w:rFonts w:hint="eastAsia" w:cs="宋体"/>
          <w:color w:val="auto"/>
          <w:szCs w:val="21"/>
          <w:highlight w:val="none"/>
          <w:lang w:val="en-US" w:eastAsia="zh-CN"/>
        </w:rPr>
        <w:t>或成交通知书</w:t>
      </w:r>
      <w:r>
        <w:rPr>
          <w:rFonts w:hint="eastAsia" w:ascii="宋体" w:hAnsi="宋体" w:cs="宋体"/>
          <w:color w:val="auto"/>
          <w:szCs w:val="21"/>
          <w:highlight w:val="none"/>
        </w:rPr>
        <w:t>或免招标相关证明</w:t>
      </w:r>
      <w:r>
        <w:rPr>
          <w:rFonts w:hint="eastAsia" w:eastAsia="宋体" w:cs="宋体"/>
          <w:color w:val="auto"/>
          <w:szCs w:val="21"/>
          <w:highlight w:val="none"/>
          <w:lang w:eastAsia="zh-CN"/>
        </w:rPr>
        <w:t>）</w:t>
      </w:r>
      <w:r>
        <w:rPr>
          <w:rFonts w:eastAsia="宋体" w:cs="宋体"/>
          <w:color w:val="auto"/>
          <w:szCs w:val="21"/>
          <w:highlight w:val="none"/>
        </w:rPr>
        <w:t>、合同关键页、项目完工证明（完工证明以业主出具的加盖公章的完工证明说明或该合同服务内容中</w:t>
      </w:r>
      <w:r>
        <w:rPr>
          <w:rFonts w:hint="eastAsia" w:eastAsia="宋体" w:cs="宋体"/>
          <w:color w:val="auto"/>
          <w:szCs w:val="21"/>
          <w:highlight w:val="none"/>
          <w:lang w:val="en-US" w:eastAsia="zh-CN"/>
        </w:rPr>
        <w:t>至少一项对应</w:t>
      </w:r>
      <w:r>
        <w:rPr>
          <w:rFonts w:eastAsia="宋体" w:cs="宋体"/>
          <w:color w:val="auto"/>
          <w:szCs w:val="21"/>
          <w:highlight w:val="none"/>
        </w:rPr>
        <w:t>设备的预验收证书为准</w:t>
      </w:r>
      <w:r>
        <w:rPr>
          <w:rFonts w:hint="eastAsia" w:cs="宋体"/>
          <w:color w:val="auto"/>
          <w:szCs w:val="21"/>
          <w:highlight w:val="none"/>
          <w:lang w:val="en-US" w:eastAsia="zh-CN"/>
        </w:rPr>
        <w:t>或</w:t>
      </w:r>
      <w:r>
        <w:rPr>
          <w:rFonts w:hint="eastAsia" w:cs="宋体"/>
          <w:color w:val="auto"/>
          <w:kern w:val="0"/>
          <w:szCs w:val="21"/>
          <w:highlight w:val="none"/>
        </w:rPr>
        <w:t>开通</w:t>
      </w:r>
      <w:r>
        <w:rPr>
          <w:rFonts w:hint="eastAsia" w:cs="宋体"/>
          <w:color w:val="auto"/>
          <w:kern w:val="0"/>
          <w:szCs w:val="21"/>
          <w:highlight w:val="none"/>
          <w:lang w:val="en-US" w:eastAsia="zh-CN"/>
        </w:rPr>
        <w:t>初期</w:t>
      </w:r>
      <w:r>
        <w:rPr>
          <w:rFonts w:hint="eastAsia" w:cs="宋体"/>
          <w:color w:val="auto"/>
          <w:kern w:val="0"/>
          <w:szCs w:val="21"/>
          <w:highlight w:val="none"/>
        </w:rPr>
        <w:t>运营证明</w:t>
      </w:r>
      <w:r>
        <w:rPr>
          <w:rFonts w:eastAsia="宋体" w:cs="宋体"/>
          <w:color w:val="auto"/>
          <w:szCs w:val="21"/>
          <w:highlight w:val="none"/>
        </w:rPr>
        <w:t>）</w:t>
      </w:r>
      <w:r>
        <w:rPr>
          <w:rFonts w:hint="eastAsia" w:eastAsia="宋体" w:cs="宋体"/>
          <w:color w:val="auto"/>
          <w:highlight w:val="none"/>
        </w:rPr>
        <w:t>；具体时间要求见投标人须知前附表，每张表格只填写一个项目，并标明序号。</w:t>
      </w:r>
    </w:p>
    <w:p>
      <w:pPr>
        <w:pStyle w:val="4"/>
        <w:spacing w:line="240" w:lineRule="auto"/>
        <w:ind w:firstLine="137"/>
        <w:rPr>
          <w:rFonts w:ascii="Times New Roman"/>
          <w:color w:val="auto"/>
          <w:highlight w:val="none"/>
        </w:rPr>
      </w:pPr>
      <w:bookmarkStart w:id="308" w:name="_Toc156398347"/>
      <w:bookmarkStart w:id="309" w:name="_Toc9725"/>
      <w:bookmarkStart w:id="310" w:name="_Toc24620"/>
      <w:bookmarkStart w:id="311" w:name="_Toc20857"/>
      <w:bookmarkStart w:id="312" w:name="_Toc14322"/>
      <w:r>
        <w:rPr>
          <w:rFonts w:ascii="Times New Roman"/>
          <w:color w:val="auto"/>
          <w:highlight w:val="none"/>
        </w:rPr>
        <w:t xml:space="preserve">3.6 </w:t>
      </w:r>
      <w:r>
        <w:rPr>
          <w:rFonts w:hint="eastAsia" w:ascii="Times New Roman"/>
          <w:color w:val="auto"/>
          <w:highlight w:val="none"/>
        </w:rPr>
        <w:t>备选投标方案</w:t>
      </w:r>
      <w:bookmarkEnd w:id="308"/>
      <w:bookmarkEnd w:id="309"/>
      <w:bookmarkEnd w:id="310"/>
      <w:bookmarkEnd w:id="311"/>
      <w:bookmarkEnd w:id="312"/>
    </w:p>
    <w:p>
      <w:pPr>
        <w:spacing w:line="400" w:lineRule="exact"/>
        <w:ind w:firstLine="420" w:firstLineChars="200"/>
        <w:rPr>
          <w:color w:val="auto"/>
          <w:highlight w:val="none"/>
        </w:rPr>
      </w:pPr>
      <w:r>
        <w:rPr>
          <w:color w:val="auto"/>
          <w:highlight w:val="none"/>
        </w:rPr>
        <w:t xml:space="preserve">3.6.1 </w:t>
      </w:r>
      <w:r>
        <w:rPr>
          <w:rFonts w:hint="eastAsia"/>
          <w:color w:val="auto"/>
          <w:highlight w:val="none"/>
        </w:rPr>
        <w:t>除投标人须知前附表规定允许外，投标人不得递交备选投标方案，否则其投标将被否决。</w:t>
      </w:r>
    </w:p>
    <w:p>
      <w:pPr>
        <w:spacing w:line="400" w:lineRule="exact"/>
        <w:ind w:firstLine="420" w:firstLineChars="200"/>
        <w:rPr>
          <w:color w:val="auto"/>
          <w:highlight w:val="none"/>
        </w:rPr>
      </w:pPr>
      <w:r>
        <w:rPr>
          <w:color w:val="auto"/>
          <w:highlight w:val="none"/>
        </w:rPr>
        <w:t xml:space="preserve">3.6.2 </w:t>
      </w:r>
      <w:r>
        <w:rPr>
          <w:rFonts w:hint="eastAsia"/>
          <w:color w:val="auto"/>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color w:val="auto"/>
          <w:highlight w:val="none"/>
        </w:rPr>
      </w:pPr>
      <w:r>
        <w:rPr>
          <w:color w:val="auto"/>
          <w:highlight w:val="none"/>
        </w:rPr>
        <w:t xml:space="preserve">3.6.3 </w:t>
      </w:r>
      <w:r>
        <w:rPr>
          <w:rFonts w:hint="eastAsia"/>
          <w:color w:val="auto"/>
          <w:highlight w:val="none"/>
        </w:rPr>
        <w:t>投标人提供两个或两个以上投标报价，或者在投标文件中提供一个报价，但同时提供两个或两个以上</w:t>
      </w:r>
      <w:bookmarkStart w:id="313" w:name="_Toc369531538"/>
      <w:bookmarkStart w:id="314" w:name="_Toc384308232"/>
      <w:bookmarkStart w:id="315" w:name="_Toc152042326"/>
      <w:bookmarkStart w:id="316" w:name="_Toc144974518"/>
      <w:bookmarkStart w:id="317" w:name="_Toc247513974"/>
      <w:bookmarkStart w:id="318" w:name="_Toc352691495"/>
      <w:bookmarkStart w:id="319" w:name="_Toc300834971"/>
      <w:bookmarkStart w:id="320" w:name="_Toc247527575"/>
      <w:bookmarkStart w:id="321" w:name="_Toc29902"/>
      <w:bookmarkStart w:id="322" w:name="_Toc361508607"/>
      <w:bookmarkStart w:id="323" w:name="_Toc152045550"/>
      <w:r>
        <w:rPr>
          <w:rFonts w:hint="eastAsia"/>
          <w:color w:val="auto"/>
          <w:highlight w:val="none"/>
          <w:lang w:val="en-US" w:eastAsia="zh-CN"/>
        </w:rPr>
        <w:t>集成服务</w:t>
      </w:r>
      <w:r>
        <w:rPr>
          <w:rFonts w:hint="eastAsia"/>
          <w:color w:val="auto"/>
          <w:highlight w:val="none"/>
        </w:rPr>
        <w:t>方案的</w:t>
      </w:r>
      <w:bookmarkEnd w:id="313"/>
      <w:bookmarkEnd w:id="314"/>
      <w:bookmarkEnd w:id="315"/>
      <w:bookmarkEnd w:id="316"/>
      <w:bookmarkEnd w:id="317"/>
      <w:bookmarkEnd w:id="318"/>
      <w:bookmarkEnd w:id="319"/>
      <w:bookmarkEnd w:id="320"/>
      <w:bookmarkEnd w:id="321"/>
      <w:bookmarkEnd w:id="322"/>
      <w:bookmarkEnd w:id="323"/>
      <w:r>
        <w:rPr>
          <w:rFonts w:hint="eastAsia"/>
          <w:color w:val="auto"/>
          <w:highlight w:val="none"/>
        </w:rPr>
        <w:t>，视为提供备选方案。</w:t>
      </w:r>
    </w:p>
    <w:p>
      <w:pPr>
        <w:pStyle w:val="4"/>
        <w:spacing w:line="240" w:lineRule="auto"/>
        <w:ind w:firstLine="137"/>
        <w:rPr>
          <w:rFonts w:ascii="Times New Roman"/>
          <w:color w:val="auto"/>
          <w:highlight w:val="none"/>
        </w:rPr>
      </w:pPr>
      <w:bookmarkStart w:id="324" w:name="_Toc4728"/>
      <w:bookmarkStart w:id="325" w:name="_Toc30124"/>
      <w:bookmarkStart w:id="326" w:name="_Toc6768"/>
      <w:bookmarkStart w:id="327" w:name="_Toc29854"/>
      <w:bookmarkStart w:id="328" w:name="_Toc156398348"/>
      <w:r>
        <w:rPr>
          <w:rFonts w:ascii="Times New Roman"/>
          <w:color w:val="auto"/>
          <w:highlight w:val="none"/>
        </w:rPr>
        <w:t xml:space="preserve">3.7 </w:t>
      </w:r>
      <w:r>
        <w:rPr>
          <w:rFonts w:hint="eastAsia" w:ascii="Times New Roman"/>
          <w:color w:val="auto"/>
          <w:highlight w:val="none"/>
        </w:rPr>
        <w:t>投标文件的编制</w:t>
      </w:r>
      <w:bookmarkEnd w:id="324"/>
      <w:bookmarkEnd w:id="325"/>
      <w:bookmarkEnd w:id="326"/>
      <w:bookmarkEnd w:id="327"/>
      <w:bookmarkEnd w:id="328"/>
    </w:p>
    <w:p>
      <w:pPr>
        <w:spacing w:line="400" w:lineRule="exact"/>
        <w:ind w:firstLine="420" w:firstLineChars="200"/>
        <w:rPr>
          <w:color w:val="auto"/>
          <w:highlight w:val="none"/>
        </w:rPr>
      </w:pPr>
      <w:r>
        <w:rPr>
          <w:color w:val="auto"/>
          <w:highlight w:val="none"/>
        </w:rPr>
        <w:t xml:space="preserve">3.7.1 </w:t>
      </w:r>
      <w:r>
        <w:rPr>
          <w:rFonts w:hint="eastAsia"/>
          <w:color w:val="auto"/>
          <w:highlight w:val="none"/>
        </w:rPr>
        <w:t>投标文件应按第六章</w:t>
      </w:r>
      <w:r>
        <w:rPr>
          <w:color w:val="auto"/>
          <w:highlight w:val="none"/>
        </w:rPr>
        <w:t>“</w:t>
      </w:r>
      <w:r>
        <w:rPr>
          <w:rFonts w:hint="eastAsia"/>
          <w:color w:val="auto"/>
          <w:highlight w:val="none"/>
        </w:rPr>
        <w:t>投标文件格式</w:t>
      </w:r>
      <w:r>
        <w:rPr>
          <w:color w:val="auto"/>
          <w:highlight w:val="none"/>
        </w:rPr>
        <w:t>”</w:t>
      </w:r>
      <w:r>
        <w:rPr>
          <w:rFonts w:hint="eastAsia"/>
          <w:color w:val="auto"/>
          <w:highlight w:val="none"/>
        </w:rPr>
        <w:t>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color w:val="auto"/>
          <w:highlight w:val="none"/>
        </w:rPr>
      </w:pPr>
      <w:r>
        <w:rPr>
          <w:color w:val="auto"/>
          <w:highlight w:val="none"/>
        </w:rPr>
        <w:t xml:space="preserve">3.7.2 </w:t>
      </w:r>
      <w:r>
        <w:rPr>
          <w:rFonts w:hint="eastAsia"/>
          <w:color w:val="auto"/>
          <w:highlight w:val="none"/>
        </w:rPr>
        <w:t>投标文件应当对招标文件有关</w:t>
      </w:r>
      <w:r>
        <w:rPr>
          <w:rFonts w:hint="eastAsia"/>
          <w:color w:val="auto"/>
          <w:highlight w:val="none"/>
          <w:lang w:val="en-US" w:eastAsia="zh-CN"/>
        </w:rPr>
        <w:t>设备集成</w:t>
      </w:r>
      <w:r>
        <w:rPr>
          <w:rFonts w:hint="eastAsia"/>
          <w:color w:val="auto"/>
          <w:highlight w:val="none"/>
        </w:rPr>
        <w:t>服务期限、投标有效期、委托人要求、招标范围等实质性内容作出响应。</w:t>
      </w:r>
    </w:p>
    <w:p>
      <w:pPr>
        <w:spacing w:line="400" w:lineRule="exact"/>
        <w:ind w:firstLine="420" w:firstLineChars="200"/>
        <w:rPr>
          <w:rFonts w:hint="eastAsia"/>
          <w:color w:val="auto"/>
          <w:highlight w:val="none"/>
        </w:rPr>
      </w:pPr>
      <w:r>
        <w:rPr>
          <w:color w:val="auto"/>
          <w:highlight w:val="none"/>
        </w:rPr>
        <w:t>3.7.3</w:t>
      </w:r>
      <w:r>
        <w:rPr>
          <w:rFonts w:hint="eastAsia"/>
          <w:color w:val="auto"/>
          <w:highlight w:val="none"/>
        </w:rPr>
        <w:t>（</w:t>
      </w:r>
      <w:r>
        <w:rPr>
          <w:color w:val="auto"/>
          <w:highlight w:val="none"/>
        </w:rPr>
        <w:t>B</w:t>
      </w:r>
      <w:r>
        <w:rPr>
          <w:rFonts w:hint="eastAsia"/>
          <w:color w:val="auto"/>
          <w:highlight w:val="none"/>
        </w:rPr>
        <w:t>）投标文件全部采用电子文档，除投标人须知前附表另有规定外，投标文件所附证书证件均为原件扫描件，并</w:t>
      </w:r>
      <w:r>
        <w:rPr>
          <w:rFonts w:hint="eastAsia"/>
          <w:color w:val="auto"/>
          <w:szCs w:val="21"/>
          <w:highlight w:val="none"/>
        </w:rPr>
        <w:t>采用单位和个人数字证书，按招标文件要求在相应位置加盖电子印章</w:t>
      </w:r>
      <w:r>
        <w:rPr>
          <w:rFonts w:hint="eastAsia"/>
          <w:color w:val="auto"/>
          <w:highlight w:val="none"/>
        </w:rPr>
        <w:t>。由投标人的法定代表人签字或加盖电子印章的，应附法定代表人身份证明，由代理人签字或加盖电子印章的，应附由法定代表人签署的授权委托书。签字或盖章的具体要求见投标人须知前附表。</w:t>
      </w:r>
    </w:p>
    <w:p>
      <w:pPr>
        <w:pStyle w:val="3"/>
        <w:spacing w:line="240" w:lineRule="auto"/>
        <w:rPr>
          <w:rFonts w:ascii="Times New Roman" w:hAnsi="Times New Roman"/>
          <w:color w:val="auto"/>
          <w:highlight w:val="none"/>
        </w:rPr>
      </w:pPr>
      <w:bookmarkStart w:id="329" w:name="_Toc9132"/>
      <w:bookmarkStart w:id="330" w:name="_Toc16605"/>
      <w:bookmarkStart w:id="331" w:name="_Toc26518"/>
      <w:bookmarkStart w:id="332" w:name="_Toc156398349"/>
      <w:bookmarkStart w:id="333" w:name="_Toc21219"/>
      <w:bookmarkStart w:id="334" w:name="_Toc4091"/>
      <w:r>
        <w:rPr>
          <w:rFonts w:ascii="Times New Roman" w:hAnsi="Times New Roman"/>
          <w:color w:val="auto"/>
          <w:highlight w:val="none"/>
        </w:rPr>
        <w:t xml:space="preserve">4. </w:t>
      </w:r>
      <w:r>
        <w:rPr>
          <w:rFonts w:hint="eastAsia" w:ascii="Times New Roman" w:hAnsi="Times New Roman"/>
          <w:color w:val="auto"/>
          <w:highlight w:val="none"/>
        </w:rPr>
        <w:t>投标</w:t>
      </w:r>
      <w:bookmarkEnd w:id="329"/>
      <w:bookmarkEnd w:id="330"/>
      <w:bookmarkEnd w:id="331"/>
      <w:bookmarkEnd w:id="332"/>
      <w:bookmarkEnd w:id="333"/>
      <w:bookmarkEnd w:id="334"/>
    </w:p>
    <w:p>
      <w:pPr>
        <w:pStyle w:val="4"/>
        <w:spacing w:line="240" w:lineRule="auto"/>
        <w:ind w:firstLine="137"/>
        <w:rPr>
          <w:rFonts w:ascii="Times New Roman"/>
          <w:color w:val="auto"/>
          <w:highlight w:val="none"/>
        </w:rPr>
      </w:pPr>
      <w:bookmarkStart w:id="335" w:name="_Toc13557"/>
      <w:bookmarkStart w:id="336" w:name="_Toc18241"/>
      <w:bookmarkStart w:id="337" w:name="_Toc156398350"/>
      <w:bookmarkStart w:id="338" w:name="_Toc2341"/>
      <w:bookmarkStart w:id="339" w:name="_Toc31348"/>
      <w:r>
        <w:rPr>
          <w:rFonts w:ascii="Times New Roman"/>
          <w:color w:val="auto"/>
          <w:highlight w:val="none"/>
        </w:rPr>
        <w:t xml:space="preserve">4.1 </w:t>
      </w:r>
      <w:r>
        <w:rPr>
          <w:rFonts w:hint="eastAsia" w:ascii="Times New Roman"/>
          <w:color w:val="auto"/>
          <w:highlight w:val="none"/>
        </w:rPr>
        <w:t>投标文件的密封和标记</w:t>
      </w:r>
      <w:bookmarkEnd w:id="335"/>
      <w:bookmarkEnd w:id="336"/>
      <w:bookmarkEnd w:id="337"/>
      <w:bookmarkEnd w:id="338"/>
      <w:bookmarkEnd w:id="339"/>
    </w:p>
    <w:p>
      <w:pPr>
        <w:spacing w:line="400" w:lineRule="exact"/>
        <w:ind w:firstLine="420" w:firstLineChars="200"/>
        <w:rPr>
          <w:color w:val="auto"/>
          <w:highlight w:val="none"/>
        </w:rPr>
      </w:pPr>
      <w:r>
        <w:rPr>
          <w:color w:val="auto"/>
          <w:highlight w:val="none"/>
        </w:rPr>
        <w:t>4.1.1</w:t>
      </w:r>
      <w:r>
        <w:rPr>
          <w:rFonts w:hint="eastAsia"/>
          <w:color w:val="auto"/>
          <w:highlight w:val="none"/>
        </w:rPr>
        <w:t>（</w:t>
      </w:r>
      <w:r>
        <w:rPr>
          <w:color w:val="auto"/>
          <w:highlight w:val="none"/>
        </w:rPr>
        <w:t>B</w:t>
      </w:r>
      <w:r>
        <w:rPr>
          <w:rFonts w:hint="eastAsia"/>
          <w:color w:val="auto"/>
          <w:highlight w:val="none"/>
        </w:rPr>
        <w:t>）投标人应当按照招标文件和电子招标投标交易平台的要求加密投标文件，具体要求见投标人须知前附表。</w:t>
      </w:r>
    </w:p>
    <w:p>
      <w:pPr>
        <w:spacing w:line="400" w:lineRule="exact"/>
        <w:ind w:firstLine="420" w:firstLineChars="200"/>
        <w:rPr>
          <w:color w:val="auto"/>
          <w:highlight w:val="none"/>
        </w:rPr>
      </w:pPr>
      <w:r>
        <w:rPr>
          <w:color w:val="auto"/>
          <w:highlight w:val="none"/>
        </w:rPr>
        <w:t xml:space="preserve">4.1.2 </w:t>
      </w:r>
      <w:r>
        <w:rPr>
          <w:rFonts w:hint="eastAsia"/>
          <w:color w:val="auto"/>
          <w:highlight w:val="none"/>
        </w:rPr>
        <w:t>投标文件封套上应写明的内容见投标人须知前附表。</w:t>
      </w:r>
    </w:p>
    <w:p>
      <w:pPr>
        <w:spacing w:line="400" w:lineRule="exact"/>
        <w:ind w:firstLine="420" w:firstLineChars="200"/>
        <w:rPr>
          <w:color w:val="auto"/>
          <w:highlight w:val="none"/>
        </w:rPr>
      </w:pPr>
      <w:r>
        <w:rPr>
          <w:color w:val="auto"/>
          <w:highlight w:val="none"/>
        </w:rPr>
        <w:t xml:space="preserve">4.1.3 </w:t>
      </w:r>
      <w:r>
        <w:rPr>
          <w:rFonts w:hint="eastAsia"/>
          <w:color w:val="auto"/>
          <w:highlight w:val="none"/>
        </w:rPr>
        <w:t>未按本章第</w:t>
      </w:r>
      <w:r>
        <w:rPr>
          <w:color w:val="auto"/>
          <w:highlight w:val="none"/>
        </w:rPr>
        <w:t>4.1.1</w:t>
      </w:r>
      <w:r>
        <w:rPr>
          <w:rFonts w:hint="eastAsia"/>
          <w:color w:val="auto"/>
          <w:highlight w:val="none"/>
        </w:rPr>
        <w:t>项要求密封的投标文件，招标人将予以拒收。</w:t>
      </w:r>
    </w:p>
    <w:p>
      <w:pPr>
        <w:pStyle w:val="4"/>
        <w:spacing w:line="240" w:lineRule="auto"/>
        <w:ind w:firstLine="137"/>
        <w:rPr>
          <w:rFonts w:ascii="Times New Roman"/>
          <w:color w:val="auto"/>
          <w:highlight w:val="none"/>
        </w:rPr>
      </w:pPr>
      <w:bookmarkStart w:id="340" w:name="_Toc2399"/>
      <w:bookmarkStart w:id="341" w:name="_Toc4193"/>
      <w:bookmarkStart w:id="342" w:name="_Toc6924"/>
      <w:bookmarkStart w:id="343" w:name="_Toc156398351"/>
      <w:bookmarkStart w:id="344" w:name="_Toc27635"/>
      <w:r>
        <w:rPr>
          <w:rFonts w:ascii="Times New Roman"/>
          <w:color w:val="auto"/>
          <w:highlight w:val="none"/>
        </w:rPr>
        <w:t xml:space="preserve">4.2 </w:t>
      </w:r>
      <w:r>
        <w:rPr>
          <w:rFonts w:hint="eastAsia" w:ascii="Times New Roman"/>
          <w:color w:val="auto"/>
          <w:highlight w:val="none"/>
        </w:rPr>
        <w:t>投标文件的递交</w:t>
      </w:r>
      <w:bookmarkEnd w:id="340"/>
      <w:bookmarkEnd w:id="341"/>
      <w:bookmarkEnd w:id="342"/>
      <w:bookmarkEnd w:id="343"/>
      <w:bookmarkEnd w:id="344"/>
    </w:p>
    <w:p>
      <w:pPr>
        <w:spacing w:line="400" w:lineRule="exact"/>
        <w:ind w:firstLine="420" w:firstLineChars="200"/>
        <w:rPr>
          <w:color w:val="auto"/>
          <w:highlight w:val="none"/>
        </w:rPr>
      </w:pPr>
      <w:r>
        <w:rPr>
          <w:color w:val="auto"/>
          <w:highlight w:val="none"/>
        </w:rPr>
        <w:t xml:space="preserve">4.2.1 </w:t>
      </w:r>
      <w:r>
        <w:rPr>
          <w:rFonts w:hint="eastAsia"/>
          <w:color w:val="auto"/>
          <w:highlight w:val="none"/>
        </w:rPr>
        <w:t>投标人应在投标人须知前附表规定的投标截止时间前递交投标文件。</w:t>
      </w:r>
    </w:p>
    <w:p>
      <w:pPr>
        <w:spacing w:line="400" w:lineRule="exact"/>
        <w:ind w:firstLine="420" w:firstLineChars="200"/>
        <w:rPr>
          <w:color w:val="auto"/>
          <w:highlight w:val="none"/>
        </w:rPr>
      </w:pPr>
      <w:r>
        <w:rPr>
          <w:color w:val="auto"/>
          <w:highlight w:val="none"/>
        </w:rPr>
        <w:t>4.2.2</w:t>
      </w:r>
      <w:r>
        <w:rPr>
          <w:rFonts w:hint="eastAsia"/>
          <w:color w:val="auto"/>
          <w:highlight w:val="none"/>
        </w:rPr>
        <w:t>（</w:t>
      </w:r>
      <w:r>
        <w:rPr>
          <w:color w:val="auto"/>
          <w:highlight w:val="none"/>
        </w:rPr>
        <w:t>B</w:t>
      </w:r>
      <w:r>
        <w:rPr>
          <w:rFonts w:hint="eastAsia"/>
          <w:color w:val="auto"/>
          <w:highlight w:val="none"/>
        </w:rPr>
        <w:t>）</w:t>
      </w:r>
      <w:r>
        <w:rPr>
          <w:rFonts w:hint="eastAsia"/>
          <w:bCs/>
          <w:iCs/>
          <w:color w:val="auto"/>
          <w:highlight w:val="none"/>
        </w:rPr>
        <w:t>投标人通过下载招标文件的电子招标投标交易平台递交电子投标文件。</w:t>
      </w:r>
    </w:p>
    <w:p>
      <w:pPr>
        <w:spacing w:line="400" w:lineRule="exact"/>
        <w:ind w:firstLine="420" w:firstLineChars="200"/>
        <w:rPr>
          <w:color w:val="auto"/>
          <w:highlight w:val="none"/>
        </w:rPr>
      </w:pPr>
      <w:r>
        <w:rPr>
          <w:color w:val="auto"/>
          <w:highlight w:val="none"/>
        </w:rPr>
        <w:t xml:space="preserve">4.2.3 </w:t>
      </w:r>
      <w:r>
        <w:rPr>
          <w:rFonts w:hint="eastAsia"/>
          <w:color w:val="auto"/>
          <w:highlight w:val="none"/>
        </w:rPr>
        <w:t>除投标人须知前附表另有规定外，投标人所递交的投标文件不予退还。</w:t>
      </w:r>
    </w:p>
    <w:p>
      <w:pPr>
        <w:spacing w:line="400" w:lineRule="exact"/>
        <w:ind w:firstLine="420" w:firstLineChars="200"/>
        <w:rPr>
          <w:color w:val="auto"/>
          <w:highlight w:val="none"/>
        </w:rPr>
      </w:pPr>
      <w:r>
        <w:rPr>
          <w:color w:val="auto"/>
          <w:highlight w:val="none"/>
        </w:rPr>
        <w:t>4.2.4</w:t>
      </w:r>
      <w:r>
        <w:rPr>
          <w:rFonts w:hint="eastAsia"/>
          <w:color w:val="auto"/>
          <w:highlight w:val="none"/>
        </w:rPr>
        <w:t>（</w:t>
      </w:r>
      <w:r>
        <w:rPr>
          <w:color w:val="auto"/>
          <w:highlight w:val="none"/>
        </w:rPr>
        <w:t>B</w:t>
      </w:r>
      <w:r>
        <w:rPr>
          <w:rFonts w:hint="eastAsia"/>
          <w:color w:val="auto"/>
          <w:highlight w:val="none"/>
        </w:rPr>
        <w:t>）投标人完成电子投标文件上传后，</w:t>
      </w:r>
      <w:r>
        <w:rPr>
          <w:rFonts w:hint="eastAsia"/>
          <w:bCs/>
          <w:iCs/>
          <w:color w:val="auto"/>
          <w:highlight w:val="none"/>
        </w:rPr>
        <w:t>电子招标投标交易平台</w:t>
      </w:r>
      <w:r>
        <w:rPr>
          <w:rFonts w:hint="eastAsia"/>
          <w:color w:val="auto"/>
          <w:highlight w:val="none"/>
        </w:rPr>
        <w:t>即时向投标人发出递交回执通知。递交时间以递交回执通知载明的传输完成时间为准。</w:t>
      </w:r>
    </w:p>
    <w:p>
      <w:pPr>
        <w:spacing w:line="400" w:lineRule="exact"/>
        <w:ind w:firstLine="420" w:firstLineChars="200"/>
        <w:jc w:val="left"/>
        <w:rPr>
          <w:rFonts w:hint="eastAsia"/>
          <w:color w:val="auto"/>
          <w:highlight w:val="none"/>
        </w:rPr>
      </w:pPr>
      <w:r>
        <w:rPr>
          <w:color w:val="auto"/>
          <w:highlight w:val="none"/>
        </w:rPr>
        <w:t>4.2.5</w:t>
      </w:r>
      <w:r>
        <w:rPr>
          <w:rFonts w:hint="eastAsia"/>
          <w:color w:val="auto"/>
          <w:highlight w:val="none"/>
        </w:rPr>
        <w:t>（</w:t>
      </w:r>
      <w:r>
        <w:rPr>
          <w:color w:val="auto"/>
          <w:highlight w:val="none"/>
        </w:rPr>
        <w:t>B</w:t>
      </w:r>
      <w:r>
        <w:rPr>
          <w:rFonts w:hint="eastAsia"/>
          <w:color w:val="auto"/>
          <w:highlight w:val="none"/>
        </w:rPr>
        <w:t>）逾期送达的投标文件，电子招标投标交易平台将予以拒收。</w:t>
      </w:r>
    </w:p>
    <w:p>
      <w:pPr>
        <w:pStyle w:val="4"/>
        <w:spacing w:line="240" w:lineRule="auto"/>
        <w:ind w:firstLine="137"/>
        <w:rPr>
          <w:rFonts w:ascii="Times New Roman"/>
          <w:color w:val="auto"/>
          <w:highlight w:val="none"/>
        </w:rPr>
      </w:pPr>
      <w:bookmarkStart w:id="345" w:name="_Toc156398352"/>
      <w:bookmarkStart w:id="346" w:name="_Toc22456"/>
      <w:bookmarkStart w:id="347" w:name="_Toc11616"/>
      <w:bookmarkStart w:id="348" w:name="_Toc7455"/>
      <w:bookmarkStart w:id="349" w:name="_Toc19843"/>
      <w:r>
        <w:rPr>
          <w:rFonts w:ascii="Times New Roman"/>
          <w:color w:val="auto"/>
          <w:highlight w:val="none"/>
        </w:rPr>
        <w:t xml:space="preserve">4.3 </w:t>
      </w:r>
      <w:r>
        <w:rPr>
          <w:rFonts w:hint="eastAsia" w:ascii="Times New Roman"/>
          <w:color w:val="auto"/>
          <w:highlight w:val="none"/>
        </w:rPr>
        <w:t>投标文件的修改与撤回</w:t>
      </w:r>
      <w:bookmarkEnd w:id="345"/>
      <w:bookmarkEnd w:id="346"/>
      <w:bookmarkEnd w:id="347"/>
      <w:bookmarkEnd w:id="348"/>
      <w:bookmarkEnd w:id="349"/>
    </w:p>
    <w:p>
      <w:pPr>
        <w:spacing w:line="400" w:lineRule="exact"/>
        <w:ind w:firstLine="420" w:firstLineChars="200"/>
        <w:rPr>
          <w:color w:val="auto"/>
          <w:highlight w:val="none"/>
        </w:rPr>
      </w:pPr>
      <w:r>
        <w:rPr>
          <w:color w:val="auto"/>
          <w:highlight w:val="none"/>
        </w:rPr>
        <w:t xml:space="preserve">4.3.1 </w:t>
      </w:r>
      <w:r>
        <w:rPr>
          <w:rFonts w:hint="eastAsia"/>
          <w:color w:val="auto"/>
          <w:highlight w:val="none"/>
        </w:rPr>
        <w:t>在本章第</w:t>
      </w:r>
      <w:r>
        <w:rPr>
          <w:color w:val="auto"/>
          <w:highlight w:val="none"/>
        </w:rPr>
        <w:t>4.2.1</w:t>
      </w:r>
      <w:r>
        <w:rPr>
          <w:rFonts w:hint="eastAsia"/>
          <w:color w:val="auto"/>
          <w:highlight w:val="none"/>
        </w:rPr>
        <w:t>项规定的投标截止时间前，投标人可以修改或撤回已递交的投标文件，但应以书面形式通知招标人。</w:t>
      </w:r>
    </w:p>
    <w:p>
      <w:pPr>
        <w:spacing w:line="400" w:lineRule="exact"/>
        <w:ind w:firstLine="420" w:firstLineChars="200"/>
        <w:rPr>
          <w:color w:val="auto"/>
          <w:highlight w:val="none"/>
        </w:rPr>
      </w:pPr>
      <w:r>
        <w:rPr>
          <w:color w:val="auto"/>
          <w:highlight w:val="none"/>
        </w:rPr>
        <w:t>4.3.2</w:t>
      </w:r>
      <w:r>
        <w:rPr>
          <w:rFonts w:hint="eastAsia"/>
          <w:color w:val="auto"/>
          <w:highlight w:val="none"/>
        </w:rPr>
        <w:t>（</w:t>
      </w:r>
      <w:r>
        <w:rPr>
          <w:color w:val="auto"/>
          <w:highlight w:val="none"/>
        </w:rPr>
        <w:t>B</w:t>
      </w:r>
      <w:r>
        <w:rPr>
          <w:rFonts w:hint="eastAsia"/>
          <w:color w:val="auto"/>
          <w:highlight w:val="none"/>
        </w:rPr>
        <w:t>）投标人修改或撤回已递交投标文件的通知，应按照本章第</w:t>
      </w:r>
      <w:r>
        <w:rPr>
          <w:color w:val="auto"/>
          <w:highlight w:val="none"/>
        </w:rPr>
        <w:t>3.7.3</w:t>
      </w:r>
      <w:r>
        <w:rPr>
          <w:rFonts w:hint="eastAsia"/>
          <w:color w:val="auto"/>
          <w:highlight w:val="none"/>
        </w:rPr>
        <w:t>（</w:t>
      </w:r>
      <w:r>
        <w:rPr>
          <w:color w:val="auto"/>
          <w:highlight w:val="none"/>
        </w:rPr>
        <w:t>B</w:t>
      </w:r>
      <w:r>
        <w:rPr>
          <w:rFonts w:hint="eastAsia"/>
          <w:color w:val="auto"/>
          <w:highlight w:val="none"/>
        </w:rPr>
        <w:t>）项的要求加盖电子印章。</w:t>
      </w:r>
      <w:r>
        <w:rPr>
          <w:rFonts w:hint="eastAsia"/>
          <w:bCs/>
          <w:iCs/>
          <w:color w:val="auto"/>
          <w:highlight w:val="none"/>
        </w:rPr>
        <w:t>电子招标投标交易平台收到通知后，</w:t>
      </w:r>
      <w:r>
        <w:rPr>
          <w:rFonts w:hint="eastAsia"/>
          <w:color w:val="auto"/>
          <w:highlight w:val="none"/>
        </w:rPr>
        <w:t>即时向投标人发出确认回执通知。</w:t>
      </w:r>
    </w:p>
    <w:p>
      <w:pPr>
        <w:spacing w:line="400" w:lineRule="exact"/>
        <w:ind w:firstLine="420" w:firstLineChars="200"/>
        <w:rPr>
          <w:color w:val="auto"/>
          <w:highlight w:val="none"/>
        </w:rPr>
      </w:pPr>
      <w:r>
        <w:rPr>
          <w:color w:val="auto"/>
          <w:highlight w:val="none"/>
        </w:rPr>
        <w:t xml:space="preserve">4.3.3 </w:t>
      </w:r>
      <w:r>
        <w:rPr>
          <w:rFonts w:hint="eastAsia"/>
          <w:color w:val="auto"/>
          <w:highlight w:val="none"/>
        </w:rPr>
        <w:t>投标人撤回投标文件的，招标人自收到投标人书面撤回通知之日起</w:t>
      </w:r>
      <w:r>
        <w:rPr>
          <w:color w:val="auto"/>
          <w:highlight w:val="none"/>
        </w:rPr>
        <w:t>5</w:t>
      </w:r>
      <w:r>
        <w:rPr>
          <w:rFonts w:hint="eastAsia"/>
          <w:color w:val="auto"/>
          <w:highlight w:val="none"/>
        </w:rPr>
        <w:t>日内退还已收取的投标保证金。</w:t>
      </w:r>
    </w:p>
    <w:p>
      <w:pPr>
        <w:spacing w:line="400" w:lineRule="exact"/>
        <w:ind w:firstLine="420" w:firstLineChars="200"/>
        <w:rPr>
          <w:color w:val="auto"/>
          <w:highlight w:val="none"/>
        </w:rPr>
      </w:pPr>
      <w:r>
        <w:rPr>
          <w:color w:val="auto"/>
          <w:highlight w:val="none"/>
        </w:rPr>
        <w:t>4.3.</w:t>
      </w:r>
      <w:bookmarkStart w:id="350" w:name="_Toc247513977"/>
      <w:bookmarkStart w:id="351" w:name="_Toc369531541"/>
      <w:bookmarkStart w:id="352" w:name="_Toc361508610"/>
      <w:bookmarkStart w:id="353" w:name="_Toc384308235"/>
      <w:bookmarkStart w:id="354" w:name="_Toc300834974"/>
      <w:bookmarkStart w:id="355" w:name="_Toc152045553"/>
      <w:bookmarkStart w:id="356" w:name="_Toc247527578"/>
      <w:bookmarkStart w:id="357" w:name="_Toc19203"/>
      <w:bookmarkStart w:id="358" w:name="_Toc144974521"/>
      <w:bookmarkStart w:id="359" w:name="_Toc152042329"/>
      <w:bookmarkStart w:id="360" w:name="_Toc352691497"/>
      <w:r>
        <w:rPr>
          <w:color w:val="auto"/>
          <w:highlight w:val="none"/>
        </w:rPr>
        <w:t xml:space="preserve">4 </w:t>
      </w:r>
      <w:r>
        <w:rPr>
          <w:rFonts w:hint="eastAsia"/>
          <w:color w:val="auto"/>
          <w:highlight w:val="none"/>
        </w:rPr>
        <w:t>修改的内容为投标</w:t>
      </w:r>
      <w:bookmarkEnd w:id="350"/>
      <w:bookmarkEnd w:id="351"/>
      <w:bookmarkEnd w:id="352"/>
      <w:bookmarkEnd w:id="353"/>
      <w:bookmarkEnd w:id="354"/>
      <w:bookmarkEnd w:id="355"/>
      <w:bookmarkEnd w:id="356"/>
      <w:bookmarkEnd w:id="357"/>
      <w:bookmarkEnd w:id="358"/>
      <w:bookmarkEnd w:id="359"/>
      <w:bookmarkEnd w:id="360"/>
      <w:r>
        <w:rPr>
          <w:rFonts w:hint="eastAsia"/>
          <w:color w:val="auto"/>
          <w:highlight w:val="none"/>
        </w:rPr>
        <w:t>文件的组成部分。修改的投标文件应按照本章第</w:t>
      </w:r>
      <w:r>
        <w:rPr>
          <w:color w:val="auto"/>
          <w:highlight w:val="none"/>
        </w:rPr>
        <w:t>3</w:t>
      </w:r>
      <w:r>
        <w:rPr>
          <w:rFonts w:hint="eastAsia"/>
          <w:color w:val="auto"/>
          <w:highlight w:val="none"/>
        </w:rPr>
        <w:t>条、第</w:t>
      </w:r>
      <w:r>
        <w:rPr>
          <w:color w:val="auto"/>
          <w:highlight w:val="none"/>
        </w:rPr>
        <w:t>4</w:t>
      </w:r>
      <w:r>
        <w:rPr>
          <w:rFonts w:hint="eastAsia"/>
          <w:color w:val="auto"/>
          <w:highlight w:val="none"/>
        </w:rPr>
        <w:t>条的规定进行编制、密封、标记和递交，并标明</w:t>
      </w:r>
      <w:r>
        <w:rPr>
          <w:color w:val="auto"/>
          <w:highlight w:val="none"/>
        </w:rPr>
        <w:t>“</w:t>
      </w:r>
      <w:r>
        <w:rPr>
          <w:rFonts w:hint="eastAsia"/>
          <w:color w:val="auto"/>
          <w:highlight w:val="none"/>
        </w:rPr>
        <w:t>修改</w:t>
      </w:r>
      <w:r>
        <w:rPr>
          <w:color w:val="auto"/>
          <w:highlight w:val="none"/>
        </w:rPr>
        <w:t>”</w:t>
      </w:r>
      <w:r>
        <w:rPr>
          <w:rFonts w:hint="eastAsia"/>
          <w:color w:val="auto"/>
          <w:highlight w:val="none"/>
        </w:rPr>
        <w:t>字样。</w:t>
      </w:r>
    </w:p>
    <w:p>
      <w:pPr>
        <w:pStyle w:val="3"/>
        <w:spacing w:line="240" w:lineRule="auto"/>
        <w:rPr>
          <w:rFonts w:ascii="Times New Roman" w:hAnsi="Times New Roman"/>
          <w:color w:val="auto"/>
          <w:highlight w:val="none"/>
        </w:rPr>
      </w:pPr>
      <w:bookmarkStart w:id="361" w:name="_Toc23709"/>
      <w:bookmarkStart w:id="362" w:name="_Toc29373"/>
      <w:bookmarkStart w:id="363" w:name="_Toc27717"/>
      <w:bookmarkStart w:id="364" w:name="_Toc156398353"/>
      <w:bookmarkStart w:id="365" w:name="_Toc265"/>
      <w:bookmarkStart w:id="366" w:name="_Toc31357"/>
      <w:r>
        <w:rPr>
          <w:rFonts w:ascii="Times New Roman" w:hAnsi="Times New Roman"/>
          <w:color w:val="auto"/>
          <w:highlight w:val="none"/>
        </w:rPr>
        <w:t xml:space="preserve">5. </w:t>
      </w:r>
      <w:r>
        <w:rPr>
          <w:rFonts w:hint="eastAsia" w:ascii="Times New Roman" w:hAnsi="Times New Roman"/>
          <w:color w:val="auto"/>
          <w:highlight w:val="none"/>
        </w:rPr>
        <w:t>开标</w:t>
      </w:r>
      <w:bookmarkEnd w:id="361"/>
      <w:bookmarkEnd w:id="362"/>
      <w:bookmarkEnd w:id="363"/>
      <w:bookmarkEnd w:id="364"/>
      <w:bookmarkEnd w:id="365"/>
      <w:bookmarkEnd w:id="366"/>
    </w:p>
    <w:p>
      <w:pPr>
        <w:pStyle w:val="4"/>
        <w:spacing w:line="240" w:lineRule="auto"/>
        <w:ind w:firstLine="137"/>
        <w:rPr>
          <w:rFonts w:ascii="Times New Roman"/>
          <w:color w:val="auto"/>
          <w:highlight w:val="none"/>
        </w:rPr>
      </w:pPr>
      <w:bookmarkStart w:id="367" w:name="_Toc768"/>
      <w:bookmarkStart w:id="368" w:name="_Toc156398354"/>
      <w:bookmarkStart w:id="369" w:name="_Toc18580"/>
      <w:bookmarkStart w:id="370" w:name="_Toc28974"/>
      <w:bookmarkStart w:id="371" w:name="_Toc32191"/>
      <w:r>
        <w:rPr>
          <w:rFonts w:ascii="Times New Roman"/>
          <w:color w:val="auto"/>
          <w:highlight w:val="none"/>
        </w:rPr>
        <w:t xml:space="preserve">5.1 </w:t>
      </w:r>
      <w:r>
        <w:rPr>
          <w:rFonts w:hint="eastAsia" w:ascii="Times New Roman"/>
          <w:color w:val="auto"/>
          <w:highlight w:val="none"/>
        </w:rPr>
        <w:t>开标时间和地点（</w:t>
      </w:r>
      <w:r>
        <w:rPr>
          <w:rFonts w:ascii="Times New Roman"/>
          <w:color w:val="auto"/>
          <w:highlight w:val="none"/>
        </w:rPr>
        <w:t>B</w:t>
      </w:r>
      <w:r>
        <w:rPr>
          <w:rFonts w:hint="eastAsia" w:ascii="Times New Roman"/>
          <w:color w:val="auto"/>
          <w:highlight w:val="none"/>
        </w:rPr>
        <w:t>）</w:t>
      </w:r>
      <w:bookmarkEnd w:id="367"/>
      <w:bookmarkEnd w:id="368"/>
      <w:bookmarkEnd w:id="369"/>
      <w:bookmarkEnd w:id="370"/>
      <w:bookmarkEnd w:id="371"/>
    </w:p>
    <w:p>
      <w:pPr>
        <w:spacing w:line="400" w:lineRule="exact"/>
        <w:ind w:firstLine="420" w:firstLineChars="200"/>
        <w:rPr>
          <w:color w:val="auto"/>
          <w:highlight w:val="none"/>
        </w:rPr>
      </w:pPr>
      <w:r>
        <w:rPr>
          <w:rFonts w:hint="eastAsia"/>
          <w:color w:val="auto"/>
          <w:highlight w:val="none"/>
        </w:rPr>
        <w:t>招标人在本章第</w:t>
      </w:r>
      <w:r>
        <w:rPr>
          <w:color w:val="auto"/>
          <w:highlight w:val="none"/>
        </w:rPr>
        <w:t>4.2.1</w:t>
      </w:r>
      <w:r>
        <w:rPr>
          <w:rFonts w:hint="eastAsia"/>
          <w:color w:val="auto"/>
          <w:highlight w:val="none"/>
        </w:rPr>
        <w:t>项规定的投标截止时间（开标时间），通过电子招标投标交易平台公开开标，所有投标人的法定代表人或其授权代表应当准时参加。</w:t>
      </w:r>
    </w:p>
    <w:p>
      <w:pPr>
        <w:pStyle w:val="4"/>
        <w:spacing w:line="240" w:lineRule="auto"/>
        <w:ind w:firstLine="137"/>
        <w:rPr>
          <w:rFonts w:ascii="Times New Roman"/>
          <w:color w:val="auto"/>
          <w:highlight w:val="none"/>
        </w:rPr>
      </w:pPr>
      <w:bookmarkStart w:id="372" w:name="_Toc156398355"/>
      <w:bookmarkStart w:id="373" w:name="_Toc2360"/>
      <w:bookmarkStart w:id="374" w:name="_Toc1681"/>
      <w:bookmarkStart w:id="375" w:name="_Toc23448"/>
      <w:bookmarkStart w:id="376" w:name="_Toc28915"/>
      <w:r>
        <w:rPr>
          <w:rFonts w:ascii="Times New Roman"/>
          <w:color w:val="auto"/>
          <w:highlight w:val="none"/>
        </w:rPr>
        <w:t xml:space="preserve">5.2 </w:t>
      </w:r>
      <w:r>
        <w:rPr>
          <w:rFonts w:hint="eastAsia" w:ascii="Times New Roman"/>
          <w:color w:val="auto"/>
          <w:highlight w:val="none"/>
        </w:rPr>
        <w:t>开标程序</w:t>
      </w:r>
      <w:bookmarkEnd w:id="372"/>
      <w:bookmarkEnd w:id="373"/>
      <w:bookmarkEnd w:id="374"/>
      <w:bookmarkEnd w:id="375"/>
      <w:bookmarkEnd w:id="376"/>
    </w:p>
    <w:p>
      <w:pPr>
        <w:spacing w:line="400" w:lineRule="exact"/>
        <w:ind w:firstLine="420" w:firstLineChars="200"/>
        <w:rPr>
          <w:color w:val="auto"/>
          <w:highlight w:val="none"/>
        </w:rPr>
      </w:pPr>
      <w:r>
        <w:rPr>
          <w:rFonts w:hint="eastAsia"/>
          <w:color w:val="auto"/>
          <w:highlight w:val="none"/>
        </w:rPr>
        <w:t>主持人按下列程序进行开标：</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）宣布开标纪律；</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）公布在投标截止时间前递交投标文件的投标人名称；</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）宣布</w:t>
      </w:r>
      <w:bookmarkStart w:id="377" w:name="_Toc247527579"/>
      <w:bookmarkStart w:id="378" w:name="_Toc300834975"/>
      <w:bookmarkStart w:id="379" w:name="_Toc152045554"/>
      <w:bookmarkStart w:id="380" w:name="_Toc247513978"/>
      <w:bookmarkStart w:id="381" w:name="_Toc369531542"/>
      <w:bookmarkStart w:id="382" w:name="_Toc384308236"/>
      <w:bookmarkStart w:id="383" w:name="_Toc352691498"/>
      <w:bookmarkStart w:id="384" w:name="_Toc361508611"/>
      <w:bookmarkStart w:id="385" w:name="_Toc144974522"/>
      <w:bookmarkStart w:id="386" w:name="_Toc22119"/>
      <w:bookmarkStart w:id="387" w:name="_Toc152042330"/>
      <w:r>
        <w:rPr>
          <w:rFonts w:hint="eastAsia"/>
          <w:color w:val="auto"/>
          <w:highlight w:val="none"/>
        </w:rPr>
        <w:t>开标人、唱标人、记录人</w:t>
      </w:r>
      <w:bookmarkEnd w:id="377"/>
      <w:bookmarkEnd w:id="378"/>
      <w:bookmarkEnd w:id="379"/>
      <w:bookmarkEnd w:id="380"/>
      <w:bookmarkEnd w:id="381"/>
      <w:bookmarkEnd w:id="382"/>
      <w:bookmarkEnd w:id="383"/>
      <w:bookmarkEnd w:id="384"/>
      <w:bookmarkEnd w:id="385"/>
      <w:bookmarkEnd w:id="386"/>
      <w:bookmarkEnd w:id="387"/>
      <w:r>
        <w:rPr>
          <w:rFonts w:hint="eastAsia"/>
          <w:color w:val="auto"/>
          <w:highlight w:val="none"/>
        </w:rPr>
        <w:t>、监标人等有关人员姓名；</w:t>
      </w:r>
    </w:p>
    <w:p>
      <w:pPr>
        <w:spacing w:line="40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w:t>
      </w:r>
      <w:r>
        <w:rPr>
          <w:color w:val="auto"/>
          <w:highlight w:val="none"/>
        </w:rPr>
        <w:t>B</w:t>
      </w:r>
      <w:r>
        <w:rPr>
          <w:rFonts w:hint="eastAsia"/>
          <w:color w:val="auto"/>
          <w:highlight w:val="none"/>
        </w:rPr>
        <w:t>）投标人通过电子招标投标交易平台对已递交的电子投标文件进行解密，公布招标项目名称、投标人名称、投标保证金的递交情况、投标报价、服务期限及其他内容，并记录在案；</w:t>
      </w:r>
    </w:p>
    <w:p>
      <w:pPr>
        <w:spacing w:line="40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w:t>
      </w:r>
      <w:r>
        <w:rPr>
          <w:color w:val="auto"/>
          <w:highlight w:val="none"/>
        </w:rPr>
        <w:t>B</w:t>
      </w:r>
      <w:r>
        <w:rPr>
          <w:rFonts w:hint="eastAsia"/>
          <w:color w:val="auto"/>
          <w:highlight w:val="none"/>
        </w:rPr>
        <w:t>）投标人代表、招标人代表、监标人、记录人等有关人员使用本人的电子印章在开标记录上签字确认；</w:t>
      </w:r>
    </w:p>
    <w:p>
      <w:pPr>
        <w:spacing w:line="400" w:lineRule="exact"/>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）开标结束。</w:t>
      </w:r>
    </w:p>
    <w:p>
      <w:pPr>
        <w:pStyle w:val="4"/>
        <w:spacing w:line="240" w:lineRule="auto"/>
        <w:ind w:firstLine="137"/>
        <w:rPr>
          <w:rFonts w:ascii="Times New Roman"/>
          <w:color w:val="auto"/>
          <w:highlight w:val="none"/>
        </w:rPr>
      </w:pPr>
      <w:bookmarkStart w:id="388" w:name="_Toc23336"/>
      <w:bookmarkStart w:id="389" w:name="_Toc19364"/>
      <w:bookmarkStart w:id="390" w:name="_Toc156398356"/>
      <w:bookmarkStart w:id="391" w:name="_Toc17109"/>
      <w:bookmarkStart w:id="392" w:name="_Toc24423"/>
      <w:r>
        <w:rPr>
          <w:rFonts w:ascii="Times New Roman"/>
          <w:color w:val="auto"/>
          <w:highlight w:val="none"/>
        </w:rPr>
        <w:t xml:space="preserve">5.3 </w:t>
      </w:r>
      <w:r>
        <w:rPr>
          <w:rFonts w:hint="eastAsia" w:ascii="Times New Roman"/>
          <w:color w:val="auto"/>
          <w:highlight w:val="none"/>
        </w:rPr>
        <w:t>开标异议</w:t>
      </w:r>
      <w:bookmarkEnd w:id="388"/>
      <w:bookmarkEnd w:id="389"/>
      <w:bookmarkEnd w:id="390"/>
      <w:bookmarkEnd w:id="391"/>
      <w:bookmarkEnd w:id="392"/>
    </w:p>
    <w:p>
      <w:pPr>
        <w:spacing w:line="400" w:lineRule="exact"/>
        <w:ind w:firstLine="359" w:firstLineChars="171"/>
        <w:rPr>
          <w:rFonts w:hint="eastAsia"/>
          <w:color w:val="auto"/>
          <w:highlight w:val="none"/>
        </w:rPr>
      </w:pPr>
      <w:r>
        <w:rPr>
          <w:rFonts w:hint="eastAsia"/>
          <w:color w:val="auto"/>
          <w:highlight w:val="none"/>
        </w:rPr>
        <w:t>投标人对开标有异议的，应当在开标现场提出，招标人当场作出答复，并制作记录。</w:t>
      </w:r>
    </w:p>
    <w:p>
      <w:pPr>
        <w:pStyle w:val="3"/>
        <w:spacing w:line="240" w:lineRule="auto"/>
        <w:rPr>
          <w:rFonts w:ascii="Times New Roman" w:hAnsi="Times New Roman"/>
          <w:color w:val="auto"/>
          <w:highlight w:val="none"/>
        </w:rPr>
      </w:pPr>
      <w:bookmarkStart w:id="393" w:name="_Toc21046"/>
      <w:bookmarkStart w:id="394" w:name="_Toc156398357"/>
      <w:bookmarkStart w:id="395" w:name="_Toc29061"/>
      <w:bookmarkStart w:id="396" w:name="_Toc394"/>
      <w:bookmarkStart w:id="397" w:name="_Toc27284"/>
      <w:bookmarkStart w:id="398" w:name="_Toc24914"/>
      <w:r>
        <w:rPr>
          <w:rFonts w:ascii="Times New Roman" w:hAnsi="Times New Roman"/>
          <w:color w:val="auto"/>
          <w:highlight w:val="none"/>
        </w:rPr>
        <w:t xml:space="preserve">6. </w:t>
      </w:r>
      <w:r>
        <w:rPr>
          <w:rFonts w:hint="eastAsia" w:ascii="Times New Roman" w:hAnsi="Times New Roman"/>
          <w:color w:val="auto"/>
          <w:highlight w:val="none"/>
        </w:rPr>
        <w:t>评标</w:t>
      </w:r>
      <w:bookmarkEnd w:id="393"/>
      <w:bookmarkEnd w:id="394"/>
      <w:bookmarkEnd w:id="395"/>
      <w:bookmarkEnd w:id="396"/>
      <w:bookmarkEnd w:id="397"/>
      <w:bookmarkEnd w:id="398"/>
    </w:p>
    <w:p>
      <w:pPr>
        <w:pStyle w:val="4"/>
        <w:spacing w:line="240" w:lineRule="auto"/>
        <w:ind w:firstLine="137"/>
        <w:rPr>
          <w:rFonts w:ascii="Times New Roman"/>
          <w:color w:val="auto"/>
          <w:highlight w:val="none"/>
        </w:rPr>
      </w:pPr>
      <w:bookmarkStart w:id="399" w:name="_Toc9712"/>
      <w:bookmarkStart w:id="400" w:name="_Toc29743"/>
      <w:bookmarkStart w:id="401" w:name="_Toc9543"/>
      <w:bookmarkStart w:id="402" w:name="_Toc19565"/>
      <w:bookmarkStart w:id="403" w:name="_Toc156398358"/>
      <w:r>
        <w:rPr>
          <w:rFonts w:ascii="Times New Roman"/>
          <w:color w:val="auto"/>
          <w:highlight w:val="none"/>
        </w:rPr>
        <w:t xml:space="preserve">6.1 </w:t>
      </w:r>
      <w:r>
        <w:rPr>
          <w:rFonts w:hint="eastAsia" w:ascii="Times New Roman"/>
          <w:color w:val="auto"/>
          <w:highlight w:val="none"/>
        </w:rPr>
        <w:t>评标委员会</w:t>
      </w:r>
      <w:bookmarkEnd w:id="399"/>
      <w:bookmarkEnd w:id="400"/>
      <w:bookmarkEnd w:id="401"/>
      <w:bookmarkEnd w:id="402"/>
      <w:bookmarkEnd w:id="403"/>
    </w:p>
    <w:p>
      <w:pPr>
        <w:spacing w:line="400" w:lineRule="exact"/>
        <w:ind w:firstLine="420" w:firstLineChars="200"/>
        <w:rPr>
          <w:color w:val="auto"/>
          <w:highlight w:val="none"/>
        </w:rPr>
      </w:pPr>
      <w:r>
        <w:rPr>
          <w:color w:val="auto"/>
          <w:highlight w:val="none"/>
        </w:rPr>
        <w:t xml:space="preserve">6.1.1 </w:t>
      </w:r>
      <w:r>
        <w:rPr>
          <w:rFonts w:hint="eastAsia"/>
          <w:color w:val="auto"/>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color w:val="auto"/>
          <w:highlight w:val="none"/>
        </w:rPr>
      </w:pPr>
      <w:r>
        <w:rPr>
          <w:color w:val="auto"/>
          <w:highlight w:val="none"/>
        </w:rPr>
        <w:t xml:space="preserve">6.1.2 </w:t>
      </w:r>
      <w:r>
        <w:rPr>
          <w:rFonts w:hint="eastAsia"/>
          <w:color w:val="auto"/>
          <w:highlight w:val="none"/>
        </w:rPr>
        <w:t>评标委员会成员有下列情形之一的，应当回避：</w:t>
      </w:r>
    </w:p>
    <w:p>
      <w:pPr>
        <w:spacing w:line="400" w:lineRule="exact"/>
        <w:ind w:firstLine="718" w:firstLineChars="342"/>
        <w:rPr>
          <w:color w:val="auto"/>
          <w:highlight w:val="none"/>
        </w:rPr>
      </w:pPr>
      <w:r>
        <w:rPr>
          <w:rFonts w:hint="eastAsia"/>
          <w:color w:val="auto"/>
          <w:highlight w:val="none"/>
        </w:rPr>
        <w:t>（</w:t>
      </w:r>
      <w:r>
        <w:rPr>
          <w:color w:val="auto"/>
          <w:highlight w:val="none"/>
        </w:rPr>
        <w:t>1</w:t>
      </w:r>
      <w:r>
        <w:rPr>
          <w:rFonts w:hint="eastAsia"/>
          <w:color w:val="auto"/>
          <w:highlight w:val="none"/>
        </w:rPr>
        <w:t>）投标人或投标人主要负责人的近亲属；</w:t>
      </w:r>
    </w:p>
    <w:p>
      <w:pPr>
        <w:spacing w:line="400" w:lineRule="exact"/>
        <w:ind w:firstLine="718" w:firstLineChars="342"/>
        <w:rPr>
          <w:color w:val="auto"/>
          <w:highlight w:val="none"/>
        </w:rPr>
      </w:pPr>
      <w:r>
        <w:rPr>
          <w:rFonts w:hint="eastAsia"/>
          <w:color w:val="auto"/>
          <w:highlight w:val="none"/>
        </w:rPr>
        <w:t>（</w:t>
      </w:r>
      <w:r>
        <w:rPr>
          <w:color w:val="auto"/>
          <w:highlight w:val="none"/>
        </w:rPr>
        <w:t>2</w:t>
      </w:r>
      <w:r>
        <w:rPr>
          <w:rFonts w:hint="eastAsia"/>
          <w:color w:val="auto"/>
          <w:highlight w:val="none"/>
        </w:rPr>
        <w:t>）项目主管部门或者行政监督部门的人员；</w:t>
      </w:r>
    </w:p>
    <w:p>
      <w:pPr>
        <w:spacing w:line="400" w:lineRule="exact"/>
        <w:ind w:firstLine="718" w:firstLineChars="342"/>
        <w:rPr>
          <w:color w:val="auto"/>
          <w:highlight w:val="none"/>
        </w:rPr>
      </w:pPr>
      <w:r>
        <w:rPr>
          <w:rFonts w:hint="eastAsia"/>
          <w:color w:val="auto"/>
          <w:highlight w:val="none"/>
        </w:rPr>
        <w:t>（</w:t>
      </w:r>
      <w:r>
        <w:rPr>
          <w:color w:val="auto"/>
          <w:highlight w:val="none"/>
        </w:rPr>
        <w:t>3</w:t>
      </w:r>
      <w:r>
        <w:rPr>
          <w:rFonts w:hint="eastAsia"/>
          <w:color w:val="auto"/>
          <w:highlight w:val="none"/>
        </w:rPr>
        <w:t>）与投标人有经济利益关系，可能影响对投标公正评审的；</w:t>
      </w:r>
    </w:p>
    <w:p>
      <w:pPr>
        <w:spacing w:line="400" w:lineRule="exact"/>
        <w:ind w:firstLine="718" w:firstLineChars="342"/>
        <w:rPr>
          <w:color w:val="auto"/>
          <w:highlight w:val="none"/>
        </w:rPr>
      </w:pPr>
      <w:r>
        <w:rPr>
          <w:rFonts w:hint="eastAsia"/>
          <w:color w:val="auto"/>
          <w:highlight w:val="none"/>
        </w:rPr>
        <w:t>（</w:t>
      </w:r>
      <w:r>
        <w:rPr>
          <w:color w:val="auto"/>
          <w:highlight w:val="none"/>
        </w:rPr>
        <w:t>4</w:t>
      </w:r>
      <w:r>
        <w:rPr>
          <w:rFonts w:hint="eastAsia"/>
          <w:color w:val="auto"/>
          <w:highlight w:val="none"/>
        </w:rPr>
        <w:t>）曾因在招标、评</w:t>
      </w:r>
      <w:bookmarkStart w:id="404" w:name="_Toc152042331"/>
      <w:bookmarkStart w:id="405" w:name="_Toc352691499"/>
      <w:bookmarkStart w:id="406" w:name="_Toc144974523"/>
      <w:bookmarkStart w:id="407" w:name="_Toc152045555"/>
      <w:bookmarkStart w:id="408" w:name="_Toc384308237"/>
      <w:bookmarkStart w:id="409" w:name="_Toc6230"/>
      <w:bookmarkStart w:id="410" w:name="_Toc247527580"/>
      <w:bookmarkStart w:id="411" w:name="_Toc247513979"/>
      <w:bookmarkStart w:id="412" w:name="_Toc369531543"/>
      <w:bookmarkStart w:id="413" w:name="_Toc300834976"/>
      <w:bookmarkStart w:id="414" w:name="_Toc361508612"/>
      <w:r>
        <w:rPr>
          <w:rFonts w:hint="eastAsia"/>
          <w:color w:val="auto"/>
          <w:highlight w:val="none"/>
        </w:rPr>
        <w:t>标以及其他</w:t>
      </w:r>
      <w:bookmarkEnd w:id="404"/>
      <w:bookmarkEnd w:id="405"/>
      <w:bookmarkEnd w:id="406"/>
      <w:bookmarkEnd w:id="407"/>
      <w:bookmarkEnd w:id="408"/>
      <w:bookmarkEnd w:id="409"/>
      <w:bookmarkEnd w:id="410"/>
      <w:bookmarkEnd w:id="411"/>
      <w:bookmarkEnd w:id="412"/>
      <w:bookmarkEnd w:id="413"/>
      <w:bookmarkEnd w:id="414"/>
      <w:r>
        <w:rPr>
          <w:rFonts w:hint="eastAsia"/>
          <w:color w:val="auto"/>
          <w:highlight w:val="none"/>
        </w:rPr>
        <w:t>与</w:t>
      </w:r>
      <w:bookmarkStart w:id="415" w:name="_Toc352691500"/>
      <w:bookmarkStart w:id="416" w:name="_Toc369531544"/>
      <w:bookmarkStart w:id="417" w:name="_Toc152042332"/>
      <w:bookmarkStart w:id="418" w:name="_Toc300834977"/>
      <w:bookmarkStart w:id="419" w:name="_Toc247513980"/>
      <w:bookmarkStart w:id="420" w:name="_Toc384308238"/>
      <w:bookmarkStart w:id="421" w:name="_Toc152045556"/>
      <w:bookmarkStart w:id="422" w:name="_Toc17703"/>
      <w:bookmarkStart w:id="423" w:name="_Toc144974524"/>
      <w:bookmarkStart w:id="424" w:name="_Toc361508613"/>
      <w:bookmarkStart w:id="425" w:name="_Toc247527581"/>
      <w:r>
        <w:rPr>
          <w:rFonts w:hint="eastAsia"/>
          <w:color w:val="auto"/>
          <w:highlight w:val="none"/>
        </w:rPr>
        <w:t>招标投标有关活动中从事违法行</w:t>
      </w:r>
      <w:bookmarkEnd w:id="415"/>
      <w:bookmarkEnd w:id="416"/>
      <w:bookmarkEnd w:id="417"/>
      <w:bookmarkEnd w:id="418"/>
      <w:bookmarkEnd w:id="419"/>
      <w:bookmarkEnd w:id="420"/>
      <w:bookmarkEnd w:id="421"/>
      <w:bookmarkEnd w:id="422"/>
      <w:bookmarkEnd w:id="423"/>
      <w:bookmarkEnd w:id="424"/>
      <w:bookmarkEnd w:id="425"/>
      <w:r>
        <w:rPr>
          <w:rFonts w:hint="eastAsia"/>
          <w:color w:val="auto"/>
          <w:highlight w:val="none"/>
        </w:rPr>
        <w:t>为而受过行政处罚或刑事处罚的；</w:t>
      </w:r>
    </w:p>
    <w:p>
      <w:pPr>
        <w:spacing w:line="400" w:lineRule="exact"/>
        <w:ind w:firstLine="718" w:firstLineChars="342"/>
        <w:rPr>
          <w:color w:val="auto"/>
          <w:highlight w:val="none"/>
        </w:rPr>
      </w:pPr>
      <w:r>
        <w:rPr>
          <w:rFonts w:hint="eastAsia"/>
          <w:color w:val="auto"/>
          <w:highlight w:val="none"/>
        </w:rPr>
        <w:t>（</w:t>
      </w:r>
      <w:r>
        <w:rPr>
          <w:color w:val="auto"/>
          <w:highlight w:val="none"/>
        </w:rPr>
        <w:t>5</w:t>
      </w:r>
      <w:r>
        <w:rPr>
          <w:rFonts w:hint="eastAsia"/>
          <w:color w:val="auto"/>
          <w:highlight w:val="none"/>
        </w:rPr>
        <w:t>）与投标人有其他利害关系。</w:t>
      </w:r>
    </w:p>
    <w:p>
      <w:pPr>
        <w:spacing w:line="400" w:lineRule="exact"/>
        <w:ind w:firstLine="420" w:firstLineChars="200"/>
        <w:rPr>
          <w:color w:val="auto"/>
          <w:highlight w:val="none"/>
        </w:rPr>
      </w:pPr>
      <w:r>
        <w:rPr>
          <w:color w:val="auto"/>
          <w:highlight w:val="none"/>
        </w:rPr>
        <w:t xml:space="preserve">6.1.3 </w:t>
      </w:r>
      <w:r>
        <w:rPr>
          <w:rFonts w:hint="eastAsia"/>
          <w:color w:val="auto"/>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240" w:lineRule="auto"/>
        <w:ind w:firstLine="137"/>
        <w:rPr>
          <w:rFonts w:ascii="Times New Roman"/>
          <w:color w:val="auto"/>
          <w:highlight w:val="none"/>
        </w:rPr>
      </w:pPr>
      <w:bookmarkStart w:id="426" w:name="_Toc32359"/>
      <w:bookmarkStart w:id="427" w:name="_Toc29424"/>
      <w:bookmarkStart w:id="428" w:name="_Toc156398359"/>
      <w:bookmarkStart w:id="429" w:name="_Toc17250"/>
      <w:bookmarkStart w:id="430" w:name="_Toc28599"/>
      <w:r>
        <w:rPr>
          <w:rFonts w:ascii="Times New Roman"/>
          <w:color w:val="auto"/>
          <w:highlight w:val="none"/>
        </w:rPr>
        <w:t xml:space="preserve">6.2 </w:t>
      </w:r>
      <w:r>
        <w:rPr>
          <w:rFonts w:hint="eastAsia" w:ascii="Times New Roman"/>
          <w:color w:val="auto"/>
          <w:highlight w:val="none"/>
        </w:rPr>
        <w:t>评标原则</w:t>
      </w:r>
      <w:bookmarkEnd w:id="426"/>
      <w:bookmarkEnd w:id="427"/>
      <w:bookmarkEnd w:id="428"/>
      <w:bookmarkEnd w:id="429"/>
      <w:bookmarkEnd w:id="430"/>
    </w:p>
    <w:p>
      <w:pPr>
        <w:spacing w:line="400" w:lineRule="exact"/>
        <w:ind w:firstLine="420" w:firstLineChars="200"/>
        <w:rPr>
          <w:color w:val="auto"/>
          <w:highlight w:val="none"/>
        </w:rPr>
      </w:pPr>
      <w:r>
        <w:rPr>
          <w:rFonts w:hint="eastAsia"/>
          <w:color w:val="auto"/>
          <w:highlight w:val="none"/>
        </w:rPr>
        <w:t>评标活动遵循公平、公正、科学和择优的原</w:t>
      </w:r>
      <w:bookmarkStart w:id="431" w:name="_Toc352691501"/>
      <w:bookmarkStart w:id="432" w:name="_Toc361508614"/>
      <w:bookmarkStart w:id="433" w:name="_Toc369531545"/>
      <w:bookmarkStart w:id="434" w:name="_Toc144974525"/>
      <w:bookmarkStart w:id="435" w:name="_Toc384308239"/>
      <w:bookmarkStart w:id="436" w:name="_Toc152045557"/>
      <w:bookmarkStart w:id="437" w:name="_Toc152042333"/>
      <w:bookmarkStart w:id="438" w:name="_Toc18949"/>
      <w:bookmarkStart w:id="439" w:name="_Toc247513981"/>
      <w:bookmarkStart w:id="440" w:name="_Toc300834978"/>
      <w:bookmarkStart w:id="441" w:name="_Toc247527582"/>
      <w:r>
        <w:rPr>
          <w:rFonts w:hint="eastAsia"/>
          <w:color w:val="auto"/>
          <w:highlight w:val="none"/>
        </w:rPr>
        <w:t>则。</w:t>
      </w:r>
    </w:p>
    <w:p>
      <w:pPr>
        <w:pStyle w:val="4"/>
        <w:spacing w:line="240" w:lineRule="auto"/>
        <w:ind w:firstLine="137"/>
        <w:rPr>
          <w:rFonts w:ascii="Times New Roman"/>
          <w:color w:val="auto"/>
          <w:highlight w:val="none"/>
        </w:rPr>
      </w:pPr>
      <w:bookmarkStart w:id="442" w:name="_Toc13366"/>
      <w:bookmarkStart w:id="443" w:name="_Toc31113"/>
      <w:bookmarkStart w:id="444" w:name="_Toc2542"/>
      <w:bookmarkStart w:id="445" w:name="_Toc156398360"/>
      <w:bookmarkStart w:id="446" w:name="_Toc970"/>
      <w:r>
        <w:rPr>
          <w:rFonts w:ascii="Times New Roman"/>
          <w:color w:val="auto"/>
          <w:highlight w:val="none"/>
        </w:rPr>
        <w:t xml:space="preserve">6.3 </w:t>
      </w:r>
      <w:r>
        <w:rPr>
          <w:rFonts w:hint="eastAsia" w:ascii="Times New Roman"/>
          <w:color w:val="auto"/>
          <w:highlight w:val="none"/>
        </w:rPr>
        <w:t>评标</w:t>
      </w:r>
      <w:bookmarkEnd w:id="442"/>
      <w:bookmarkEnd w:id="443"/>
      <w:bookmarkEnd w:id="444"/>
      <w:bookmarkEnd w:id="445"/>
      <w:bookmarkEnd w:id="446"/>
    </w:p>
    <w:p>
      <w:pPr>
        <w:spacing w:line="400" w:lineRule="exact"/>
        <w:ind w:firstLine="420" w:firstLineChars="200"/>
        <w:rPr>
          <w:color w:val="auto"/>
          <w:highlight w:val="none"/>
        </w:rPr>
      </w:pPr>
      <w:r>
        <w:rPr>
          <w:color w:val="auto"/>
          <w:highlight w:val="none"/>
        </w:rPr>
        <w:t>6</w:t>
      </w:r>
      <w:bookmarkEnd w:id="431"/>
      <w:bookmarkEnd w:id="432"/>
      <w:bookmarkEnd w:id="433"/>
      <w:bookmarkEnd w:id="434"/>
      <w:bookmarkEnd w:id="435"/>
      <w:bookmarkEnd w:id="436"/>
      <w:bookmarkEnd w:id="437"/>
      <w:bookmarkEnd w:id="438"/>
      <w:bookmarkEnd w:id="439"/>
      <w:bookmarkEnd w:id="440"/>
      <w:bookmarkEnd w:id="441"/>
      <w:r>
        <w:rPr>
          <w:color w:val="auto"/>
          <w:highlight w:val="none"/>
        </w:rPr>
        <w:t>.3.1</w:t>
      </w:r>
      <w:r>
        <w:rPr>
          <w:rFonts w:hint="eastAsia"/>
          <w:color w:val="auto"/>
          <w:highlight w:val="none"/>
        </w:rPr>
        <w:t>评标委员会按照第三章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规定的方法、评审因素、标准和程序对投标文件进行评审。第三章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没有规定的方法、评审因素和标准，不作为评标依据。</w:t>
      </w:r>
    </w:p>
    <w:p>
      <w:pPr>
        <w:spacing w:line="400" w:lineRule="exact"/>
        <w:ind w:firstLine="420" w:firstLineChars="200"/>
        <w:rPr>
          <w:rFonts w:hint="eastAsia"/>
          <w:color w:val="auto"/>
          <w:highlight w:val="none"/>
        </w:rPr>
      </w:pPr>
      <w:r>
        <w:rPr>
          <w:color w:val="auto"/>
          <w:highlight w:val="none"/>
        </w:rPr>
        <w:t>6.3.2</w:t>
      </w:r>
      <w:r>
        <w:rPr>
          <w:rFonts w:hint="eastAsia"/>
          <w:color w:val="auto"/>
          <w:highlight w:val="none"/>
        </w:rPr>
        <w:t>评标完成后，评标委员会应当向招标人提交书面评标报告和中标候选人名单。评标委员会推荐中标</w:t>
      </w:r>
      <w:bookmarkStart w:id="447" w:name="_Toc247513982"/>
      <w:bookmarkStart w:id="448" w:name="_Toc247527583"/>
      <w:bookmarkStart w:id="449" w:name="_Toc300834979"/>
      <w:bookmarkStart w:id="450" w:name="_Toc369531546"/>
      <w:bookmarkStart w:id="451" w:name="_Toc361508615"/>
      <w:bookmarkStart w:id="452" w:name="_Toc152042334"/>
      <w:bookmarkStart w:id="453" w:name="_Toc384308240"/>
      <w:bookmarkStart w:id="454" w:name="_Toc144974526"/>
      <w:bookmarkStart w:id="455" w:name="_Toc152045558"/>
      <w:bookmarkStart w:id="456" w:name="_Toc352691502"/>
      <w:bookmarkStart w:id="457" w:name="_Toc12259"/>
      <w:r>
        <w:rPr>
          <w:rFonts w:hint="eastAsia"/>
          <w:color w:val="auto"/>
          <w:highlight w:val="none"/>
        </w:rPr>
        <w:t>候选人的人数见投标人须知前附</w:t>
      </w:r>
      <w:bookmarkEnd w:id="447"/>
      <w:bookmarkEnd w:id="448"/>
      <w:bookmarkEnd w:id="449"/>
      <w:bookmarkEnd w:id="450"/>
      <w:bookmarkEnd w:id="451"/>
      <w:bookmarkEnd w:id="452"/>
      <w:bookmarkEnd w:id="453"/>
      <w:bookmarkEnd w:id="454"/>
      <w:bookmarkEnd w:id="455"/>
      <w:bookmarkEnd w:id="456"/>
      <w:bookmarkEnd w:id="457"/>
      <w:r>
        <w:rPr>
          <w:rFonts w:hint="eastAsia"/>
          <w:color w:val="auto"/>
          <w:highlight w:val="none"/>
        </w:rPr>
        <w:t>表。</w:t>
      </w:r>
    </w:p>
    <w:p>
      <w:pPr>
        <w:pStyle w:val="3"/>
        <w:spacing w:line="240" w:lineRule="auto"/>
        <w:rPr>
          <w:rFonts w:ascii="Times New Roman" w:hAnsi="Times New Roman"/>
          <w:color w:val="auto"/>
          <w:highlight w:val="none"/>
        </w:rPr>
      </w:pPr>
      <w:bookmarkStart w:id="458" w:name="_Toc1832"/>
      <w:bookmarkStart w:id="459" w:name="_Toc29012"/>
      <w:bookmarkStart w:id="460" w:name="_Toc20642"/>
      <w:bookmarkStart w:id="461" w:name="_Toc15395"/>
      <w:bookmarkStart w:id="462" w:name="_Toc156398361"/>
      <w:bookmarkStart w:id="463" w:name="_Toc13931"/>
      <w:r>
        <w:rPr>
          <w:rFonts w:ascii="Times New Roman" w:hAnsi="Times New Roman"/>
          <w:color w:val="auto"/>
          <w:highlight w:val="none"/>
        </w:rPr>
        <w:t xml:space="preserve">7. </w:t>
      </w:r>
      <w:r>
        <w:rPr>
          <w:rFonts w:hint="eastAsia" w:ascii="Times New Roman" w:hAnsi="Times New Roman"/>
          <w:color w:val="auto"/>
          <w:highlight w:val="none"/>
        </w:rPr>
        <w:t>合同授予</w:t>
      </w:r>
      <w:bookmarkEnd w:id="458"/>
      <w:bookmarkEnd w:id="459"/>
      <w:bookmarkEnd w:id="460"/>
      <w:bookmarkEnd w:id="461"/>
      <w:bookmarkEnd w:id="462"/>
      <w:bookmarkEnd w:id="463"/>
    </w:p>
    <w:p>
      <w:pPr>
        <w:pStyle w:val="4"/>
        <w:spacing w:line="240" w:lineRule="auto"/>
        <w:ind w:firstLine="137"/>
        <w:rPr>
          <w:rFonts w:ascii="Times New Roman"/>
          <w:color w:val="auto"/>
          <w:highlight w:val="none"/>
        </w:rPr>
      </w:pPr>
      <w:bookmarkStart w:id="464" w:name="_Toc757"/>
      <w:bookmarkStart w:id="465" w:name="_Toc7157"/>
      <w:bookmarkStart w:id="466" w:name="_Toc14053"/>
      <w:bookmarkStart w:id="467" w:name="_Toc156398362"/>
      <w:bookmarkStart w:id="468" w:name="_Toc25285"/>
      <w:r>
        <w:rPr>
          <w:rFonts w:ascii="Times New Roman"/>
          <w:color w:val="auto"/>
          <w:highlight w:val="none"/>
        </w:rPr>
        <w:t xml:space="preserve">7.1 </w:t>
      </w:r>
      <w:r>
        <w:rPr>
          <w:rFonts w:hint="eastAsia" w:ascii="Times New Roman"/>
          <w:color w:val="auto"/>
          <w:highlight w:val="none"/>
        </w:rPr>
        <w:t>中标候选人公示</w:t>
      </w:r>
      <w:bookmarkEnd w:id="464"/>
      <w:bookmarkEnd w:id="465"/>
      <w:bookmarkEnd w:id="466"/>
      <w:bookmarkEnd w:id="467"/>
      <w:bookmarkEnd w:id="468"/>
    </w:p>
    <w:p>
      <w:pPr>
        <w:spacing w:line="400" w:lineRule="exact"/>
        <w:ind w:firstLine="420" w:firstLineChars="200"/>
        <w:rPr>
          <w:color w:val="auto"/>
          <w:highlight w:val="none"/>
        </w:rPr>
      </w:pPr>
      <w:r>
        <w:rPr>
          <w:rFonts w:hint="eastAsia"/>
          <w:color w:val="auto"/>
          <w:highlight w:val="none"/>
        </w:rPr>
        <w:t>招标人在收到评标报告之日起</w:t>
      </w:r>
      <w:r>
        <w:rPr>
          <w:color w:val="auto"/>
          <w:highlight w:val="none"/>
        </w:rPr>
        <w:t>3</w:t>
      </w:r>
      <w:r>
        <w:rPr>
          <w:rFonts w:hint="eastAsia"/>
          <w:color w:val="auto"/>
          <w:highlight w:val="none"/>
        </w:rPr>
        <w:t>日内，按照投标人须知前附表规定的公示媒介和期限公示中标候选人，公示期不得少于</w:t>
      </w:r>
      <w:r>
        <w:rPr>
          <w:color w:val="auto"/>
          <w:highlight w:val="none"/>
        </w:rPr>
        <w:t>3</w:t>
      </w:r>
      <w:r>
        <w:rPr>
          <w:rFonts w:hint="eastAsia"/>
          <w:color w:val="auto"/>
          <w:highlight w:val="none"/>
        </w:rPr>
        <w:t>天。</w:t>
      </w:r>
    </w:p>
    <w:p>
      <w:pPr>
        <w:pStyle w:val="4"/>
        <w:spacing w:line="240" w:lineRule="auto"/>
        <w:ind w:firstLine="137"/>
        <w:rPr>
          <w:rFonts w:ascii="Times New Roman"/>
          <w:color w:val="auto"/>
          <w:highlight w:val="none"/>
        </w:rPr>
      </w:pPr>
      <w:bookmarkStart w:id="469" w:name="_Toc14502"/>
      <w:bookmarkStart w:id="470" w:name="_Toc17470"/>
      <w:bookmarkStart w:id="471" w:name="_Toc10197"/>
      <w:bookmarkStart w:id="472" w:name="_Toc21652"/>
      <w:bookmarkStart w:id="473" w:name="_Toc156398363"/>
      <w:r>
        <w:rPr>
          <w:rFonts w:ascii="Times New Roman"/>
          <w:color w:val="auto"/>
          <w:highlight w:val="none"/>
        </w:rPr>
        <w:t xml:space="preserve">7.2 </w:t>
      </w:r>
      <w:r>
        <w:rPr>
          <w:rFonts w:hint="eastAsia" w:ascii="Times New Roman"/>
          <w:color w:val="auto"/>
          <w:highlight w:val="none"/>
        </w:rPr>
        <w:t>评标结果异议</w:t>
      </w:r>
      <w:bookmarkEnd w:id="469"/>
      <w:bookmarkEnd w:id="470"/>
      <w:bookmarkEnd w:id="471"/>
      <w:bookmarkEnd w:id="472"/>
      <w:bookmarkEnd w:id="473"/>
    </w:p>
    <w:p>
      <w:pPr>
        <w:spacing w:line="400" w:lineRule="exact"/>
        <w:ind w:firstLine="420" w:firstLineChars="200"/>
        <w:rPr>
          <w:color w:val="auto"/>
          <w:highlight w:val="none"/>
        </w:rPr>
      </w:pPr>
      <w:r>
        <w:rPr>
          <w:rFonts w:hint="eastAsia"/>
          <w:color w:val="auto"/>
          <w:highlight w:val="none"/>
        </w:rPr>
        <w:t>投标人或者其他利</w:t>
      </w:r>
      <w:bookmarkStart w:id="474" w:name="_Toc361508618"/>
      <w:bookmarkStart w:id="475" w:name="_Toc247527586"/>
      <w:bookmarkStart w:id="476" w:name="_Toc352691505"/>
      <w:bookmarkStart w:id="477" w:name="_Toc152045561"/>
      <w:bookmarkStart w:id="478" w:name="_Toc247513985"/>
      <w:bookmarkStart w:id="479" w:name="_Toc144974529"/>
      <w:bookmarkStart w:id="480" w:name="_Toc152042337"/>
      <w:bookmarkStart w:id="481" w:name="_Toc300834982"/>
      <w:bookmarkStart w:id="482" w:name="_Toc30095"/>
      <w:bookmarkStart w:id="483" w:name="_Toc384308243"/>
      <w:bookmarkStart w:id="484" w:name="_Toc369531549"/>
      <w:r>
        <w:rPr>
          <w:rFonts w:hint="eastAsia"/>
          <w:color w:val="auto"/>
          <w:highlight w:val="none"/>
        </w:rPr>
        <w:t>害关系人对评标结</w:t>
      </w:r>
      <w:bookmarkEnd w:id="474"/>
      <w:bookmarkEnd w:id="475"/>
      <w:bookmarkEnd w:id="476"/>
      <w:bookmarkEnd w:id="477"/>
      <w:bookmarkEnd w:id="478"/>
      <w:bookmarkEnd w:id="479"/>
      <w:bookmarkEnd w:id="480"/>
      <w:bookmarkEnd w:id="481"/>
      <w:bookmarkEnd w:id="482"/>
      <w:bookmarkEnd w:id="483"/>
      <w:bookmarkEnd w:id="484"/>
      <w:r>
        <w:rPr>
          <w:rFonts w:hint="eastAsia"/>
          <w:color w:val="auto"/>
          <w:highlight w:val="none"/>
        </w:rPr>
        <w:t>果有异议的，应当在中标候选人公示期间提出。招标人将在收到异议之日起</w:t>
      </w:r>
      <w:r>
        <w:rPr>
          <w:color w:val="auto"/>
          <w:highlight w:val="none"/>
        </w:rPr>
        <w:t>3</w:t>
      </w:r>
      <w:r>
        <w:rPr>
          <w:rFonts w:hint="eastAsia"/>
          <w:color w:val="auto"/>
          <w:highlight w:val="none"/>
        </w:rPr>
        <w:t>日内作出答复；作出答复前，将暂停招标投标活动。</w:t>
      </w:r>
    </w:p>
    <w:p>
      <w:pPr>
        <w:pStyle w:val="4"/>
        <w:spacing w:line="240" w:lineRule="auto"/>
        <w:ind w:firstLine="137"/>
        <w:rPr>
          <w:rFonts w:ascii="Times New Roman"/>
          <w:color w:val="auto"/>
          <w:highlight w:val="none"/>
        </w:rPr>
      </w:pPr>
      <w:bookmarkStart w:id="485" w:name="_Toc32167"/>
      <w:bookmarkStart w:id="486" w:name="_Toc3023"/>
      <w:bookmarkStart w:id="487" w:name="_Toc6853"/>
      <w:bookmarkStart w:id="488" w:name="_Toc9638"/>
      <w:bookmarkStart w:id="489" w:name="_Toc156398364"/>
      <w:r>
        <w:rPr>
          <w:rFonts w:ascii="Times New Roman"/>
          <w:color w:val="auto"/>
          <w:highlight w:val="none"/>
        </w:rPr>
        <w:t xml:space="preserve">7.3 </w:t>
      </w:r>
      <w:r>
        <w:rPr>
          <w:rFonts w:hint="eastAsia" w:ascii="Times New Roman"/>
          <w:color w:val="auto"/>
          <w:highlight w:val="none"/>
        </w:rPr>
        <w:t>中标候选人履约能力审查</w:t>
      </w:r>
      <w:bookmarkEnd w:id="485"/>
      <w:bookmarkEnd w:id="486"/>
      <w:bookmarkEnd w:id="487"/>
      <w:bookmarkEnd w:id="488"/>
      <w:bookmarkEnd w:id="489"/>
    </w:p>
    <w:p>
      <w:pPr>
        <w:spacing w:line="400" w:lineRule="exact"/>
        <w:ind w:firstLine="420" w:firstLineChars="200"/>
        <w:rPr>
          <w:color w:val="auto"/>
          <w:highlight w:val="none"/>
        </w:rPr>
      </w:pPr>
      <w:r>
        <w:rPr>
          <w:rFonts w:hint="eastAsia"/>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color w:val="auto"/>
          <w:highlight w:val="none"/>
        </w:rPr>
      </w:pPr>
      <w:bookmarkStart w:id="490" w:name="_Toc24003"/>
      <w:bookmarkStart w:id="491" w:name="_Toc24096"/>
      <w:bookmarkStart w:id="492" w:name="_Toc21951"/>
      <w:bookmarkStart w:id="493" w:name="_Toc156398365"/>
      <w:bookmarkStart w:id="494" w:name="_Toc15895"/>
      <w:r>
        <w:rPr>
          <w:rFonts w:ascii="Times New Roman"/>
          <w:color w:val="auto"/>
          <w:highlight w:val="none"/>
        </w:rPr>
        <w:t xml:space="preserve">7.4 </w:t>
      </w:r>
      <w:r>
        <w:rPr>
          <w:rFonts w:hint="eastAsia" w:ascii="Times New Roman"/>
          <w:color w:val="auto"/>
          <w:highlight w:val="none"/>
        </w:rPr>
        <w:t>定标</w:t>
      </w:r>
      <w:bookmarkEnd w:id="490"/>
      <w:bookmarkEnd w:id="491"/>
      <w:bookmarkEnd w:id="492"/>
      <w:bookmarkEnd w:id="493"/>
      <w:bookmarkEnd w:id="494"/>
    </w:p>
    <w:p>
      <w:pPr>
        <w:spacing w:line="400" w:lineRule="exact"/>
        <w:ind w:firstLine="420" w:firstLineChars="200"/>
        <w:rPr>
          <w:color w:val="auto"/>
          <w:highlight w:val="none"/>
        </w:rPr>
      </w:pPr>
      <w:r>
        <w:rPr>
          <w:rFonts w:hint="eastAsia"/>
          <w:color w:val="auto"/>
          <w:highlight w:val="none"/>
        </w:rPr>
        <w:t>按照投标人须知前附表的规定，招标人或招标人授权的评标委员会依法确定中标人。</w:t>
      </w:r>
    </w:p>
    <w:p>
      <w:pPr>
        <w:pStyle w:val="4"/>
        <w:spacing w:line="240" w:lineRule="auto"/>
        <w:ind w:firstLine="137"/>
        <w:rPr>
          <w:rFonts w:ascii="Times New Roman"/>
          <w:color w:val="auto"/>
          <w:highlight w:val="none"/>
        </w:rPr>
      </w:pPr>
      <w:bookmarkStart w:id="495" w:name="_Toc156398366"/>
      <w:bookmarkStart w:id="496" w:name="_Toc30305"/>
      <w:bookmarkStart w:id="497" w:name="_Toc12359"/>
      <w:bookmarkStart w:id="498" w:name="_Toc27459"/>
      <w:bookmarkStart w:id="499" w:name="_Toc25606"/>
      <w:r>
        <w:rPr>
          <w:rFonts w:ascii="Times New Roman"/>
          <w:color w:val="auto"/>
          <w:highlight w:val="none"/>
        </w:rPr>
        <w:t xml:space="preserve">7.5 </w:t>
      </w:r>
      <w:r>
        <w:rPr>
          <w:rFonts w:hint="eastAsia" w:ascii="Times New Roman"/>
          <w:color w:val="auto"/>
          <w:highlight w:val="none"/>
        </w:rPr>
        <w:t>中标通知</w:t>
      </w:r>
      <w:bookmarkEnd w:id="495"/>
      <w:bookmarkEnd w:id="496"/>
      <w:bookmarkEnd w:id="497"/>
      <w:bookmarkEnd w:id="498"/>
      <w:bookmarkEnd w:id="499"/>
    </w:p>
    <w:p>
      <w:pPr>
        <w:spacing w:line="400" w:lineRule="exact"/>
        <w:ind w:firstLine="420" w:firstLineChars="200"/>
        <w:rPr>
          <w:color w:val="auto"/>
          <w:highlight w:val="none"/>
        </w:rPr>
      </w:pPr>
      <w:r>
        <w:rPr>
          <w:rFonts w:hint="eastAsia"/>
          <w:color w:val="auto"/>
          <w:highlight w:val="none"/>
        </w:rPr>
        <w:t>在本章第</w:t>
      </w:r>
      <w:r>
        <w:rPr>
          <w:color w:val="auto"/>
          <w:highlight w:val="none"/>
        </w:rPr>
        <w:t>3.3</w:t>
      </w:r>
      <w:r>
        <w:rPr>
          <w:rFonts w:hint="eastAsia"/>
          <w:color w:val="auto"/>
          <w:highlight w:val="none"/>
        </w:rPr>
        <w:t>款规定的投标有效期内，招标人以书面形式向中标人发出中标</w:t>
      </w:r>
      <w:bookmarkStart w:id="500" w:name="_Toc384308244"/>
      <w:bookmarkStart w:id="501" w:name="_Toc369531550"/>
      <w:bookmarkStart w:id="502" w:name="_Toc5668"/>
      <w:bookmarkStart w:id="503" w:name="_Toc300834983"/>
      <w:bookmarkStart w:id="504" w:name="_Toc352691506"/>
      <w:bookmarkStart w:id="505" w:name="_Toc361508619"/>
      <w:r>
        <w:rPr>
          <w:rFonts w:hint="eastAsia"/>
          <w:color w:val="auto"/>
          <w:highlight w:val="none"/>
        </w:rPr>
        <w:t>通知书，同时将中</w:t>
      </w:r>
      <w:bookmarkEnd w:id="500"/>
      <w:bookmarkEnd w:id="501"/>
      <w:bookmarkEnd w:id="502"/>
      <w:bookmarkEnd w:id="503"/>
      <w:bookmarkEnd w:id="504"/>
      <w:bookmarkEnd w:id="505"/>
      <w:r>
        <w:rPr>
          <w:rFonts w:hint="eastAsia"/>
          <w:color w:val="auto"/>
          <w:highlight w:val="none"/>
        </w:rPr>
        <w:t>标结果通知未中标的投标人。</w:t>
      </w:r>
    </w:p>
    <w:p>
      <w:pPr>
        <w:pStyle w:val="4"/>
        <w:spacing w:line="240" w:lineRule="auto"/>
        <w:ind w:firstLine="137"/>
        <w:rPr>
          <w:rFonts w:ascii="Times New Roman"/>
          <w:color w:val="auto"/>
          <w:highlight w:val="none"/>
        </w:rPr>
      </w:pPr>
      <w:bookmarkStart w:id="506" w:name="_Toc27099"/>
      <w:bookmarkStart w:id="507" w:name="_Toc156398367"/>
      <w:bookmarkStart w:id="508" w:name="_Toc24795"/>
      <w:bookmarkStart w:id="509" w:name="_Toc13326"/>
      <w:bookmarkStart w:id="510" w:name="_Toc455"/>
      <w:r>
        <w:rPr>
          <w:rFonts w:ascii="Times New Roman"/>
          <w:color w:val="auto"/>
          <w:highlight w:val="none"/>
        </w:rPr>
        <w:t xml:space="preserve">7.6 </w:t>
      </w:r>
      <w:r>
        <w:rPr>
          <w:rFonts w:hint="eastAsia" w:ascii="Times New Roman"/>
          <w:color w:val="auto"/>
          <w:highlight w:val="none"/>
        </w:rPr>
        <w:t>履约保证金</w:t>
      </w:r>
      <w:bookmarkEnd w:id="506"/>
      <w:bookmarkEnd w:id="507"/>
      <w:bookmarkEnd w:id="508"/>
      <w:bookmarkEnd w:id="509"/>
      <w:bookmarkEnd w:id="510"/>
    </w:p>
    <w:p>
      <w:pPr>
        <w:spacing w:line="400" w:lineRule="exact"/>
        <w:ind w:firstLine="420" w:firstLineChars="200"/>
        <w:rPr>
          <w:color w:val="auto"/>
          <w:highlight w:val="none"/>
        </w:rPr>
      </w:pPr>
      <w:r>
        <w:rPr>
          <w:color w:val="auto"/>
          <w:highlight w:val="none"/>
        </w:rPr>
        <w:t xml:space="preserve">7.6.1 </w:t>
      </w:r>
      <w:r>
        <w:rPr>
          <w:rFonts w:hint="eastAsia"/>
          <w:color w:val="auto"/>
          <w:highlight w:val="none"/>
        </w:rPr>
        <w:t>在签订合同前，中标人应按投标人须知前附表规定的形式、金额和招标文件第四章</w:t>
      </w:r>
      <w:r>
        <w:rPr>
          <w:color w:val="auto"/>
          <w:highlight w:val="none"/>
        </w:rPr>
        <w:t>“</w:t>
      </w:r>
      <w:r>
        <w:rPr>
          <w:rFonts w:hint="eastAsia"/>
          <w:color w:val="auto"/>
          <w:highlight w:val="none"/>
        </w:rPr>
        <w:t>合同条款及格式</w:t>
      </w:r>
      <w:r>
        <w:rPr>
          <w:color w:val="auto"/>
          <w:highlight w:val="none"/>
        </w:rPr>
        <w:t>”</w:t>
      </w:r>
      <w:r>
        <w:rPr>
          <w:rFonts w:hint="eastAsia"/>
          <w:color w:val="auto"/>
          <w:highlight w:val="none"/>
        </w:rPr>
        <w:t>规定的或者事先经过招标人书面认可的履约保证金格式向招标人提交履约保证金。除投标人须知前附表另有规定外，履约保证金为中标合同金额的</w:t>
      </w:r>
      <w:r>
        <w:rPr>
          <w:color w:val="auto"/>
          <w:highlight w:val="none"/>
        </w:rPr>
        <w:t>10%</w:t>
      </w:r>
      <w:r>
        <w:rPr>
          <w:rFonts w:hint="eastAsia"/>
          <w:color w:val="auto"/>
          <w:highlight w:val="none"/>
        </w:rPr>
        <w:t>。</w:t>
      </w:r>
    </w:p>
    <w:p>
      <w:pPr>
        <w:spacing w:line="400" w:lineRule="exact"/>
        <w:ind w:firstLine="420" w:firstLineChars="200"/>
        <w:rPr>
          <w:rFonts w:hint="eastAsia"/>
          <w:color w:val="auto"/>
          <w:highlight w:val="none"/>
        </w:rPr>
      </w:pPr>
      <w:r>
        <w:rPr>
          <w:color w:val="auto"/>
          <w:highlight w:val="none"/>
        </w:rPr>
        <w:t xml:space="preserve">7.6.2 </w:t>
      </w:r>
      <w:r>
        <w:rPr>
          <w:rFonts w:hint="eastAsia"/>
          <w:color w:val="auto"/>
          <w:highlight w:val="none"/>
        </w:rPr>
        <w:t>中标人不能按本章第</w:t>
      </w:r>
      <w:r>
        <w:rPr>
          <w:color w:val="auto"/>
          <w:highlight w:val="none"/>
        </w:rPr>
        <w:t>7.6.1</w:t>
      </w:r>
      <w:r>
        <w:rPr>
          <w:rFonts w:hint="eastAsia"/>
          <w:color w:val="auto"/>
          <w:highlight w:val="none"/>
        </w:rPr>
        <w:t>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color w:val="auto"/>
          <w:highlight w:val="none"/>
        </w:rPr>
      </w:pPr>
      <w:bookmarkStart w:id="511" w:name="_Toc24289"/>
      <w:bookmarkStart w:id="512" w:name="_Toc19211"/>
      <w:bookmarkStart w:id="513" w:name="_Toc156398368"/>
      <w:bookmarkStart w:id="514" w:name="_Toc22457"/>
      <w:bookmarkStart w:id="515" w:name="_Toc31184"/>
      <w:r>
        <w:rPr>
          <w:rFonts w:ascii="Times New Roman"/>
          <w:color w:val="auto"/>
          <w:highlight w:val="none"/>
        </w:rPr>
        <w:t xml:space="preserve">7.7 </w:t>
      </w:r>
      <w:r>
        <w:rPr>
          <w:rFonts w:hint="eastAsia" w:ascii="Times New Roman"/>
          <w:color w:val="auto"/>
          <w:highlight w:val="none"/>
        </w:rPr>
        <w:t>签订合同</w:t>
      </w:r>
      <w:bookmarkEnd w:id="511"/>
      <w:bookmarkEnd w:id="512"/>
      <w:bookmarkEnd w:id="513"/>
      <w:bookmarkEnd w:id="514"/>
      <w:bookmarkEnd w:id="515"/>
    </w:p>
    <w:p>
      <w:pPr>
        <w:spacing w:line="400" w:lineRule="exact"/>
        <w:ind w:firstLine="420" w:firstLineChars="200"/>
        <w:rPr>
          <w:color w:val="auto"/>
          <w:highlight w:val="none"/>
        </w:rPr>
      </w:pPr>
      <w:r>
        <w:rPr>
          <w:color w:val="auto"/>
          <w:highlight w:val="none"/>
        </w:rPr>
        <w:t xml:space="preserve">7.7.1 </w:t>
      </w:r>
      <w:r>
        <w:rPr>
          <w:rFonts w:hint="eastAsia"/>
          <w:color w:val="auto"/>
          <w:highlight w:val="none"/>
        </w:rPr>
        <w:t>招标人和中标人应当在中标通知书发出之日起</w:t>
      </w:r>
      <w:r>
        <w:rPr>
          <w:color w:val="auto"/>
          <w:highlight w:val="none"/>
        </w:rPr>
        <w:t>30</w:t>
      </w:r>
      <w:r>
        <w:rPr>
          <w:rFonts w:hint="eastAsia"/>
          <w:color w:val="auto"/>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400" w:lineRule="exact"/>
        <w:ind w:firstLine="420" w:firstLineChars="200"/>
        <w:rPr>
          <w:color w:val="auto"/>
          <w:highlight w:val="none"/>
        </w:rPr>
      </w:pPr>
      <w:r>
        <w:rPr>
          <w:color w:val="auto"/>
          <w:highlight w:val="none"/>
        </w:rPr>
        <w:t xml:space="preserve">7.7.2 </w:t>
      </w:r>
      <w:r>
        <w:rPr>
          <w:rFonts w:hint="eastAsia"/>
          <w:color w:val="auto"/>
          <w:highlight w:val="none"/>
        </w:rPr>
        <w:t>发出中标通知书后，招标人无正当理由拒签合同，或者在签订合同时向中标人提出附加条件的，招标人向中标人退还投标保证金；给中标人造成损失的，还应当赔偿损失。</w:t>
      </w:r>
    </w:p>
    <w:p>
      <w:pPr>
        <w:pStyle w:val="3"/>
        <w:spacing w:line="240" w:lineRule="auto"/>
        <w:rPr>
          <w:rFonts w:ascii="Times New Roman" w:hAnsi="Times New Roman"/>
          <w:color w:val="auto"/>
          <w:highlight w:val="none"/>
        </w:rPr>
      </w:pPr>
      <w:bookmarkStart w:id="516" w:name="_Toc384308252"/>
      <w:bookmarkStart w:id="517" w:name="_Toc24067"/>
      <w:bookmarkStart w:id="518" w:name="_Toc361508627"/>
      <w:bookmarkStart w:id="519" w:name="_Toc18077"/>
      <w:bookmarkStart w:id="520" w:name="_Toc11355"/>
      <w:bookmarkStart w:id="521" w:name="_Toc355"/>
      <w:bookmarkStart w:id="522" w:name="_Toc156398369"/>
      <w:bookmarkStart w:id="523" w:name="_Toc23841"/>
      <w:bookmarkStart w:id="524" w:name="_Toc24045"/>
      <w:bookmarkStart w:id="525" w:name="_Toc247527593"/>
      <w:bookmarkStart w:id="526" w:name="_Toc247513992"/>
      <w:bookmarkStart w:id="527" w:name="_Toc152045568"/>
      <w:bookmarkStart w:id="528" w:name="_Toc144974536"/>
      <w:bookmarkStart w:id="529" w:name="_Toc152042344"/>
      <w:bookmarkStart w:id="530" w:name="_Toc300834991"/>
      <w:r>
        <w:rPr>
          <w:rFonts w:ascii="Times New Roman" w:hAnsi="Times New Roman"/>
          <w:color w:val="auto"/>
          <w:highlight w:val="none"/>
        </w:rPr>
        <w:t>8.</w:t>
      </w:r>
      <w:bookmarkEnd w:id="516"/>
      <w:bookmarkEnd w:id="517"/>
      <w:bookmarkEnd w:id="518"/>
      <w:r>
        <w:rPr>
          <w:rFonts w:hint="eastAsia" w:ascii="Times New Roman" w:hAnsi="Times New Roman"/>
          <w:color w:val="auto"/>
          <w:highlight w:val="none"/>
        </w:rPr>
        <w:t>纪律和监督</w:t>
      </w:r>
      <w:bookmarkEnd w:id="519"/>
      <w:bookmarkEnd w:id="520"/>
      <w:bookmarkEnd w:id="521"/>
      <w:bookmarkEnd w:id="522"/>
      <w:bookmarkEnd w:id="523"/>
      <w:bookmarkEnd w:id="524"/>
    </w:p>
    <w:p>
      <w:pPr>
        <w:pStyle w:val="4"/>
        <w:spacing w:line="240" w:lineRule="auto"/>
        <w:ind w:firstLine="137"/>
        <w:rPr>
          <w:rFonts w:ascii="Times New Roman"/>
          <w:color w:val="auto"/>
          <w:highlight w:val="none"/>
        </w:rPr>
      </w:pPr>
      <w:bookmarkStart w:id="531" w:name="_Toc10072"/>
      <w:bookmarkStart w:id="532" w:name="_Toc156398370"/>
      <w:bookmarkStart w:id="533" w:name="_Toc27825"/>
      <w:bookmarkStart w:id="534" w:name="_Toc1425"/>
      <w:bookmarkStart w:id="535" w:name="_Toc4128"/>
      <w:r>
        <w:rPr>
          <w:rFonts w:ascii="Times New Roman"/>
          <w:color w:val="auto"/>
          <w:highlight w:val="none"/>
        </w:rPr>
        <w:t xml:space="preserve">8.1 </w:t>
      </w:r>
      <w:r>
        <w:rPr>
          <w:rFonts w:hint="eastAsia" w:ascii="Times New Roman"/>
          <w:color w:val="auto"/>
          <w:highlight w:val="none"/>
        </w:rPr>
        <w:t>对招标人的纪律要求</w:t>
      </w:r>
      <w:bookmarkEnd w:id="531"/>
      <w:bookmarkEnd w:id="532"/>
      <w:bookmarkEnd w:id="533"/>
      <w:bookmarkEnd w:id="534"/>
      <w:bookmarkEnd w:id="535"/>
    </w:p>
    <w:p>
      <w:pPr>
        <w:spacing w:line="400" w:lineRule="exact"/>
        <w:ind w:firstLine="420" w:firstLineChars="200"/>
        <w:rPr>
          <w:color w:val="auto"/>
          <w:highlight w:val="none"/>
        </w:rPr>
      </w:pPr>
      <w:r>
        <w:rPr>
          <w:rFonts w:hint="eastAsia"/>
          <w:color w:val="auto"/>
          <w:highlight w:val="none"/>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color w:val="auto"/>
          <w:highlight w:val="none"/>
        </w:rPr>
      </w:pPr>
      <w:bookmarkStart w:id="536" w:name="_Toc12285"/>
      <w:bookmarkStart w:id="537" w:name="_Toc24806"/>
      <w:bookmarkStart w:id="538" w:name="_Toc21589"/>
      <w:bookmarkStart w:id="539" w:name="_Toc156398371"/>
      <w:bookmarkStart w:id="540" w:name="_Toc9365"/>
      <w:r>
        <w:rPr>
          <w:rFonts w:ascii="Times New Roman"/>
          <w:color w:val="auto"/>
          <w:highlight w:val="none"/>
        </w:rPr>
        <w:t xml:space="preserve">8.2 </w:t>
      </w:r>
      <w:r>
        <w:rPr>
          <w:rFonts w:hint="eastAsia" w:ascii="Times New Roman"/>
          <w:color w:val="auto"/>
          <w:highlight w:val="none"/>
        </w:rPr>
        <w:t>对投标人的纪律要求</w:t>
      </w:r>
      <w:bookmarkEnd w:id="536"/>
      <w:bookmarkEnd w:id="537"/>
      <w:bookmarkEnd w:id="538"/>
      <w:bookmarkEnd w:id="539"/>
      <w:bookmarkEnd w:id="540"/>
    </w:p>
    <w:p>
      <w:pPr>
        <w:spacing w:line="40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color w:val="auto"/>
          <w:highlight w:val="none"/>
        </w:rPr>
      </w:pPr>
      <w:bookmarkStart w:id="541" w:name="_Toc32165"/>
      <w:bookmarkStart w:id="542" w:name="_Toc8531"/>
      <w:bookmarkStart w:id="543" w:name="_Toc21736"/>
      <w:bookmarkStart w:id="544" w:name="_Toc21497"/>
      <w:bookmarkStart w:id="545" w:name="_Toc156398372"/>
      <w:r>
        <w:rPr>
          <w:rFonts w:ascii="Times New Roman"/>
          <w:color w:val="auto"/>
          <w:highlight w:val="none"/>
        </w:rPr>
        <w:t xml:space="preserve">8.3 </w:t>
      </w:r>
      <w:r>
        <w:rPr>
          <w:rFonts w:hint="eastAsia" w:ascii="Times New Roman"/>
          <w:color w:val="auto"/>
          <w:highlight w:val="none"/>
        </w:rPr>
        <w:t>对评标委员会成员的纪律要求</w:t>
      </w:r>
      <w:bookmarkEnd w:id="541"/>
      <w:bookmarkEnd w:id="542"/>
      <w:bookmarkEnd w:id="543"/>
      <w:bookmarkEnd w:id="544"/>
      <w:bookmarkEnd w:id="545"/>
    </w:p>
    <w:p>
      <w:pPr>
        <w:spacing w:line="400" w:lineRule="exact"/>
        <w:ind w:firstLine="420" w:firstLineChars="200"/>
        <w:rPr>
          <w:color w:val="auto"/>
          <w:highlight w:val="none"/>
        </w:rPr>
      </w:pPr>
      <w:r>
        <w:rPr>
          <w:rFonts w:hint="eastAsia"/>
          <w:color w:val="auto"/>
          <w:highlight w:val="none"/>
        </w:rPr>
        <w:t>评标委员会成员不得收受他人的财物或者其他好处，不得向他人透露对投标文件的评审</w:t>
      </w:r>
      <w:bookmarkStart w:id="546" w:name="_Toc13644"/>
      <w:bookmarkStart w:id="547" w:name="_Toc352691515"/>
      <w:bookmarkStart w:id="548" w:name="_Toc369531559"/>
      <w:bookmarkStart w:id="549" w:name="_Toc384308253"/>
      <w:bookmarkStart w:id="550" w:name="_Toc361508628"/>
      <w:r>
        <w:rPr>
          <w:rFonts w:hint="eastAsia"/>
          <w:color w:val="auto"/>
          <w:highlight w:val="none"/>
        </w:rPr>
        <w:t>和比较、中标候选人</w:t>
      </w:r>
      <w:bookmarkEnd w:id="525"/>
      <w:bookmarkEnd w:id="526"/>
      <w:bookmarkEnd w:id="527"/>
      <w:bookmarkEnd w:id="528"/>
      <w:bookmarkEnd w:id="529"/>
      <w:bookmarkEnd w:id="530"/>
      <w:bookmarkEnd w:id="546"/>
      <w:bookmarkEnd w:id="547"/>
      <w:bookmarkEnd w:id="548"/>
      <w:bookmarkEnd w:id="549"/>
      <w:bookmarkEnd w:id="550"/>
      <w:r>
        <w:rPr>
          <w:rFonts w:hint="eastAsia"/>
          <w:color w:val="auto"/>
          <w:highlight w:val="none"/>
        </w:rPr>
        <w:t>的推荐情况以及评标有关的其他情况。在评标活动中，评标委员会成员应当客观、公正地履行职责，遵守职业道德，不得擅离职守，影响评标程序正常进行，不得使用第三章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没有规定的评审因素和标准进行评标。</w:t>
      </w:r>
    </w:p>
    <w:p>
      <w:pPr>
        <w:pStyle w:val="4"/>
        <w:spacing w:line="240" w:lineRule="auto"/>
        <w:ind w:firstLine="137"/>
        <w:rPr>
          <w:rFonts w:ascii="Times New Roman"/>
          <w:color w:val="auto"/>
          <w:highlight w:val="none"/>
        </w:rPr>
      </w:pPr>
      <w:bookmarkStart w:id="551" w:name="_Toc156398373"/>
      <w:bookmarkStart w:id="552" w:name="_Toc15154"/>
      <w:bookmarkStart w:id="553" w:name="_Toc6710"/>
      <w:bookmarkStart w:id="554" w:name="_Toc18536"/>
      <w:bookmarkStart w:id="555" w:name="_Toc17818"/>
      <w:r>
        <w:rPr>
          <w:rFonts w:ascii="Times New Roman"/>
          <w:color w:val="auto"/>
          <w:highlight w:val="none"/>
        </w:rPr>
        <w:t xml:space="preserve">8.4 </w:t>
      </w:r>
      <w:r>
        <w:rPr>
          <w:rFonts w:hint="eastAsia" w:ascii="Times New Roman"/>
          <w:color w:val="auto"/>
          <w:highlight w:val="none"/>
        </w:rPr>
        <w:t>对与评标活动有关的工作人员的纪律要求</w:t>
      </w:r>
      <w:bookmarkEnd w:id="551"/>
      <w:bookmarkEnd w:id="552"/>
      <w:bookmarkEnd w:id="553"/>
      <w:bookmarkEnd w:id="554"/>
      <w:bookmarkEnd w:id="555"/>
    </w:p>
    <w:p>
      <w:pPr>
        <w:spacing w:line="400" w:lineRule="exact"/>
        <w:ind w:firstLine="420" w:firstLineChars="200"/>
        <w:rPr>
          <w:color w:val="auto"/>
          <w:highlight w:val="none"/>
        </w:rPr>
      </w:pPr>
      <w:r>
        <w:rPr>
          <w:rFonts w:hint="eastAsia"/>
          <w:color w:val="auto"/>
          <w:highlight w:val="none"/>
        </w:rPr>
        <w:t>与评标活动有关的工作人员不得收受他人的财物或者其他好处，不得向他人透露对投标文件</w:t>
      </w:r>
      <w:bookmarkStart w:id="556" w:name="_Toc247527594"/>
      <w:bookmarkStart w:id="557" w:name="_Toc361508629"/>
      <w:bookmarkStart w:id="558" w:name="_Toc352691516"/>
      <w:bookmarkStart w:id="559" w:name="_Toc144974537"/>
      <w:bookmarkStart w:id="560" w:name="_Toc369531560"/>
      <w:bookmarkStart w:id="561" w:name="_Toc384308254"/>
      <w:bookmarkStart w:id="562" w:name="_Toc152045569"/>
      <w:bookmarkStart w:id="563" w:name="_Toc19429"/>
      <w:bookmarkStart w:id="564" w:name="_Toc300834992"/>
      <w:bookmarkStart w:id="565" w:name="_Toc152042345"/>
      <w:bookmarkStart w:id="566" w:name="_Toc247513993"/>
      <w:r>
        <w:rPr>
          <w:rFonts w:hint="eastAsia"/>
          <w:color w:val="auto"/>
          <w:highlight w:val="none"/>
        </w:rPr>
        <w:t>的评审和比较、中标</w:t>
      </w:r>
      <w:bookmarkEnd w:id="556"/>
      <w:bookmarkEnd w:id="557"/>
      <w:bookmarkEnd w:id="558"/>
      <w:bookmarkEnd w:id="559"/>
      <w:bookmarkEnd w:id="560"/>
      <w:bookmarkEnd w:id="561"/>
      <w:bookmarkEnd w:id="562"/>
      <w:bookmarkEnd w:id="563"/>
      <w:bookmarkEnd w:id="564"/>
      <w:bookmarkEnd w:id="565"/>
      <w:bookmarkEnd w:id="566"/>
      <w:r>
        <w:rPr>
          <w:rFonts w:hint="eastAsia"/>
          <w:color w:val="auto"/>
          <w:highlight w:val="none"/>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color w:val="auto"/>
          <w:highlight w:val="none"/>
        </w:rPr>
      </w:pPr>
      <w:bookmarkStart w:id="567" w:name="_Toc14896"/>
      <w:bookmarkStart w:id="568" w:name="_Toc25807"/>
      <w:bookmarkStart w:id="569" w:name="_Toc156398374"/>
      <w:bookmarkStart w:id="570" w:name="_Toc15148"/>
      <w:bookmarkStart w:id="571" w:name="_Toc25569"/>
      <w:r>
        <w:rPr>
          <w:rFonts w:ascii="Times New Roman"/>
          <w:color w:val="auto"/>
          <w:highlight w:val="none"/>
        </w:rPr>
        <w:t xml:space="preserve">8.5 </w:t>
      </w:r>
      <w:r>
        <w:rPr>
          <w:rFonts w:hint="eastAsia" w:ascii="Times New Roman"/>
          <w:color w:val="auto"/>
          <w:highlight w:val="none"/>
        </w:rPr>
        <w:t>投诉</w:t>
      </w:r>
      <w:bookmarkEnd w:id="567"/>
      <w:bookmarkEnd w:id="568"/>
      <w:bookmarkEnd w:id="569"/>
      <w:bookmarkEnd w:id="570"/>
      <w:bookmarkEnd w:id="571"/>
    </w:p>
    <w:p>
      <w:pPr>
        <w:spacing w:line="400" w:lineRule="exact"/>
        <w:ind w:firstLine="420" w:firstLineChars="200"/>
        <w:rPr>
          <w:color w:val="auto"/>
          <w:highlight w:val="none"/>
        </w:rPr>
      </w:pPr>
      <w:r>
        <w:rPr>
          <w:color w:val="auto"/>
          <w:highlight w:val="none"/>
        </w:rPr>
        <w:t xml:space="preserve">8.5.1 </w:t>
      </w:r>
      <w:r>
        <w:rPr>
          <w:rFonts w:hint="eastAsia"/>
          <w:color w:val="auto"/>
          <w:highlight w:val="none"/>
        </w:rPr>
        <w:t>投标人或者其他利害关系人认为招标投标活动不符合法律、行政法规规定的，可以自知道或者应当知道之日起</w:t>
      </w:r>
      <w:r>
        <w:rPr>
          <w:color w:val="auto"/>
          <w:highlight w:val="none"/>
        </w:rPr>
        <w:t>10</w:t>
      </w:r>
      <w:r>
        <w:rPr>
          <w:rFonts w:hint="eastAsia"/>
          <w:color w:val="auto"/>
          <w:highlight w:val="none"/>
        </w:rPr>
        <w:t>日内向有关行政监督部门投诉。投诉应当有明确的请求和必要的证明材料。</w:t>
      </w:r>
    </w:p>
    <w:p>
      <w:pPr>
        <w:spacing w:line="400" w:lineRule="exact"/>
        <w:ind w:firstLine="420" w:firstLineChars="200"/>
        <w:rPr>
          <w:color w:val="auto"/>
          <w:highlight w:val="none"/>
        </w:rPr>
      </w:pPr>
      <w:r>
        <w:rPr>
          <w:color w:val="auto"/>
          <w:highlight w:val="none"/>
        </w:rPr>
        <w:t xml:space="preserve">8.5.2 </w:t>
      </w:r>
      <w:r>
        <w:rPr>
          <w:rFonts w:hint="eastAsia"/>
          <w:color w:val="auto"/>
          <w:highlight w:val="none"/>
        </w:rPr>
        <w:t>投标人或者其他利害关系人对招标文件、开标和评标结果提出投诉的，应当按照投标人须知第</w:t>
      </w:r>
      <w:r>
        <w:rPr>
          <w:color w:val="auto"/>
          <w:highlight w:val="none"/>
        </w:rPr>
        <w:t>2.4</w:t>
      </w:r>
      <w:r>
        <w:rPr>
          <w:rFonts w:hint="eastAsia"/>
          <w:color w:val="auto"/>
          <w:highlight w:val="none"/>
        </w:rPr>
        <w:t>款、第</w:t>
      </w:r>
      <w:r>
        <w:rPr>
          <w:color w:val="auto"/>
          <w:highlight w:val="none"/>
        </w:rPr>
        <w:t>5.3</w:t>
      </w:r>
      <w:r>
        <w:rPr>
          <w:rFonts w:hint="eastAsia"/>
          <w:color w:val="auto"/>
          <w:highlight w:val="none"/>
        </w:rPr>
        <w:t>款和第</w:t>
      </w:r>
      <w:r>
        <w:rPr>
          <w:color w:val="auto"/>
          <w:highlight w:val="none"/>
        </w:rPr>
        <w:t>7.2</w:t>
      </w:r>
      <w:r>
        <w:rPr>
          <w:rFonts w:hint="eastAsia"/>
          <w:color w:val="auto"/>
          <w:highlight w:val="none"/>
        </w:rPr>
        <w:t>款的规定先向招标人提出异议。异议答复期间</w:t>
      </w:r>
      <w:bookmarkStart w:id="572" w:name="_Toc300834993"/>
      <w:bookmarkStart w:id="573" w:name="_Toc384308255"/>
      <w:bookmarkStart w:id="574" w:name="_Toc152045570"/>
      <w:bookmarkStart w:id="575" w:name="_Toc247513994"/>
      <w:bookmarkStart w:id="576" w:name="_Toc247527595"/>
      <w:bookmarkStart w:id="577" w:name="_Toc361508630"/>
      <w:bookmarkStart w:id="578" w:name="_Toc369531561"/>
      <w:bookmarkStart w:id="579" w:name="_Toc144974538"/>
      <w:bookmarkStart w:id="580" w:name="_Toc152042346"/>
      <w:bookmarkStart w:id="581" w:name="_Toc12776"/>
      <w:bookmarkStart w:id="582" w:name="_Toc352691517"/>
      <w:r>
        <w:rPr>
          <w:rFonts w:hint="eastAsia"/>
          <w:color w:val="auto"/>
          <w:highlight w:val="none"/>
        </w:rPr>
        <w:t>不计算在第</w:t>
      </w:r>
      <w:r>
        <w:rPr>
          <w:color w:val="auto"/>
          <w:highlight w:val="none"/>
        </w:rPr>
        <w:t>8.5.</w:t>
      </w:r>
      <w:bookmarkEnd w:id="572"/>
      <w:bookmarkEnd w:id="573"/>
      <w:bookmarkEnd w:id="574"/>
      <w:bookmarkEnd w:id="575"/>
      <w:bookmarkEnd w:id="576"/>
      <w:bookmarkEnd w:id="577"/>
      <w:bookmarkEnd w:id="578"/>
      <w:bookmarkEnd w:id="579"/>
      <w:bookmarkEnd w:id="580"/>
      <w:bookmarkEnd w:id="581"/>
      <w:bookmarkEnd w:id="582"/>
      <w:r>
        <w:rPr>
          <w:color w:val="auto"/>
          <w:highlight w:val="none"/>
        </w:rPr>
        <w:t>1</w:t>
      </w:r>
      <w:r>
        <w:rPr>
          <w:rFonts w:hint="eastAsia"/>
          <w:color w:val="auto"/>
          <w:highlight w:val="none"/>
        </w:rPr>
        <w:t>项规定的期限内。</w:t>
      </w:r>
    </w:p>
    <w:p>
      <w:pPr>
        <w:pStyle w:val="3"/>
        <w:spacing w:line="240" w:lineRule="auto"/>
        <w:rPr>
          <w:rFonts w:ascii="Times New Roman" w:hAnsi="Times New Roman"/>
          <w:color w:val="auto"/>
          <w:highlight w:val="none"/>
        </w:rPr>
      </w:pPr>
      <w:bookmarkStart w:id="583" w:name="_Toc10299"/>
      <w:bookmarkStart w:id="584" w:name="_Toc7411"/>
      <w:bookmarkStart w:id="585" w:name="_Toc31650"/>
      <w:bookmarkStart w:id="586" w:name="_Toc11016"/>
      <w:bookmarkStart w:id="587" w:name="_Toc477134992"/>
      <w:bookmarkStart w:id="588" w:name="_Toc19397"/>
      <w:bookmarkStart w:id="589" w:name="_Toc156398375"/>
      <w:r>
        <w:rPr>
          <w:rFonts w:ascii="Times New Roman" w:hAnsi="Times New Roman"/>
          <w:color w:val="auto"/>
          <w:highlight w:val="none"/>
        </w:rPr>
        <w:t xml:space="preserve">9. </w:t>
      </w:r>
      <w:r>
        <w:rPr>
          <w:rFonts w:hint="eastAsia" w:ascii="Times New Roman" w:hAnsi="Times New Roman"/>
          <w:color w:val="auto"/>
          <w:highlight w:val="none"/>
        </w:rPr>
        <w:t>是否采用电子招标投标</w:t>
      </w:r>
      <w:bookmarkEnd w:id="583"/>
      <w:bookmarkEnd w:id="584"/>
      <w:bookmarkEnd w:id="585"/>
      <w:bookmarkEnd w:id="586"/>
      <w:bookmarkEnd w:id="587"/>
      <w:bookmarkEnd w:id="588"/>
      <w:bookmarkEnd w:id="589"/>
    </w:p>
    <w:p>
      <w:pPr>
        <w:spacing w:line="400" w:lineRule="exact"/>
        <w:ind w:firstLine="420" w:firstLineChars="200"/>
        <w:rPr>
          <w:color w:val="auto"/>
          <w:highlight w:val="none"/>
        </w:rPr>
      </w:pPr>
      <w:r>
        <w:rPr>
          <w:rFonts w:hint="eastAsia"/>
          <w:color w:val="auto"/>
          <w:highlight w:val="none"/>
        </w:rPr>
        <w:t>本招标项目是否采用电子招标投标方式，见投标人须知前附表。</w:t>
      </w:r>
    </w:p>
    <w:p>
      <w:pPr>
        <w:pStyle w:val="3"/>
        <w:spacing w:line="240" w:lineRule="auto"/>
        <w:rPr>
          <w:rFonts w:ascii="Times New Roman" w:hAnsi="Times New Roman"/>
          <w:color w:val="auto"/>
          <w:highlight w:val="none"/>
        </w:rPr>
      </w:pPr>
      <w:bookmarkStart w:id="590" w:name="_Toc9947"/>
      <w:bookmarkStart w:id="591" w:name="_Toc17001"/>
      <w:bookmarkStart w:id="592" w:name="_Toc23581"/>
      <w:bookmarkStart w:id="593" w:name="_Toc7262"/>
      <w:bookmarkStart w:id="594" w:name="_Toc13075"/>
      <w:bookmarkStart w:id="595" w:name="_Toc156398376"/>
      <w:r>
        <w:rPr>
          <w:rFonts w:ascii="Times New Roman" w:hAnsi="Times New Roman"/>
          <w:color w:val="auto"/>
          <w:highlight w:val="none"/>
        </w:rPr>
        <w:t xml:space="preserve">10. </w:t>
      </w:r>
      <w:r>
        <w:rPr>
          <w:rFonts w:hint="eastAsia" w:ascii="Times New Roman" w:hAnsi="Times New Roman"/>
          <w:color w:val="auto"/>
          <w:highlight w:val="none"/>
        </w:rPr>
        <w:t>需要补充的其他内容</w:t>
      </w:r>
      <w:bookmarkEnd w:id="590"/>
      <w:bookmarkEnd w:id="591"/>
      <w:bookmarkEnd w:id="592"/>
      <w:bookmarkEnd w:id="593"/>
      <w:bookmarkEnd w:id="594"/>
      <w:bookmarkEnd w:id="595"/>
    </w:p>
    <w:p>
      <w:pPr>
        <w:spacing w:line="400" w:lineRule="exact"/>
        <w:ind w:firstLine="420" w:firstLineChars="200"/>
        <w:rPr>
          <w:rFonts w:hint="eastAsia"/>
          <w:color w:val="auto"/>
          <w:highlight w:val="none"/>
        </w:rPr>
      </w:pPr>
      <w:r>
        <w:rPr>
          <w:rFonts w:hint="eastAsia"/>
          <w:color w:val="auto"/>
          <w:highlight w:val="none"/>
        </w:rPr>
        <w:t>需要补充的其他内容：见投标人须知前附表。</w:t>
      </w:r>
    </w:p>
    <w:p>
      <w:pPr>
        <w:rPr>
          <w:rFonts w:hint="eastAsia"/>
          <w:color w:val="auto"/>
          <w:highlight w:val="none"/>
        </w:rPr>
      </w:pPr>
      <w:bookmarkStart w:id="596" w:name="_Toc7034"/>
      <w:bookmarkStart w:id="597" w:name="_Toc8047"/>
      <w:bookmarkStart w:id="598" w:name="_Toc156398377"/>
      <w:bookmarkStart w:id="599" w:name="_Toc24694"/>
      <w:bookmarkStart w:id="600" w:name="_Toc18713"/>
      <w:bookmarkStart w:id="601" w:name="_Toc18738"/>
      <w:r>
        <w:rPr>
          <w:rFonts w:hint="eastAsia" w:ascii="Times New Roman"/>
          <w:color w:val="auto"/>
          <w:highlight w:val="none"/>
        </w:rPr>
        <w:br w:type="page"/>
      </w:r>
    </w:p>
    <w:p>
      <w:pPr>
        <w:pStyle w:val="3"/>
        <w:spacing w:line="360" w:lineRule="auto"/>
        <w:ind w:firstLine="137"/>
        <w:outlineLvl w:val="1"/>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附件一：开标记录表</w:t>
      </w:r>
      <w:bookmarkEnd w:id="596"/>
      <w:bookmarkEnd w:id="597"/>
      <w:bookmarkEnd w:id="598"/>
      <w:bookmarkEnd w:id="599"/>
      <w:bookmarkEnd w:id="600"/>
      <w:bookmarkEnd w:id="601"/>
    </w:p>
    <w:p>
      <w:pPr>
        <w:spacing w:line="440" w:lineRule="exact"/>
        <w:jc w:val="center"/>
        <w:rPr>
          <w:rFonts w:eastAsia="黑体"/>
          <w:color w:val="auto"/>
          <w:sz w:val="28"/>
          <w:highlight w:val="none"/>
        </w:rPr>
      </w:pPr>
      <w:r>
        <w:rPr>
          <w:rFonts w:hint="eastAsia" w:eastAsia="黑体"/>
          <w:color w:val="auto"/>
          <w:sz w:val="28"/>
          <w:highlight w:val="none"/>
        </w:rPr>
        <w:t>开标记录表</w:t>
      </w:r>
    </w:p>
    <w:p>
      <w:pPr>
        <w:spacing w:before="156" w:beforeLines="50" w:after="156" w:afterLines="50" w:line="400" w:lineRule="exact"/>
        <w:ind w:right="840" w:firstLine="1050" w:firstLineChars="500"/>
        <w:rPr>
          <w:color w:val="auto"/>
          <w:highlight w:val="none"/>
        </w:rPr>
      </w:pPr>
      <w:r>
        <w:rPr>
          <w:rFonts w:hint="eastAsia"/>
          <w:color w:val="auto"/>
          <w:highlight w:val="none"/>
        </w:rPr>
        <w:t>开标时间：</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r>
        <w:rPr>
          <w:color w:val="auto"/>
          <w:highlight w:val="none"/>
          <w:u w:val="single"/>
        </w:rPr>
        <w:t xml:space="preserve">         </w:t>
      </w:r>
      <w:r>
        <w:rPr>
          <w:rFonts w:hint="eastAsia"/>
          <w:color w:val="auto"/>
          <w:highlight w:val="none"/>
        </w:rPr>
        <w:t>时</w:t>
      </w:r>
      <w:r>
        <w:rPr>
          <w:color w:val="auto"/>
          <w:highlight w:val="none"/>
          <w:u w:val="single"/>
        </w:rPr>
        <w:t xml:space="preserve">         </w:t>
      </w:r>
      <w:r>
        <w:rPr>
          <w:rFonts w:hint="eastAsia"/>
          <w:color w:val="auto"/>
          <w:highlight w:val="none"/>
        </w:rPr>
        <w:t>分</w:t>
      </w:r>
    </w:p>
    <w:tbl>
      <w:tblPr>
        <w:tblStyle w:val="14"/>
        <w:tblW w:w="4998" w:type="pct"/>
        <w:jc w:val="center"/>
        <w:tblLayout w:type="autofit"/>
        <w:tblCellMar>
          <w:top w:w="0" w:type="dxa"/>
          <w:left w:w="108" w:type="dxa"/>
          <w:bottom w:w="0" w:type="dxa"/>
          <w:right w:w="108" w:type="dxa"/>
        </w:tblCellMar>
      </w:tblPr>
      <w:tblGrid>
        <w:gridCol w:w="853"/>
        <w:gridCol w:w="1342"/>
        <w:gridCol w:w="1307"/>
        <w:gridCol w:w="1497"/>
        <w:gridCol w:w="935"/>
        <w:gridCol w:w="935"/>
        <w:gridCol w:w="935"/>
        <w:gridCol w:w="1308"/>
      </w:tblGrid>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18"/>
                <w:highlight w:val="none"/>
              </w:rPr>
            </w:pPr>
            <w:r>
              <w:rPr>
                <w:rFonts w:hint="eastAsia"/>
                <w:color w:val="auto"/>
                <w:sz w:val="18"/>
                <w:highlight w:val="none"/>
              </w:rPr>
              <w:t>序号</w:t>
            </w:r>
          </w:p>
        </w:tc>
        <w:tc>
          <w:tcPr>
            <w:tcW w:w="73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18"/>
                <w:highlight w:val="none"/>
              </w:rPr>
            </w:pPr>
            <w:r>
              <w:rPr>
                <w:rFonts w:hint="eastAsia"/>
                <w:color w:val="auto"/>
                <w:sz w:val="18"/>
                <w:highlight w:val="none"/>
              </w:rPr>
              <w:t>投标人</w:t>
            </w:r>
          </w:p>
        </w:tc>
        <w:tc>
          <w:tcPr>
            <w:tcW w:w="71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18"/>
                <w:highlight w:val="none"/>
              </w:rPr>
            </w:pPr>
            <w:r>
              <w:rPr>
                <w:rFonts w:hint="eastAsia"/>
                <w:color w:val="auto"/>
                <w:sz w:val="18"/>
                <w:highlight w:val="none"/>
              </w:rPr>
              <w:t>投标保证金</w:t>
            </w:r>
          </w:p>
        </w:tc>
        <w:tc>
          <w:tcPr>
            <w:tcW w:w="821"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18"/>
                <w:highlight w:val="none"/>
              </w:rPr>
            </w:pPr>
            <w:r>
              <w:rPr>
                <w:rFonts w:hint="eastAsia"/>
                <w:color w:val="auto"/>
                <w:sz w:val="18"/>
                <w:highlight w:val="none"/>
              </w:rPr>
              <w:t>投标报价</w:t>
            </w:r>
          </w:p>
          <w:p>
            <w:pPr>
              <w:spacing w:line="500" w:lineRule="exact"/>
              <w:jc w:val="center"/>
              <w:rPr>
                <w:color w:val="auto"/>
                <w:sz w:val="18"/>
                <w:highlight w:val="none"/>
              </w:rPr>
            </w:pPr>
            <w:r>
              <w:rPr>
                <w:rFonts w:hint="eastAsia"/>
                <w:color w:val="auto"/>
                <w:sz w:val="18"/>
                <w:highlight w:val="none"/>
              </w:rPr>
              <w:t>（万元）</w:t>
            </w: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sz w:val="18"/>
                <w:highlight w:val="none"/>
              </w:rPr>
            </w:pPr>
            <w:r>
              <w:rPr>
                <w:rFonts w:hint="eastAsia"/>
                <w:color w:val="auto"/>
                <w:sz w:val="18"/>
                <w:highlight w:val="none"/>
              </w:rPr>
              <w:t>投标文件递交</w:t>
            </w: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sz w:val="18"/>
                <w:highlight w:val="none"/>
              </w:rPr>
            </w:pPr>
            <w:r>
              <w:rPr>
                <w:rFonts w:hint="eastAsia"/>
                <w:color w:val="auto"/>
                <w:sz w:val="18"/>
                <w:highlight w:val="none"/>
              </w:rPr>
              <w:t>解密情况</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18"/>
                <w:highlight w:val="none"/>
              </w:rPr>
            </w:pPr>
            <w:r>
              <w:rPr>
                <w:rFonts w:hint="eastAsia"/>
                <w:color w:val="auto"/>
                <w:sz w:val="18"/>
                <w:highlight w:val="none"/>
              </w:rPr>
              <w:t>备注</w:t>
            </w:r>
          </w:p>
        </w:tc>
        <w:tc>
          <w:tcPr>
            <w:tcW w:w="71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18"/>
                <w:highlight w:val="none"/>
              </w:rPr>
            </w:pPr>
            <w:r>
              <w:rPr>
                <w:rFonts w:hint="eastAsia"/>
                <w:color w:val="auto"/>
                <w:sz w:val="18"/>
                <w:highlight w:val="none"/>
              </w:rPr>
              <w:t>投标人代表签名</w:t>
            </w: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trHeight w:val="502" w:hRule="atLeast"/>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bookmarkStart w:id="602" w:name="_Toc17638" w:colFirst="8" w:colLast="8"/>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tr>
        <w:tblPrEx>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color w:val="auto"/>
                <w:highlight w:val="none"/>
              </w:rPr>
            </w:pPr>
          </w:p>
        </w:tc>
      </w:tr>
      <w:bookmarkEnd w:id="602"/>
    </w:tbl>
    <w:p>
      <w:pPr>
        <w:spacing w:line="440" w:lineRule="exact"/>
        <w:rPr>
          <w:color w:val="auto"/>
          <w:highlight w:val="none"/>
        </w:rPr>
      </w:pPr>
      <w:r>
        <w:rPr>
          <w:rFonts w:hint="eastAsia"/>
          <w:color w:val="auto"/>
          <w:highlight w:val="none"/>
        </w:rPr>
        <w:t>　　　</w:t>
      </w:r>
    </w:p>
    <w:p>
      <w:pPr>
        <w:spacing w:line="620" w:lineRule="exact"/>
        <w:rPr>
          <w:color w:val="auto"/>
          <w:highlight w:val="none"/>
        </w:rPr>
      </w:pPr>
      <w:r>
        <w:rPr>
          <w:rFonts w:hint="eastAsia"/>
          <w:color w:val="auto"/>
          <w:highlight w:val="none"/>
        </w:rPr>
        <w:t>招标人代表：</w:t>
      </w:r>
      <w:r>
        <w:rPr>
          <w:color w:val="auto"/>
          <w:highlight w:val="none"/>
          <w:u w:val="single"/>
        </w:rPr>
        <w:t xml:space="preserve">       </w:t>
      </w:r>
      <w:r>
        <w:rPr>
          <w:color w:val="auto"/>
          <w:highlight w:val="none"/>
        </w:rPr>
        <w:t xml:space="preserve">        </w:t>
      </w:r>
      <w:r>
        <w:rPr>
          <w:rFonts w:hint="eastAsia"/>
          <w:color w:val="auto"/>
          <w:highlight w:val="none"/>
        </w:rPr>
        <w:t>记录人：</w:t>
      </w:r>
      <w:r>
        <w:rPr>
          <w:color w:val="auto"/>
          <w:highlight w:val="none"/>
          <w:u w:val="single"/>
        </w:rPr>
        <w:t xml:space="preserve">       </w:t>
      </w:r>
      <w:r>
        <w:rPr>
          <w:color w:val="auto"/>
          <w:highlight w:val="none"/>
        </w:rPr>
        <w:t xml:space="preserve">       </w:t>
      </w:r>
      <w:r>
        <w:rPr>
          <w:rFonts w:hint="eastAsia"/>
          <w:color w:val="auto"/>
          <w:highlight w:val="none"/>
        </w:rPr>
        <w:t>监标人：</w:t>
      </w:r>
      <w:r>
        <w:rPr>
          <w:color w:val="auto"/>
          <w:highlight w:val="none"/>
          <w:u w:val="single"/>
        </w:rPr>
        <w:t xml:space="preserve">       </w:t>
      </w:r>
    </w:p>
    <w:p>
      <w:pPr>
        <w:spacing w:line="620" w:lineRule="exact"/>
        <w:jc w:val="right"/>
        <w:rPr>
          <w:color w:val="auto"/>
          <w:sz w:val="20"/>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spacing w:line="440" w:lineRule="exact"/>
        <w:rPr>
          <w:color w:val="auto"/>
          <w:highlight w:val="none"/>
        </w:rPr>
      </w:pPr>
      <w:r>
        <w:rPr>
          <w:color w:val="auto"/>
          <w:highlight w:val="none"/>
        </w:rPr>
        <w:br w:type="page"/>
      </w:r>
    </w:p>
    <w:p>
      <w:pPr>
        <w:pStyle w:val="3"/>
        <w:spacing w:line="360" w:lineRule="auto"/>
        <w:ind w:firstLine="137"/>
        <w:outlineLvl w:val="1"/>
        <w:rPr>
          <w:rFonts w:hint="eastAsia" w:ascii="黑体" w:hAnsi="黑体" w:eastAsia="黑体" w:cs="黑体"/>
          <w:b w:val="0"/>
          <w:bCs w:val="0"/>
          <w:color w:val="auto"/>
          <w:sz w:val="28"/>
          <w:szCs w:val="28"/>
          <w:highlight w:val="none"/>
        </w:rPr>
      </w:pPr>
      <w:bookmarkStart w:id="603" w:name="_Toc18033"/>
      <w:bookmarkStart w:id="604" w:name="_Toc156398378"/>
      <w:bookmarkStart w:id="605" w:name="_Toc19436"/>
      <w:bookmarkStart w:id="606" w:name="_Toc2435"/>
      <w:bookmarkStart w:id="607" w:name="_Toc7730"/>
      <w:r>
        <w:rPr>
          <w:rFonts w:hint="eastAsia" w:ascii="黑体" w:hAnsi="黑体" w:eastAsia="黑体" w:cs="黑体"/>
          <w:b w:val="0"/>
          <w:bCs w:val="0"/>
          <w:color w:val="auto"/>
          <w:sz w:val="28"/>
          <w:szCs w:val="28"/>
          <w:highlight w:val="none"/>
        </w:rPr>
        <w:t>附件二：问题澄清通知</w:t>
      </w:r>
      <w:bookmarkEnd w:id="603"/>
      <w:bookmarkEnd w:id="604"/>
      <w:bookmarkEnd w:id="605"/>
      <w:bookmarkEnd w:id="606"/>
      <w:bookmarkEnd w:id="607"/>
    </w:p>
    <w:p>
      <w:pPr>
        <w:spacing w:line="440" w:lineRule="exact"/>
        <w:jc w:val="center"/>
        <w:rPr>
          <w:color w:val="auto"/>
          <w:highlight w:val="none"/>
        </w:rPr>
      </w:pPr>
    </w:p>
    <w:p>
      <w:pPr>
        <w:spacing w:line="440" w:lineRule="exact"/>
        <w:jc w:val="center"/>
        <w:rPr>
          <w:color w:val="auto"/>
          <w:highlight w:val="none"/>
        </w:rPr>
      </w:pPr>
      <w:r>
        <w:rPr>
          <w:rFonts w:hint="eastAsia" w:eastAsia="黑体"/>
          <w:color w:val="auto"/>
          <w:sz w:val="28"/>
          <w:highlight w:val="none"/>
        </w:rPr>
        <w:t>以交易中心提供的格式为准</w:t>
      </w:r>
      <w:bookmarkStart w:id="608" w:name="_Toc144974546"/>
      <w:bookmarkStart w:id="609" w:name="_Toc152042355"/>
    </w:p>
    <w:p>
      <w:pPr>
        <w:spacing w:line="400" w:lineRule="exact"/>
        <w:rPr>
          <w:color w:val="auto"/>
          <w:highlight w:val="none"/>
        </w:rPr>
      </w:pPr>
      <w:r>
        <w:rPr>
          <w:color w:val="auto"/>
          <w:highlight w:val="none"/>
        </w:rPr>
        <w:br w:type="page"/>
      </w:r>
    </w:p>
    <w:p>
      <w:pPr>
        <w:pStyle w:val="3"/>
        <w:spacing w:line="360" w:lineRule="auto"/>
        <w:ind w:firstLine="137"/>
        <w:outlineLvl w:val="1"/>
        <w:rPr>
          <w:rFonts w:hint="eastAsia" w:ascii="黑体" w:hAnsi="黑体" w:eastAsia="黑体" w:cs="黑体"/>
          <w:b w:val="0"/>
          <w:bCs w:val="0"/>
          <w:color w:val="auto"/>
          <w:sz w:val="28"/>
          <w:szCs w:val="28"/>
          <w:highlight w:val="none"/>
        </w:rPr>
      </w:pPr>
      <w:bookmarkStart w:id="610" w:name="_Toc23046"/>
      <w:bookmarkStart w:id="611" w:name="_Toc16871"/>
      <w:bookmarkStart w:id="612" w:name="_Toc26405"/>
      <w:bookmarkStart w:id="613" w:name="_Toc31764"/>
      <w:bookmarkStart w:id="614" w:name="_Toc156398379"/>
      <w:r>
        <w:rPr>
          <w:rFonts w:hint="eastAsia" w:ascii="黑体" w:hAnsi="黑体" w:eastAsia="黑体" w:cs="黑体"/>
          <w:b w:val="0"/>
          <w:bCs w:val="0"/>
          <w:color w:val="auto"/>
          <w:sz w:val="28"/>
          <w:szCs w:val="28"/>
          <w:highlight w:val="none"/>
        </w:rPr>
        <w:t>附件三：问题的澄清</w:t>
      </w:r>
      <w:bookmarkEnd w:id="610"/>
      <w:bookmarkEnd w:id="611"/>
      <w:bookmarkEnd w:id="612"/>
      <w:bookmarkEnd w:id="613"/>
      <w:bookmarkEnd w:id="614"/>
    </w:p>
    <w:p>
      <w:pPr>
        <w:spacing w:line="400" w:lineRule="exact"/>
        <w:jc w:val="center"/>
        <w:rPr>
          <w:rFonts w:eastAsia="黑体"/>
          <w:color w:val="auto"/>
          <w:sz w:val="28"/>
          <w:highlight w:val="none"/>
        </w:rPr>
      </w:pPr>
    </w:p>
    <w:bookmarkEnd w:id="608"/>
    <w:bookmarkEnd w:id="609"/>
    <w:p>
      <w:pPr>
        <w:spacing w:line="440" w:lineRule="exact"/>
        <w:jc w:val="center"/>
        <w:rPr>
          <w:color w:val="auto"/>
          <w:highlight w:val="none"/>
        </w:rPr>
      </w:pPr>
      <w:r>
        <w:rPr>
          <w:rFonts w:hint="eastAsia" w:eastAsia="黑体"/>
          <w:color w:val="auto"/>
          <w:sz w:val="28"/>
          <w:highlight w:val="none"/>
        </w:rPr>
        <w:t>以交易中心提供的格式为准</w:t>
      </w:r>
    </w:p>
    <w:p>
      <w:pPr>
        <w:spacing w:line="400" w:lineRule="exact"/>
        <w:rPr>
          <w:color w:val="auto"/>
          <w:highlight w:val="none"/>
        </w:rPr>
      </w:pPr>
    </w:p>
    <w:p>
      <w:pPr>
        <w:pStyle w:val="3"/>
        <w:spacing w:line="360" w:lineRule="auto"/>
        <w:ind w:firstLine="137"/>
        <w:outlineLvl w:val="1"/>
        <w:rPr>
          <w:rFonts w:hint="eastAsia" w:ascii="黑体" w:hAnsi="黑体" w:eastAsia="黑体" w:cs="黑体"/>
          <w:b w:val="0"/>
          <w:bCs w:val="0"/>
          <w:color w:val="auto"/>
          <w:sz w:val="28"/>
          <w:szCs w:val="28"/>
          <w:highlight w:val="none"/>
        </w:rPr>
      </w:pPr>
      <w:bookmarkStart w:id="615" w:name="_Toc156398380"/>
      <w:bookmarkStart w:id="616" w:name="_Toc8657"/>
      <w:bookmarkStart w:id="617" w:name="_Toc15042"/>
      <w:bookmarkStart w:id="618" w:name="_Toc7782"/>
      <w:bookmarkStart w:id="619" w:name="_Toc17832"/>
      <w:r>
        <w:rPr>
          <w:rFonts w:hint="eastAsia" w:ascii="黑体" w:hAnsi="黑体" w:eastAsia="黑体" w:cs="黑体"/>
          <w:b w:val="0"/>
          <w:bCs w:val="0"/>
          <w:color w:val="auto"/>
          <w:sz w:val="28"/>
          <w:szCs w:val="28"/>
          <w:highlight w:val="none"/>
        </w:rPr>
        <w:t>附件四：中标通知书</w:t>
      </w:r>
      <w:bookmarkEnd w:id="615"/>
      <w:bookmarkEnd w:id="616"/>
      <w:bookmarkEnd w:id="617"/>
      <w:bookmarkEnd w:id="618"/>
      <w:bookmarkEnd w:id="619"/>
    </w:p>
    <w:p>
      <w:pPr>
        <w:spacing w:line="400" w:lineRule="exact"/>
        <w:rPr>
          <w:color w:val="auto"/>
          <w:highlight w:val="none"/>
        </w:rPr>
      </w:pPr>
    </w:p>
    <w:p>
      <w:pPr>
        <w:spacing w:line="400" w:lineRule="exact"/>
        <w:jc w:val="center"/>
        <w:rPr>
          <w:rFonts w:eastAsia="黑体"/>
          <w:color w:val="auto"/>
          <w:sz w:val="28"/>
          <w:highlight w:val="none"/>
        </w:rPr>
      </w:pPr>
      <w:r>
        <w:rPr>
          <w:rFonts w:hint="eastAsia" w:eastAsia="黑体"/>
          <w:color w:val="auto"/>
          <w:sz w:val="28"/>
          <w:highlight w:val="none"/>
        </w:rPr>
        <w:t>中标通知书</w:t>
      </w:r>
    </w:p>
    <w:p>
      <w:pPr>
        <w:spacing w:line="400" w:lineRule="exact"/>
        <w:jc w:val="center"/>
        <w:rPr>
          <w:rFonts w:eastAsia="黑体"/>
          <w:color w:val="auto"/>
          <w:sz w:val="28"/>
          <w:highlight w:val="none"/>
        </w:rPr>
      </w:pPr>
    </w:p>
    <w:p>
      <w:pPr>
        <w:rPr>
          <w:rFonts w:ascii="宋体"/>
          <w:bCs/>
          <w:color w:val="auto"/>
          <w:highlight w:val="none"/>
        </w:rPr>
      </w:pPr>
      <w:r>
        <w:rPr>
          <w:rFonts w:hint="eastAsia" w:ascii="宋体"/>
          <w:bCs/>
          <w:color w:val="auto"/>
          <w:highlight w:val="none"/>
        </w:rPr>
        <w:t>以广州公共资源交易中心印制的《广州建设工程中标通知书》为准。</w:t>
      </w:r>
    </w:p>
    <w:p>
      <w:pPr>
        <w:spacing w:line="400" w:lineRule="exact"/>
        <w:rPr>
          <w:rFonts w:hint="eastAsia" w:eastAsia="黑体"/>
          <w:color w:val="auto"/>
          <w:sz w:val="28"/>
          <w:highlight w:val="none"/>
        </w:rPr>
      </w:pPr>
    </w:p>
    <w:p>
      <w:pPr>
        <w:spacing w:line="400" w:lineRule="exact"/>
        <w:rPr>
          <w:color w:val="auto"/>
          <w:highlight w:val="none"/>
        </w:rPr>
      </w:pPr>
    </w:p>
    <w:p>
      <w:pPr>
        <w:pStyle w:val="3"/>
        <w:spacing w:line="360" w:lineRule="auto"/>
        <w:ind w:firstLine="137"/>
        <w:outlineLvl w:val="1"/>
        <w:rPr>
          <w:rFonts w:hint="eastAsia" w:ascii="黑体" w:hAnsi="黑体" w:eastAsia="黑体" w:cs="黑体"/>
          <w:b w:val="0"/>
          <w:bCs w:val="0"/>
          <w:color w:val="auto"/>
          <w:sz w:val="28"/>
          <w:szCs w:val="28"/>
          <w:highlight w:val="none"/>
        </w:rPr>
      </w:pPr>
      <w:bookmarkStart w:id="620" w:name="_Toc156398381"/>
      <w:bookmarkStart w:id="621" w:name="_Toc29681"/>
      <w:bookmarkStart w:id="622" w:name="_Toc24046"/>
      <w:bookmarkStart w:id="623" w:name="_Toc17539"/>
      <w:bookmarkStart w:id="624" w:name="_Toc29738"/>
      <w:r>
        <w:rPr>
          <w:rFonts w:hint="eastAsia" w:ascii="黑体" w:hAnsi="黑体" w:eastAsia="黑体" w:cs="黑体"/>
          <w:b w:val="0"/>
          <w:bCs w:val="0"/>
          <w:color w:val="auto"/>
          <w:sz w:val="28"/>
          <w:szCs w:val="28"/>
          <w:highlight w:val="none"/>
        </w:rPr>
        <w:t>附件五：中标结果通知书</w:t>
      </w:r>
      <w:bookmarkEnd w:id="620"/>
      <w:bookmarkEnd w:id="621"/>
      <w:bookmarkEnd w:id="622"/>
      <w:bookmarkEnd w:id="623"/>
      <w:bookmarkEnd w:id="624"/>
    </w:p>
    <w:p>
      <w:pPr>
        <w:spacing w:line="400" w:lineRule="exact"/>
        <w:rPr>
          <w:color w:val="auto"/>
          <w:highlight w:val="none"/>
        </w:rPr>
      </w:pPr>
    </w:p>
    <w:p>
      <w:pPr>
        <w:spacing w:line="400" w:lineRule="exact"/>
        <w:jc w:val="center"/>
        <w:rPr>
          <w:rFonts w:eastAsia="黑体"/>
          <w:color w:val="auto"/>
          <w:sz w:val="28"/>
          <w:highlight w:val="none"/>
        </w:rPr>
      </w:pPr>
      <w:r>
        <w:rPr>
          <w:rFonts w:hint="eastAsia" w:eastAsia="黑体"/>
          <w:color w:val="auto"/>
          <w:sz w:val="28"/>
          <w:highlight w:val="none"/>
        </w:rPr>
        <w:t>中标结果通知书</w:t>
      </w:r>
    </w:p>
    <w:p>
      <w:pPr>
        <w:spacing w:line="400" w:lineRule="exact"/>
        <w:rPr>
          <w:color w:val="auto"/>
          <w:highlight w:val="none"/>
        </w:rPr>
      </w:pPr>
    </w:p>
    <w:p>
      <w:pPr>
        <w:spacing w:line="440" w:lineRule="exact"/>
        <w:rPr>
          <w:color w:val="auto"/>
          <w:highlight w:val="none"/>
        </w:rPr>
      </w:pPr>
      <w:r>
        <w:rPr>
          <w:color w:val="auto"/>
          <w:highlight w:val="none"/>
          <w:u w:val="single"/>
        </w:rPr>
        <w:t xml:space="preserve">                     </w:t>
      </w:r>
      <w:r>
        <w:rPr>
          <w:rFonts w:hint="eastAsia"/>
          <w:color w:val="auto"/>
          <w:highlight w:val="none"/>
        </w:rPr>
        <w:t>（未中标人名称）：</w:t>
      </w:r>
    </w:p>
    <w:p>
      <w:pPr>
        <w:spacing w:line="440" w:lineRule="exact"/>
        <w:rPr>
          <w:color w:val="auto"/>
          <w:highlight w:val="none"/>
        </w:rPr>
      </w:pPr>
    </w:p>
    <w:p>
      <w:pPr>
        <w:spacing w:line="440" w:lineRule="exact"/>
        <w:ind w:firstLine="420"/>
        <w:rPr>
          <w:color w:val="auto"/>
          <w:highlight w:val="none"/>
        </w:rPr>
      </w:pPr>
      <w:r>
        <w:rPr>
          <w:rFonts w:hint="eastAsia"/>
          <w:color w:val="auto"/>
          <w:highlight w:val="none"/>
        </w:rPr>
        <w:t>我方已接受</w:t>
      </w:r>
      <w:r>
        <w:rPr>
          <w:color w:val="auto"/>
          <w:highlight w:val="none"/>
          <w:u w:val="single"/>
        </w:rPr>
        <w:t xml:space="preserve">          </w:t>
      </w:r>
      <w:r>
        <w:rPr>
          <w:rFonts w:hint="eastAsia"/>
          <w:color w:val="auto"/>
          <w:highlight w:val="none"/>
        </w:rPr>
        <w:t>（中标人名称）于</w:t>
      </w:r>
      <w:r>
        <w:rPr>
          <w:color w:val="auto"/>
          <w:highlight w:val="none"/>
          <w:u w:val="single"/>
        </w:rPr>
        <w:t xml:space="preserve">        </w:t>
      </w:r>
      <w:r>
        <w:rPr>
          <w:rFonts w:hint="eastAsia"/>
          <w:color w:val="auto"/>
          <w:highlight w:val="none"/>
        </w:rPr>
        <w:t>（投标日期）所递交的</w:t>
      </w:r>
      <w:r>
        <w:rPr>
          <w:color w:val="auto"/>
          <w:highlight w:val="none"/>
          <w:u w:val="single"/>
        </w:rPr>
        <w:t xml:space="preserve">               </w:t>
      </w:r>
      <w:r>
        <w:rPr>
          <w:rFonts w:hint="eastAsia"/>
          <w:color w:val="auto"/>
          <w:highlight w:val="none"/>
        </w:rPr>
        <w:t>（项目名称）的投标文件，确定</w:t>
      </w:r>
      <w:r>
        <w:rPr>
          <w:color w:val="auto"/>
          <w:highlight w:val="none"/>
          <w:u w:val="single"/>
        </w:rPr>
        <w:t xml:space="preserve">                     </w:t>
      </w:r>
      <w:r>
        <w:rPr>
          <w:rFonts w:hint="eastAsia"/>
          <w:color w:val="auto"/>
          <w:highlight w:val="none"/>
        </w:rPr>
        <w:t>（中标人名称）为中标人。</w:t>
      </w:r>
    </w:p>
    <w:p>
      <w:pPr>
        <w:spacing w:line="440" w:lineRule="exact"/>
        <w:ind w:firstLine="420"/>
        <w:rPr>
          <w:color w:val="auto"/>
          <w:highlight w:val="none"/>
        </w:rPr>
      </w:pPr>
      <w:r>
        <w:rPr>
          <w:rFonts w:hint="eastAsia"/>
          <w:color w:val="auto"/>
          <w:highlight w:val="none"/>
        </w:rPr>
        <w:t>感谢你单位对招标项目的参与！</w:t>
      </w: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ind w:firstLine="3045" w:firstLineChars="1450"/>
        <w:rPr>
          <w:color w:val="auto"/>
          <w:highlight w:val="none"/>
        </w:rPr>
      </w:pPr>
      <w:r>
        <w:rPr>
          <w:rFonts w:hint="eastAsia"/>
          <w:color w:val="auto"/>
          <w:highlight w:val="none"/>
        </w:rPr>
        <w:t>招标人：</w:t>
      </w:r>
      <w:r>
        <w:rPr>
          <w:rFonts w:eastAsia="黑体"/>
          <w:color w:val="auto"/>
          <w:sz w:val="28"/>
          <w:highlight w:val="none"/>
          <w:u w:val="single"/>
        </w:rPr>
        <w:t xml:space="preserve">               </w:t>
      </w:r>
      <w:r>
        <w:rPr>
          <w:rFonts w:hint="eastAsia"/>
          <w:color w:val="auto"/>
          <w:highlight w:val="none"/>
        </w:rPr>
        <w:t>（盖单位章）</w:t>
      </w:r>
    </w:p>
    <w:p>
      <w:pPr>
        <w:spacing w:line="440" w:lineRule="exact"/>
        <w:rPr>
          <w:color w:val="auto"/>
          <w:highlight w:val="none"/>
        </w:rPr>
      </w:pPr>
    </w:p>
    <w:p>
      <w:pPr>
        <w:bidi w:val="0"/>
        <w:ind w:firstLine="4620" w:firstLineChars="2200"/>
        <w:rPr>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spacing w:line="400" w:lineRule="exact"/>
        <w:rPr>
          <w:color w:val="auto"/>
          <w:highlight w:val="none"/>
        </w:rPr>
      </w:pPr>
    </w:p>
    <w:p>
      <w:pPr>
        <w:pStyle w:val="2"/>
        <w:jc w:val="center"/>
        <w:rPr>
          <w:color w:val="auto"/>
          <w:highlight w:val="none"/>
        </w:rPr>
      </w:pPr>
      <w:r>
        <w:rPr>
          <w:color w:val="auto"/>
          <w:highlight w:val="none"/>
        </w:rPr>
        <w:br w:type="page"/>
      </w:r>
      <w:bookmarkStart w:id="625" w:name="_Toc27388"/>
      <w:bookmarkStart w:id="626" w:name="_Toc23256"/>
      <w:bookmarkStart w:id="627" w:name="_Toc32525"/>
      <w:bookmarkStart w:id="628" w:name="_Toc15221"/>
      <w:bookmarkStart w:id="629" w:name="_Toc156398382"/>
      <w:bookmarkStart w:id="630" w:name="_Toc10237"/>
      <w:bookmarkStart w:id="631" w:name="_Toc29125"/>
      <w:r>
        <w:rPr>
          <w:rFonts w:hint="eastAsia"/>
          <w:color w:val="auto"/>
          <w:highlight w:val="none"/>
        </w:rPr>
        <w:t>第三章评标办法（综合评估法）</w:t>
      </w:r>
      <w:bookmarkEnd w:id="625"/>
      <w:bookmarkEnd w:id="626"/>
      <w:bookmarkEnd w:id="627"/>
      <w:bookmarkEnd w:id="628"/>
      <w:bookmarkEnd w:id="629"/>
      <w:bookmarkEnd w:id="630"/>
      <w:bookmarkEnd w:id="631"/>
    </w:p>
    <w:p>
      <w:pPr>
        <w:pStyle w:val="3"/>
        <w:rPr>
          <w:rFonts w:ascii="Times New Roman" w:hAnsi="Times New Roman"/>
          <w:color w:val="auto"/>
          <w:highlight w:val="none"/>
        </w:rPr>
      </w:pPr>
      <w:bookmarkStart w:id="632" w:name="_Toc15359"/>
      <w:bookmarkStart w:id="633" w:name="_Toc17878"/>
      <w:bookmarkStart w:id="634" w:name="_Toc16659"/>
      <w:bookmarkStart w:id="635" w:name="_Toc11560"/>
      <w:bookmarkStart w:id="636" w:name="_Toc156398383"/>
      <w:bookmarkStart w:id="637" w:name="_Toc12437"/>
      <w:bookmarkStart w:id="638" w:name="_Toc4044"/>
      <w:r>
        <w:rPr>
          <w:rFonts w:hint="eastAsia" w:ascii="Times New Roman" w:hAnsi="Times New Roman"/>
          <w:color w:val="auto"/>
          <w:highlight w:val="none"/>
        </w:rPr>
        <w:t>评标办法前附表</w:t>
      </w:r>
      <w:bookmarkEnd w:id="632"/>
      <w:bookmarkEnd w:id="633"/>
      <w:bookmarkEnd w:id="634"/>
      <w:bookmarkEnd w:id="635"/>
      <w:bookmarkEnd w:id="636"/>
      <w:bookmarkEnd w:id="637"/>
      <w:bookmarkEnd w:id="638"/>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条款号</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评审因素</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1</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评标方法</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中标候选人排序方法</w:t>
            </w:r>
          </w:p>
        </w:tc>
        <w:tc>
          <w:tcPr>
            <w:tcW w:w="506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）本次评标采用综合评估法。评标委员会对满足招标文件实质性要求的投标文件，按照本章第</w:t>
            </w:r>
            <w:r>
              <w:rPr>
                <w:color w:val="auto"/>
                <w:highlight w:val="none"/>
              </w:rPr>
              <w:t>2.2</w:t>
            </w:r>
            <w:r>
              <w:rPr>
                <w:rFonts w:hint="eastAsia"/>
                <w:color w:val="auto"/>
                <w:highlight w:val="none"/>
              </w:rPr>
              <w:t>款规定的评分标准进行打分，并按得分由高到低顺序推荐中标候选人。</w:t>
            </w:r>
            <w:r>
              <w:rPr>
                <w:rFonts w:hint="eastAsia" w:eastAsia="宋体" w:cs="宋体"/>
                <w:color w:val="auto"/>
                <w:highlight w:val="none"/>
              </w:rPr>
              <w:t>总得分相同的，则投标报价较低的投标人排序优先；如果投标报价相同，则</w:t>
            </w:r>
            <w:r>
              <w:rPr>
                <w:rFonts w:hint="eastAsia" w:ascii="Times New Roman" w:hAnsi="Times New Roman" w:eastAsia="宋体" w:cs="Times New Roman"/>
                <w:color w:val="auto"/>
                <w:highlight w:val="none"/>
                <w:lang w:val="en-US" w:eastAsia="zh-CN"/>
              </w:rPr>
              <w:t>技术及保障</w:t>
            </w:r>
            <w:r>
              <w:rPr>
                <w:rFonts w:hint="eastAsia" w:ascii="Times New Roman" w:hAnsi="Times New Roman" w:eastAsia="宋体" w:cs="Times New Roman"/>
                <w:color w:val="auto"/>
                <w:highlight w:val="none"/>
              </w:rPr>
              <w:t>得分</w:t>
            </w:r>
            <w:r>
              <w:rPr>
                <w:rFonts w:hint="eastAsia" w:eastAsia="宋体" w:cs="宋体"/>
                <w:color w:val="auto"/>
                <w:highlight w:val="none"/>
              </w:rPr>
              <w:t>较高的投标人排序优先；如仍存在相同情况，则对具有相同情况的投标人，按中标候选人数量规定，</w:t>
            </w:r>
            <w:r>
              <w:rPr>
                <w:rFonts w:hint="eastAsia" w:ascii="Times New Roman" w:hAnsi="Times New Roman"/>
                <w:bCs/>
                <w:color w:val="auto"/>
                <w:highlight w:val="none"/>
              </w:rPr>
              <w:t>由评标委员会以记名投票的方式按少数服从多数的原则决定其排名顺序</w:t>
            </w:r>
            <w:r>
              <w:rPr>
                <w:rFonts w:hint="eastAsia"/>
                <w:color w:val="auto"/>
                <w:highlight w:val="none"/>
              </w:rPr>
              <w:t>。</w:t>
            </w:r>
          </w:p>
          <w:p>
            <w:pPr>
              <w:tabs>
                <w:tab w:val="left" w:pos="720"/>
              </w:tabs>
              <w:spacing w:line="360" w:lineRule="auto"/>
              <w:rPr>
                <w:rFonts w:hint="eastAsia"/>
                <w:color w:val="auto"/>
                <w:highlight w:val="none"/>
              </w:rPr>
            </w:pPr>
            <w:r>
              <w:rPr>
                <w:rFonts w:hint="eastAsia"/>
                <w:color w:val="auto"/>
                <w:highlight w:val="none"/>
              </w:rPr>
              <w:t>（2）若满足投标登记或递交投标文件的投标人数量、或通过初步评审的合格投标人家数不足3家</w:t>
            </w:r>
            <w:r>
              <w:rPr>
                <w:rFonts w:hint="eastAsia"/>
                <w:color w:val="auto"/>
                <w:highlight w:val="none"/>
                <w:lang w:val="en-US" w:eastAsia="zh-CN"/>
              </w:rPr>
              <w:t>时</w:t>
            </w:r>
            <w:r>
              <w:rPr>
                <w:rFonts w:hint="eastAsia" w:ascii="宋体" w:hAnsi="宋体" w:cs="宋体"/>
                <w:color w:val="auto"/>
                <w:highlight w:val="none"/>
              </w:rPr>
              <w:t>为招标失败。</w:t>
            </w:r>
          </w:p>
        </w:tc>
      </w:tr>
    </w:tbl>
    <w:p>
      <w:pPr>
        <w:rPr>
          <w:color w:val="auto"/>
          <w:highlight w:val="none"/>
        </w:rPr>
      </w:pPr>
    </w:p>
    <w:p>
      <w:pPr>
        <w:keepNext/>
        <w:keepLines/>
        <w:adjustRightInd w:val="0"/>
        <w:spacing w:before="240" w:after="120" w:line="20" w:lineRule="exact"/>
        <w:jc w:val="center"/>
        <w:textAlignment w:val="baseline"/>
        <w:outlineLvl w:val="1"/>
        <w:rPr>
          <w:rFonts w:eastAsia="黑体"/>
          <w:color w:val="auto"/>
          <w:kern w:val="0"/>
          <w:sz w:val="24"/>
          <w:szCs w:val="20"/>
          <w:highlight w:val="none"/>
        </w:rPr>
      </w:pPr>
      <w:bookmarkStart w:id="639" w:name="_Toc9883"/>
      <w:bookmarkStart w:id="640" w:name="_Toc26615"/>
      <w:bookmarkStart w:id="641" w:name="_Toc2702"/>
      <w:bookmarkStart w:id="642" w:name="_Toc14125"/>
      <w:bookmarkStart w:id="643" w:name="_Toc16382"/>
      <w:bookmarkStart w:id="644" w:name="_Toc156398384"/>
      <w:bookmarkStart w:id="645" w:name="_Toc26639"/>
      <w:r>
        <w:rPr>
          <w:rFonts w:hint="eastAsia" w:eastAsia="黑体"/>
          <w:color w:val="auto"/>
          <w:kern w:val="0"/>
          <w:sz w:val="24"/>
          <w:szCs w:val="20"/>
          <w:highlight w:val="none"/>
        </w:rPr>
        <w:t>初步评审</w:t>
      </w:r>
      <w:bookmarkEnd w:id="639"/>
      <w:bookmarkEnd w:id="640"/>
      <w:bookmarkEnd w:id="641"/>
      <w:bookmarkEnd w:id="642"/>
      <w:bookmarkEnd w:id="643"/>
      <w:bookmarkEnd w:id="644"/>
      <w:bookmarkEnd w:id="645"/>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条款号</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评审因素</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2.1.1</w:t>
            </w:r>
          </w:p>
        </w:tc>
        <w:tc>
          <w:tcPr>
            <w:tcW w:w="1124" w:type="dxa"/>
            <w:vMerge w:val="restart"/>
            <w:tcBorders>
              <w:top w:val="single" w:color="auto" w:sz="4" w:space="0"/>
              <w:left w:val="nil"/>
              <w:right w:val="single" w:color="auto" w:sz="4" w:space="0"/>
            </w:tcBorders>
            <w:noWrap w:val="0"/>
            <w:vAlign w:val="center"/>
          </w:tcPr>
          <w:p>
            <w:pPr>
              <w:spacing w:line="440" w:lineRule="exact"/>
              <w:jc w:val="center"/>
              <w:rPr>
                <w:color w:val="auto"/>
                <w:highlight w:val="none"/>
              </w:rPr>
            </w:pPr>
            <w:r>
              <w:rPr>
                <w:rFonts w:hint="eastAsia"/>
                <w:color w:val="auto"/>
                <w:highlight w:val="none"/>
              </w:rPr>
              <w:t>形式评审标准</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投标人名称</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left w:val="nil"/>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投标函及投标函附录签字盖章</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符合第六章</w:t>
            </w:r>
            <w:r>
              <w:rPr>
                <w:color w:val="auto"/>
                <w:highlight w:val="none"/>
              </w:rPr>
              <w:t>“</w:t>
            </w:r>
            <w:r>
              <w:rPr>
                <w:rFonts w:hint="eastAsia"/>
                <w:color w:val="auto"/>
                <w:highlight w:val="none"/>
              </w:rPr>
              <w:t>投标文件格式</w:t>
            </w:r>
            <w:r>
              <w:rPr>
                <w:color w:val="auto"/>
                <w:highlight w:val="none"/>
              </w:rPr>
              <w:t>”</w:t>
            </w:r>
            <w:r>
              <w:rPr>
                <w:rFonts w:hint="eastAsia"/>
                <w:color w:val="auto"/>
                <w:highlight w:val="none"/>
              </w:rPr>
              <w:t>的规定，有法定代表人或其授权代表签字且加盖单位公章，应附法定代表人证明书，若法定代表人授权代表参与投标相关事项则须同时提供法定代表人授权书。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left w:val="nil"/>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投标文件格式</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eastAsia="宋体"/>
                <w:color w:val="auto"/>
                <w:highlight w:val="none"/>
                <w:lang w:eastAsia="zh-CN"/>
              </w:rPr>
            </w:pPr>
            <w:r>
              <w:rPr>
                <w:rFonts w:hint="eastAsia"/>
                <w:color w:val="auto"/>
                <w:highlight w:val="none"/>
              </w:rPr>
              <w:t>符合第六章</w:t>
            </w:r>
            <w:r>
              <w:rPr>
                <w:color w:val="auto"/>
                <w:highlight w:val="none"/>
              </w:rPr>
              <w:t>“</w:t>
            </w:r>
            <w:r>
              <w:rPr>
                <w:rFonts w:hint="eastAsia"/>
                <w:color w:val="auto"/>
                <w:highlight w:val="none"/>
              </w:rPr>
              <w:t>投标文件格式</w:t>
            </w:r>
            <w:r>
              <w:rPr>
                <w:rFonts w:hint="eastAsia"/>
                <w:color w:val="auto"/>
                <w:highlight w:val="none"/>
                <w:lang w:val="en-US" w:eastAsia="zh-CN"/>
              </w:rPr>
              <w:t>一</w:t>
            </w:r>
            <w:r>
              <w:rPr>
                <w:color w:val="auto"/>
                <w:highlight w:val="none"/>
              </w:rPr>
              <w:t>”</w:t>
            </w:r>
            <w:r>
              <w:rPr>
                <w:rFonts w:hint="eastAsia"/>
                <w:color w:val="auto"/>
                <w:highlight w:val="none"/>
              </w:rPr>
              <w:t>的规定</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left w:val="nil"/>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联合体投标人</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auto"/>
                <w:highlight w:val="none"/>
              </w:rPr>
            </w:pPr>
            <w:r>
              <w:rPr>
                <w:rFonts w:hint="eastAsia"/>
                <w:color w:val="auto"/>
                <w:highlight w:val="none"/>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left w:val="nil"/>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备选投标方案</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eastAsia="宋体"/>
                <w:color w:val="auto"/>
                <w:highlight w:val="none"/>
                <w:lang w:val="en-US" w:eastAsia="zh-CN"/>
              </w:rPr>
            </w:pPr>
            <w:r>
              <w:rPr>
                <w:rFonts w:hint="eastAsia"/>
                <w:color w:val="auto"/>
                <w:highlight w:val="none"/>
              </w:rPr>
              <w:t>除招标文件明确允许提交备选投标方案外，投标人不得提交备选投标方案</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left w:val="nil"/>
              <w:right w:val="single" w:color="auto" w:sz="4" w:space="0"/>
            </w:tcBorders>
            <w:noWrap w:val="0"/>
            <w:vAlign w:val="top"/>
          </w:tcPr>
          <w:p>
            <w:pPr>
              <w:rPr>
                <w:color w:val="auto"/>
                <w:highlight w:val="none"/>
              </w:rPr>
            </w:pPr>
          </w:p>
        </w:tc>
        <w:tc>
          <w:tcPr>
            <w:tcW w:w="2087" w:type="dxa"/>
            <w:tcBorders>
              <w:top w:val="single" w:color="auto" w:sz="4" w:space="0"/>
              <w:left w:val="single" w:color="auto" w:sz="4" w:space="0"/>
              <w:bottom w:val="nil"/>
              <w:right w:val="single" w:color="auto" w:sz="4" w:space="0"/>
            </w:tcBorders>
            <w:noWrap w:val="0"/>
            <w:vAlign w:val="top"/>
          </w:tcPr>
          <w:p>
            <w:pPr>
              <w:spacing w:line="440" w:lineRule="exact"/>
              <w:jc w:val="center"/>
              <w:rPr>
                <w:color w:val="auto"/>
                <w:highlight w:val="none"/>
              </w:rPr>
            </w:pPr>
            <w:r>
              <w:rPr>
                <w:rFonts w:hint="eastAsia"/>
                <w:color w:val="auto"/>
                <w:highlight w:val="none"/>
              </w:rPr>
              <w:t>授权有效性</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Tahoma"/>
                <w:color w:val="auto"/>
                <w:highlight w:val="none"/>
              </w:rPr>
            </w:pPr>
            <w:r>
              <w:rPr>
                <w:rFonts w:hint="eastAsia" w:ascii="宋体" w:hAnsi="宋体" w:cs="Tahoma"/>
                <w:color w:val="auto"/>
                <w:highlight w:val="none"/>
              </w:rPr>
              <w:t>投标人参加投标的意思表达清楚，法定代表人证明书及投标人代表被授权有效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left w:val="nil"/>
              <w:right w:val="single" w:color="auto" w:sz="4" w:space="0"/>
            </w:tcBorders>
            <w:noWrap w:val="0"/>
            <w:vAlign w:val="top"/>
          </w:tcPr>
          <w:p>
            <w:pPr>
              <w:rPr>
                <w:color w:val="auto"/>
                <w:highlight w:val="none"/>
              </w:rPr>
            </w:pPr>
          </w:p>
        </w:tc>
        <w:tc>
          <w:tcPr>
            <w:tcW w:w="2087" w:type="dxa"/>
            <w:tcBorders>
              <w:top w:val="single" w:color="auto" w:sz="4" w:space="0"/>
              <w:left w:val="single" w:color="auto" w:sz="4" w:space="0"/>
              <w:bottom w:val="nil"/>
              <w:right w:val="single" w:color="auto" w:sz="4" w:space="0"/>
            </w:tcBorders>
            <w:noWrap w:val="0"/>
            <w:vAlign w:val="top"/>
          </w:tcPr>
          <w:p>
            <w:pPr>
              <w:widowControl/>
              <w:jc w:val="center"/>
              <w:rPr>
                <w:color w:val="auto"/>
                <w:highlight w:val="none"/>
              </w:rPr>
            </w:pPr>
            <w:r>
              <w:rPr>
                <w:rFonts w:hint="eastAsia" w:ascii="宋体" w:hAnsi="宋体"/>
                <w:color w:val="auto"/>
                <w:kern w:val="0"/>
                <w:highlight w:val="none"/>
              </w:rPr>
              <w:t>不存在串通投标情形</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auto"/>
                <w:kern w:val="0"/>
                <w:highlight w:val="none"/>
              </w:rPr>
            </w:pPr>
            <w:r>
              <w:rPr>
                <w:rFonts w:hint="eastAsia" w:ascii="宋体" w:hAnsi="宋体"/>
                <w:color w:val="auto"/>
                <w:kern w:val="0"/>
                <w:highlight w:val="none"/>
              </w:rPr>
              <w:t>串通投标情形以《中华人民共和国招标投标法实施条例》为准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3"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left w:val="nil"/>
              <w:bottom w:val="nil"/>
              <w:right w:val="single" w:color="auto" w:sz="4" w:space="0"/>
            </w:tcBorders>
            <w:noWrap w:val="0"/>
            <w:vAlign w:val="top"/>
          </w:tcPr>
          <w:p>
            <w:pPr>
              <w:rPr>
                <w:color w:val="auto"/>
                <w:highlight w:val="none"/>
              </w:rPr>
            </w:pPr>
          </w:p>
        </w:tc>
        <w:tc>
          <w:tcPr>
            <w:tcW w:w="2087" w:type="dxa"/>
            <w:tcBorders>
              <w:top w:val="single" w:color="auto" w:sz="4" w:space="0"/>
              <w:left w:val="single" w:color="auto" w:sz="4" w:space="0"/>
              <w:bottom w:val="nil"/>
              <w:right w:val="single" w:color="auto" w:sz="4" w:space="0"/>
            </w:tcBorders>
            <w:noWrap w:val="0"/>
            <w:vAlign w:val="center"/>
          </w:tcPr>
          <w:p>
            <w:pPr>
              <w:widowControl/>
              <w:jc w:val="center"/>
              <w:rPr>
                <w:color w:val="auto"/>
                <w:highlight w:val="none"/>
              </w:rPr>
            </w:pPr>
            <w:r>
              <w:rPr>
                <w:rFonts w:hint="eastAsia"/>
                <w:color w:val="auto"/>
                <w:highlight w:val="none"/>
              </w:rPr>
              <w:t>投标人机器码</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auto"/>
                <w:kern w:val="0"/>
                <w:highlight w:val="none"/>
              </w:rPr>
            </w:pPr>
            <w:r>
              <w:rPr>
                <w:rFonts w:hint="eastAsia"/>
                <w:color w:val="auto"/>
                <w:highlight w:val="none"/>
              </w:rPr>
              <w:t>投标人与</w:t>
            </w:r>
            <w:r>
              <w:rPr>
                <w:rFonts w:hint="eastAsia"/>
                <w:color w:val="auto"/>
                <w:highlight w:val="none"/>
                <w:lang w:val="en-US" w:eastAsia="zh-CN"/>
              </w:rPr>
              <w:t>本项目</w:t>
            </w:r>
            <w:r>
              <w:rPr>
                <w:rFonts w:hint="eastAsia"/>
                <w:color w:val="auto"/>
                <w:highlight w:val="none"/>
              </w:rPr>
              <w:t>其他投标人加密打包投标文件电脑机器特征码一致的（以广州公共资源交易中心评标系统的检索信息为准）将被否决。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2.1.2</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资格评审标准</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营业执照和组织机构代码证</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3.5.1</w:t>
            </w:r>
            <w:r>
              <w:rPr>
                <w:rFonts w:hint="eastAsia"/>
                <w:color w:val="auto"/>
                <w:highlight w:val="none"/>
              </w:rPr>
              <w:t>项规定，</w:t>
            </w:r>
            <w:r>
              <w:rPr>
                <w:rFonts w:hint="eastAsia" w:ascii="宋体" w:hAnsi="宋体" w:cs="Tahoma"/>
                <w:color w:val="auto"/>
                <w:highlight w:val="none"/>
              </w:rPr>
              <w:t>投标人必须是在中华人民共和国注册的独立法人。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资质要求</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trike/>
                <w:color w:val="auto"/>
                <w:highlight w:val="none"/>
              </w:rPr>
            </w:pPr>
            <w:r>
              <w:rPr>
                <w:rFonts w:hint="eastAsia"/>
                <w:color w:val="auto"/>
                <w:highlight w:val="none"/>
              </w:rPr>
              <w:t>业绩要求</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trike/>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1.4.1</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信誉要求</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宋体"/>
                <w:color w:val="auto"/>
                <w:highlight w:val="none"/>
                <w:lang w:val="en-US" w:eastAsia="zh-CN"/>
              </w:rPr>
            </w:pPr>
            <w:r>
              <w:rPr>
                <w:rFonts w:hint="eastAsia"/>
                <w:color w:val="auto"/>
                <w:highlight w:val="none"/>
                <w:lang w:val="en-US" w:eastAsia="zh-CN"/>
              </w:rPr>
              <w:t>项目经理</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宋体"/>
                <w:color w:val="auto"/>
                <w:highlight w:val="none"/>
                <w:lang w:val="en-US" w:eastAsia="zh-CN"/>
              </w:rPr>
            </w:pPr>
            <w:r>
              <w:rPr>
                <w:rFonts w:hint="eastAsia"/>
                <w:color w:val="auto"/>
                <w:highlight w:val="none"/>
                <w:lang w:val="en-US" w:eastAsia="zh-CN"/>
              </w:rPr>
              <w:t>其他主要人员要求</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试验检测仪器设备</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其他要求</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Tahoma"/>
                <w:color w:val="auto"/>
                <w:highlight w:val="none"/>
              </w:rPr>
            </w:pPr>
            <w:r>
              <w:rPr>
                <w:rFonts w:hint="eastAsia" w:ascii="宋体" w:hAnsi="宋体" w:cs="Tahoma"/>
                <w:color w:val="auto"/>
                <w:highlight w:val="none"/>
              </w:rPr>
              <w:t>（</w:t>
            </w:r>
            <w:r>
              <w:rPr>
                <w:rFonts w:ascii="宋体" w:hAnsi="宋体" w:cs="Tahoma"/>
                <w:color w:val="auto"/>
                <w:highlight w:val="none"/>
              </w:rPr>
              <w:t>1）投标人已按照本项目招标公告附件</w:t>
            </w:r>
            <w:r>
              <w:rPr>
                <w:rFonts w:hint="eastAsia" w:ascii="宋体" w:hAnsi="宋体" w:cs="Tahoma"/>
                <w:color w:val="auto"/>
                <w:highlight w:val="none"/>
              </w:rPr>
              <w:t>一</w:t>
            </w:r>
            <w:r>
              <w:rPr>
                <w:rFonts w:ascii="宋体" w:hAnsi="宋体" w:cs="Tahoma"/>
                <w:color w:val="auto"/>
                <w:highlight w:val="none"/>
              </w:rPr>
              <w:t>格式内容签字盖章的投标申请人声明；</w:t>
            </w:r>
          </w:p>
          <w:p>
            <w:pPr>
              <w:spacing w:line="440" w:lineRule="exact"/>
              <w:rPr>
                <w:color w:val="auto"/>
                <w:highlight w:val="none"/>
                <w:u w:val="single"/>
              </w:rPr>
            </w:pPr>
            <w:r>
              <w:rPr>
                <w:rFonts w:hint="eastAsia" w:ascii="宋体" w:hAnsi="宋体" w:cs="Tahoma"/>
                <w:color w:val="auto"/>
                <w:highlight w:val="none"/>
              </w:rPr>
              <w:t>（</w:t>
            </w:r>
            <w:r>
              <w:rPr>
                <w:rFonts w:ascii="宋体" w:hAnsi="宋体" w:cs="Tahoma"/>
                <w:color w:val="auto"/>
                <w:highlight w:val="none"/>
              </w:rPr>
              <w:t>2</w:t>
            </w:r>
            <w:r>
              <w:rPr>
                <w:rFonts w:hint="eastAsia" w:ascii="宋体" w:hAnsi="宋体" w:cs="Tahoma"/>
                <w:color w:val="auto"/>
                <w:highlight w:val="none"/>
              </w:rPr>
              <w:t>）</w:t>
            </w: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卷第一章招标公告第3条投标人资格要求。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trike/>
                <w:color w:val="auto"/>
                <w:highlight w:val="none"/>
              </w:rPr>
            </w:pPr>
            <w:r>
              <w:rPr>
                <w:rFonts w:hint="eastAsia"/>
                <w:color w:val="auto"/>
                <w:highlight w:val="none"/>
              </w:rPr>
              <w:t>联合体投标人</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trike/>
                <w:color w:val="auto"/>
                <w:highlight w:val="none"/>
              </w:rPr>
            </w:pPr>
            <w:r>
              <w:rPr>
                <w:rFonts w:hint="eastAsia"/>
                <w:color w:val="auto"/>
                <w:highlight w:val="none"/>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不存在禁止投标的情形</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不存在第二章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1.4.3</w:t>
            </w:r>
            <w:r>
              <w:rPr>
                <w:rFonts w:hint="eastAsia"/>
                <w:color w:val="auto"/>
                <w:highlight w:val="none"/>
              </w:rPr>
              <w:t>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响应性评审标准</w:t>
            </w:r>
          </w:p>
        </w:tc>
        <w:tc>
          <w:tcPr>
            <w:tcW w:w="208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auto"/>
                <w:highlight w:val="none"/>
              </w:rPr>
            </w:pPr>
            <w:r>
              <w:rPr>
                <w:rFonts w:hint="eastAsia"/>
                <w:color w:val="auto"/>
                <w:highlight w:val="none"/>
              </w:rPr>
              <w:t>投标有效期</w:t>
            </w:r>
          </w:p>
        </w:tc>
        <w:tc>
          <w:tcPr>
            <w:tcW w:w="506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strike/>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3.3.1</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trike/>
                <w:color w:val="auto"/>
                <w:highlight w:val="none"/>
              </w:rPr>
            </w:pPr>
            <w:r>
              <w:rPr>
                <w:rFonts w:hint="eastAsia"/>
                <w:color w:val="auto"/>
                <w:highlight w:val="none"/>
              </w:rPr>
              <w:t>投标保证金</w:t>
            </w:r>
          </w:p>
        </w:tc>
        <w:tc>
          <w:tcPr>
            <w:tcW w:w="506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strike/>
                <w:color w:val="auto"/>
                <w:highlight w:val="none"/>
              </w:rPr>
            </w:pPr>
            <w:r>
              <w:rPr>
                <w:rFonts w:hint="eastAsia"/>
                <w:color w:val="auto"/>
                <w:highlight w:val="none"/>
              </w:rPr>
              <w:t>符合第二章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3.4.1</w:t>
            </w:r>
            <w:r>
              <w:rPr>
                <w:rFonts w:hint="eastAsia"/>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trike/>
                <w:color w:val="auto"/>
                <w:highlight w:val="none"/>
              </w:rPr>
            </w:pPr>
            <w:r>
              <w:rPr>
                <w:rFonts w:hint="eastAsia"/>
                <w:color w:val="auto"/>
                <w:highlight w:val="none"/>
              </w:rPr>
              <w:t>响应合同条款</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trike/>
                <w:color w:val="auto"/>
                <w:highlight w:val="none"/>
              </w:rPr>
            </w:pPr>
            <w:r>
              <w:rPr>
                <w:rFonts w:hint="eastAsia"/>
                <w:color w:val="auto"/>
                <w:highlight w:val="none"/>
              </w:rPr>
              <w:t>符合第六章</w:t>
            </w:r>
            <w:r>
              <w:rPr>
                <w:color w:val="auto"/>
                <w:highlight w:val="none"/>
              </w:rPr>
              <w:t>“</w:t>
            </w:r>
            <w:r>
              <w:rPr>
                <w:rFonts w:hint="eastAsia"/>
                <w:color w:val="auto"/>
                <w:highlight w:val="none"/>
              </w:rPr>
              <w:t>投标文件格式</w:t>
            </w:r>
            <w:r>
              <w:rPr>
                <w:color w:val="auto"/>
                <w:highlight w:val="none"/>
              </w:rPr>
              <w:t>”</w:t>
            </w:r>
            <w:r>
              <w:rPr>
                <w:rFonts w:hint="eastAsia"/>
                <w:color w:val="auto"/>
                <w:highlight w:val="none"/>
              </w:rPr>
              <w:t>的规定，提交合同条款响应性承诺书（法定代表人及其授权代表签字并加盖单位公章）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trike/>
                <w:color w:val="auto"/>
                <w:highlight w:val="none"/>
              </w:rPr>
            </w:pPr>
            <w:r>
              <w:rPr>
                <w:rFonts w:hint="eastAsia"/>
                <w:color w:val="auto"/>
                <w:highlight w:val="none"/>
              </w:rPr>
              <w:t>投标报价</w:t>
            </w:r>
          </w:p>
        </w:tc>
        <w:tc>
          <w:tcPr>
            <w:tcW w:w="50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须同时满足以下条件：</w:t>
            </w:r>
          </w:p>
          <w:p>
            <w:pPr>
              <w:spacing w:line="440" w:lineRule="exact"/>
              <w:jc w:val="left"/>
              <w:rPr>
                <w:color w:val="auto"/>
                <w:highlight w:val="none"/>
              </w:rPr>
            </w:pPr>
            <w:r>
              <w:rPr>
                <w:rFonts w:hint="eastAsia"/>
                <w:color w:val="auto"/>
                <w:highlight w:val="none"/>
              </w:rPr>
              <w:t>（</w:t>
            </w:r>
            <w:r>
              <w:rPr>
                <w:color w:val="auto"/>
                <w:highlight w:val="none"/>
              </w:rPr>
              <w:t>1</w:t>
            </w:r>
            <w:r>
              <w:rPr>
                <w:rFonts w:hint="eastAsia"/>
                <w:color w:val="auto"/>
                <w:highlight w:val="none"/>
              </w:rPr>
              <w:t>）投标人的投标报价总价</w:t>
            </w:r>
            <w:r>
              <w:rPr>
                <w:rFonts w:hint="eastAsia" w:ascii="宋体" w:hAnsi="宋体" w:cs="宋体"/>
                <w:color w:val="auto"/>
                <w:szCs w:val="21"/>
                <w:highlight w:val="none"/>
              </w:rPr>
              <w:t>不超出最高投标限价</w:t>
            </w:r>
            <w:r>
              <w:rPr>
                <w:rFonts w:hint="eastAsia"/>
                <w:color w:val="auto"/>
                <w:highlight w:val="none"/>
              </w:rPr>
              <w:t>；</w:t>
            </w:r>
          </w:p>
          <w:p>
            <w:pPr>
              <w:spacing w:line="440" w:lineRule="exact"/>
              <w:jc w:val="left"/>
              <w:rPr>
                <w:color w:val="auto"/>
                <w:highlight w:val="none"/>
              </w:rPr>
            </w:pPr>
            <w:r>
              <w:rPr>
                <w:rFonts w:hint="eastAsia"/>
                <w:color w:val="auto"/>
                <w:highlight w:val="none"/>
              </w:rPr>
              <w:t>（</w:t>
            </w:r>
            <w:r>
              <w:rPr>
                <w:color w:val="auto"/>
                <w:highlight w:val="none"/>
              </w:rPr>
              <w:t>2</w:t>
            </w:r>
            <w:r>
              <w:rPr>
                <w:rFonts w:hint="eastAsia"/>
                <w:color w:val="auto"/>
                <w:highlight w:val="none"/>
              </w:rPr>
              <w:t>）按第六章“投标文件格式”的要求在投标函中进行报价并填写</w:t>
            </w:r>
            <w:r>
              <w:rPr>
                <w:rFonts w:hint="eastAsia"/>
                <w:color w:val="auto"/>
                <w:highlight w:val="none"/>
                <w:lang w:val="en-US" w:eastAsia="zh-CN"/>
              </w:rPr>
              <w:t>设备集成服务报价清单</w:t>
            </w:r>
            <w:r>
              <w:rPr>
                <w:rFonts w:hint="eastAsia"/>
                <w:color w:val="auto"/>
                <w:highlight w:val="none"/>
              </w:rPr>
              <w:t>；</w:t>
            </w:r>
          </w:p>
          <w:p>
            <w:pPr>
              <w:spacing w:line="440" w:lineRule="exact"/>
              <w:jc w:val="left"/>
              <w:rPr>
                <w:strike/>
                <w:color w:val="auto"/>
                <w:highlight w:val="none"/>
              </w:rPr>
            </w:pPr>
            <w:r>
              <w:rPr>
                <w:rFonts w:hint="eastAsia"/>
                <w:color w:val="auto"/>
                <w:highlight w:val="none"/>
              </w:rPr>
              <w:t>（</w:t>
            </w:r>
            <w:r>
              <w:rPr>
                <w:color w:val="auto"/>
                <w:highlight w:val="none"/>
              </w:rPr>
              <w:t>3</w:t>
            </w:r>
            <w:r>
              <w:rPr>
                <w:rFonts w:hint="eastAsia"/>
                <w:color w:val="auto"/>
                <w:highlight w:val="none"/>
              </w:rPr>
              <w:t>）对同一招标项目未出现两个或以上投标报价。</w:t>
            </w:r>
          </w:p>
        </w:tc>
      </w:tr>
    </w:tbl>
    <w:p>
      <w:pPr>
        <w:rPr>
          <w:color w:val="auto"/>
          <w:highlight w:val="none"/>
        </w:rPr>
      </w:pPr>
    </w:p>
    <w:p>
      <w:pPr>
        <w:rPr>
          <w:color w:val="auto"/>
          <w:highlight w:val="none"/>
        </w:rPr>
      </w:pPr>
    </w:p>
    <w:p>
      <w:pPr>
        <w:rPr>
          <w:color w:val="auto"/>
          <w:highlight w:val="none"/>
        </w:rPr>
      </w:pPr>
      <w:r>
        <w:rPr>
          <w:color w:val="auto"/>
          <w:highlight w:val="none"/>
        </w:rPr>
        <w:br w:type="page"/>
      </w:r>
      <w:r>
        <w:rPr>
          <w:rFonts w:hint="eastAsia"/>
          <w:color w:val="auto"/>
          <w:highlight w:val="none"/>
        </w:rPr>
        <w:t xml:space="preserve">                                       </w:t>
      </w:r>
      <w:r>
        <w:rPr>
          <w:rFonts w:hint="eastAsia"/>
          <w:color w:val="auto"/>
          <w:sz w:val="28"/>
          <w:szCs w:val="28"/>
          <w:highlight w:val="none"/>
        </w:rPr>
        <w:t>详细评审分值表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4"/>
        <w:gridCol w:w="2476"/>
        <w:gridCol w:w="45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条款内容</w:t>
            </w:r>
          </w:p>
        </w:tc>
        <w:tc>
          <w:tcPr>
            <w:tcW w:w="45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highlight w:val="none"/>
              </w:rPr>
            </w:pPr>
            <w:r>
              <w:rPr>
                <w:rFonts w:hint="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tcBorders>
              <w:top w:val="nil"/>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2.2.1</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分值构成</w:t>
            </w:r>
          </w:p>
          <w:p>
            <w:pPr>
              <w:spacing w:line="440" w:lineRule="exact"/>
              <w:jc w:val="center"/>
              <w:rPr>
                <w:color w:val="auto"/>
                <w:highlight w:val="none"/>
              </w:rPr>
            </w:pPr>
            <w:r>
              <w:rPr>
                <w:color w:val="auto"/>
                <w:highlight w:val="none"/>
              </w:rPr>
              <w:t>(</w:t>
            </w:r>
            <w:r>
              <w:rPr>
                <w:rFonts w:hint="eastAsia"/>
                <w:color w:val="auto"/>
                <w:highlight w:val="none"/>
              </w:rPr>
              <w:t>总分</w:t>
            </w:r>
            <w:r>
              <w:rPr>
                <w:color w:val="auto"/>
                <w:highlight w:val="none"/>
              </w:rPr>
              <w:t>100</w:t>
            </w:r>
            <w:r>
              <w:rPr>
                <w:rFonts w:hint="eastAsia"/>
                <w:color w:val="auto"/>
                <w:highlight w:val="none"/>
              </w:rPr>
              <w:t>分</w:t>
            </w:r>
            <w:r>
              <w:rPr>
                <w:color w:val="auto"/>
                <w:highlight w:val="none"/>
              </w:rPr>
              <w:t>)</w:t>
            </w:r>
          </w:p>
        </w:tc>
        <w:tc>
          <w:tcPr>
            <w:tcW w:w="45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rPr>
              <w:t>综合评分法采用百分制，根据第三章</w:t>
            </w:r>
            <w:r>
              <w:rPr>
                <w:color w:val="auto"/>
                <w:highlight w:val="none"/>
              </w:rPr>
              <w:t>3.2.3</w:t>
            </w:r>
            <w:r>
              <w:rPr>
                <w:rFonts w:hint="eastAsia"/>
                <w:color w:val="auto"/>
                <w:highlight w:val="none"/>
              </w:rPr>
              <w:t>款规定，投标人得分</w:t>
            </w:r>
            <w:r>
              <w:rPr>
                <w:color w:val="auto"/>
                <w:highlight w:val="none"/>
              </w:rPr>
              <w:t xml:space="preserve"> = </w:t>
            </w:r>
            <w:r>
              <w:rPr>
                <w:rFonts w:hint="eastAsia"/>
                <w:color w:val="auto"/>
                <w:highlight w:val="none"/>
              </w:rPr>
              <w:t>资信业绩得分（</w:t>
            </w:r>
            <w:r>
              <w:rPr>
                <w:color w:val="auto"/>
                <w:highlight w:val="none"/>
              </w:rPr>
              <w:t>A</w:t>
            </w:r>
            <w:r>
              <w:rPr>
                <w:rFonts w:hint="eastAsia"/>
                <w:color w:val="auto"/>
                <w:highlight w:val="none"/>
              </w:rPr>
              <w:t>）</w:t>
            </w:r>
            <w:r>
              <w:rPr>
                <w:color w:val="auto"/>
                <w:highlight w:val="none"/>
              </w:rPr>
              <w:t xml:space="preserve">+ </w:t>
            </w:r>
            <w:r>
              <w:rPr>
                <w:rFonts w:hint="eastAsia" w:eastAsia="宋体" w:cs="宋体"/>
                <w:color w:val="auto"/>
                <w:szCs w:val="21"/>
                <w:highlight w:val="none"/>
              </w:rPr>
              <w:t>技术及保障</w:t>
            </w:r>
            <w:r>
              <w:rPr>
                <w:rFonts w:hint="eastAsia"/>
                <w:color w:val="auto"/>
                <w:highlight w:val="none"/>
              </w:rPr>
              <w:t>部分（</w:t>
            </w:r>
            <w:r>
              <w:rPr>
                <w:color w:val="auto"/>
                <w:highlight w:val="none"/>
              </w:rPr>
              <w:t>B</w:t>
            </w:r>
            <w:r>
              <w:rPr>
                <w:rFonts w:hint="eastAsia"/>
                <w:color w:val="auto"/>
                <w:highlight w:val="none"/>
              </w:rPr>
              <w:t>）</w:t>
            </w:r>
            <w:r>
              <w:rPr>
                <w:color w:val="auto"/>
                <w:highlight w:val="none"/>
              </w:rPr>
              <w:t xml:space="preserve"> + </w:t>
            </w:r>
            <w:r>
              <w:rPr>
                <w:rFonts w:hint="eastAsia"/>
                <w:color w:val="auto"/>
                <w:highlight w:val="none"/>
              </w:rPr>
              <w:t>投标报价得分（</w:t>
            </w:r>
            <w:r>
              <w:rPr>
                <w:color w:val="auto"/>
                <w:highlight w:val="none"/>
              </w:rPr>
              <w:t>C</w:t>
            </w:r>
            <w:r>
              <w:rPr>
                <w:rFonts w:hint="eastAsia"/>
                <w:color w:val="auto"/>
                <w:highlight w:val="none"/>
              </w:rPr>
              <w:t>）</w:t>
            </w:r>
          </w:p>
          <w:p>
            <w:pPr>
              <w:spacing w:line="440" w:lineRule="exact"/>
              <w:jc w:val="left"/>
              <w:rPr>
                <w:color w:val="auto"/>
                <w:highlight w:val="none"/>
              </w:rPr>
            </w:pPr>
            <w:r>
              <w:rPr>
                <w:rFonts w:hint="eastAsia"/>
                <w:color w:val="auto"/>
                <w:highlight w:val="none"/>
              </w:rPr>
              <w:t>资信业绩部分（</w:t>
            </w:r>
            <w:r>
              <w:rPr>
                <w:color w:val="auto"/>
                <w:highlight w:val="none"/>
              </w:rPr>
              <w:t>A</w:t>
            </w:r>
            <w:r>
              <w:rPr>
                <w:rFonts w:hint="eastAsia"/>
                <w:color w:val="auto"/>
                <w:highlight w:val="none"/>
              </w:rPr>
              <w:t>）：满分</w:t>
            </w:r>
            <w:r>
              <w:rPr>
                <w:rFonts w:hint="eastAsia"/>
                <w:color w:val="auto"/>
                <w:highlight w:val="none"/>
                <w:lang w:val="en-US" w:eastAsia="zh-CN"/>
              </w:rPr>
              <w:t>15</w:t>
            </w:r>
            <w:r>
              <w:rPr>
                <w:rFonts w:hint="eastAsia"/>
                <w:color w:val="auto"/>
                <w:highlight w:val="none"/>
              </w:rPr>
              <w:t>分</w:t>
            </w:r>
          </w:p>
          <w:p>
            <w:pPr>
              <w:spacing w:line="440" w:lineRule="exact"/>
              <w:jc w:val="left"/>
              <w:rPr>
                <w:color w:val="auto"/>
                <w:highlight w:val="none"/>
              </w:rPr>
            </w:pPr>
            <w:r>
              <w:rPr>
                <w:rFonts w:hint="eastAsia" w:eastAsia="宋体" w:cs="宋体"/>
                <w:color w:val="auto"/>
                <w:szCs w:val="21"/>
                <w:highlight w:val="none"/>
              </w:rPr>
              <w:t>技术及保障</w:t>
            </w:r>
            <w:r>
              <w:rPr>
                <w:rFonts w:hint="eastAsia"/>
                <w:color w:val="auto"/>
                <w:highlight w:val="none"/>
              </w:rPr>
              <w:t>部分（</w:t>
            </w:r>
            <w:r>
              <w:rPr>
                <w:color w:val="auto"/>
                <w:highlight w:val="none"/>
              </w:rPr>
              <w:t>B</w:t>
            </w:r>
            <w:r>
              <w:rPr>
                <w:rFonts w:hint="eastAsia"/>
                <w:color w:val="auto"/>
                <w:highlight w:val="none"/>
              </w:rPr>
              <w:t>）：满分</w:t>
            </w:r>
            <w:r>
              <w:rPr>
                <w:rFonts w:hint="eastAsia"/>
                <w:color w:val="auto"/>
                <w:highlight w:val="none"/>
                <w:lang w:val="en-US" w:eastAsia="zh-CN"/>
              </w:rPr>
              <w:t>50</w:t>
            </w:r>
            <w:r>
              <w:rPr>
                <w:rFonts w:hint="eastAsia"/>
                <w:color w:val="auto"/>
                <w:highlight w:val="none"/>
              </w:rPr>
              <w:t>分</w:t>
            </w:r>
          </w:p>
          <w:p>
            <w:pPr>
              <w:spacing w:line="440" w:lineRule="exact"/>
              <w:jc w:val="left"/>
              <w:rPr>
                <w:color w:val="auto"/>
                <w:highlight w:val="none"/>
              </w:rPr>
            </w:pPr>
            <w:r>
              <w:rPr>
                <w:rFonts w:hint="eastAsia"/>
                <w:color w:val="auto"/>
                <w:highlight w:val="none"/>
              </w:rPr>
              <w:t>投标报价（</w:t>
            </w:r>
            <w:r>
              <w:rPr>
                <w:color w:val="auto"/>
                <w:highlight w:val="none"/>
              </w:rPr>
              <w:t>C</w:t>
            </w:r>
            <w:r>
              <w:rPr>
                <w:rFonts w:hint="eastAsia"/>
                <w:color w:val="auto"/>
                <w:highlight w:val="none"/>
              </w:rPr>
              <w:t>）：满分</w:t>
            </w:r>
            <w:r>
              <w:rPr>
                <w:rFonts w:hint="eastAsia"/>
                <w:color w:val="auto"/>
                <w:highlight w:val="none"/>
                <w:lang w:val="en-US" w:eastAsia="zh-CN"/>
              </w:rPr>
              <w:t>35</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2.2.2</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40" w:lineRule="exact"/>
              <w:jc w:val="center"/>
              <w:rPr>
                <w:rFonts w:ascii="宋体" w:hAnsi="宋体" w:cs="宋体"/>
                <w:color w:val="auto"/>
                <w:sz w:val="24"/>
                <w:szCs w:val="24"/>
                <w:highlight w:val="none"/>
              </w:rPr>
            </w:pPr>
            <w:r>
              <w:rPr>
                <w:rFonts w:hint="eastAsia"/>
                <w:color w:val="auto"/>
                <w:highlight w:val="none"/>
              </w:rPr>
              <w:t>评标基准价计算方法</w:t>
            </w:r>
          </w:p>
        </w:tc>
        <w:tc>
          <w:tcPr>
            <w:tcW w:w="454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40" w:lineRule="exact"/>
              <w:rPr>
                <w:rFonts w:hint="eastAsia" w:eastAsia="宋体"/>
                <w:color w:val="auto"/>
                <w:highlight w:val="none"/>
                <w:lang w:eastAsia="zh-CN"/>
              </w:rPr>
            </w:pPr>
            <w:r>
              <w:rPr>
                <w:rFonts w:hint="eastAsia"/>
                <w:color w:val="auto"/>
                <w:highlight w:val="none"/>
              </w:rPr>
              <w:t>1确定评标价</w:t>
            </w:r>
          </w:p>
          <w:p>
            <w:pPr>
              <w:tabs>
                <w:tab w:val="center" w:pos="4153"/>
                <w:tab w:val="right" w:pos="8306"/>
              </w:tabs>
              <w:spacing w:line="440" w:lineRule="exact"/>
              <w:rPr>
                <w:rFonts w:hint="eastAsia" w:eastAsia="宋体"/>
                <w:color w:val="auto"/>
                <w:highlight w:val="none"/>
                <w:lang w:eastAsia="zh-CN"/>
              </w:rPr>
            </w:pPr>
            <w:r>
              <w:rPr>
                <w:rFonts w:hint="eastAsia"/>
                <w:color w:val="auto"/>
                <w:highlight w:val="none"/>
              </w:rPr>
              <w:t>投标人评标价以投标函中投标总报价的人民币大写金额为准。</w:t>
            </w:r>
          </w:p>
          <w:p>
            <w:pPr>
              <w:tabs>
                <w:tab w:val="center" w:pos="4153"/>
                <w:tab w:val="right" w:pos="8306"/>
              </w:tabs>
              <w:spacing w:line="440" w:lineRule="exact"/>
              <w:rPr>
                <w:rFonts w:hint="eastAsia"/>
                <w:color w:val="auto"/>
                <w:highlight w:val="none"/>
              </w:rPr>
            </w:pPr>
            <w:r>
              <w:rPr>
                <w:rFonts w:hint="eastAsia"/>
                <w:color w:val="auto"/>
                <w:highlight w:val="none"/>
              </w:rPr>
              <w:t>2评标基准价计算方法</w:t>
            </w:r>
          </w:p>
          <w:p>
            <w:pPr>
              <w:tabs>
                <w:tab w:val="center" w:pos="4153"/>
                <w:tab w:val="right" w:pos="8306"/>
              </w:tabs>
              <w:spacing w:line="440" w:lineRule="exact"/>
              <w:rPr>
                <w:rFonts w:hint="eastAsia" w:eastAsia="宋体"/>
                <w:color w:val="auto"/>
                <w:highlight w:val="none"/>
                <w:lang w:eastAsia="zh-CN"/>
              </w:rPr>
            </w:pPr>
            <w:r>
              <w:rPr>
                <w:rFonts w:hint="eastAsia"/>
                <w:color w:val="auto"/>
                <w:highlight w:val="none"/>
              </w:rPr>
              <w:t>2.1将通过响应性评审标准的投标报价由低至高进行排列，当通过有效性审查的投标申请人达到5家（含5家），去掉一个最高价和一个最低价，取余下评标价的算术平均值作为评标基准价；</w:t>
            </w:r>
          </w:p>
          <w:p>
            <w:pPr>
              <w:tabs>
                <w:tab w:val="center" w:pos="4153"/>
                <w:tab w:val="right" w:pos="8306"/>
              </w:tabs>
              <w:spacing w:line="440" w:lineRule="exact"/>
              <w:rPr>
                <w:rFonts w:hint="eastAsia" w:ascii="宋体" w:hAnsi="宋体" w:eastAsia="宋体" w:cs="宋体"/>
                <w:color w:val="auto"/>
                <w:sz w:val="24"/>
                <w:szCs w:val="24"/>
                <w:highlight w:val="none"/>
                <w:lang w:eastAsia="zh-CN"/>
              </w:rPr>
            </w:pPr>
            <w:r>
              <w:rPr>
                <w:rFonts w:hint="eastAsia"/>
                <w:color w:val="auto"/>
                <w:highlight w:val="none"/>
              </w:rPr>
              <w:t>当通过有效性审查的投标申请人少于5家时，则取所有评标价的算术平均值为评标基准价</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color w:val="auto"/>
                <w:highlight w:val="none"/>
              </w:rPr>
              <w:t>2.2.3</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投标报价的偏差率</w:t>
            </w:r>
          </w:p>
          <w:p>
            <w:pPr>
              <w:spacing w:line="440" w:lineRule="exact"/>
              <w:jc w:val="center"/>
              <w:rPr>
                <w:color w:val="auto"/>
                <w:highlight w:val="none"/>
              </w:rPr>
            </w:pPr>
            <w:r>
              <w:rPr>
                <w:rFonts w:hint="eastAsia"/>
                <w:color w:val="auto"/>
                <w:highlight w:val="none"/>
              </w:rPr>
              <w:t>计算公式</w:t>
            </w:r>
          </w:p>
        </w:tc>
        <w:tc>
          <w:tcPr>
            <w:tcW w:w="45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r>
              <w:rPr>
                <w:rFonts w:hint="eastAsia"/>
                <w:color w:val="auto"/>
                <w:highlight w:val="none"/>
              </w:rPr>
              <w:t>偏差率</w:t>
            </w:r>
            <w:r>
              <w:rPr>
                <w:color w:val="auto"/>
                <w:highlight w:val="none"/>
              </w:rPr>
              <w:t>X</w:t>
            </w:r>
            <w:r>
              <w:rPr>
                <w:rFonts w:hint="eastAsia"/>
                <w:color w:val="auto"/>
                <w:highlight w:val="none"/>
              </w:rPr>
              <w:t>＝（评标价－评标基准价）</w:t>
            </w:r>
            <w:r>
              <w:rPr>
                <w:color w:val="auto"/>
                <w:highlight w:val="none"/>
              </w:rPr>
              <w:t>/</w:t>
            </w:r>
            <w:r>
              <w:rPr>
                <w:rFonts w:hint="eastAsia"/>
                <w:color w:val="auto"/>
                <w:highlight w:val="none"/>
              </w:rPr>
              <w:t>评标基准价</w:t>
            </w:r>
            <w:r>
              <w:rPr>
                <w:color w:val="auto"/>
                <w:highlight w:val="none"/>
              </w:rPr>
              <w:t>*100%</w:t>
            </w:r>
          </w:p>
          <w:p>
            <w:pPr>
              <w:spacing w:line="360" w:lineRule="auto"/>
              <w:rPr>
                <w:color w:val="auto"/>
                <w:highlight w:val="none"/>
              </w:rPr>
            </w:pPr>
            <w:r>
              <w:rPr>
                <w:rFonts w:hint="eastAsia"/>
                <w:color w:val="auto"/>
                <w:highlight w:val="none"/>
              </w:rPr>
              <w:t>（偏差率四舍五入保留</w:t>
            </w:r>
            <w:r>
              <w:rPr>
                <w:color w:val="auto"/>
                <w:highlight w:val="none"/>
              </w:rPr>
              <w:t>1</w:t>
            </w:r>
            <w:r>
              <w:rPr>
                <w:rFonts w:hint="eastAsia"/>
                <w:color w:val="auto"/>
                <w:highlight w:val="none"/>
              </w:rPr>
              <w:t>位小数，报价偏差率不足1%的，按直线内插法计算投标报价得分）</w:t>
            </w:r>
          </w:p>
          <w:p>
            <w:pPr>
              <w:spacing w:line="360" w:lineRule="auto"/>
              <w:rPr>
                <w:color w:val="auto"/>
                <w:highlight w:val="none"/>
              </w:rPr>
            </w:pPr>
            <w:r>
              <w:rPr>
                <w:rFonts w:hint="eastAsia"/>
                <w:color w:val="auto"/>
                <w:highlight w:val="none"/>
              </w:rPr>
              <w:t>“投标报价”为投标人投标函中的大写金额。</w:t>
            </w:r>
          </w:p>
          <w:p>
            <w:pPr>
              <w:spacing w:line="360" w:lineRule="auto"/>
              <w:rPr>
                <w:color w:val="auto"/>
                <w:highlight w:val="none"/>
              </w:rPr>
            </w:pPr>
            <w:r>
              <w:rPr>
                <w:rFonts w:hint="eastAsia"/>
                <w:color w:val="auto"/>
                <w:highlight w:val="none"/>
              </w:rPr>
              <w:t>“评标价”为经修正后的投标报价（如有）。</w:t>
            </w:r>
          </w:p>
        </w:tc>
      </w:tr>
    </w:tbl>
    <w:p>
      <w:pPr>
        <w:rPr>
          <w:color w:val="auto"/>
          <w:highlight w:val="none"/>
        </w:rPr>
      </w:pPr>
    </w:p>
    <w:p>
      <w:pPr>
        <w:ind w:firstLine="3920" w:firstLineChars="1400"/>
        <w:rPr>
          <w:color w:val="auto"/>
          <w:sz w:val="28"/>
          <w:szCs w:val="28"/>
          <w:highlight w:val="none"/>
        </w:rPr>
      </w:pPr>
      <w:r>
        <w:rPr>
          <w:rFonts w:hint="eastAsia"/>
          <w:color w:val="auto"/>
          <w:sz w:val="28"/>
          <w:szCs w:val="28"/>
          <w:highlight w:val="none"/>
        </w:rPr>
        <w:t>详细评审打分表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1124" w:type="dxa"/>
            <w:vMerge w:val="restart"/>
            <w:tcBorders>
              <w:top w:val="single" w:color="auto" w:sz="4" w:space="0"/>
              <w:left w:val="nil"/>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资信业绩评分标准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auto"/>
                <w:szCs w:val="21"/>
                <w:highlight w:val="none"/>
              </w:rPr>
            </w:pPr>
            <w:r>
              <w:rPr>
                <w:rFonts w:hint="eastAsia" w:ascii="宋体" w:hAnsi="宋体" w:cs="宋体"/>
                <w:color w:val="auto"/>
                <w:szCs w:val="21"/>
                <w:highlight w:val="none"/>
              </w:rPr>
              <w:t>信誉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124" w:type="dxa"/>
            <w:vMerge w:val="continue"/>
            <w:tcBorders>
              <w:left w:val="nil"/>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auto"/>
                <w:szCs w:val="21"/>
                <w:highlight w:val="none"/>
              </w:rPr>
            </w:pPr>
            <w:r>
              <w:rPr>
                <w:rFonts w:hint="eastAsia" w:ascii="宋体" w:hAnsi="宋体" w:cs="宋体"/>
                <w:color w:val="auto"/>
                <w:szCs w:val="21"/>
                <w:highlight w:val="none"/>
              </w:rPr>
              <w:t>类似项目业绩</w:t>
            </w:r>
          </w:p>
          <w:p>
            <w:pPr>
              <w:pStyle w:val="1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color w:val="auto"/>
                <w:highlight w:val="none"/>
              </w:rPr>
            </w:pPr>
            <w:r>
              <w:rPr>
                <w:rFonts w:hint="eastAsia" w:eastAsia="宋体" w:cs="宋体"/>
                <w:color w:val="auto"/>
                <w:szCs w:val="21"/>
                <w:highlight w:val="none"/>
                <w:lang w:val="en-US" w:eastAsia="zh-CN"/>
              </w:rPr>
              <w:t>1.</w:t>
            </w:r>
            <w:r>
              <w:rPr>
                <w:rFonts w:hint="eastAsia" w:eastAsia="宋体" w:cs="宋体"/>
                <w:color w:val="auto"/>
                <w:szCs w:val="21"/>
                <w:highlight w:val="none"/>
              </w:rPr>
              <w:t>投标人自</w:t>
            </w:r>
            <w:r>
              <w:rPr>
                <w:rFonts w:hint="eastAsia" w:cs="宋体"/>
                <w:color w:val="auto"/>
                <w:szCs w:val="21"/>
                <w:highlight w:val="none"/>
                <w:u w:val="single"/>
                <w:lang w:val="en-US" w:eastAsia="zh-CN"/>
              </w:rPr>
              <w:t>2015</w:t>
            </w:r>
            <w:r>
              <w:rPr>
                <w:rFonts w:eastAsia="宋体" w:cs="宋体"/>
                <w:color w:val="auto"/>
                <w:szCs w:val="21"/>
                <w:highlight w:val="none"/>
                <w:u w:val="single"/>
              </w:rPr>
              <w:t>年1</w:t>
            </w:r>
            <w:r>
              <w:rPr>
                <w:rFonts w:hint="eastAsia" w:eastAsia="宋体" w:cs="宋体"/>
                <w:color w:val="auto"/>
                <w:szCs w:val="21"/>
                <w:highlight w:val="none"/>
                <w:u w:val="single"/>
              </w:rPr>
              <w:t>月</w:t>
            </w:r>
            <w:r>
              <w:rPr>
                <w:rFonts w:eastAsia="宋体" w:cs="宋体"/>
                <w:color w:val="auto"/>
                <w:szCs w:val="21"/>
                <w:highlight w:val="none"/>
                <w:u w:val="single"/>
              </w:rPr>
              <w:t>1</w:t>
            </w:r>
            <w:r>
              <w:rPr>
                <w:rFonts w:hint="eastAsia" w:eastAsia="宋体" w:cs="宋体"/>
                <w:color w:val="auto"/>
                <w:szCs w:val="21"/>
                <w:highlight w:val="none"/>
                <w:u w:val="single"/>
              </w:rPr>
              <w:t>日</w:t>
            </w:r>
            <w:r>
              <w:rPr>
                <w:rFonts w:hint="eastAsia" w:eastAsia="宋体" w:cs="宋体"/>
                <w:color w:val="auto"/>
                <w:szCs w:val="21"/>
                <w:highlight w:val="none"/>
              </w:rPr>
              <w:t>至投标截止日完成过合同金额</w:t>
            </w:r>
            <w:r>
              <w:rPr>
                <w:rFonts w:hint="eastAsia" w:cs="宋体"/>
                <w:color w:val="auto"/>
                <w:szCs w:val="21"/>
                <w:highlight w:val="none"/>
                <w:lang w:val="en-US" w:eastAsia="zh-CN"/>
              </w:rPr>
              <w:t>600万元</w:t>
            </w:r>
            <w:r>
              <w:rPr>
                <w:rFonts w:hint="eastAsia" w:eastAsia="宋体" w:cs="宋体"/>
                <w:color w:val="auto"/>
                <w:szCs w:val="21"/>
                <w:highlight w:val="none"/>
              </w:rPr>
              <w:t>或以上的轨道交通工程</w:t>
            </w:r>
            <w:r>
              <w:rPr>
                <w:rFonts w:hint="eastAsia" w:eastAsia="宋体" w:cs="宋体"/>
                <w:color w:val="auto"/>
                <w:szCs w:val="21"/>
                <w:highlight w:val="none"/>
                <w:u w:val="single"/>
                <w:lang w:val="en-US" w:eastAsia="zh-CN"/>
              </w:rPr>
              <w:t>强</w:t>
            </w:r>
            <w:r>
              <w:rPr>
                <w:rFonts w:hint="eastAsia" w:cs="宋体"/>
                <w:color w:val="auto"/>
                <w:szCs w:val="21"/>
                <w:highlight w:val="none"/>
                <w:u w:val="single"/>
                <w:lang w:val="en-US" w:eastAsia="zh-CN"/>
              </w:rPr>
              <w:t>电</w:t>
            </w:r>
            <w:r>
              <w:rPr>
                <w:rFonts w:hint="eastAsia" w:eastAsia="宋体" w:cs="宋体"/>
                <w:color w:val="auto"/>
                <w:szCs w:val="21"/>
                <w:highlight w:val="none"/>
                <w:u w:val="single"/>
                <w:lang w:val="en-US" w:eastAsia="zh-CN"/>
              </w:rPr>
              <w:t>系统设备</w:t>
            </w:r>
            <w:r>
              <w:rPr>
                <w:rFonts w:hint="eastAsia" w:cs="宋体"/>
                <w:color w:val="auto"/>
                <w:szCs w:val="21"/>
                <w:highlight w:val="none"/>
                <w:u w:val="single"/>
                <w:lang w:val="en-US" w:eastAsia="zh-CN"/>
              </w:rPr>
              <w:t>或</w:t>
            </w:r>
            <w:r>
              <w:rPr>
                <w:rFonts w:hint="eastAsia" w:eastAsia="宋体" w:cs="宋体"/>
                <w:color w:val="auto"/>
                <w:szCs w:val="21"/>
                <w:highlight w:val="none"/>
                <w:u w:val="single"/>
                <w:lang w:val="en-US" w:eastAsia="zh-CN"/>
              </w:rPr>
              <w:t>弱电系统</w:t>
            </w:r>
            <w:r>
              <w:rPr>
                <w:rFonts w:hint="eastAsia" w:cs="宋体"/>
                <w:color w:val="auto"/>
                <w:szCs w:val="21"/>
                <w:highlight w:val="none"/>
                <w:u w:val="single"/>
                <w:lang w:val="en-US" w:eastAsia="zh-CN"/>
              </w:rPr>
              <w:t>设备</w:t>
            </w:r>
            <w:r>
              <w:rPr>
                <w:rFonts w:hint="eastAsia" w:eastAsia="宋体" w:cs="宋体"/>
                <w:color w:val="auto"/>
                <w:szCs w:val="21"/>
                <w:highlight w:val="none"/>
                <w:u w:val="none"/>
              </w:rPr>
              <w:t>集成服务业绩</w:t>
            </w:r>
            <w:r>
              <w:rPr>
                <w:rFonts w:hint="eastAsia"/>
                <w:color w:val="auto"/>
                <w:highlight w:val="none"/>
              </w:rPr>
              <w:t>，</w:t>
            </w:r>
            <w:r>
              <w:rPr>
                <w:rFonts w:hint="eastAsia"/>
                <w:color w:val="auto"/>
                <w:highlight w:val="none"/>
                <w:lang w:val="en-US" w:eastAsia="zh-CN"/>
              </w:rPr>
              <w:t>一个业绩得4分，两个业绩得8分，本小项最高得8分</w:t>
            </w:r>
            <w:r>
              <w:rPr>
                <w:rFonts w:hint="eastAsia"/>
                <w:color w:val="auto"/>
                <w:highlight w:val="none"/>
              </w:rPr>
              <w:t>。</w:t>
            </w:r>
          </w:p>
          <w:p>
            <w:pPr>
              <w:spacing w:line="240" w:lineRule="auto"/>
              <w:rPr>
                <w:rFonts w:hint="eastAsia"/>
                <w:color w:val="auto"/>
                <w:highlight w:val="none"/>
              </w:rPr>
            </w:pPr>
            <w:r>
              <w:rPr>
                <w:rFonts w:hint="eastAsia"/>
                <w:color w:val="auto"/>
                <w:highlight w:val="none"/>
                <w:lang w:val="en-US" w:eastAsia="zh-CN"/>
              </w:rPr>
              <w:t>2.</w:t>
            </w:r>
            <w:r>
              <w:rPr>
                <w:rFonts w:hint="eastAsia" w:eastAsia="宋体" w:cs="宋体"/>
                <w:color w:val="auto"/>
                <w:szCs w:val="21"/>
                <w:highlight w:val="none"/>
              </w:rPr>
              <w:t>投标人自</w:t>
            </w:r>
            <w:r>
              <w:rPr>
                <w:rFonts w:hint="eastAsia" w:cs="宋体"/>
                <w:color w:val="auto"/>
                <w:szCs w:val="21"/>
                <w:highlight w:val="none"/>
                <w:u w:val="single"/>
                <w:lang w:val="en-US" w:eastAsia="zh-CN"/>
              </w:rPr>
              <w:t>2015</w:t>
            </w:r>
            <w:r>
              <w:rPr>
                <w:rFonts w:eastAsia="宋体" w:cs="宋体"/>
                <w:color w:val="auto"/>
                <w:szCs w:val="21"/>
                <w:highlight w:val="none"/>
                <w:u w:val="single"/>
              </w:rPr>
              <w:t>年1</w:t>
            </w:r>
            <w:r>
              <w:rPr>
                <w:rFonts w:hint="eastAsia" w:eastAsia="宋体" w:cs="宋体"/>
                <w:color w:val="auto"/>
                <w:szCs w:val="21"/>
                <w:highlight w:val="none"/>
                <w:u w:val="single"/>
              </w:rPr>
              <w:t>月</w:t>
            </w:r>
            <w:r>
              <w:rPr>
                <w:rFonts w:eastAsia="宋体" w:cs="宋体"/>
                <w:color w:val="auto"/>
                <w:szCs w:val="21"/>
                <w:highlight w:val="none"/>
                <w:u w:val="single"/>
              </w:rPr>
              <w:t>1</w:t>
            </w:r>
            <w:r>
              <w:rPr>
                <w:rFonts w:hint="eastAsia" w:cs="宋体"/>
                <w:color w:val="auto"/>
                <w:szCs w:val="21"/>
                <w:highlight w:val="none"/>
                <w:u w:val="single"/>
                <w:lang w:val="en-US" w:eastAsia="zh-CN"/>
              </w:rPr>
              <w:t>日</w:t>
            </w:r>
            <w:r>
              <w:rPr>
                <w:rFonts w:hint="eastAsia" w:eastAsia="宋体" w:cs="宋体"/>
                <w:color w:val="auto"/>
                <w:szCs w:val="21"/>
                <w:highlight w:val="none"/>
              </w:rPr>
              <w:t>至投标截止日完成过合同金额</w:t>
            </w:r>
            <w:r>
              <w:rPr>
                <w:rFonts w:hint="eastAsia" w:cs="宋体"/>
                <w:color w:val="auto"/>
                <w:szCs w:val="21"/>
                <w:highlight w:val="none"/>
                <w:lang w:val="en-US" w:eastAsia="zh-CN"/>
              </w:rPr>
              <w:t>600万元</w:t>
            </w:r>
            <w:r>
              <w:rPr>
                <w:rFonts w:hint="eastAsia" w:eastAsia="宋体" w:cs="宋体"/>
                <w:color w:val="auto"/>
                <w:szCs w:val="21"/>
                <w:highlight w:val="none"/>
              </w:rPr>
              <w:t>或以上的轨道交通工程</w:t>
            </w:r>
            <w:r>
              <w:rPr>
                <w:rFonts w:hint="eastAsia" w:eastAsia="宋体" w:cs="宋体"/>
                <w:color w:val="auto"/>
                <w:szCs w:val="21"/>
                <w:highlight w:val="none"/>
                <w:u w:val="single"/>
                <w:lang w:val="en-US" w:eastAsia="zh-CN"/>
              </w:rPr>
              <w:t>车站设备</w:t>
            </w:r>
            <w:r>
              <w:rPr>
                <w:rFonts w:hint="eastAsia" w:eastAsia="宋体" w:cs="宋体"/>
                <w:color w:val="auto"/>
                <w:szCs w:val="21"/>
                <w:highlight w:val="none"/>
              </w:rPr>
              <w:t>集成服务业绩</w:t>
            </w:r>
            <w:r>
              <w:rPr>
                <w:rFonts w:hint="eastAsia"/>
                <w:color w:val="auto"/>
                <w:highlight w:val="none"/>
              </w:rPr>
              <w:t>，</w:t>
            </w:r>
            <w:r>
              <w:rPr>
                <w:rFonts w:hint="eastAsia"/>
                <w:color w:val="auto"/>
                <w:highlight w:val="none"/>
                <w:lang w:val="en-US" w:eastAsia="zh-CN"/>
              </w:rPr>
              <w:t>一个业绩得4分，两个业绩得7分，本小项最高得7分</w:t>
            </w:r>
            <w:r>
              <w:rPr>
                <w:rFonts w:hint="eastAsia"/>
                <w:color w:val="auto"/>
                <w:highlight w:val="none"/>
              </w:rPr>
              <w:t>。</w:t>
            </w:r>
          </w:p>
          <w:p>
            <w:pPr>
              <w:pStyle w:val="5"/>
              <w:spacing w:line="240" w:lineRule="auto"/>
              <w:ind w:firstLine="0"/>
              <w:rPr>
                <w:rFonts w:hint="default" w:eastAsia="宋体"/>
                <w:color w:val="auto"/>
                <w:highlight w:val="none"/>
                <w:lang w:val="en-US" w:eastAsia="zh-CN"/>
              </w:rPr>
            </w:pPr>
            <w:r>
              <w:rPr>
                <w:rFonts w:hint="eastAsia"/>
                <w:color w:val="auto"/>
                <w:highlight w:val="none"/>
                <w:lang w:val="en-US" w:eastAsia="zh-CN"/>
              </w:rPr>
              <w:t>3</w:t>
            </w:r>
            <w:r>
              <w:rPr>
                <w:rFonts w:hint="eastAsia"/>
                <w:color w:val="auto"/>
                <w:highlight w:val="none"/>
              </w:rPr>
              <w:t>.投标人自</w:t>
            </w:r>
            <w:r>
              <w:rPr>
                <w:rFonts w:hint="eastAsia" w:cs="宋体"/>
                <w:color w:val="auto"/>
                <w:szCs w:val="21"/>
                <w:highlight w:val="none"/>
                <w:u w:val="single"/>
                <w:lang w:val="en-US" w:eastAsia="zh-CN"/>
              </w:rPr>
              <w:t>2015</w:t>
            </w:r>
            <w:r>
              <w:rPr>
                <w:rFonts w:eastAsia="宋体" w:cs="宋体"/>
                <w:color w:val="auto"/>
                <w:szCs w:val="21"/>
                <w:highlight w:val="none"/>
                <w:u w:val="single"/>
              </w:rPr>
              <w:t>年1</w:t>
            </w:r>
            <w:r>
              <w:rPr>
                <w:rFonts w:hint="eastAsia" w:eastAsia="宋体" w:cs="宋体"/>
                <w:color w:val="auto"/>
                <w:szCs w:val="21"/>
                <w:highlight w:val="none"/>
                <w:u w:val="single"/>
              </w:rPr>
              <w:t>月</w:t>
            </w:r>
            <w:r>
              <w:rPr>
                <w:rFonts w:eastAsia="宋体" w:cs="宋体"/>
                <w:color w:val="auto"/>
                <w:szCs w:val="21"/>
                <w:highlight w:val="none"/>
                <w:u w:val="single"/>
              </w:rPr>
              <w:t>1</w:t>
            </w:r>
            <w:r>
              <w:rPr>
                <w:rFonts w:hint="eastAsia"/>
                <w:color w:val="auto"/>
                <w:highlight w:val="none"/>
              </w:rPr>
              <w:t>日至投标截止日完成过合同金额</w:t>
            </w:r>
            <w:r>
              <w:rPr>
                <w:rFonts w:hint="eastAsia"/>
                <w:color w:val="auto"/>
                <w:highlight w:val="none"/>
                <w:lang w:val="en-US" w:eastAsia="zh-CN"/>
              </w:rPr>
              <w:t>600万元</w:t>
            </w:r>
            <w:r>
              <w:rPr>
                <w:rFonts w:hint="eastAsia"/>
                <w:color w:val="auto"/>
                <w:highlight w:val="none"/>
              </w:rPr>
              <w:t>或以上的轨道交通工程</w:t>
            </w:r>
            <w:r>
              <w:rPr>
                <w:rFonts w:hint="eastAsia"/>
                <w:color w:val="auto"/>
                <w:highlight w:val="none"/>
                <w:lang w:val="en-US" w:eastAsia="zh-CN"/>
              </w:rPr>
              <w:t>强电系统和弱电系统和</w:t>
            </w:r>
            <w:r>
              <w:rPr>
                <w:rFonts w:hint="eastAsia"/>
                <w:color w:val="auto"/>
                <w:highlight w:val="none"/>
              </w:rPr>
              <w:t>车站设备集成服务业绩，</w:t>
            </w:r>
            <w:r>
              <w:rPr>
                <w:rFonts w:hint="eastAsia"/>
                <w:color w:val="auto"/>
                <w:highlight w:val="none"/>
                <w:lang w:val="en-US" w:eastAsia="zh-CN"/>
              </w:rPr>
              <w:t>一</w:t>
            </w:r>
            <w:r>
              <w:rPr>
                <w:rFonts w:hint="eastAsia"/>
                <w:color w:val="auto"/>
                <w:highlight w:val="none"/>
              </w:rPr>
              <w:t>个业绩得</w:t>
            </w:r>
            <w:r>
              <w:rPr>
                <w:rFonts w:hint="eastAsia"/>
                <w:color w:val="auto"/>
                <w:highlight w:val="none"/>
                <w:lang w:val="en-US" w:eastAsia="zh-CN"/>
              </w:rPr>
              <w:t>8</w:t>
            </w:r>
            <w:r>
              <w:rPr>
                <w:rFonts w:hint="eastAsia"/>
                <w:color w:val="auto"/>
                <w:highlight w:val="none"/>
              </w:rPr>
              <w:t>分，</w:t>
            </w:r>
            <w:r>
              <w:rPr>
                <w:rFonts w:hint="eastAsia"/>
                <w:color w:val="auto"/>
                <w:highlight w:val="none"/>
                <w:lang w:val="en-US" w:eastAsia="zh-CN"/>
              </w:rPr>
              <w:t>两个业绩</w:t>
            </w:r>
            <w:r>
              <w:rPr>
                <w:rFonts w:hint="eastAsia"/>
                <w:color w:val="auto"/>
                <w:highlight w:val="none"/>
              </w:rPr>
              <w:t>得1</w:t>
            </w:r>
            <w:r>
              <w:rPr>
                <w:rFonts w:hint="eastAsia"/>
                <w:color w:val="auto"/>
                <w:highlight w:val="none"/>
                <w:lang w:val="en-US" w:eastAsia="zh-CN"/>
              </w:rPr>
              <w:t>5</w:t>
            </w:r>
            <w:r>
              <w:rPr>
                <w:rFonts w:hint="eastAsia"/>
                <w:color w:val="auto"/>
                <w:highlight w:val="none"/>
              </w:rPr>
              <w:t>分。</w:t>
            </w:r>
          </w:p>
          <w:p>
            <w:pPr>
              <w:pStyle w:val="13"/>
              <w:spacing w:line="240" w:lineRule="auto"/>
              <w:rPr>
                <w:rFonts w:hint="eastAsia"/>
                <w:color w:val="auto"/>
                <w:highlight w:val="none"/>
              </w:rPr>
            </w:pPr>
          </w:p>
          <w:p>
            <w:pPr>
              <w:pStyle w:val="5"/>
              <w:spacing w:line="240" w:lineRule="auto"/>
              <w:ind w:left="0" w:leftChars="0" w:firstLine="0" w:firstLineChars="0"/>
              <w:rPr>
                <w:rFonts w:hint="default" w:eastAsia="宋体"/>
                <w:color w:val="auto"/>
                <w:highlight w:val="none"/>
                <w:lang w:val="en-US" w:eastAsia="zh-CN"/>
              </w:rPr>
            </w:pPr>
            <w:r>
              <w:rPr>
                <w:rFonts w:hint="eastAsia"/>
                <w:color w:val="auto"/>
                <w:highlight w:val="none"/>
                <w:lang w:val="en-US" w:eastAsia="zh-CN"/>
              </w:rPr>
              <w:t>1、2、3小项合计最高得15分。</w:t>
            </w:r>
          </w:p>
          <w:p>
            <w:pPr>
              <w:spacing w:line="240" w:lineRule="auto"/>
              <w:rPr>
                <w:rFonts w:hint="default" w:eastAsia="宋体"/>
                <w:color w:val="auto"/>
                <w:highlight w:val="none"/>
                <w:lang w:val="en-US" w:eastAsia="zh-CN"/>
              </w:rPr>
            </w:pPr>
            <w:r>
              <w:rPr>
                <w:rFonts w:hint="eastAsia"/>
                <w:color w:val="auto"/>
                <w:highlight w:val="none"/>
              </w:rPr>
              <w:t>注：</w:t>
            </w:r>
            <w:r>
              <w:rPr>
                <w:rFonts w:hint="eastAsia" w:eastAsia="宋体" w:cs="宋体"/>
                <w:color w:val="auto"/>
                <w:szCs w:val="21"/>
                <w:highlight w:val="none"/>
              </w:rPr>
              <w:t>如投标人提供的</w:t>
            </w:r>
            <w:r>
              <w:rPr>
                <w:rFonts w:hint="eastAsia" w:cs="宋体"/>
                <w:color w:val="auto"/>
                <w:szCs w:val="21"/>
                <w:highlight w:val="none"/>
                <w:lang w:val="en-US" w:eastAsia="zh-CN"/>
              </w:rPr>
              <w:t>业绩</w:t>
            </w:r>
            <w:r>
              <w:rPr>
                <w:rFonts w:hint="eastAsia" w:eastAsia="宋体" w:cs="宋体"/>
                <w:color w:val="auto"/>
                <w:szCs w:val="21"/>
                <w:highlight w:val="none"/>
              </w:rPr>
              <w:t>为设备监理</w:t>
            </w:r>
            <w:r>
              <w:rPr>
                <w:rFonts w:hint="eastAsia" w:eastAsia="宋体" w:cs="宋体"/>
                <w:color w:val="auto"/>
                <w:szCs w:val="21"/>
                <w:highlight w:val="none"/>
                <w:lang w:eastAsia="zh-CN"/>
              </w:rPr>
              <w:t>、</w:t>
            </w:r>
            <w:r>
              <w:rPr>
                <w:rFonts w:hint="eastAsia" w:eastAsia="宋体" w:cs="宋体"/>
                <w:color w:val="auto"/>
                <w:szCs w:val="21"/>
                <w:highlight w:val="none"/>
              </w:rPr>
              <w:t>设备监造或</w:t>
            </w:r>
            <w:r>
              <w:rPr>
                <w:rFonts w:hint="eastAsia" w:eastAsia="宋体" w:cs="宋体"/>
                <w:color w:val="auto"/>
                <w:szCs w:val="21"/>
                <w:highlight w:val="none"/>
                <w:lang w:val="en-US" w:eastAsia="zh-CN"/>
              </w:rPr>
              <w:t>项目管理</w:t>
            </w:r>
            <w:r>
              <w:rPr>
                <w:rFonts w:hint="eastAsia" w:eastAsia="宋体" w:cs="宋体"/>
                <w:color w:val="auto"/>
                <w:szCs w:val="21"/>
                <w:highlight w:val="none"/>
              </w:rPr>
              <w:t>业绩，等同于设备集成服务业绩；</w:t>
            </w:r>
            <w:r>
              <w:rPr>
                <w:rFonts w:hint="eastAsia" w:eastAsia="宋体" w:cs="宋体"/>
                <w:color w:val="auto"/>
                <w:szCs w:val="21"/>
                <w:highlight w:val="none"/>
                <w:lang w:val="en-US" w:eastAsia="zh-CN"/>
              </w:rPr>
              <w:t>工程监理业绩不可等同集成服务业绩）；</w:t>
            </w:r>
            <w:r>
              <w:rPr>
                <w:rFonts w:hint="eastAsia" w:ascii="宋体" w:hAnsi="宋体" w:eastAsia="宋体" w:cs="宋体"/>
                <w:color w:val="auto"/>
                <w:sz w:val="21"/>
                <w:szCs w:val="21"/>
                <w:highlight w:val="none"/>
              </w:rPr>
              <w:t>业绩</w:t>
            </w:r>
            <w:r>
              <w:rPr>
                <w:rFonts w:hint="eastAsia" w:ascii="宋体" w:hAnsi="宋体" w:cs="宋体"/>
                <w:color w:val="auto"/>
                <w:sz w:val="21"/>
                <w:szCs w:val="21"/>
                <w:highlight w:val="none"/>
                <w:lang w:val="en-US" w:eastAsia="zh-CN"/>
              </w:rPr>
              <w:t>备注及</w:t>
            </w:r>
            <w:r>
              <w:rPr>
                <w:rFonts w:hint="eastAsia" w:ascii="宋体" w:hAnsi="宋体" w:eastAsia="宋体" w:cs="宋体"/>
                <w:color w:val="auto"/>
                <w:sz w:val="21"/>
                <w:szCs w:val="21"/>
                <w:highlight w:val="none"/>
              </w:rPr>
              <w:t>证明材料要求与</w:t>
            </w:r>
            <w:r>
              <w:rPr>
                <w:rFonts w:hint="eastAsia" w:ascii="宋体" w:hAnsi="宋体" w:eastAsia="宋体" w:cs="宋体"/>
                <w:color w:val="auto"/>
                <w:sz w:val="21"/>
                <w:szCs w:val="21"/>
                <w:highlight w:val="none"/>
                <w:lang w:val="en-US" w:eastAsia="zh-CN"/>
              </w:rPr>
              <w:t>招标文件第一章第3.1.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项的</w:t>
            </w:r>
            <w:r>
              <w:rPr>
                <w:rFonts w:hint="eastAsia" w:ascii="宋体" w:hAnsi="宋体" w:eastAsia="宋体" w:cs="宋体"/>
                <w:color w:val="auto"/>
                <w:sz w:val="21"/>
                <w:szCs w:val="21"/>
                <w:highlight w:val="none"/>
              </w:rPr>
              <w:t>投标人资格业绩一致</w:t>
            </w:r>
            <w:r>
              <w:rPr>
                <w:rFonts w:hint="eastAsia" w:ascii="宋体" w:hAnsi="宋体" w:cs="宋体"/>
                <w:color w:val="auto"/>
                <w:sz w:val="21"/>
                <w:szCs w:val="21"/>
                <w:highlight w:val="none"/>
                <w:lang w:eastAsia="zh-CN"/>
              </w:rPr>
              <w:t>；同一个业绩不重复计算得分</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restart"/>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2.2.4（2）</w:t>
            </w:r>
          </w:p>
        </w:tc>
        <w:tc>
          <w:tcPr>
            <w:tcW w:w="1124" w:type="dxa"/>
            <w:vMerge w:val="restart"/>
            <w:tcBorders>
              <w:left w:val="nil"/>
              <w:right w:val="single" w:color="auto" w:sz="4" w:space="0"/>
            </w:tcBorders>
            <w:noWrap w:val="0"/>
            <w:vAlign w:val="center"/>
          </w:tcPr>
          <w:p>
            <w:pPr>
              <w:widowControl/>
              <w:jc w:val="center"/>
              <w:rPr>
                <w:rFonts w:hint="default" w:ascii="宋体" w:hAnsi="宋体" w:cs="宋体"/>
                <w:color w:val="auto"/>
                <w:szCs w:val="21"/>
                <w:highlight w:val="none"/>
                <w:lang w:val="en-US"/>
              </w:rPr>
            </w:pPr>
            <w:r>
              <w:rPr>
                <w:rFonts w:hint="eastAsia"/>
                <w:color w:val="auto"/>
                <w:highlight w:val="none"/>
                <w:lang w:val="en-US" w:eastAsia="zh-CN"/>
              </w:rPr>
              <w:t>技术及保障评分标准（50分）</w:t>
            </w:r>
          </w:p>
        </w:tc>
        <w:tc>
          <w:tcPr>
            <w:tcW w:w="2476" w:type="dxa"/>
            <w:tcBorders>
              <w:top w:val="single" w:color="auto" w:sz="4" w:space="0"/>
              <w:left w:val="single" w:color="auto" w:sz="4" w:space="0"/>
              <w:right w:val="single" w:color="auto" w:sz="4" w:space="0"/>
            </w:tcBorders>
            <w:noWrap w:val="0"/>
            <w:vAlign w:val="center"/>
          </w:tcPr>
          <w:p>
            <w:pPr>
              <w:pStyle w:val="11"/>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项目管理</w:t>
            </w:r>
            <w:r>
              <w:rPr>
                <w:rFonts w:hint="eastAsia" w:ascii="宋体" w:hAnsi="宋体" w:cs="宋体"/>
                <w:color w:val="auto"/>
                <w:sz w:val="21"/>
                <w:szCs w:val="21"/>
                <w:highlight w:val="none"/>
                <w:lang w:val="en-US" w:eastAsia="zh-CN"/>
              </w:rPr>
              <w:t>人员业绩经验</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eastAsia="zh-CN"/>
              </w:rPr>
            </w:pPr>
            <w:r>
              <w:rPr>
                <w:rFonts w:hint="eastAsia"/>
                <w:color w:val="auto"/>
                <w:highlight w:val="none"/>
                <w:lang w:val="en-US" w:eastAsia="zh-CN"/>
              </w:rPr>
              <w:t>（1）</w:t>
            </w:r>
            <w:r>
              <w:rPr>
                <w:rFonts w:hint="eastAsia"/>
                <w:color w:val="auto"/>
                <w:highlight w:val="none"/>
              </w:rPr>
              <w:t>项目经理</w:t>
            </w:r>
            <w:r>
              <w:rPr>
                <w:rFonts w:hint="eastAsia"/>
                <w:color w:val="auto"/>
                <w:highlight w:val="none"/>
                <w:lang w:val="en-US" w:eastAsia="zh-CN"/>
              </w:rPr>
              <w:t>业绩经验</w:t>
            </w:r>
            <w:r>
              <w:rPr>
                <w:rFonts w:hint="eastAsia"/>
                <w:color w:val="auto"/>
                <w:highlight w:val="none"/>
              </w:rPr>
              <w:t>（</w:t>
            </w:r>
            <w:r>
              <w:rPr>
                <w:rFonts w:hint="eastAsia"/>
                <w:color w:val="auto"/>
                <w:highlight w:val="none"/>
                <w:lang w:val="en-US" w:eastAsia="zh-CN"/>
              </w:rPr>
              <w:t>4</w:t>
            </w:r>
            <w:r>
              <w:rPr>
                <w:rFonts w:hint="eastAsia"/>
                <w:color w:val="auto"/>
                <w:highlight w:val="none"/>
              </w:rPr>
              <w:t>分）</w:t>
            </w:r>
            <w:r>
              <w:rPr>
                <w:rFonts w:hint="eastAsia"/>
                <w:color w:val="auto"/>
                <w:highlight w:val="none"/>
                <w:lang w:eastAsia="zh-CN"/>
              </w:rPr>
              <w:t>：</w:t>
            </w:r>
          </w:p>
          <w:p>
            <w:pPr>
              <w:pStyle w:val="5"/>
              <w:ind w:left="0" w:leftChars="0" w:firstLine="0" w:firstLineChars="0"/>
              <w:rPr>
                <w:rFonts w:hint="eastAsia"/>
                <w:color w:val="auto"/>
                <w:highlight w:val="none"/>
                <w:lang w:eastAsia="zh-CN"/>
              </w:rPr>
            </w:pPr>
            <w:r>
              <w:rPr>
                <w:rFonts w:hint="eastAsia"/>
                <w:color w:val="auto"/>
                <w:highlight w:val="none"/>
                <w:lang w:eastAsia="zh-CN"/>
              </w:rPr>
              <w:t>投标人拟</w:t>
            </w:r>
            <w:r>
              <w:rPr>
                <w:rFonts w:hint="eastAsia"/>
                <w:color w:val="auto"/>
                <w:highlight w:val="none"/>
                <w:lang w:val="en-US" w:eastAsia="zh-CN"/>
              </w:rPr>
              <w:t>派</w:t>
            </w:r>
            <w:r>
              <w:rPr>
                <w:rFonts w:hint="eastAsia"/>
                <w:color w:val="auto"/>
                <w:highlight w:val="none"/>
                <w:lang w:eastAsia="zh-CN"/>
              </w:rPr>
              <w:t>项目经理</w:t>
            </w:r>
            <w:r>
              <w:rPr>
                <w:rFonts w:hint="eastAsia"/>
                <w:color w:val="auto"/>
                <w:highlight w:val="none"/>
                <w:lang w:val="en-US" w:eastAsia="zh-CN"/>
              </w:rPr>
              <w:t>担任过</w:t>
            </w:r>
            <w:r>
              <w:rPr>
                <w:rFonts w:hint="eastAsia"/>
                <w:color w:val="auto"/>
                <w:highlight w:val="none"/>
                <w:lang w:eastAsia="zh-CN"/>
              </w:rPr>
              <w:t>1个轨道交通工程强电系统设备或弱电系统设备或车站设备集成服务项目的项目经理或总监理工程师或设计总体业绩</w:t>
            </w:r>
            <w:r>
              <w:rPr>
                <w:rFonts w:hint="eastAsia"/>
                <w:color w:val="auto"/>
                <w:highlight w:val="none"/>
                <w:lang w:val="en-US" w:eastAsia="zh-CN"/>
              </w:rPr>
              <w:t>的</w:t>
            </w:r>
            <w:r>
              <w:rPr>
                <w:rFonts w:hint="eastAsia"/>
                <w:color w:val="auto"/>
                <w:highlight w:val="none"/>
                <w:lang w:eastAsia="zh-CN"/>
              </w:rPr>
              <w:t>（</w:t>
            </w:r>
            <w:r>
              <w:rPr>
                <w:rFonts w:hint="eastAsia" w:ascii="宋体" w:hAnsi="宋体" w:eastAsia="宋体" w:cs="宋体"/>
                <w:color w:val="auto"/>
                <w:kern w:val="2"/>
                <w:sz w:val="21"/>
                <w:szCs w:val="21"/>
                <w:highlight w:val="none"/>
                <w:lang w:val="en-US" w:eastAsia="zh-CN"/>
              </w:rPr>
              <w:t>须体现岗位信息</w:t>
            </w:r>
            <w:r>
              <w:rPr>
                <w:rFonts w:hint="eastAsia"/>
                <w:color w:val="auto"/>
                <w:highlight w:val="none"/>
                <w:lang w:eastAsia="zh-CN"/>
              </w:rPr>
              <w:t>）</w:t>
            </w:r>
            <w:r>
              <w:rPr>
                <w:rFonts w:hint="eastAsia"/>
                <w:color w:val="auto"/>
                <w:highlight w:val="none"/>
                <w:lang w:val="en-US" w:eastAsia="zh-CN"/>
              </w:rPr>
              <w:t>，每</w:t>
            </w:r>
            <w:r>
              <w:rPr>
                <w:rFonts w:hint="eastAsia"/>
                <w:color w:val="auto"/>
                <w:highlight w:val="none"/>
                <w:lang w:eastAsia="zh-CN"/>
              </w:rPr>
              <w:t>个得</w:t>
            </w:r>
            <w:r>
              <w:rPr>
                <w:rFonts w:hint="eastAsia"/>
                <w:color w:val="auto"/>
                <w:highlight w:val="none"/>
                <w:lang w:val="en-US" w:eastAsia="zh-CN"/>
              </w:rPr>
              <w:t>2</w:t>
            </w:r>
            <w:r>
              <w:rPr>
                <w:rFonts w:hint="eastAsia"/>
                <w:color w:val="auto"/>
                <w:highlight w:val="none"/>
                <w:lang w:eastAsia="zh-CN"/>
              </w:rPr>
              <w:t>分，</w:t>
            </w:r>
            <w:r>
              <w:rPr>
                <w:rFonts w:hint="eastAsia"/>
                <w:color w:val="auto"/>
                <w:highlight w:val="none"/>
                <w:lang w:val="en-US" w:eastAsia="zh-CN"/>
              </w:rPr>
              <w:t>无业绩经验得0分，本小项</w:t>
            </w:r>
            <w:r>
              <w:rPr>
                <w:rFonts w:hint="eastAsia"/>
                <w:color w:val="auto"/>
                <w:highlight w:val="none"/>
                <w:lang w:eastAsia="zh-CN"/>
              </w:rPr>
              <w:t>最高</w:t>
            </w:r>
            <w:r>
              <w:rPr>
                <w:rFonts w:hint="eastAsia"/>
                <w:color w:val="auto"/>
                <w:highlight w:val="none"/>
                <w:lang w:val="en-US" w:eastAsia="zh-CN"/>
              </w:rPr>
              <w:t>4</w:t>
            </w:r>
            <w:r>
              <w:rPr>
                <w:rFonts w:hint="eastAsia"/>
                <w:color w:val="auto"/>
                <w:highlight w:val="none"/>
                <w:lang w:eastAsia="zh-CN"/>
              </w:rPr>
              <w:t>分。</w:t>
            </w:r>
          </w:p>
          <w:p>
            <w:pPr>
              <w:spacing w:line="360" w:lineRule="auto"/>
              <w:rPr>
                <w:rFonts w:hint="eastAsia"/>
                <w:color w:val="auto"/>
                <w:highlight w:val="none"/>
                <w:lang w:val="en-US" w:eastAsia="zh-CN"/>
              </w:rPr>
            </w:pPr>
            <w:r>
              <w:rPr>
                <w:rFonts w:hint="eastAsia"/>
                <w:color w:val="auto"/>
                <w:highlight w:val="none"/>
                <w:lang w:val="en-US" w:eastAsia="zh-CN"/>
              </w:rPr>
              <w:t>（2）系统负责人业绩经验（9分）：</w:t>
            </w:r>
          </w:p>
          <w:p>
            <w:pPr>
              <w:pStyle w:val="5"/>
              <w:ind w:left="0" w:leftChars="0" w:firstLine="0" w:firstLineChars="0"/>
              <w:rPr>
                <w:rFonts w:hint="eastAsia"/>
                <w:color w:val="auto"/>
                <w:highlight w:val="none"/>
                <w:lang w:eastAsia="zh-CN"/>
              </w:rPr>
            </w:pPr>
            <w:r>
              <w:rPr>
                <w:rFonts w:hint="eastAsia"/>
                <w:color w:val="auto"/>
                <w:highlight w:val="none"/>
                <w:lang w:val="en-US" w:eastAsia="zh-CN"/>
              </w:rPr>
              <w:t>强电系统负责人（3分）：具有</w:t>
            </w:r>
            <w:r>
              <w:rPr>
                <w:rFonts w:hint="eastAsia"/>
                <w:color w:val="auto"/>
                <w:highlight w:val="none"/>
                <w:lang w:eastAsia="zh-CN"/>
              </w:rPr>
              <w:t>强电系统设备轨道交通工程集成服务项目</w:t>
            </w:r>
            <w:r>
              <w:rPr>
                <w:rFonts w:hint="eastAsia"/>
                <w:color w:val="auto"/>
                <w:highlight w:val="none"/>
                <w:lang w:val="en-US" w:eastAsia="zh-CN"/>
              </w:rPr>
              <w:t>的</w:t>
            </w:r>
            <w:r>
              <w:rPr>
                <w:rFonts w:hint="eastAsia"/>
                <w:color w:val="auto"/>
                <w:szCs w:val="21"/>
                <w:highlight w:val="none"/>
              </w:rPr>
              <w:t>专业工程师以上业绩或</w:t>
            </w:r>
            <w:r>
              <w:rPr>
                <w:rFonts w:hint="eastAsia"/>
                <w:color w:val="auto"/>
                <w:szCs w:val="21"/>
                <w:highlight w:val="none"/>
                <w:lang w:val="en-US" w:eastAsia="zh-CN"/>
              </w:rPr>
              <w:t>监理代理业绩或</w:t>
            </w:r>
            <w:r>
              <w:rPr>
                <w:rFonts w:hint="eastAsia"/>
                <w:color w:val="auto"/>
                <w:szCs w:val="21"/>
                <w:highlight w:val="none"/>
              </w:rPr>
              <w:t>设计副总体及以上职务业绩</w:t>
            </w:r>
            <w:r>
              <w:rPr>
                <w:rFonts w:hint="eastAsia"/>
                <w:color w:val="auto"/>
                <w:highlight w:val="none"/>
                <w:lang w:val="en-US" w:eastAsia="zh-CN"/>
              </w:rPr>
              <w:t>，每个</w:t>
            </w:r>
            <w:r>
              <w:rPr>
                <w:rFonts w:hint="eastAsia"/>
                <w:color w:val="auto"/>
                <w:highlight w:val="none"/>
                <w:lang w:eastAsia="zh-CN"/>
              </w:rPr>
              <w:t>得</w:t>
            </w:r>
            <w:r>
              <w:rPr>
                <w:rFonts w:hint="eastAsia"/>
                <w:color w:val="auto"/>
                <w:highlight w:val="none"/>
                <w:lang w:val="en-US" w:eastAsia="zh-CN"/>
              </w:rPr>
              <w:t>1</w:t>
            </w:r>
            <w:r>
              <w:rPr>
                <w:rFonts w:hint="eastAsia"/>
                <w:color w:val="auto"/>
                <w:highlight w:val="none"/>
                <w:lang w:eastAsia="zh-CN"/>
              </w:rPr>
              <w:t>分，</w:t>
            </w:r>
            <w:r>
              <w:rPr>
                <w:rFonts w:hint="eastAsia"/>
                <w:color w:val="auto"/>
                <w:highlight w:val="none"/>
                <w:lang w:val="en-US" w:eastAsia="zh-CN"/>
              </w:rPr>
              <w:t>无业绩经验得0分，本小项</w:t>
            </w:r>
            <w:r>
              <w:rPr>
                <w:rFonts w:hint="eastAsia"/>
                <w:color w:val="auto"/>
                <w:highlight w:val="none"/>
                <w:lang w:eastAsia="zh-CN"/>
              </w:rPr>
              <w:t>最高</w:t>
            </w:r>
            <w:r>
              <w:rPr>
                <w:rFonts w:hint="eastAsia"/>
                <w:color w:val="auto"/>
                <w:highlight w:val="none"/>
                <w:lang w:val="en-US" w:eastAsia="zh-CN"/>
              </w:rPr>
              <w:t>3</w:t>
            </w:r>
            <w:r>
              <w:rPr>
                <w:rFonts w:hint="eastAsia"/>
                <w:color w:val="auto"/>
                <w:highlight w:val="none"/>
                <w:lang w:eastAsia="zh-CN"/>
              </w:rPr>
              <w:t>分。</w:t>
            </w:r>
          </w:p>
          <w:p>
            <w:pPr>
              <w:pStyle w:val="5"/>
              <w:ind w:left="0" w:leftChars="0" w:firstLine="0" w:firstLineChars="0"/>
              <w:rPr>
                <w:rFonts w:hint="eastAsia"/>
                <w:color w:val="auto"/>
                <w:highlight w:val="none"/>
                <w:lang w:eastAsia="zh-CN"/>
              </w:rPr>
            </w:pPr>
            <w:r>
              <w:rPr>
                <w:rFonts w:hint="eastAsia"/>
                <w:color w:val="auto"/>
                <w:highlight w:val="none"/>
                <w:lang w:val="en-US" w:eastAsia="zh-CN"/>
              </w:rPr>
              <w:t>弱电系统负责人（3分）：具有弱</w:t>
            </w:r>
            <w:r>
              <w:rPr>
                <w:rFonts w:hint="eastAsia"/>
                <w:color w:val="auto"/>
                <w:highlight w:val="none"/>
                <w:lang w:eastAsia="zh-CN"/>
              </w:rPr>
              <w:t>电系统设备轨道交通工程集成服务项目</w:t>
            </w:r>
            <w:r>
              <w:rPr>
                <w:rFonts w:hint="eastAsia"/>
                <w:color w:val="auto"/>
                <w:highlight w:val="none"/>
                <w:lang w:val="en-US" w:eastAsia="zh-CN"/>
              </w:rPr>
              <w:t>的</w:t>
            </w:r>
            <w:r>
              <w:rPr>
                <w:rFonts w:hint="eastAsia"/>
                <w:color w:val="auto"/>
                <w:szCs w:val="21"/>
                <w:highlight w:val="none"/>
              </w:rPr>
              <w:t>专业工程师以上业绩或</w:t>
            </w:r>
            <w:r>
              <w:rPr>
                <w:rFonts w:hint="eastAsia"/>
                <w:color w:val="auto"/>
                <w:szCs w:val="21"/>
                <w:highlight w:val="none"/>
                <w:lang w:val="en-US" w:eastAsia="zh-CN"/>
              </w:rPr>
              <w:t>监理代理业绩或</w:t>
            </w:r>
            <w:r>
              <w:rPr>
                <w:rFonts w:hint="eastAsia"/>
                <w:color w:val="auto"/>
                <w:szCs w:val="21"/>
                <w:highlight w:val="none"/>
              </w:rPr>
              <w:t>设计副总体及以上职务业绩</w:t>
            </w:r>
            <w:r>
              <w:rPr>
                <w:rFonts w:hint="eastAsia"/>
                <w:color w:val="auto"/>
                <w:highlight w:val="none"/>
                <w:lang w:val="en-US" w:eastAsia="zh-CN"/>
              </w:rPr>
              <w:t>，每个</w:t>
            </w:r>
            <w:r>
              <w:rPr>
                <w:rFonts w:hint="eastAsia"/>
                <w:color w:val="auto"/>
                <w:highlight w:val="none"/>
                <w:lang w:eastAsia="zh-CN"/>
              </w:rPr>
              <w:t>得</w:t>
            </w:r>
            <w:r>
              <w:rPr>
                <w:rFonts w:hint="eastAsia"/>
                <w:color w:val="auto"/>
                <w:highlight w:val="none"/>
                <w:lang w:val="en-US" w:eastAsia="zh-CN"/>
              </w:rPr>
              <w:t>1</w:t>
            </w:r>
            <w:r>
              <w:rPr>
                <w:rFonts w:hint="eastAsia"/>
                <w:color w:val="auto"/>
                <w:highlight w:val="none"/>
                <w:lang w:eastAsia="zh-CN"/>
              </w:rPr>
              <w:t>分，</w:t>
            </w:r>
            <w:r>
              <w:rPr>
                <w:rFonts w:hint="eastAsia"/>
                <w:color w:val="auto"/>
                <w:highlight w:val="none"/>
                <w:lang w:val="en-US" w:eastAsia="zh-CN"/>
              </w:rPr>
              <w:t>无业绩经验得0分，本小项</w:t>
            </w:r>
            <w:r>
              <w:rPr>
                <w:rFonts w:hint="eastAsia"/>
                <w:color w:val="auto"/>
                <w:highlight w:val="none"/>
                <w:lang w:eastAsia="zh-CN"/>
              </w:rPr>
              <w:t>最高</w:t>
            </w:r>
            <w:r>
              <w:rPr>
                <w:rFonts w:hint="eastAsia"/>
                <w:color w:val="auto"/>
                <w:highlight w:val="none"/>
                <w:lang w:val="en-US" w:eastAsia="zh-CN"/>
              </w:rPr>
              <w:t>3</w:t>
            </w:r>
            <w:r>
              <w:rPr>
                <w:rFonts w:hint="eastAsia"/>
                <w:color w:val="auto"/>
                <w:highlight w:val="none"/>
                <w:lang w:eastAsia="zh-CN"/>
              </w:rPr>
              <w:t>分。</w:t>
            </w:r>
          </w:p>
          <w:p>
            <w:pPr>
              <w:pStyle w:val="5"/>
              <w:ind w:left="0" w:leftChars="0" w:firstLine="0" w:firstLineChars="0"/>
              <w:rPr>
                <w:rFonts w:hint="eastAsia"/>
                <w:color w:val="auto"/>
                <w:highlight w:val="none"/>
                <w:lang w:eastAsia="zh-CN"/>
              </w:rPr>
            </w:pPr>
            <w:r>
              <w:rPr>
                <w:rFonts w:hint="eastAsia"/>
                <w:color w:val="auto"/>
                <w:highlight w:val="none"/>
                <w:lang w:val="en-US" w:eastAsia="zh-CN"/>
              </w:rPr>
              <w:t>车站设备系统负责人（3分）：具有车站设备</w:t>
            </w:r>
            <w:r>
              <w:rPr>
                <w:rFonts w:hint="eastAsia"/>
                <w:color w:val="auto"/>
                <w:highlight w:val="none"/>
                <w:lang w:eastAsia="zh-CN"/>
              </w:rPr>
              <w:t>轨道交通工程集成服务项目</w:t>
            </w:r>
            <w:r>
              <w:rPr>
                <w:rFonts w:hint="eastAsia"/>
                <w:color w:val="auto"/>
                <w:highlight w:val="none"/>
                <w:lang w:val="en-US" w:eastAsia="zh-CN"/>
              </w:rPr>
              <w:t>的</w:t>
            </w:r>
            <w:r>
              <w:rPr>
                <w:rFonts w:hint="eastAsia"/>
                <w:color w:val="auto"/>
                <w:szCs w:val="21"/>
                <w:highlight w:val="none"/>
              </w:rPr>
              <w:t>专业工程师以上业绩或</w:t>
            </w:r>
            <w:r>
              <w:rPr>
                <w:rFonts w:hint="eastAsia"/>
                <w:color w:val="auto"/>
                <w:szCs w:val="21"/>
                <w:highlight w:val="none"/>
                <w:lang w:val="en-US" w:eastAsia="zh-CN"/>
              </w:rPr>
              <w:t>监理代理业绩或</w:t>
            </w:r>
            <w:r>
              <w:rPr>
                <w:rFonts w:hint="eastAsia"/>
                <w:color w:val="auto"/>
                <w:szCs w:val="21"/>
                <w:highlight w:val="none"/>
              </w:rPr>
              <w:t>设计副总体及以上职务业绩</w:t>
            </w:r>
            <w:r>
              <w:rPr>
                <w:rFonts w:hint="eastAsia"/>
                <w:color w:val="auto"/>
                <w:highlight w:val="none"/>
                <w:lang w:val="en-US" w:eastAsia="zh-CN"/>
              </w:rPr>
              <w:t>，每个</w:t>
            </w:r>
            <w:r>
              <w:rPr>
                <w:rFonts w:hint="eastAsia"/>
                <w:color w:val="auto"/>
                <w:highlight w:val="none"/>
                <w:lang w:eastAsia="zh-CN"/>
              </w:rPr>
              <w:t>得</w:t>
            </w:r>
            <w:r>
              <w:rPr>
                <w:rFonts w:hint="eastAsia"/>
                <w:color w:val="auto"/>
                <w:highlight w:val="none"/>
                <w:lang w:val="en-US" w:eastAsia="zh-CN"/>
              </w:rPr>
              <w:t>1</w:t>
            </w:r>
            <w:r>
              <w:rPr>
                <w:rFonts w:hint="eastAsia"/>
                <w:color w:val="auto"/>
                <w:highlight w:val="none"/>
                <w:lang w:eastAsia="zh-CN"/>
              </w:rPr>
              <w:t>分，</w:t>
            </w:r>
            <w:r>
              <w:rPr>
                <w:rFonts w:hint="eastAsia"/>
                <w:color w:val="auto"/>
                <w:highlight w:val="none"/>
                <w:lang w:val="en-US" w:eastAsia="zh-CN"/>
              </w:rPr>
              <w:t>无业绩经验得0分，本小项</w:t>
            </w:r>
            <w:r>
              <w:rPr>
                <w:rFonts w:hint="eastAsia"/>
                <w:color w:val="auto"/>
                <w:highlight w:val="none"/>
                <w:lang w:eastAsia="zh-CN"/>
              </w:rPr>
              <w:t>最高</w:t>
            </w:r>
            <w:r>
              <w:rPr>
                <w:rFonts w:hint="eastAsia"/>
                <w:color w:val="auto"/>
                <w:highlight w:val="none"/>
                <w:lang w:val="en-US" w:eastAsia="zh-CN"/>
              </w:rPr>
              <w:t>3</w:t>
            </w:r>
            <w:r>
              <w:rPr>
                <w:rFonts w:hint="eastAsia"/>
                <w:color w:val="auto"/>
                <w:highlight w:val="none"/>
                <w:lang w:eastAsia="zh-CN"/>
              </w:rPr>
              <w:t>分。</w:t>
            </w:r>
          </w:p>
          <w:p>
            <w:pPr>
              <w:pStyle w:val="5"/>
              <w:ind w:left="0" w:leftChars="0" w:firstLine="0" w:firstLineChars="0"/>
              <w:rPr>
                <w:rFonts w:hint="default"/>
                <w:color w:val="auto"/>
                <w:highlight w:val="none"/>
                <w:lang w:val="en-US" w:eastAsia="zh-CN"/>
              </w:rPr>
            </w:pPr>
            <w:r>
              <w:rPr>
                <w:rFonts w:hint="eastAsia"/>
                <w:color w:val="auto"/>
                <w:highlight w:val="none"/>
                <w:lang w:val="en-US" w:eastAsia="zh-CN"/>
              </w:rPr>
              <w:t>注：上述业绩经验需提供有效证明文件（如合同或其他经</w:t>
            </w:r>
            <w:r>
              <w:rPr>
                <w:rFonts w:hint="eastAsia"/>
                <w:color w:val="auto"/>
                <w:highlight w:val="none"/>
                <w:lang w:eastAsia="zh-CN"/>
              </w:rPr>
              <w:t>业主确认的证明文件</w:t>
            </w:r>
            <w:r>
              <w:rPr>
                <w:rFonts w:hint="eastAsia"/>
                <w:color w:val="auto"/>
                <w:highlight w:val="none"/>
                <w:lang w:val="en-US" w:eastAsia="zh-CN"/>
              </w:rPr>
              <w:t>）；设备监理、设备监造或项目管理业绩，等同于设备集成服务业绩；工程监理业绩不可等同集成服务业绩。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124" w:type="dxa"/>
            <w:vMerge w:val="continue"/>
            <w:tcBorders>
              <w:left w:val="nil"/>
              <w:right w:val="single" w:color="auto" w:sz="4" w:space="0"/>
            </w:tcBorders>
            <w:noWrap w:val="0"/>
            <w:vAlign w:val="center"/>
          </w:tcPr>
          <w:p>
            <w:pPr>
              <w:widowControl/>
              <w:jc w:val="center"/>
              <w:rPr>
                <w:rFonts w:hint="eastAsia"/>
                <w:color w:val="auto"/>
                <w:highlight w:val="none"/>
                <w:lang w:val="en-US" w:eastAsia="zh-CN"/>
              </w:rPr>
            </w:pPr>
          </w:p>
        </w:tc>
        <w:tc>
          <w:tcPr>
            <w:tcW w:w="2476" w:type="dxa"/>
            <w:tcBorders>
              <w:top w:val="single" w:color="auto" w:sz="4" w:space="0"/>
              <w:left w:val="single" w:color="auto" w:sz="4" w:space="0"/>
              <w:right w:val="single" w:color="auto" w:sz="4" w:space="0"/>
            </w:tcBorders>
            <w:noWrap w:val="0"/>
            <w:vAlign w:val="center"/>
          </w:tcPr>
          <w:p>
            <w:pPr>
              <w:pStyle w:val="11"/>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承担业务的能力优势（</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rPr>
                <w:rFonts w:hint="eastAsia"/>
                <w:color w:val="auto"/>
                <w:highlight w:val="none"/>
                <w:lang w:val="en-US" w:eastAsia="zh-CN"/>
              </w:rPr>
            </w:pPr>
            <w:r>
              <w:rPr>
                <w:rFonts w:hint="eastAsia"/>
                <w:color w:val="auto"/>
                <w:highlight w:val="none"/>
                <w:lang w:val="en-US" w:eastAsia="zh-CN"/>
              </w:rPr>
              <w:t>（1）人员配置满足招标文件投标文件格式《</w:t>
            </w:r>
            <w:r>
              <w:rPr>
                <w:rFonts w:hint="eastAsia"/>
                <w:color w:val="auto"/>
                <w:highlight w:val="none"/>
              </w:rPr>
              <w:t>集成服务人员配置要求</w:t>
            </w:r>
            <w:r>
              <w:rPr>
                <w:rFonts w:hint="eastAsia"/>
                <w:color w:val="auto"/>
                <w:highlight w:val="none"/>
                <w:lang w:val="en-US" w:eastAsia="zh-CN"/>
              </w:rPr>
              <w:t>表》要求得4分，不满足要求得0分；在满足基本配置要求的基础上，每类系统专业工程师各增加1人得2分。本小项最高得6分。</w:t>
            </w:r>
          </w:p>
          <w:p>
            <w:pPr>
              <w:pStyle w:val="5"/>
              <w:ind w:left="0" w:leftChars="0" w:firstLine="0" w:firstLineChars="0"/>
              <w:rPr>
                <w:rFonts w:hint="default"/>
                <w:color w:val="auto"/>
                <w:highlight w:val="none"/>
                <w:lang w:val="en-US" w:eastAsia="zh-CN"/>
              </w:rPr>
            </w:pPr>
            <w:r>
              <w:rPr>
                <w:rFonts w:hint="eastAsia"/>
                <w:color w:val="auto"/>
                <w:highlight w:val="none"/>
                <w:lang w:val="en-US" w:eastAsia="zh-CN"/>
              </w:rPr>
              <w:t>（2）</w:t>
            </w:r>
            <w:r>
              <w:rPr>
                <w:rFonts w:hint="eastAsia" w:cs="宋体"/>
                <w:color w:val="auto"/>
                <w:highlight w:val="none"/>
                <w:lang w:val="en-US" w:eastAsia="zh-CN"/>
              </w:rPr>
              <w:t>2015</w:t>
            </w:r>
            <w:r>
              <w:rPr>
                <w:rFonts w:cs="宋体"/>
                <w:color w:val="auto"/>
                <w:highlight w:val="none"/>
              </w:rPr>
              <w:t>年1月1日</w:t>
            </w:r>
            <w:r>
              <w:rPr>
                <w:rFonts w:hint="eastAsia" w:cs="宋体"/>
                <w:color w:val="auto"/>
                <w:highlight w:val="none"/>
              </w:rPr>
              <w:t>至投标截止日</w:t>
            </w:r>
            <w:r>
              <w:rPr>
                <w:rFonts w:cs="宋体"/>
                <w:color w:val="auto"/>
                <w:highlight w:val="none"/>
              </w:rPr>
              <w:t>，</w:t>
            </w:r>
            <w:bookmarkStart w:id="646" w:name="OLE_LINK14"/>
            <w:bookmarkStart w:id="647" w:name="OLE_LINK13"/>
            <w:r>
              <w:rPr>
                <w:rFonts w:hint="eastAsia" w:cs="宋体"/>
                <w:color w:val="auto"/>
                <w:highlight w:val="none"/>
              </w:rPr>
              <w:t>拟任项目经理或投标人</w:t>
            </w:r>
            <w:r>
              <w:rPr>
                <w:rFonts w:hint="eastAsia" w:cs="宋体"/>
                <w:color w:val="auto"/>
                <w:highlight w:val="none"/>
                <w:lang w:val="en-US" w:eastAsia="zh-CN"/>
              </w:rPr>
              <w:t>在类似业绩中</w:t>
            </w:r>
            <w:r>
              <w:rPr>
                <w:rFonts w:cs="宋体"/>
                <w:color w:val="auto"/>
                <w:highlight w:val="none"/>
              </w:rPr>
              <w:t>获得过业主单位（用户）</w:t>
            </w:r>
            <w:r>
              <w:rPr>
                <w:rFonts w:hint="eastAsia" w:cs="宋体"/>
                <w:color w:val="auto"/>
                <w:highlight w:val="none"/>
              </w:rPr>
              <w:t>颁发</w:t>
            </w:r>
            <w:r>
              <w:rPr>
                <w:rFonts w:cs="宋体"/>
                <w:color w:val="auto"/>
                <w:highlight w:val="none"/>
              </w:rPr>
              <w:t>的</w:t>
            </w:r>
            <w:r>
              <w:rPr>
                <w:rFonts w:hint="eastAsia" w:cs="宋体"/>
                <w:color w:val="auto"/>
                <w:highlight w:val="none"/>
              </w:rPr>
              <w:t>对项目经理</w:t>
            </w:r>
            <w:r>
              <w:rPr>
                <w:rFonts w:hint="eastAsia" w:cs="宋体"/>
                <w:color w:val="auto"/>
                <w:highlight w:val="none"/>
                <w:lang w:val="en-US" w:eastAsia="zh-CN"/>
              </w:rPr>
              <w:t>或</w:t>
            </w:r>
            <w:r>
              <w:rPr>
                <w:rFonts w:hint="eastAsia" w:cs="宋体"/>
                <w:color w:val="auto"/>
                <w:highlight w:val="none"/>
              </w:rPr>
              <w:t>集成服务团队工作优秀的</w:t>
            </w:r>
            <w:bookmarkStart w:id="648" w:name="OLE_LINK15"/>
            <w:r>
              <w:rPr>
                <w:rFonts w:hint="eastAsia" w:cs="宋体"/>
                <w:color w:val="auto"/>
                <w:highlight w:val="none"/>
              </w:rPr>
              <w:t>肯定性证明</w:t>
            </w:r>
            <w:bookmarkEnd w:id="646"/>
            <w:bookmarkEnd w:id="647"/>
            <w:bookmarkEnd w:id="648"/>
            <w:r>
              <w:rPr>
                <w:rFonts w:hint="eastAsia" w:cs="宋体"/>
                <w:color w:val="auto"/>
                <w:highlight w:val="none"/>
              </w:rPr>
              <w:t>，一个2分，</w:t>
            </w:r>
            <w:r>
              <w:rPr>
                <w:rFonts w:hint="eastAsia"/>
                <w:color w:val="auto"/>
                <w:highlight w:val="none"/>
                <w:lang w:val="en-US" w:eastAsia="zh-CN"/>
              </w:rPr>
              <w:t>本小项最高得4分。</w:t>
            </w:r>
          </w:p>
          <w:p>
            <w:pPr>
              <w:pStyle w:val="5"/>
              <w:ind w:left="0" w:leftChars="0" w:firstLine="0" w:firstLineChars="0"/>
              <w:rPr>
                <w:rFonts w:hint="eastAsia"/>
                <w:color w:val="auto"/>
                <w:highlight w:val="none"/>
                <w:lang w:val="en-US" w:eastAsia="zh-CN"/>
              </w:rPr>
            </w:pPr>
            <w:r>
              <w:rPr>
                <w:rFonts w:hint="eastAsia"/>
                <w:color w:val="auto"/>
                <w:highlight w:val="none"/>
                <w:lang w:val="en-US" w:eastAsia="zh-CN"/>
              </w:rPr>
              <w:t>注：需提供加盖业主单位（用户）章的证明文件，时间以证明文件时间为准。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124" w:type="dxa"/>
            <w:vMerge w:val="continue"/>
            <w:tcBorders>
              <w:left w:val="nil"/>
              <w:right w:val="single" w:color="auto" w:sz="4" w:space="0"/>
            </w:tcBorders>
            <w:noWrap w:val="0"/>
            <w:vAlign w:val="center"/>
          </w:tcPr>
          <w:p>
            <w:pPr>
              <w:widowControl/>
              <w:jc w:val="center"/>
              <w:rPr>
                <w:rFonts w:hint="eastAsia"/>
                <w:color w:val="auto"/>
                <w:highlight w:val="none"/>
                <w:lang w:val="en-US" w:eastAsia="zh-CN"/>
              </w:rPr>
            </w:pPr>
          </w:p>
        </w:tc>
        <w:tc>
          <w:tcPr>
            <w:tcW w:w="2476"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Calibri" w:hAnsi="Calibri"/>
                <w:b w:val="0"/>
                <w:bCs w:val="0"/>
                <w:color w:val="auto"/>
                <w:szCs w:val="22"/>
                <w:highlight w:val="none"/>
                <w:lang w:val="en-US" w:eastAsia="zh-CN"/>
              </w:rPr>
              <w:t>设备集成服务</w:t>
            </w:r>
            <w:r>
              <w:rPr>
                <w:rFonts w:hint="eastAsia" w:ascii="Calibri" w:hAnsi="Calibri"/>
                <w:b w:val="0"/>
                <w:bCs w:val="0"/>
                <w:color w:val="auto"/>
                <w:szCs w:val="22"/>
                <w:highlight w:val="none"/>
              </w:rPr>
              <w:t>实施方案</w:t>
            </w:r>
            <w:r>
              <w:rPr>
                <w:rFonts w:hint="eastAsia" w:ascii="Calibri" w:hAnsi="Calibri"/>
                <w:b w:val="0"/>
                <w:bCs w:val="0"/>
                <w:color w:val="auto"/>
                <w:szCs w:val="22"/>
                <w:highlight w:val="none"/>
                <w:lang w:val="en-US" w:eastAsia="zh-CN"/>
              </w:rPr>
              <w:t>及设备检验</w:t>
            </w:r>
            <w:r>
              <w:rPr>
                <w:rFonts w:hint="eastAsia" w:ascii="Calibri" w:hAnsi="Calibri"/>
                <w:b w:val="0"/>
                <w:bCs w:val="0"/>
                <w:color w:val="auto"/>
                <w:szCs w:val="22"/>
                <w:highlight w:val="none"/>
              </w:rPr>
              <w:t>实施方案</w:t>
            </w:r>
            <w:r>
              <w:rPr>
                <w:rFonts w:hint="eastAsia" w:ascii="Calibri" w:hAnsi="Calibri"/>
                <w:b w:val="0"/>
                <w:bCs w:val="0"/>
                <w:color w:val="auto"/>
                <w:szCs w:val="22"/>
                <w:highlight w:val="none"/>
                <w:lang w:eastAsia="zh-CN"/>
              </w:rPr>
              <w:t>（</w:t>
            </w:r>
            <w:r>
              <w:rPr>
                <w:rFonts w:hint="eastAsia" w:ascii="Calibri" w:hAnsi="Calibri"/>
                <w:b w:val="0"/>
                <w:bCs w:val="0"/>
                <w:color w:val="auto"/>
                <w:szCs w:val="22"/>
                <w:highlight w:val="none"/>
                <w:lang w:val="en-US" w:eastAsia="zh-CN"/>
              </w:rPr>
              <w:t>5分）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color w:val="auto"/>
                <w:szCs w:val="22"/>
                <w:highlight w:val="none"/>
              </w:rPr>
            </w:pPr>
            <w:r>
              <w:rPr>
                <w:rFonts w:hint="eastAsia" w:ascii="Calibri" w:hAnsi="Calibri"/>
                <w:color w:val="auto"/>
                <w:szCs w:val="22"/>
                <w:highlight w:val="none"/>
              </w:rPr>
              <w:t>好档：</w:t>
            </w:r>
          </w:p>
          <w:p>
            <w:pPr>
              <w:rPr>
                <w:rFonts w:hint="eastAsia" w:ascii="Calibri" w:hAnsi="Calibri"/>
                <w:color w:val="auto"/>
                <w:szCs w:val="22"/>
                <w:highlight w:val="none"/>
              </w:rPr>
            </w:pPr>
            <w:r>
              <w:rPr>
                <w:rFonts w:hint="eastAsia" w:ascii="Calibri" w:hAnsi="Calibri"/>
                <w:color w:val="auto"/>
                <w:szCs w:val="22"/>
                <w:highlight w:val="none"/>
              </w:rPr>
              <w:t>对</w:t>
            </w:r>
            <w:r>
              <w:rPr>
                <w:rFonts w:hint="eastAsia" w:eastAsia="宋体" w:cs="宋体"/>
                <w:color w:val="auto"/>
                <w:szCs w:val="21"/>
                <w:highlight w:val="none"/>
                <w:u w:val="none"/>
                <w:lang w:val="en-US" w:eastAsia="zh-CN"/>
              </w:rPr>
              <w:t>强电设备、</w:t>
            </w:r>
            <w:r>
              <w:rPr>
                <w:rFonts w:hint="eastAsia" w:ascii="Times New Roman" w:hAnsi="Times New Roman" w:eastAsia="宋体" w:cs="宋体"/>
                <w:color w:val="auto"/>
                <w:kern w:val="2"/>
                <w:sz w:val="21"/>
                <w:szCs w:val="21"/>
                <w:highlight w:val="none"/>
                <w:u w:val="none"/>
                <w:lang w:val="en-US" w:eastAsia="zh-CN" w:bidi="ar-SA"/>
              </w:rPr>
              <w:t>弱电设备、</w:t>
            </w:r>
            <w:r>
              <w:rPr>
                <w:rFonts w:hint="eastAsia" w:eastAsia="宋体" w:cs="宋体"/>
                <w:color w:val="auto"/>
                <w:szCs w:val="21"/>
                <w:highlight w:val="none"/>
                <w:u w:val="none"/>
              </w:rPr>
              <w:t>车站设备</w:t>
            </w:r>
            <w:r>
              <w:rPr>
                <w:rFonts w:hint="eastAsia" w:ascii="Calibri" w:hAnsi="Calibri"/>
                <w:color w:val="auto"/>
                <w:szCs w:val="22"/>
                <w:highlight w:val="none"/>
              </w:rPr>
              <w:t>的</w:t>
            </w:r>
            <w:r>
              <w:rPr>
                <w:rFonts w:hint="eastAsia" w:ascii="Calibri" w:hAnsi="Calibri"/>
                <w:color w:val="auto"/>
                <w:szCs w:val="22"/>
                <w:highlight w:val="none"/>
                <w:lang w:val="en-US" w:eastAsia="zh-CN"/>
              </w:rPr>
              <w:t>集成服务实施方案及设备检验实施方案</w:t>
            </w:r>
            <w:r>
              <w:rPr>
                <w:rFonts w:hint="eastAsia" w:ascii="Calibri" w:hAnsi="Calibri"/>
                <w:color w:val="auto"/>
                <w:szCs w:val="22"/>
                <w:highlight w:val="none"/>
              </w:rPr>
              <w:t>能清晰全面设置</w:t>
            </w:r>
            <w:r>
              <w:rPr>
                <w:rFonts w:hint="eastAsia" w:eastAsia="宋体" w:cs="宋体"/>
                <w:color w:val="auto"/>
                <w:highlight w:val="none"/>
              </w:rPr>
              <w:t>关键控制要点</w:t>
            </w:r>
            <w:r>
              <w:rPr>
                <w:rFonts w:hint="eastAsia" w:ascii="Calibri" w:hAnsi="Calibri"/>
                <w:color w:val="auto"/>
                <w:szCs w:val="22"/>
                <w:highlight w:val="none"/>
              </w:rPr>
              <w:t>，有细致的</w:t>
            </w:r>
            <w:r>
              <w:rPr>
                <w:rFonts w:hint="eastAsia" w:eastAsia="宋体" w:cs="宋体"/>
                <w:color w:val="auto"/>
                <w:highlight w:val="none"/>
              </w:rPr>
              <w:t>关键控制要点</w:t>
            </w:r>
            <w:r>
              <w:rPr>
                <w:rFonts w:hint="eastAsia" w:ascii="Calibri" w:hAnsi="Calibri"/>
                <w:color w:val="auto"/>
                <w:szCs w:val="22"/>
                <w:highlight w:val="none"/>
              </w:rPr>
              <w:t>和严谨的方法，保证</w:t>
            </w:r>
            <w:r>
              <w:rPr>
                <w:rFonts w:hint="eastAsia" w:eastAsia="宋体" w:cs="宋体"/>
                <w:color w:val="auto"/>
                <w:highlight w:val="none"/>
              </w:rPr>
              <w:t>关键控制要点</w:t>
            </w:r>
            <w:r>
              <w:rPr>
                <w:rFonts w:hint="eastAsia" w:ascii="Calibri" w:hAnsi="Calibri"/>
                <w:color w:val="auto"/>
                <w:szCs w:val="22"/>
                <w:highlight w:val="none"/>
              </w:rPr>
              <w:t>切实可行，保证设备质量。</w:t>
            </w:r>
          </w:p>
          <w:p>
            <w:pPr>
              <w:rPr>
                <w:rFonts w:eastAsia="宋体" w:cs="宋体"/>
                <w:color w:val="auto"/>
                <w:highlight w:val="none"/>
              </w:rPr>
            </w:pPr>
            <w:r>
              <w:rPr>
                <w:rFonts w:hint="eastAsia" w:cs="宋体"/>
                <w:color w:val="auto"/>
                <w:highlight w:val="none"/>
                <w:lang w:val="en-US" w:eastAsia="zh-CN"/>
              </w:rPr>
              <w:t>其中</w:t>
            </w:r>
            <w:r>
              <w:rPr>
                <w:rFonts w:hint="eastAsia" w:eastAsia="宋体" w:cs="宋体"/>
                <w:color w:val="auto"/>
                <w:highlight w:val="none"/>
              </w:rPr>
              <w:t>设备检验工作实施方案包含以下内容且可行性强：</w:t>
            </w:r>
            <w:r>
              <w:rPr>
                <w:rFonts w:eastAsia="宋体" w:cs="宋体"/>
                <w:color w:val="auto"/>
                <w:highlight w:val="none"/>
              </w:rPr>
              <w:t xml:space="preserve"> </w:t>
            </w:r>
          </w:p>
          <w:p>
            <w:pPr>
              <w:rPr>
                <w:rFonts w:eastAsia="宋体" w:cs="宋体"/>
                <w:color w:val="auto"/>
                <w:highlight w:val="none"/>
              </w:rPr>
            </w:pPr>
            <w:r>
              <w:rPr>
                <w:rFonts w:eastAsia="宋体" w:cs="宋体"/>
                <w:color w:val="auto"/>
                <w:highlight w:val="none"/>
              </w:rPr>
              <w:t>1</w:t>
            </w:r>
            <w:r>
              <w:rPr>
                <w:rFonts w:hint="eastAsia" w:eastAsia="宋体" w:cs="宋体"/>
                <w:color w:val="auto"/>
                <w:highlight w:val="none"/>
              </w:rPr>
              <w:t>）</w:t>
            </w:r>
            <w:r>
              <w:rPr>
                <w:rFonts w:hint="eastAsia" w:eastAsia="宋体" w:cs="宋体"/>
                <w:color w:val="auto"/>
                <w:szCs w:val="21"/>
                <w:highlight w:val="none"/>
                <w:u w:val="none"/>
              </w:rPr>
              <w:t>设备</w:t>
            </w:r>
            <w:r>
              <w:rPr>
                <w:rFonts w:hint="eastAsia" w:eastAsia="宋体" w:cs="宋体"/>
                <w:color w:val="auto"/>
                <w:highlight w:val="none"/>
              </w:rPr>
              <w:t>的样机验收和出厂验收办法；</w:t>
            </w:r>
          </w:p>
          <w:p>
            <w:pPr>
              <w:rPr>
                <w:rFonts w:eastAsia="宋体" w:cs="宋体"/>
                <w:color w:val="auto"/>
                <w:highlight w:val="none"/>
              </w:rPr>
            </w:pPr>
            <w:r>
              <w:rPr>
                <w:rFonts w:eastAsia="宋体" w:cs="宋体"/>
                <w:color w:val="auto"/>
                <w:highlight w:val="none"/>
              </w:rPr>
              <w:t>2</w:t>
            </w:r>
            <w:r>
              <w:rPr>
                <w:rFonts w:hint="eastAsia" w:eastAsia="宋体" w:cs="宋体"/>
                <w:color w:val="auto"/>
                <w:highlight w:val="none"/>
              </w:rPr>
              <w:t>）材料的样板验收和出厂验收办法；</w:t>
            </w:r>
          </w:p>
          <w:p>
            <w:pPr>
              <w:rPr>
                <w:rFonts w:ascii="Calibri" w:hAnsi="Calibri"/>
                <w:color w:val="auto"/>
                <w:szCs w:val="22"/>
                <w:highlight w:val="none"/>
              </w:rPr>
            </w:pPr>
            <w:r>
              <w:rPr>
                <w:rFonts w:eastAsia="宋体" w:cs="宋体"/>
                <w:color w:val="auto"/>
                <w:highlight w:val="none"/>
              </w:rPr>
              <w:t>3</w:t>
            </w:r>
            <w:r>
              <w:rPr>
                <w:rFonts w:hint="eastAsia" w:eastAsia="宋体" w:cs="宋体"/>
                <w:color w:val="auto"/>
                <w:highlight w:val="none"/>
              </w:rPr>
              <w:t>）全部设备和材料的检验方案；</w:t>
            </w:r>
          </w:p>
          <w:p>
            <w:pPr>
              <w:rPr>
                <w:rFonts w:ascii="Calibri" w:hAnsi="Calibri"/>
                <w:color w:val="auto"/>
                <w:szCs w:val="22"/>
                <w:highlight w:val="none"/>
              </w:rPr>
            </w:pPr>
            <w:r>
              <w:rPr>
                <w:rFonts w:ascii="Calibri" w:hAnsi="Calibri"/>
                <w:color w:val="auto"/>
                <w:szCs w:val="22"/>
                <w:highlight w:val="none"/>
              </w:rPr>
              <w:t>单项分值</w:t>
            </w:r>
            <w:r>
              <w:rPr>
                <w:rFonts w:eastAsia="宋体" w:cs="宋体"/>
                <w:color w:val="auto"/>
                <w:highlight w:val="none"/>
              </w:rPr>
              <w:t>[</w:t>
            </w:r>
            <w:r>
              <w:rPr>
                <w:rFonts w:hint="eastAsia" w:cs="宋体"/>
                <w:color w:val="auto"/>
                <w:highlight w:val="none"/>
                <w:lang w:val="en-US" w:eastAsia="zh-CN"/>
              </w:rPr>
              <w:t>5</w:t>
            </w:r>
            <w:r>
              <w:rPr>
                <w:rFonts w:hint="eastAsia" w:eastAsia="宋体" w:cs="宋体"/>
                <w:color w:val="auto"/>
                <w:szCs w:val="21"/>
                <w:highlight w:val="none"/>
              </w:rPr>
              <w:t>，</w:t>
            </w:r>
            <w:r>
              <w:rPr>
                <w:rFonts w:hint="eastAsia" w:cs="宋体"/>
                <w:color w:val="auto"/>
                <w:highlight w:val="none"/>
                <w:lang w:val="en-US" w:eastAsia="zh-CN"/>
              </w:rPr>
              <w:t>3</w:t>
            </w:r>
            <w:r>
              <w:rPr>
                <w:rFonts w:eastAsia="宋体" w:cs="宋体"/>
                <w:color w:val="auto"/>
                <w:highlight w:val="none"/>
              </w:rPr>
              <w:t>]</w:t>
            </w:r>
            <w:r>
              <w:rPr>
                <w:rFonts w:hint="eastAsia" w:ascii="Calibri" w:hAnsi="Calibri"/>
                <w:color w:val="auto"/>
                <w:szCs w:val="22"/>
                <w:highlight w:val="none"/>
              </w:rPr>
              <w:t>。</w:t>
            </w:r>
          </w:p>
          <w:p>
            <w:pPr>
              <w:rPr>
                <w:rFonts w:ascii="Calibri" w:hAnsi="Calibri"/>
                <w:color w:val="auto"/>
                <w:szCs w:val="22"/>
                <w:highlight w:val="none"/>
              </w:rPr>
            </w:pPr>
            <w:r>
              <w:rPr>
                <w:rFonts w:hint="eastAsia" w:ascii="Calibri" w:hAnsi="Calibri"/>
                <w:color w:val="auto"/>
                <w:szCs w:val="22"/>
                <w:highlight w:val="none"/>
              </w:rPr>
              <w:t>中档：</w:t>
            </w:r>
          </w:p>
          <w:p>
            <w:pPr>
              <w:rPr>
                <w:rFonts w:eastAsia="宋体" w:cs="宋体"/>
                <w:color w:val="auto"/>
                <w:highlight w:val="none"/>
              </w:rPr>
            </w:pPr>
            <w:r>
              <w:rPr>
                <w:rFonts w:hint="eastAsia" w:ascii="Calibri" w:hAnsi="Calibri"/>
                <w:color w:val="auto"/>
                <w:szCs w:val="22"/>
                <w:highlight w:val="none"/>
              </w:rPr>
              <w:t>对</w:t>
            </w:r>
            <w:r>
              <w:rPr>
                <w:rFonts w:hint="eastAsia" w:eastAsia="宋体" w:cs="宋体"/>
                <w:color w:val="auto"/>
                <w:szCs w:val="21"/>
                <w:highlight w:val="none"/>
                <w:u w:val="none"/>
                <w:lang w:val="en-US" w:eastAsia="zh-CN"/>
              </w:rPr>
              <w:t>强电设备、</w:t>
            </w:r>
            <w:r>
              <w:rPr>
                <w:rFonts w:hint="eastAsia" w:ascii="Times New Roman" w:hAnsi="Times New Roman" w:eastAsia="宋体" w:cs="宋体"/>
                <w:color w:val="auto"/>
                <w:kern w:val="2"/>
                <w:sz w:val="21"/>
                <w:szCs w:val="21"/>
                <w:highlight w:val="none"/>
                <w:u w:val="none"/>
                <w:lang w:val="en-US" w:eastAsia="zh-CN" w:bidi="ar-SA"/>
              </w:rPr>
              <w:t>弱电设备、</w:t>
            </w:r>
            <w:r>
              <w:rPr>
                <w:rFonts w:hint="eastAsia" w:eastAsia="宋体" w:cs="宋体"/>
                <w:color w:val="auto"/>
                <w:szCs w:val="21"/>
                <w:highlight w:val="none"/>
                <w:u w:val="none"/>
              </w:rPr>
              <w:t>车站设备</w:t>
            </w:r>
            <w:r>
              <w:rPr>
                <w:rFonts w:hint="eastAsia" w:ascii="Calibri" w:hAnsi="Calibri"/>
                <w:color w:val="auto"/>
                <w:szCs w:val="22"/>
                <w:highlight w:val="none"/>
              </w:rPr>
              <w:t>的</w:t>
            </w:r>
            <w:r>
              <w:rPr>
                <w:rFonts w:hint="eastAsia" w:ascii="Calibri" w:hAnsi="Calibri"/>
                <w:color w:val="auto"/>
                <w:szCs w:val="22"/>
                <w:highlight w:val="none"/>
                <w:lang w:val="en-US" w:eastAsia="zh-CN"/>
              </w:rPr>
              <w:t>集成服务</w:t>
            </w:r>
            <w:r>
              <w:rPr>
                <w:rFonts w:hint="eastAsia" w:ascii="Calibri" w:hAnsi="Calibri"/>
                <w:color w:val="auto"/>
                <w:szCs w:val="22"/>
                <w:highlight w:val="none"/>
              </w:rPr>
              <w:t>，能设置较全面的</w:t>
            </w:r>
            <w:r>
              <w:rPr>
                <w:rFonts w:hint="eastAsia" w:eastAsia="宋体" w:cs="宋体"/>
                <w:color w:val="auto"/>
                <w:highlight w:val="none"/>
              </w:rPr>
              <w:t>关键控制要点</w:t>
            </w:r>
            <w:r>
              <w:rPr>
                <w:rFonts w:hint="eastAsia" w:ascii="Calibri" w:hAnsi="Calibri"/>
                <w:color w:val="auto"/>
                <w:szCs w:val="22"/>
                <w:highlight w:val="none"/>
              </w:rPr>
              <w:t>，但无法全面掌握所有设备</w:t>
            </w:r>
            <w:r>
              <w:rPr>
                <w:rFonts w:hint="eastAsia" w:eastAsia="宋体" w:cs="宋体"/>
                <w:color w:val="auto"/>
                <w:highlight w:val="none"/>
              </w:rPr>
              <w:t>关键要点控制</w:t>
            </w:r>
            <w:r>
              <w:rPr>
                <w:rFonts w:hint="eastAsia" w:ascii="Calibri" w:hAnsi="Calibri"/>
                <w:color w:val="auto"/>
                <w:szCs w:val="22"/>
                <w:highlight w:val="none"/>
              </w:rPr>
              <w:t>方法；对部分设备的</w:t>
            </w:r>
            <w:r>
              <w:rPr>
                <w:rFonts w:hint="eastAsia" w:eastAsia="宋体" w:cs="宋体"/>
                <w:color w:val="auto"/>
                <w:highlight w:val="none"/>
              </w:rPr>
              <w:t>关键控制要点</w:t>
            </w:r>
            <w:r>
              <w:rPr>
                <w:rFonts w:hint="eastAsia" w:ascii="Calibri" w:hAnsi="Calibri"/>
                <w:color w:val="auto"/>
                <w:szCs w:val="22"/>
                <w:highlight w:val="none"/>
              </w:rPr>
              <w:t>认识不足。</w:t>
            </w:r>
            <w:r>
              <w:rPr>
                <w:rFonts w:hint="eastAsia" w:cs="宋体"/>
                <w:color w:val="auto"/>
                <w:szCs w:val="21"/>
                <w:highlight w:val="none"/>
                <w:u w:val="none"/>
                <w:lang w:val="en-US" w:eastAsia="zh-CN"/>
              </w:rPr>
              <w:t>其中</w:t>
            </w:r>
            <w:r>
              <w:rPr>
                <w:rFonts w:hint="eastAsia" w:eastAsia="宋体" w:cs="宋体"/>
                <w:color w:val="auto"/>
                <w:highlight w:val="none"/>
              </w:rPr>
              <w:t>设备检验工作实施方案</w:t>
            </w:r>
            <w:r>
              <w:rPr>
                <w:rFonts w:eastAsia="宋体" w:cs="宋体"/>
                <w:color w:val="auto"/>
                <w:highlight w:val="none"/>
              </w:rPr>
              <w:t>包含以下内容</w:t>
            </w:r>
            <w:r>
              <w:rPr>
                <w:rFonts w:hint="eastAsia" w:eastAsia="宋体" w:cs="宋体"/>
                <w:color w:val="auto"/>
                <w:highlight w:val="none"/>
              </w:rPr>
              <w:t>，</w:t>
            </w:r>
            <w:r>
              <w:rPr>
                <w:rFonts w:eastAsia="宋体" w:cs="宋体"/>
                <w:color w:val="auto"/>
                <w:highlight w:val="none"/>
              </w:rPr>
              <w:t>但有1项可行性差</w:t>
            </w:r>
            <w:r>
              <w:rPr>
                <w:rFonts w:hint="eastAsia" w:eastAsia="宋体" w:cs="宋体"/>
                <w:color w:val="auto"/>
                <w:highlight w:val="none"/>
              </w:rPr>
              <w:t>：</w:t>
            </w:r>
          </w:p>
          <w:p>
            <w:pPr>
              <w:rPr>
                <w:rFonts w:eastAsia="宋体" w:cs="宋体"/>
                <w:color w:val="auto"/>
                <w:highlight w:val="none"/>
              </w:rPr>
            </w:pPr>
            <w:r>
              <w:rPr>
                <w:rFonts w:eastAsia="宋体" w:cs="宋体"/>
                <w:color w:val="auto"/>
                <w:highlight w:val="none"/>
              </w:rPr>
              <w:t>1</w:t>
            </w:r>
            <w:r>
              <w:rPr>
                <w:rFonts w:hint="eastAsia" w:eastAsia="宋体" w:cs="宋体"/>
                <w:color w:val="auto"/>
                <w:highlight w:val="none"/>
              </w:rPr>
              <w:t>）样机验收和出厂验收办法；</w:t>
            </w:r>
          </w:p>
          <w:p>
            <w:pPr>
              <w:rPr>
                <w:rFonts w:eastAsia="宋体" w:cs="宋体"/>
                <w:color w:val="auto"/>
                <w:highlight w:val="none"/>
              </w:rPr>
            </w:pPr>
            <w:r>
              <w:rPr>
                <w:rFonts w:eastAsia="宋体" w:cs="宋体"/>
                <w:color w:val="auto"/>
                <w:highlight w:val="none"/>
              </w:rPr>
              <w:t>2</w:t>
            </w:r>
            <w:r>
              <w:rPr>
                <w:rFonts w:hint="eastAsia" w:eastAsia="宋体" w:cs="宋体"/>
                <w:color w:val="auto"/>
                <w:highlight w:val="none"/>
              </w:rPr>
              <w:t>）材料的样板验收和出厂验收办法；</w:t>
            </w:r>
          </w:p>
          <w:p>
            <w:pPr>
              <w:rPr>
                <w:rFonts w:ascii="Calibri" w:hAnsi="Calibri"/>
                <w:color w:val="auto"/>
                <w:szCs w:val="22"/>
                <w:highlight w:val="none"/>
              </w:rPr>
            </w:pPr>
            <w:r>
              <w:rPr>
                <w:rFonts w:eastAsia="宋体" w:cs="宋体"/>
                <w:color w:val="auto"/>
                <w:highlight w:val="none"/>
              </w:rPr>
              <w:t>3</w:t>
            </w:r>
            <w:r>
              <w:rPr>
                <w:rFonts w:hint="eastAsia" w:eastAsia="宋体" w:cs="宋体"/>
                <w:color w:val="auto"/>
                <w:highlight w:val="none"/>
              </w:rPr>
              <w:t>）全部设备和材料的检验方案；</w:t>
            </w:r>
          </w:p>
          <w:p>
            <w:pPr>
              <w:rPr>
                <w:rFonts w:ascii="Calibri" w:hAnsi="Calibri"/>
                <w:color w:val="auto"/>
                <w:szCs w:val="22"/>
                <w:highlight w:val="none"/>
              </w:rPr>
            </w:pPr>
            <w:r>
              <w:rPr>
                <w:rFonts w:hint="eastAsia" w:ascii="Calibri" w:hAnsi="Calibri"/>
                <w:color w:val="auto"/>
                <w:szCs w:val="22"/>
                <w:highlight w:val="none"/>
              </w:rPr>
              <w:t>单项分值</w:t>
            </w:r>
            <w:r>
              <w:rPr>
                <w:rFonts w:hint="eastAsia" w:eastAsia="宋体" w:cs="宋体"/>
                <w:color w:val="auto"/>
                <w:highlight w:val="none"/>
              </w:rPr>
              <w:t>（</w:t>
            </w:r>
            <w:r>
              <w:rPr>
                <w:rFonts w:hint="eastAsia" w:cs="宋体"/>
                <w:color w:val="auto"/>
                <w:highlight w:val="none"/>
                <w:lang w:val="en-US" w:eastAsia="zh-CN"/>
              </w:rPr>
              <w:t>3</w:t>
            </w:r>
            <w:r>
              <w:rPr>
                <w:rFonts w:hint="eastAsia" w:eastAsia="宋体" w:cs="宋体"/>
                <w:color w:val="auto"/>
                <w:highlight w:val="none"/>
              </w:rPr>
              <w:t>，</w:t>
            </w:r>
            <w:r>
              <w:rPr>
                <w:rFonts w:hint="eastAsia" w:cs="宋体"/>
                <w:color w:val="auto"/>
                <w:highlight w:val="none"/>
                <w:lang w:val="en-US" w:eastAsia="zh-CN"/>
              </w:rPr>
              <w:t>1</w:t>
            </w:r>
            <w:r>
              <w:rPr>
                <w:rFonts w:hint="eastAsia" w:eastAsia="宋体" w:cs="宋体"/>
                <w:color w:val="auto"/>
                <w:highlight w:val="none"/>
              </w:rPr>
              <w:t>）</w:t>
            </w:r>
            <w:r>
              <w:rPr>
                <w:rFonts w:hint="eastAsia" w:ascii="Calibri" w:hAnsi="Calibri"/>
                <w:color w:val="auto"/>
                <w:szCs w:val="22"/>
                <w:highlight w:val="none"/>
              </w:rPr>
              <w:t>。</w:t>
            </w:r>
          </w:p>
          <w:p>
            <w:pPr>
              <w:rPr>
                <w:rFonts w:hint="eastAsia" w:ascii="Calibri" w:hAnsi="Calibri"/>
                <w:color w:val="auto"/>
                <w:szCs w:val="22"/>
                <w:highlight w:val="none"/>
              </w:rPr>
            </w:pPr>
          </w:p>
          <w:p>
            <w:pPr>
              <w:rPr>
                <w:rFonts w:ascii="Calibri" w:hAnsi="Calibri"/>
                <w:color w:val="auto"/>
                <w:szCs w:val="22"/>
                <w:highlight w:val="none"/>
              </w:rPr>
            </w:pPr>
            <w:r>
              <w:rPr>
                <w:rFonts w:hint="eastAsia" w:ascii="Calibri" w:hAnsi="Calibri"/>
                <w:color w:val="auto"/>
                <w:szCs w:val="22"/>
                <w:highlight w:val="none"/>
              </w:rPr>
              <w:t>差档：</w:t>
            </w:r>
          </w:p>
          <w:p>
            <w:pPr>
              <w:pStyle w:val="5"/>
              <w:ind w:left="0" w:leftChars="0" w:firstLine="0" w:firstLineChars="0"/>
              <w:rPr>
                <w:rFonts w:hint="eastAsia"/>
                <w:color w:val="auto"/>
                <w:highlight w:val="none"/>
                <w:lang w:val="en-US" w:eastAsia="zh-CN"/>
              </w:rPr>
            </w:pPr>
            <w:r>
              <w:rPr>
                <w:rFonts w:hint="eastAsia" w:ascii="Calibri" w:hAnsi="Calibri"/>
                <w:color w:val="auto"/>
                <w:szCs w:val="22"/>
                <w:highlight w:val="none"/>
              </w:rPr>
              <w:t>达不到【好】、【中】档的，单项分值</w:t>
            </w:r>
            <w:r>
              <w:rPr>
                <w:rFonts w:eastAsia="宋体" w:cs="宋体"/>
                <w:color w:val="auto"/>
                <w:highlight w:val="none"/>
              </w:rPr>
              <w:t>[</w:t>
            </w:r>
            <w:r>
              <w:rPr>
                <w:rFonts w:hint="eastAsia" w:cs="宋体"/>
                <w:color w:val="auto"/>
                <w:highlight w:val="none"/>
                <w:lang w:val="en-US" w:eastAsia="zh-CN"/>
              </w:rPr>
              <w:t>1</w:t>
            </w:r>
            <w:r>
              <w:rPr>
                <w:rFonts w:hint="eastAsia" w:eastAsia="宋体" w:cs="宋体"/>
                <w:color w:val="auto"/>
                <w:highlight w:val="none"/>
              </w:rPr>
              <w:t>，</w:t>
            </w:r>
            <w:r>
              <w:rPr>
                <w:rFonts w:eastAsia="宋体" w:cs="宋体"/>
                <w:color w:val="auto"/>
                <w:highlight w:val="none"/>
              </w:rPr>
              <w:t>0]</w:t>
            </w:r>
            <w:r>
              <w:rPr>
                <w:rFonts w:hint="eastAsia" w:ascii="Calibri" w:hAnsi="Calibri"/>
                <w:color w:val="auto"/>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124" w:type="dxa"/>
            <w:vMerge w:val="continue"/>
            <w:tcBorders>
              <w:left w:val="nil"/>
              <w:right w:val="single" w:color="auto" w:sz="4" w:space="0"/>
            </w:tcBorders>
            <w:noWrap w:val="0"/>
            <w:vAlign w:val="center"/>
          </w:tcPr>
          <w:p>
            <w:pPr>
              <w:widowControl/>
              <w:jc w:val="center"/>
              <w:rPr>
                <w:rFonts w:hint="eastAsia"/>
                <w:color w:val="auto"/>
                <w:highlight w:val="none"/>
                <w:lang w:val="en-US" w:eastAsia="zh-CN"/>
              </w:rPr>
            </w:pPr>
          </w:p>
        </w:tc>
        <w:tc>
          <w:tcPr>
            <w:tcW w:w="2476" w:type="dxa"/>
            <w:tcBorders>
              <w:top w:val="single" w:color="auto" w:sz="4" w:space="0"/>
              <w:left w:val="single" w:color="auto" w:sz="4" w:space="0"/>
              <w:right w:val="single" w:color="auto" w:sz="4" w:space="0"/>
            </w:tcBorders>
            <w:noWrap w:val="0"/>
            <w:vAlign w:val="center"/>
          </w:tcPr>
          <w:p>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color w:val="auto"/>
                <w:highlight w:val="none"/>
                <w:lang w:val="en-US" w:eastAsia="zh-CN"/>
              </w:rPr>
              <w:t>集成服务控制措施及重难点分析</w:t>
            </w:r>
            <w:r>
              <w:rPr>
                <w:rFonts w:hint="eastAsia" w:ascii="Calibri" w:hAnsi="Calibri"/>
                <w:b w:val="0"/>
                <w:bCs w:val="0"/>
                <w:color w:val="auto"/>
                <w:szCs w:val="22"/>
                <w:highlight w:val="none"/>
                <w:lang w:eastAsia="zh-CN"/>
              </w:rPr>
              <w:t>（</w:t>
            </w:r>
            <w:r>
              <w:rPr>
                <w:rFonts w:hint="eastAsia" w:ascii="Calibri" w:hAnsi="Calibri"/>
                <w:b w:val="0"/>
                <w:bCs w:val="0"/>
                <w:color w:val="auto"/>
                <w:szCs w:val="22"/>
                <w:highlight w:val="none"/>
                <w:lang w:val="en-US" w:eastAsia="zh-CN"/>
              </w:rPr>
              <w:t>5分）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eastAsia="宋体" w:cs="宋体"/>
                <w:color w:val="auto"/>
                <w:szCs w:val="21"/>
                <w:highlight w:val="none"/>
              </w:rPr>
            </w:pPr>
            <w:r>
              <w:rPr>
                <w:rFonts w:hint="eastAsia" w:eastAsia="宋体" w:cs="宋体"/>
                <w:color w:val="auto"/>
                <w:szCs w:val="21"/>
                <w:highlight w:val="none"/>
              </w:rPr>
              <w:t>好档：</w:t>
            </w:r>
          </w:p>
          <w:p>
            <w:pPr>
              <w:rPr>
                <w:rFonts w:hint="eastAsia" w:cs="宋体"/>
                <w:color w:val="auto"/>
                <w:szCs w:val="21"/>
                <w:highlight w:val="none"/>
                <w:lang w:eastAsia="zh-CN"/>
              </w:rPr>
            </w:pPr>
            <w:r>
              <w:rPr>
                <w:rFonts w:hint="eastAsia" w:cs="宋体"/>
                <w:color w:val="auto"/>
                <w:szCs w:val="21"/>
                <w:highlight w:val="none"/>
                <w:lang w:val="en-US" w:eastAsia="zh-CN"/>
              </w:rPr>
              <w:t>对</w:t>
            </w:r>
            <w:r>
              <w:rPr>
                <w:rFonts w:hint="eastAsia" w:eastAsia="宋体" w:cs="宋体"/>
                <w:color w:val="auto"/>
                <w:szCs w:val="21"/>
                <w:highlight w:val="none"/>
              </w:rPr>
              <w:t>本项目设备集成管理</w:t>
            </w:r>
            <w:r>
              <w:rPr>
                <w:rFonts w:hint="eastAsia" w:cs="宋体"/>
                <w:color w:val="auto"/>
                <w:szCs w:val="21"/>
                <w:highlight w:val="none"/>
                <w:lang w:val="en-US" w:eastAsia="zh-CN"/>
              </w:rPr>
              <w:t>的</w:t>
            </w:r>
            <w:r>
              <w:rPr>
                <w:rFonts w:hint="eastAsia" w:eastAsia="宋体" w:cs="宋体"/>
                <w:color w:val="auto"/>
                <w:szCs w:val="21"/>
                <w:highlight w:val="none"/>
              </w:rPr>
              <w:t>质量控制方案、进度控制方案、投资控制方案、</w:t>
            </w:r>
            <w:r>
              <w:rPr>
                <w:rFonts w:hint="eastAsia" w:cs="宋体"/>
                <w:color w:val="auto"/>
                <w:szCs w:val="21"/>
                <w:highlight w:val="none"/>
                <w:lang w:val="en-US" w:eastAsia="zh-CN"/>
              </w:rPr>
              <w:t>安全</w:t>
            </w:r>
            <w:r>
              <w:rPr>
                <w:rFonts w:hint="eastAsia" w:eastAsia="宋体" w:cs="宋体"/>
                <w:color w:val="auto"/>
                <w:szCs w:val="21"/>
                <w:highlight w:val="none"/>
              </w:rPr>
              <w:t>控制方案</w:t>
            </w:r>
            <w:r>
              <w:rPr>
                <w:rFonts w:hint="eastAsia" w:cs="宋体"/>
                <w:color w:val="auto"/>
                <w:szCs w:val="21"/>
                <w:highlight w:val="none"/>
                <w:lang w:val="en-US" w:eastAsia="zh-CN"/>
              </w:rPr>
              <w:t>及</w:t>
            </w:r>
            <w:r>
              <w:rPr>
                <w:rFonts w:hint="eastAsia" w:eastAsia="宋体" w:cs="宋体"/>
                <w:color w:val="auto"/>
                <w:szCs w:val="21"/>
                <w:highlight w:val="none"/>
              </w:rPr>
              <w:t>各阶段的重难点掌握全面、深入</w:t>
            </w:r>
            <w:r>
              <w:rPr>
                <w:rFonts w:hint="eastAsia" w:cs="宋体"/>
                <w:color w:val="auto"/>
                <w:szCs w:val="21"/>
                <w:highlight w:val="none"/>
                <w:lang w:eastAsia="zh-CN"/>
              </w:rPr>
              <w:t>，</w:t>
            </w:r>
            <w:r>
              <w:rPr>
                <w:rFonts w:hint="eastAsia" w:cs="宋体"/>
                <w:color w:val="auto"/>
                <w:szCs w:val="21"/>
                <w:highlight w:val="none"/>
                <w:lang w:val="en-US" w:eastAsia="zh-CN"/>
              </w:rPr>
              <w:t>有</w:t>
            </w:r>
            <w:r>
              <w:rPr>
                <w:rFonts w:hint="eastAsia" w:cs="宋体"/>
                <w:color w:val="auto"/>
                <w:szCs w:val="21"/>
                <w:highlight w:val="none"/>
                <w:lang w:eastAsia="zh-CN"/>
              </w:rPr>
              <w:t>非常详细的控制方法和工具，</w:t>
            </w:r>
            <w:r>
              <w:rPr>
                <w:rFonts w:hint="eastAsia" w:cs="宋体"/>
                <w:color w:val="auto"/>
                <w:szCs w:val="21"/>
                <w:highlight w:val="none"/>
                <w:lang w:val="en-US" w:eastAsia="zh-CN"/>
              </w:rPr>
              <w:t>其中重难点分析</w:t>
            </w:r>
            <w:r>
              <w:rPr>
                <w:rFonts w:hint="eastAsia" w:cs="宋体"/>
                <w:color w:val="auto"/>
                <w:szCs w:val="21"/>
                <w:highlight w:val="none"/>
                <w:lang w:eastAsia="zh-CN"/>
              </w:rPr>
              <w:t>至少包含以下内容且可操作性强：</w:t>
            </w:r>
          </w:p>
          <w:p>
            <w:pPr>
              <w:rPr>
                <w:rFonts w:hint="eastAsia" w:cs="宋体"/>
                <w:color w:val="auto"/>
                <w:szCs w:val="21"/>
                <w:highlight w:val="none"/>
                <w:lang w:eastAsia="zh-CN"/>
              </w:rPr>
            </w:pPr>
            <w:r>
              <w:rPr>
                <w:rFonts w:hint="eastAsia" w:cs="宋体"/>
                <w:color w:val="auto"/>
                <w:szCs w:val="21"/>
                <w:highlight w:val="none"/>
                <w:lang w:eastAsia="zh-CN"/>
              </w:rPr>
              <w:t>1）设计和设计联络</w:t>
            </w:r>
          </w:p>
          <w:p>
            <w:pPr>
              <w:rPr>
                <w:rFonts w:hint="eastAsia" w:cs="宋体"/>
                <w:color w:val="auto"/>
                <w:szCs w:val="21"/>
                <w:highlight w:val="none"/>
                <w:lang w:eastAsia="zh-CN"/>
              </w:rPr>
            </w:pPr>
            <w:r>
              <w:rPr>
                <w:rFonts w:hint="eastAsia" w:cs="宋体"/>
                <w:color w:val="auto"/>
                <w:szCs w:val="21"/>
                <w:highlight w:val="none"/>
                <w:lang w:val="en-US" w:eastAsia="zh-CN"/>
              </w:rPr>
              <w:t>2</w:t>
            </w:r>
            <w:r>
              <w:rPr>
                <w:rFonts w:hint="eastAsia" w:cs="宋体"/>
                <w:color w:val="auto"/>
                <w:szCs w:val="21"/>
                <w:highlight w:val="none"/>
                <w:lang w:eastAsia="zh-CN"/>
              </w:rPr>
              <w:t>）样机测试检验和联调</w:t>
            </w:r>
          </w:p>
          <w:p>
            <w:pPr>
              <w:rPr>
                <w:rFonts w:hint="eastAsia" w:cs="宋体"/>
                <w:color w:val="auto"/>
                <w:szCs w:val="21"/>
                <w:highlight w:val="none"/>
                <w:lang w:eastAsia="zh-CN"/>
              </w:rPr>
            </w:pPr>
            <w:r>
              <w:rPr>
                <w:rFonts w:hint="eastAsia" w:cs="宋体"/>
                <w:color w:val="auto"/>
                <w:szCs w:val="21"/>
                <w:highlight w:val="none"/>
                <w:lang w:val="en-US" w:eastAsia="zh-CN"/>
              </w:rPr>
              <w:t>3</w:t>
            </w:r>
            <w:r>
              <w:rPr>
                <w:rFonts w:hint="eastAsia" w:cs="宋体"/>
                <w:color w:val="auto"/>
                <w:szCs w:val="21"/>
                <w:highlight w:val="none"/>
                <w:lang w:eastAsia="zh-CN"/>
              </w:rPr>
              <w:t>）设备监造</w:t>
            </w:r>
          </w:p>
          <w:p>
            <w:pPr>
              <w:rPr>
                <w:rFonts w:hint="eastAsia" w:cs="宋体"/>
                <w:color w:val="auto"/>
                <w:szCs w:val="21"/>
                <w:highlight w:val="none"/>
                <w:lang w:eastAsia="zh-CN"/>
              </w:rPr>
            </w:pPr>
            <w:r>
              <w:rPr>
                <w:rFonts w:hint="eastAsia" w:cs="宋体"/>
                <w:color w:val="auto"/>
                <w:szCs w:val="21"/>
                <w:highlight w:val="none"/>
                <w:lang w:val="en-US" w:eastAsia="zh-CN"/>
              </w:rPr>
              <w:t>4</w:t>
            </w:r>
            <w:r>
              <w:rPr>
                <w:rFonts w:hint="eastAsia" w:cs="宋体"/>
                <w:color w:val="auto"/>
                <w:szCs w:val="21"/>
                <w:highlight w:val="none"/>
                <w:lang w:eastAsia="zh-CN"/>
              </w:rPr>
              <w:t>）设备出厂检验和到货验收、清点移交</w:t>
            </w:r>
          </w:p>
          <w:p>
            <w:pPr>
              <w:rPr>
                <w:rFonts w:hint="eastAsia" w:cs="宋体"/>
                <w:color w:val="auto"/>
                <w:szCs w:val="21"/>
                <w:highlight w:val="none"/>
                <w:lang w:eastAsia="zh-CN"/>
              </w:rPr>
            </w:pPr>
            <w:r>
              <w:rPr>
                <w:rFonts w:hint="eastAsia" w:cs="宋体"/>
                <w:color w:val="auto"/>
                <w:szCs w:val="21"/>
                <w:highlight w:val="none"/>
                <w:lang w:val="en-US" w:eastAsia="zh-CN"/>
              </w:rPr>
              <w:t>5</w:t>
            </w:r>
            <w:r>
              <w:rPr>
                <w:rFonts w:hint="eastAsia" w:cs="宋体"/>
                <w:color w:val="auto"/>
                <w:szCs w:val="21"/>
                <w:highlight w:val="none"/>
                <w:lang w:eastAsia="zh-CN"/>
              </w:rPr>
              <w:t>）设备安装阶段</w:t>
            </w:r>
          </w:p>
          <w:p>
            <w:pPr>
              <w:rPr>
                <w:rFonts w:hint="eastAsia" w:cs="宋体"/>
                <w:color w:val="auto"/>
                <w:szCs w:val="21"/>
                <w:highlight w:val="none"/>
                <w:lang w:eastAsia="zh-CN"/>
              </w:rPr>
            </w:pPr>
            <w:r>
              <w:rPr>
                <w:rFonts w:hint="eastAsia" w:cs="宋体"/>
                <w:color w:val="auto"/>
                <w:szCs w:val="21"/>
                <w:highlight w:val="none"/>
                <w:lang w:val="en-US" w:eastAsia="zh-CN"/>
              </w:rPr>
              <w:t>6</w:t>
            </w:r>
            <w:r>
              <w:rPr>
                <w:rFonts w:hint="eastAsia" w:cs="宋体"/>
                <w:color w:val="auto"/>
                <w:szCs w:val="21"/>
                <w:highlight w:val="none"/>
                <w:lang w:eastAsia="zh-CN"/>
              </w:rPr>
              <w:t>）子系统设备调试</w:t>
            </w:r>
          </w:p>
          <w:p>
            <w:pPr>
              <w:rPr>
                <w:rFonts w:hint="eastAsia" w:cs="宋体"/>
                <w:color w:val="auto"/>
                <w:szCs w:val="21"/>
                <w:highlight w:val="none"/>
                <w:lang w:eastAsia="zh-CN"/>
              </w:rPr>
            </w:pPr>
            <w:r>
              <w:rPr>
                <w:rFonts w:hint="eastAsia" w:cs="宋体"/>
                <w:color w:val="auto"/>
                <w:szCs w:val="21"/>
                <w:highlight w:val="none"/>
                <w:lang w:val="en-US" w:eastAsia="zh-CN"/>
              </w:rPr>
              <w:t>7</w:t>
            </w:r>
            <w:r>
              <w:rPr>
                <w:rFonts w:hint="eastAsia" w:cs="宋体"/>
                <w:color w:val="auto"/>
                <w:szCs w:val="21"/>
                <w:highlight w:val="none"/>
                <w:lang w:eastAsia="zh-CN"/>
              </w:rPr>
              <w:t>）系统联调</w:t>
            </w:r>
          </w:p>
          <w:p>
            <w:pPr>
              <w:rPr>
                <w:rFonts w:eastAsia="宋体"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lang w:eastAsia="zh-CN"/>
              </w:rPr>
              <w:t>）试运行和验收</w:t>
            </w:r>
            <w:r>
              <w:rPr>
                <w:rFonts w:hint="eastAsia" w:eastAsia="宋体" w:cs="宋体"/>
                <w:color w:val="auto"/>
                <w:szCs w:val="21"/>
                <w:highlight w:val="none"/>
              </w:rPr>
              <w:t>内容</w:t>
            </w:r>
          </w:p>
          <w:p>
            <w:pPr>
              <w:rPr>
                <w:rFonts w:hint="eastAsia" w:eastAsia="宋体" w:cs="宋体"/>
                <w:color w:val="auto"/>
                <w:szCs w:val="21"/>
                <w:highlight w:val="none"/>
                <w:lang w:val="en-US" w:eastAsia="zh-CN"/>
              </w:rPr>
            </w:pPr>
            <w:r>
              <w:rPr>
                <w:rFonts w:hint="eastAsia" w:eastAsia="宋体" w:cs="宋体"/>
                <w:color w:val="auto"/>
                <w:szCs w:val="21"/>
                <w:highlight w:val="none"/>
              </w:rPr>
              <w:t>单项分值</w:t>
            </w:r>
            <w:r>
              <w:rPr>
                <w:rFonts w:eastAsia="宋体" w:cs="宋体"/>
                <w:color w:val="auto"/>
                <w:szCs w:val="21"/>
                <w:highlight w:val="none"/>
              </w:rPr>
              <w:t>[</w:t>
            </w:r>
            <w:r>
              <w:rPr>
                <w:rFonts w:hint="eastAsia" w:cs="宋体"/>
                <w:color w:val="auto"/>
                <w:szCs w:val="21"/>
                <w:highlight w:val="none"/>
                <w:lang w:val="en-US" w:eastAsia="zh-CN"/>
              </w:rPr>
              <w:t>5</w:t>
            </w:r>
            <w:r>
              <w:rPr>
                <w:rFonts w:eastAsia="宋体" w:cs="宋体"/>
                <w:color w:val="auto"/>
                <w:szCs w:val="21"/>
                <w:highlight w:val="none"/>
              </w:rPr>
              <w:t>，</w:t>
            </w:r>
            <w:r>
              <w:rPr>
                <w:rFonts w:hint="eastAsia" w:cs="宋体"/>
                <w:color w:val="auto"/>
                <w:szCs w:val="21"/>
                <w:highlight w:val="none"/>
                <w:lang w:val="en-US" w:eastAsia="zh-CN"/>
              </w:rPr>
              <w:t>3]</w:t>
            </w:r>
          </w:p>
          <w:p>
            <w:pPr>
              <w:rPr>
                <w:rFonts w:hint="eastAsia" w:cs="宋体"/>
                <w:color w:val="auto"/>
                <w:szCs w:val="21"/>
                <w:highlight w:val="none"/>
                <w:lang w:val="en-US" w:eastAsia="zh-CN"/>
              </w:rPr>
            </w:pPr>
            <w:r>
              <w:rPr>
                <w:rFonts w:hint="eastAsia" w:cs="宋体"/>
                <w:color w:val="auto"/>
                <w:szCs w:val="21"/>
                <w:highlight w:val="none"/>
                <w:lang w:val="en-US" w:eastAsia="zh-CN"/>
              </w:rPr>
              <w:t>中：</w:t>
            </w:r>
          </w:p>
          <w:p>
            <w:pPr>
              <w:rPr>
                <w:rFonts w:hint="eastAsia" w:cs="宋体"/>
                <w:color w:val="auto"/>
                <w:szCs w:val="21"/>
                <w:highlight w:val="none"/>
                <w:lang w:eastAsia="zh-CN"/>
              </w:rPr>
            </w:pPr>
            <w:r>
              <w:rPr>
                <w:rFonts w:hint="eastAsia" w:cs="宋体"/>
                <w:color w:val="auto"/>
                <w:szCs w:val="21"/>
                <w:highlight w:val="none"/>
                <w:lang w:val="en-US" w:eastAsia="zh-CN"/>
              </w:rPr>
              <w:t>对</w:t>
            </w:r>
            <w:r>
              <w:rPr>
                <w:rFonts w:hint="eastAsia" w:eastAsia="宋体" w:cs="宋体"/>
                <w:color w:val="auto"/>
                <w:szCs w:val="21"/>
                <w:highlight w:val="none"/>
              </w:rPr>
              <w:t>本项目设备集成管理</w:t>
            </w:r>
            <w:r>
              <w:rPr>
                <w:rFonts w:hint="eastAsia" w:cs="宋体"/>
                <w:color w:val="auto"/>
                <w:szCs w:val="21"/>
                <w:highlight w:val="none"/>
                <w:lang w:val="en-US" w:eastAsia="zh-CN"/>
              </w:rPr>
              <w:t>的</w:t>
            </w:r>
            <w:r>
              <w:rPr>
                <w:rFonts w:hint="eastAsia" w:eastAsia="宋体" w:cs="宋体"/>
                <w:color w:val="auto"/>
                <w:szCs w:val="21"/>
                <w:highlight w:val="none"/>
              </w:rPr>
              <w:t>质量控制方案、进度控制方案、投资控制方案、安全控制方案</w:t>
            </w:r>
            <w:r>
              <w:rPr>
                <w:rFonts w:hint="eastAsia" w:cs="宋体"/>
                <w:color w:val="auto"/>
                <w:szCs w:val="21"/>
                <w:highlight w:val="none"/>
                <w:lang w:val="en-US" w:eastAsia="zh-CN"/>
              </w:rPr>
              <w:t>基本合理</w:t>
            </w:r>
            <w:r>
              <w:rPr>
                <w:rFonts w:hint="eastAsia" w:cs="宋体"/>
                <w:color w:val="auto"/>
                <w:szCs w:val="21"/>
                <w:highlight w:val="none"/>
                <w:lang w:eastAsia="zh-CN"/>
              </w:rPr>
              <w:t>；</w:t>
            </w:r>
            <w:r>
              <w:rPr>
                <w:rFonts w:hint="eastAsia" w:eastAsia="宋体" w:cs="宋体"/>
                <w:color w:val="auto"/>
                <w:szCs w:val="21"/>
                <w:highlight w:val="none"/>
              </w:rPr>
              <w:t>各阶段的重难点有一定了解，能给出一定重难点应对措施</w:t>
            </w:r>
            <w:r>
              <w:rPr>
                <w:rFonts w:hint="eastAsia" w:cs="宋体"/>
                <w:color w:val="auto"/>
                <w:szCs w:val="21"/>
                <w:highlight w:val="none"/>
                <w:lang w:eastAsia="zh-CN"/>
              </w:rPr>
              <w:t>，</w:t>
            </w:r>
            <w:r>
              <w:rPr>
                <w:rFonts w:hint="eastAsia" w:eastAsia="宋体" w:cs="宋体"/>
                <w:color w:val="auto"/>
                <w:szCs w:val="21"/>
                <w:highlight w:val="none"/>
              </w:rPr>
              <w:t>包含以下内容</w:t>
            </w:r>
            <w:r>
              <w:rPr>
                <w:rFonts w:hint="eastAsia" w:cs="宋体"/>
                <w:color w:val="auto"/>
                <w:szCs w:val="21"/>
                <w:highlight w:val="none"/>
                <w:lang w:eastAsia="zh-CN"/>
              </w:rPr>
              <w:t>：</w:t>
            </w:r>
          </w:p>
          <w:p>
            <w:pPr>
              <w:rPr>
                <w:rFonts w:hint="eastAsia" w:cs="宋体"/>
                <w:color w:val="auto"/>
                <w:szCs w:val="21"/>
                <w:highlight w:val="none"/>
                <w:lang w:eastAsia="zh-CN"/>
              </w:rPr>
            </w:pPr>
            <w:r>
              <w:rPr>
                <w:rFonts w:hint="eastAsia" w:cs="宋体"/>
                <w:color w:val="auto"/>
                <w:szCs w:val="21"/>
                <w:highlight w:val="none"/>
                <w:lang w:eastAsia="zh-CN"/>
              </w:rPr>
              <w:t>1）设计和设计联络</w:t>
            </w:r>
          </w:p>
          <w:p>
            <w:pPr>
              <w:rPr>
                <w:rFonts w:hint="eastAsia" w:cs="宋体"/>
                <w:color w:val="auto"/>
                <w:szCs w:val="21"/>
                <w:highlight w:val="none"/>
                <w:lang w:eastAsia="zh-CN"/>
              </w:rPr>
            </w:pPr>
            <w:r>
              <w:rPr>
                <w:rFonts w:hint="eastAsia" w:cs="宋体"/>
                <w:color w:val="auto"/>
                <w:szCs w:val="21"/>
                <w:highlight w:val="none"/>
                <w:lang w:val="en-US" w:eastAsia="zh-CN"/>
              </w:rPr>
              <w:t>2</w:t>
            </w:r>
            <w:r>
              <w:rPr>
                <w:rFonts w:hint="eastAsia" w:cs="宋体"/>
                <w:color w:val="auto"/>
                <w:szCs w:val="21"/>
                <w:highlight w:val="none"/>
                <w:lang w:eastAsia="zh-CN"/>
              </w:rPr>
              <w:t>）样机测试检验和联调</w:t>
            </w:r>
          </w:p>
          <w:p>
            <w:pPr>
              <w:rPr>
                <w:rFonts w:hint="eastAsia" w:cs="宋体"/>
                <w:color w:val="auto"/>
                <w:szCs w:val="21"/>
                <w:highlight w:val="none"/>
                <w:lang w:eastAsia="zh-CN"/>
              </w:rPr>
            </w:pPr>
            <w:r>
              <w:rPr>
                <w:rFonts w:hint="eastAsia" w:cs="宋体"/>
                <w:color w:val="auto"/>
                <w:szCs w:val="21"/>
                <w:highlight w:val="none"/>
                <w:lang w:val="en-US" w:eastAsia="zh-CN"/>
              </w:rPr>
              <w:t>3</w:t>
            </w:r>
            <w:r>
              <w:rPr>
                <w:rFonts w:hint="eastAsia" w:cs="宋体"/>
                <w:color w:val="auto"/>
                <w:szCs w:val="21"/>
                <w:highlight w:val="none"/>
                <w:lang w:eastAsia="zh-CN"/>
              </w:rPr>
              <w:t>）设备监造</w:t>
            </w:r>
          </w:p>
          <w:p>
            <w:pPr>
              <w:rPr>
                <w:rFonts w:hint="eastAsia" w:cs="宋体"/>
                <w:color w:val="auto"/>
                <w:szCs w:val="21"/>
                <w:highlight w:val="none"/>
                <w:lang w:eastAsia="zh-CN"/>
              </w:rPr>
            </w:pPr>
            <w:r>
              <w:rPr>
                <w:rFonts w:hint="eastAsia" w:cs="宋体"/>
                <w:color w:val="auto"/>
                <w:szCs w:val="21"/>
                <w:highlight w:val="none"/>
                <w:lang w:val="en-US" w:eastAsia="zh-CN"/>
              </w:rPr>
              <w:t>4</w:t>
            </w:r>
            <w:r>
              <w:rPr>
                <w:rFonts w:hint="eastAsia" w:cs="宋体"/>
                <w:color w:val="auto"/>
                <w:szCs w:val="21"/>
                <w:highlight w:val="none"/>
                <w:lang w:eastAsia="zh-CN"/>
              </w:rPr>
              <w:t>）设备出厂检验和到货验收、清点移交</w:t>
            </w:r>
          </w:p>
          <w:p>
            <w:pPr>
              <w:rPr>
                <w:rFonts w:hint="eastAsia" w:cs="宋体"/>
                <w:color w:val="auto"/>
                <w:szCs w:val="21"/>
                <w:highlight w:val="none"/>
                <w:lang w:eastAsia="zh-CN"/>
              </w:rPr>
            </w:pPr>
            <w:r>
              <w:rPr>
                <w:rFonts w:hint="eastAsia" w:cs="宋体"/>
                <w:color w:val="auto"/>
                <w:szCs w:val="21"/>
                <w:highlight w:val="none"/>
                <w:lang w:val="en-US" w:eastAsia="zh-CN"/>
              </w:rPr>
              <w:t>5</w:t>
            </w:r>
            <w:r>
              <w:rPr>
                <w:rFonts w:hint="eastAsia" w:cs="宋体"/>
                <w:color w:val="auto"/>
                <w:szCs w:val="21"/>
                <w:highlight w:val="none"/>
                <w:lang w:eastAsia="zh-CN"/>
              </w:rPr>
              <w:t>）设备安装阶段</w:t>
            </w:r>
          </w:p>
          <w:p>
            <w:pPr>
              <w:rPr>
                <w:rFonts w:hint="eastAsia" w:cs="宋体"/>
                <w:color w:val="auto"/>
                <w:szCs w:val="21"/>
                <w:highlight w:val="none"/>
                <w:lang w:eastAsia="zh-CN"/>
              </w:rPr>
            </w:pPr>
            <w:r>
              <w:rPr>
                <w:rFonts w:hint="eastAsia" w:cs="宋体"/>
                <w:color w:val="auto"/>
                <w:szCs w:val="21"/>
                <w:highlight w:val="none"/>
                <w:lang w:val="en-US" w:eastAsia="zh-CN"/>
              </w:rPr>
              <w:t>6</w:t>
            </w:r>
            <w:r>
              <w:rPr>
                <w:rFonts w:hint="eastAsia" w:cs="宋体"/>
                <w:color w:val="auto"/>
                <w:szCs w:val="21"/>
                <w:highlight w:val="none"/>
                <w:lang w:eastAsia="zh-CN"/>
              </w:rPr>
              <w:t>）子系统设备调试</w:t>
            </w:r>
          </w:p>
          <w:p>
            <w:pPr>
              <w:rPr>
                <w:rFonts w:hint="eastAsia" w:cs="宋体"/>
                <w:color w:val="auto"/>
                <w:szCs w:val="21"/>
                <w:highlight w:val="none"/>
                <w:lang w:eastAsia="zh-CN"/>
              </w:rPr>
            </w:pPr>
            <w:r>
              <w:rPr>
                <w:rFonts w:hint="eastAsia" w:cs="宋体"/>
                <w:color w:val="auto"/>
                <w:szCs w:val="21"/>
                <w:highlight w:val="none"/>
                <w:lang w:val="en-US" w:eastAsia="zh-CN"/>
              </w:rPr>
              <w:t>7</w:t>
            </w:r>
            <w:r>
              <w:rPr>
                <w:rFonts w:hint="eastAsia" w:cs="宋体"/>
                <w:color w:val="auto"/>
                <w:szCs w:val="21"/>
                <w:highlight w:val="none"/>
                <w:lang w:eastAsia="zh-CN"/>
              </w:rPr>
              <w:t>）系统联调</w:t>
            </w:r>
          </w:p>
          <w:p>
            <w:pPr>
              <w:rPr>
                <w:rFonts w:eastAsia="宋体"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lang w:eastAsia="zh-CN"/>
              </w:rPr>
              <w:t>）试运行和验收</w:t>
            </w:r>
            <w:r>
              <w:rPr>
                <w:rFonts w:hint="eastAsia" w:eastAsia="宋体" w:cs="宋体"/>
                <w:color w:val="auto"/>
                <w:szCs w:val="21"/>
                <w:highlight w:val="none"/>
              </w:rPr>
              <w:t>内容</w:t>
            </w:r>
          </w:p>
          <w:p>
            <w:pPr>
              <w:rPr>
                <w:rFonts w:ascii="Calibri" w:hAnsi="Calibri"/>
                <w:color w:val="auto"/>
                <w:szCs w:val="22"/>
                <w:highlight w:val="none"/>
              </w:rPr>
            </w:pPr>
            <w:r>
              <w:rPr>
                <w:rFonts w:hint="eastAsia" w:ascii="Calibri" w:hAnsi="Calibri"/>
                <w:color w:val="auto"/>
                <w:szCs w:val="22"/>
                <w:highlight w:val="none"/>
              </w:rPr>
              <w:t>单项分值</w:t>
            </w:r>
            <w:r>
              <w:rPr>
                <w:rFonts w:hint="eastAsia" w:eastAsia="宋体" w:cs="宋体"/>
                <w:color w:val="auto"/>
                <w:highlight w:val="none"/>
              </w:rPr>
              <w:t>（</w:t>
            </w:r>
            <w:r>
              <w:rPr>
                <w:rFonts w:hint="eastAsia" w:cs="宋体"/>
                <w:color w:val="auto"/>
                <w:highlight w:val="none"/>
                <w:lang w:val="en-US" w:eastAsia="zh-CN"/>
              </w:rPr>
              <w:t>3</w:t>
            </w:r>
            <w:r>
              <w:rPr>
                <w:rFonts w:hint="eastAsia" w:eastAsia="宋体" w:cs="宋体"/>
                <w:color w:val="auto"/>
                <w:highlight w:val="none"/>
              </w:rPr>
              <w:t>，</w:t>
            </w:r>
            <w:r>
              <w:rPr>
                <w:rFonts w:hint="eastAsia" w:cs="宋体"/>
                <w:color w:val="auto"/>
                <w:highlight w:val="none"/>
                <w:lang w:val="en-US" w:eastAsia="zh-CN"/>
              </w:rPr>
              <w:t>1</w:t>
            </w:r>
            <w:r>
              <w:rPr>
                <w:rFonts w:hint="eastAsia" w:eastAsia="宋体" w:cs="宋体"/>
                <w:color w:val="auto"/>
                <w:highlight w:val="none"/>
              </w:rPr>
              <w:t>）</w:t>
            </w:r>
            <w:r>
              <w:rPr>
                <w:rFonts w:hint="eastAsia" w:ascii="Calibri" w:hAnsi="Calibri"/>
                <w:color w:val="auto"/>
                <w:szCs w:val="22"/>
                <w:highlight w:val="none"/>
              </w:rPr>
              <w:t>。</w:t>
            </w:r>
          </w:p>
          <w:p>
            <w:pPr>
              <w:rPr>
                <w:rFonts w:hint="eastAsia" w:ascii="Calibri" w:hAnsi="Calibri"/>
                <w:color w:val="auto"/>
                <w:szCs w:val="22"/>
                <w:highlight w:val="none"/>
              </w:rPr>
            </w:pPr>
          </w:p>
          <w:p>
            <w:pPr>
              <w:rPr>
                <w:rFonts w:ascii="Calibri" w:hAnsi="Calibri"/>
                <w:color w:val="auto"/>
                <w:szCs w:val="22"/>
                <w:highlight w:val="none"/>
              </w:rPr>
            </w:pPr>
            <w:r>
              <w:rPr>
                <w:rFonts w:hint="eastAsia" w:ascii="Calibri" w:hAnsi="Calibri"/>
                <w:color w:val="auto"/>
                <w:szCs w:val="22"/>
                <w:highlight w:val="none"/>
              </w:rPr>
              <w:t>差档：</w:t>
            </w:r>
          </w:p>
          <w:p>
            <w:pPr>
              <w:pStyle w:val="5"/>
              <w:ind w:left="0" w:leftChars="0" w:firstLine="0" w:firstLineChars="0"/>
              <w:rPr>
                <w:rFonts w:hint="eastAsia" w:ascii="Calibri" w:hAnsi="Calibri"/>
                <w:color w:val="auto"/>
                <w:szCs w:val="22"/>
                <w:highlight w:val="none"/>
              </w:rPr>
            </w:pPr>
            <w:r>
              <w:rPr>
                <w:rFonts w:hint="eastAsia" w:ascii="Calibri" w:hAnsi="Calibri"/>
                <w:color w:val="auto"/>
                <w:szCs w:val="22"/>
                <w:highlight w:val="none"/>
              </w:rPr>
              <w:t>达不到【好】、【中】档的，单项分值</w:t>
            </w:r>
            <w:r>
              <w:rPr>
                <w:rFonts w:eastAsia="宋体" w:cs="宋体"/>
                <w:color w:val="auto"/>
                <w:highlight w:val="none"/>
              </w:rPr>
              <w:t>[</w:t>
            </w:r>
            <w:r>
              <w:rPr>
                <w:rFonts w:hint="eastAsia" w:cs="宋体"/>
                <w:color w:val="auto"/>
                <w:highlight w:val="none"/>
                <w:lang w:val="en-US" w:eastAsia="zh-CN"/>
              </w:rPr>
              <w:t>1</w:t>
            </w:r>
            <w:r>
              <w:rPr>
                <w:rFonts w:hint="eastAsia" w:eastAsia="宋体" w:cs="宋体"/>
                <w:color w:val="auto"/>
                <w:highlight w:val="none"/>
              </w:rPr>
              <w:t>，</w:t>
            </w:r>
            <w:r>
              <w:rPr>
                <w:rFonts w:eastAsia="宋体" w:cs="宋体"/>
                <w:color w:val="auto"/>
                <w:highlight w:val="none"/>
              </w:rPr>
              <w:t>0]</w:t>
            </w:r>
            <w:r>
              <w:rPr>
                <w:rFonts w:hint="eastAsia" w:ascii="Calibri" w:hAnsi="Calibri"/>
                <w:color w:val="auto"/>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124" w:type="dxa"/>
            <w:vMerge w:val="continue"/>
            <w:tcBorders>
              <w:left w:val="nil"/>
              <w:right w:val="single" w:color="auto" w:sz="4" w:space="0"/>
            </w:tcBorders>
            <w:noWrap w:val="0"/>
            <w:vAlign w:val="center"/>
          </w:tcPr>
          <w:p>
            <w:pPr>
              <w:widowControl/>
              <w:jc w:val="center"/>
              <w:rPr>
                <w:rFonts w:hint="eastAsia"/>
                <w:color w:val="auto"/>
                <w:highlight w:val="none"/>
                <w:lang w:val="en-US" w:eastAsia="zh-CN"/>
              </w:rPr>
            </w:pPr>
          </w:p>
        </w:tc>
        <w:tc>
          <w:tcPr>
            <w:tcW w:w="2476" w:type="dxa"/>
            <w:tcBorders>
              <w:top w:val="single" w:color="auto" w:sz="4" w:space="0"/>
              <w:left w:val="single" w:color="auto" w:sz="4" w:space="0"/>
              <w:right w:val="single" w:color="auto" w:sz="4" w:space="0"/>
            </w:tcBorders>
            <w:noWrap w:val="0"/>
            <w:vAlign w:val="center"/>
          </w:tcPr>
          <w:p>
            <w:pPr>
              <w:rPr>
                <w:rFonts w:hint="default" w:ascii="宋体" w:hAnsi="宋体" w:cs="宋体"/>
                <w:b w:val="0"/>
                <w:bCs w:val="0"/>
                <w:color w:val="auto"/>
                <w:sz w:val="21"/>
                <w:szCs w:val="21"/>
                <w:highlight w:val="none"/>
                <w:lang w:val="en-US" w:eastAsia="zh-CN"/>
              </w:rPr>
            </w:pPr>
            <w:r>
              <w:rPr>
                <w:rFonts w:hint="eastAsia" w:ascii="Calibri" w:hAnsi="Calibri"/>
                <w:color w:val="auto"/>
                <w:szCs w:val="22"/>
                <w:highlight w:val="none"/>
                <w:lang w:val="en-US" w:eastAsia="zh-CN"/>
              </w:rPr>
              <w:t>5.设备集成服务案例分析（含</w:t>
            </w:r>
            <w:r>
              <w:rPr>
                <w:rFonts w:hint="eastAsia" w:eastAsia="宋体" w:cs="宋体"/>
                <w:color w:val="auto"/>
                <w:highlight w:val="none"/>
              </w:rPr>
              <w:t>设备</w:t>
            </w:r>
            <w:r>
              <w:rPr>
                <w:rFonts w:hint="eastAsia" w:cs="宋体"/>
                <w:color w:val="auto"/>
                <w:highlight w:val="none"/>
                <w:lang w:val="en-US" w:eastAsia="zh-CN"/>
              </w:rPr>
              <w:t>监造及</w:t>
            </w:r>
            <w:r>
              <w:rPr>
                <w:rFonts w:hint="eastAsia" w:eastAsia="宋体" w:cs="宋体"/>
                <w:strike w:val="0"/>
                <w:dstrike w:val="0"/>
                <w:color w:val="auto"/>
                <w:szCs w:val="21"/>
                <w:highlight w:val="none"/>
              </w:rPr>
              <w:t>设计联络</w:t>
            </w:r>
            <w:r>
              <w:rPr>
                <w:rFonts w:hint="eastAsia" w:cs="宋体"/>
                <w:strike w:val="0"/>
                <w:dstrike w:val="0"/>
                <w:color w:val="auto"/>
                <w:szCs w:val="21"/>
                <w:highlight w:val="none"/>
                <w:lang w:eastAsia="zh-CN"/>
              </w:rPr>
              <w:t>）</w:t>
            </w:r>
            <w:r>
              <w:rPr>
                <w:rFonts w:hint="eastAsia" w:ascii="Calibri" w:hAnsi="Calibri"/>
                <w:b w:val="0"/>
                <w:bCs w:val="0"/>
                <w:color w:val="auto"/>
                <w:szCs w:val="22"/>
                <w:highlight w:val="none"/>
                <w:lang w:eastAsia="zh-CN"/>
              </w:rPr>
              <w:t>（</w:t>
            </w:r>
            <w:r>
              <w:rPr>
                <w:rFonts w:hint="eastAsia" w:ascii="Calibri" w:hAnsi="Calibri"/>
                <w:b w:val="0"/>
                <w:bCs w:val="0"/>
                <w:color w:val="auto"/>
                <w:szCs w:val="22"/>
                <w:highlight w:val="none"/>
                <w:lang w:val="en-US" w:eastAsia="zh-CN"/>
              </w:rPr>
              <w:t>5分）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eastAsia="宋体" w:cs="宋体"/>
                <w:color w:val="auto"/>
                <w:highlight w:val="none"/>
              </w:rPr>
            </w:pPr>
            <w:r>
              <w:rPr>
                <w:rFonts w:hint="eastAsia" w:eastAsia="宋体" w:cs="宋体"/>
                <w:color w:val="auto"/>
                <w:highlight w:val="none"/>
              </w:rPr>
              <w:t>好</w:t>
            </w:r>
            <w:r>
              <w:rPr>
                <w:rFonts w:hint="eastAsia" w:cs="宋体"/>
                <w:color w:val="auto"/>
                <w:highlight w:val="none"/>
                <w:lang w:val="en-US" w:eastAsia="zh-CN"/>
              </w:rPr>
              <w:t>档</w:t>
            </w:r>
            <w:r>
              <w:rPr>
                <w:rFonts w:hint="eastAsia" w:eastAsia="宋体" w:cs="宋体"/>
                <w:color w:val="auto"/>
                <w:highlight w:val="none"/>
              </w:rPr>
              <w:t>：</w:t>
            </w:r>
          </w:p>
          <w:p>
            <w:pPr>
              <w:rPr>
                <w:rFonts w:hint="eastAsia" w:eastAsia="宋体" w:cs="宋体"/>
                <w:color w:val="auto"/>
                <w:highlight w:val="none"/>
                <w:lang w:eastAsia="zh-CN"/>
              </w:rPr>
            </w:pPr>
            <w:r>
              <w:rPr>
                <w:rFonts w:hint="eastAsia" w:cs="宋体"/>
                <w:color w:val="auto"/>
                <w:szCs w:val="21"/>
                <w:highlight w:val="none"/>
                <w:u w:val="none"/>
                <w:lang w:val="en-US" w:eastAsia="zh-CN"/>
              </w:rPr>
              <w:t>针对</w:t>
            </w:r>
            <w:r>
              <w:rPr>
                <w:rFonts w:hint="eastAsia" w:eastAsia="宋体" w:cs="宋体"/>
                <w:color w:val="auto"/>
                <w:szCs w:val="21"/>
                <w:highlight w:val="none"/>
                <w:u w:val="none"/>
                <w:lang w:val="en-US" w:eastAsia="zh-CN"/>
              </w:rPr>
              <w:t>强电设备、</w:t>
            </w:r>
            <w:r>
              <w:rPr>
                <w:rFonts w:hint="eastAsia" w:eastAsia="宋体" w:cs="宋体"/>
                <w:color w:val="auto"/>
                <w:szCs w:val="21"/>
                <w:highlight w:val="none"/>
                <w:u w:val="none"/>
              </w:rPr>
              <w:t>车站设备</w:t>
            </w:r>
            <w:r>
              <w:rPr>
                <w:rFonts w:hint="eastAsia" w:cs="宋体"/>
                <w:color w:val="auto"/>
                <w:szCs w:val="21"/>
                <w:highlight w:val="none"/>
                <w:u w:val="none"/>
                <w:lang w:val="en-US" w:eastAsia="zh-CN"/>
              </w:rPr>
              <w:t>监造</w:t>
            </w:r>
            <w:r>
              <w:rPr>
                <w:rFonts w:hint="eastAsia" w:eastAsia="宋体" w:cs="宋体"/>
                <w:color w:val="auto"/>
                <w:highlight w:val="none"/>
              </w:rPr>
              <w:t>案例分析科学、全面、数据真实，关键控制要点非常清晰，问题解决方法得当、可操作性强、处理结果好，且可行性强；</w:t>
            </w:r>
            <w:r>
              <w:rPr>
                <w:rFonts w:hint="eastAsia" w:cs="宋体"/>
                <w:color w:val="auto"/>
                <w:highlight w:val="none"/>
                <w:lang w:val="en-US" w:eastAsia="zh-CN"/>
              </w:rPr>
              <w:t>同时针对</w:t>
            </w:r>
            <w:r>
              <w:rPr>
                <w:rFonts w:hint="eastAsia" w:eastAsia="宋体" w:cs="宋体"/>
                <w:color w:val="auto"/>
                <w:szCs w:val="21"/>
                <w:highlight w:val="none"/>
              </w:rPr>
              <w:t>各设备材料</w:t>
            </w:r>
            <w:r>
              <w:rPr>
                <w:rFonts w:hint="eastAsia" w:cs="宋体"/>
                <w:color w:val="auto"/>
                <w:highlight w:val="none"/>
                <w:lang w:val="en-US" w:eastAsia="zh-CN"/>
              </w:rPr>
              <w:t>设计联络</w:t>
            </w:r>
            <w:r>
              <w:rPr>
                <w:rFonts w:hint="eastAsia" w:eastAsia="宋体" w:cs="宋体"/>
                <w:color w:val="auto"/>
                <w:szCs w:val="21"/>
                <w:highlight w:val="none"/>
              </w:rPr>
              <w:t>案例分析全面，有针对性，问题解决方法得当，至少包含</w:t>
            </w:r>
            <w:r>
              <w:rPr>
                <w:rFonts w:hint="eastAsia" w:cs="宋体"/>
                <w:color w:val="auto"/>
                <w:highlight w:val="none"/>
                <w:lang w:val="en-US" w:eastAsia="zh-CN"/>
              </w:rPr>
              <w:t>强电系统设计联络案例分析、弱电系统设计联络案例分析、车站设备设计联络案例分析</w:t>
            </w:r>
            <w:r>
              <w:rPr>
                <w:rFonts w:hint="eastAsia" w:eastAsia="宋体" w:cs="宋体"/>
                <w:color w:val="auto"/>
                <w:szCs w:val="21"/>
                <w:highlight w:val="none"/>
              </w:rPr>
              <w:t>且可操作性强</w:t>
            </w:r>
            <w:r>
              <w:rPr>
                <w:rFonts w:hint="eastAsia" w:cs="宋体"/>
                <w:color w:val="auto"/>
                <w:szCs w:val="21"/>
                <w:highlight w:val="none"/>
                <w:lang w:eastAsia="zh-CN"/>
              </w:rPr>
              <w:t>。</w:t>
            </w:r>
          </w:p>
          <w:p>
            <w:pPr>
              <w:rPr>
                <w:rFonts w:eastAsia="宋体" w:cs="宋体"/>
                <w:color w:val="auto"/>
                <w:highlight w:val="none"/>
              </w:rPr>
            </w:pPr>
            <w:r>
              <w:rPr>
                <w:rFonts w:eastAsia="宋体" w:cs="宋体"/>
                <w:color w:val="auto"/>
                <w:highlight w:val="none"/>
              </w:rPr>
              <w:t>单项分值[</w:t>
            </w:r>
            <w:r>
              <w:rPr>
                <w:rFonts w:hint="eastAsia" w:cs="宋体"/>
                <w:color w:val="auto"/>
                <w:highlight w:val="none"/>
                <w:lang w:val="en-US" w:eastAsia="zh-CN"/>
              </w:rPr>
              <w:t>5</w:t>
            </w:r>
            <w:r>
              <w:rPr>
                <w:rFonts w:hint="eastAsia" w:eastAsia="宋体" w:cs="宋体"/>
                <w:color w:val="auto"/>
                <w:szCs w:val="21"/>
                <w:highlight w:val="none"/>
              </w:rPr>
              <w:t>，</w:t>
            </w:r>
            <w:r>
              <w:rPr>
                <w:rFonts w:hint="eastAsia" w:cs="宋体"/>
                <w:color w:val="auto"/>
                <w:highlight w:val="none"/>
                <w:lang w:val="en-US" w:eastAsia="zh-CN"/>
              </w:rPr>
              <w:t>3</w:t>
            </w:r>
            <w:r>
              <w:rPr>
                <w:rFonts w:eastAsia="宋体" w:cs="宋体"/>
                <w:color w:val="auto"/>
                <w:highlight w:val="none"/>
              </w:rPr>
              <w:t>]</w:t>
            </w:r>
          </w:p>
          <w:p>
            <w:pPr>
              <w:rPr>
                <w:rFonts w:hint="eastAsia" w:eastAsia="宋体" w:cs="宋体"/>
                <w:color w:val="auto"/>
                <w:highlight w:val="none"/>
              </w:rPr>
            </w:pPr>
          </w:p>
          <w:p>
            <w:pPr>
              <w:rPr>
                <w:rFonts w:eastAsia="宋体" w:cs="宋体"/>
                <w:color w:val="auto"/>
                <w:highlight w:val="none"/>
              </w:rPr>
            </w:pPr>
            <w:r>
              <w:rPr>
                <w:rFonts w:hint="eastAsia" w:cs="宋体"/>
                <w:color w:val="auto"/>
                <w:highlight w:val="none"/>
                <w:lang w:val="en-US" w:eastAsia="zh-CN"/>
              </w:rPr>
              <w:t>中档</w:t>
            </w:r>
            <w:r>
              <w:rPr>
                <w:rFonts w:hint="eastAsia" w:eastAsia="宋体" w:cs="宋体"/>
                <w:color w:val="auto"/>
                <w:highlight w:val="none"/>
              </w:rPr>
              <w:t>：</w:t>
            </w:r>
          </w:p>
          <w:p>
            <w:pPr>
              <w:rPr>
                <w:rFonts w:hint="eastAsia" w:eastAsia="宋体" w:cs="宋体"/>
                <w:color w:val="auto"/>
                <w:highlight w:val="none"/>
                <w:lang w:eastAsia="zh-CN"/>
              </w:rPr>
            </w:pPr>
            <w:r>
              <w:rPr>
                <w:rFonts w:hint="eastAsia" w:cs="宋体"/>
                <w:color w:val="auto"/>
                <w:szCs w:val="21"/>
                <w:highlight w:val="none"/>
                <w:u w:val="none"/>
                <w:lang w:val="en-US" w:eastAsia="zh-CN"/>
              </w:rPr>
              <w:t>针对</w:t>
            </w:r>
            <w:r>
              <w:rPr>
                <w:rFonts w:hint="eastAsia" w:eastAsia="宋体" w:cs="宋体"/>
                <w:color w:val="auto"/>
                <w:szCs w:val="21"/>
                <w:highlight w:val="none"/>
                <w:u w:val="none"/>
                <w:lang w:val="en-US" w:eastAsia="zh-CN"/>
              </w:rPr>
              <w:t>强电设备、</w:t>
            </w:r>
            <w:r>
              <w:rPr>
                <w:rFonts w:hint="eastAsia" w:eastAsia="宋体" w:cs="宋体"/>
                <w:color w:val="auto"/>
                <w:szCs w:val="21"/>
                <w:highlight w:val="none"/>
                <w:u w:val="none"/>
              </w:rPr>
              <w:t>车站设备</w:t>
            </w:r>
            <w:r>
              <w:rPr>
                <w:rFonts w:hint="eastAsia" w:cs="宋体"/>
                <w:color w:val="auto"/>
                <w:szCs w:val="21"/>
                <w:highlight w:val="none"/>
                <w:u w:val="none"/>
                <w:lang w:val="en-US" w:eastAsia="zh-CN"/>
              </w:rPr>
              <w:t>监造</w:t>
            </w:r>
            <w:r>
              <w:rPr>
                <w:rFonts w:hint="eastAsia" w:eastAsia="宋体" w:cs="宋体"/>
                <w:color w:val="auto"/>
                <w:highlight w:val="none"/>
              </w:rPr>
              <w:t>案例分析基本合理，关键控制要点清晰，问题解决方法基本可行、处理结果较好；</w:t>
            </w:r>
            <w:r>
              <w:rPr>
                <w:rFonts w:hint="eastAsia" w:cs="宋体"/>
                <w:color w:val="auto"/>
                <w:highlight w:val="none"/>
                <w:lang w:val="en-US" w:eastAsia="zh-CN"/>
              </w:rPr>
              <w:t>同时针对</w:t>
            </w:r>
            <w:r>
              <w:rPr>
                <w:rFonts w:hint="eastAsia" w:eastAsia="宋体" w:cs="宋体"/>
                <w:color w:val="auto"/>
                <w:szCs w:val="21"/>
                <w:highlight w:val="none"/>
              </w:rPr>
              <w:t>各设备材料设计联络案例分析基本合理，有一定的针对性，问题解决方法基本可行</w:t>
            </w:r>
            <w:r>
              <w:rPr>
                <w:rFonts w:hint="eastAsia" w:cs="宋体"/>
                <w:color w:val="auto"/>
                <w:szCs w:val="21"/>
                <w:highlight w:val="none"/>
                <w:lang w:eastAsia="zh-CN"/>
              </w:rPr>
              <w:t>，</w:t>
            </w:r>
            <w:r>
              <w:rPr>
                <w:rFonts w:hint="eastAsia" w:eastAsia="宋体" w:cs="宋体"/>
                <w:color w:val="auto"/>
                <w:szCs w:val="21"/>
                <w:highlight w:val="none"/>
              </w:rPr>
              <w:t>包含</w:t>
            </w:r>
            <w:r>
              <w:rPr>
                <w:rFonts w:hint="eastAsia" w:cs="宋体"/>
                <w:color w:val="auto"/>
                <w:highlight w:val="none"/>
                <w:lang w:val="en-US" w:eastAsia="zh-CN"/>
              </w:rPr>
              <w:t>强电系统设计联络案例分析、弱电系统设计联络案例分析、车站设备设计联络案例案例分析</w:t>
            </w:r>
            <w:r>
              <w:rPr>
                <w:rFonts w:hint="eastAsia" w:eastAsia="宋体" w:cs="宋体"/>
                <w:color w:val="auto"/>
                <w:szCs w:val="21"/>
                <w:highlight w:val="none"/>
              </w:rPr>
              <w:t>，但有</w:t>
            </w:r>
            <w:r>
              <w:rPr>
                <w:rFonts w:eastAsia="宋体" w:cs="宋体"/>
                <w:color w:val="auto"/>
                <w:szCs w:val="21"/>
                <w:highlight w:val="none"/>
              </w:rPr>
              <w:t>1-2项</w:t>
            </w:r>
            <w:r>
              <w:rPr>
                <w:rFonts w:hint="eastAsia" w:eastAsia="宋体" w:cs="宋体"/>
                <w:color w:val="auto"/>
                <w:szCs w:val="21"/>
                <w:highlight w:val="none"/>
              </w:rPr>
              <w:t>可行性</w:t>
            </w:r>
            <w:r>
              <w:rPr>
                <w:rFonts w:eastAsia="宋体" w:cs="宋体"/>
                <w:color w:val="auto"/>
                <w:szCs w:val="21"/>
                <w:highlight w:val="none"/>
              </w:rPr>
              <w:t>差</w:t>
            </w:r>
            <w:r>
              <w:rPr>
                <w:rFonts w:hint="eastAsia" w:cs="宋体"/>
                <w:color w:val="auto"/>
                <w:szCs w:val="21"/>
                <w:highlight w:val="none"/>
                <w:lang w:eastAsia="zh-CN"/>
              </w:rPr>
              <w:t>。</w:t>
            </w:r>
          </w:p>
          <w:p>
            <w:pPr>
              <w:rPr>
                <w:rFonts w:eastAsia="宋体" w:cs="宋体"/>
                <w:color w:val="auto"/>
                <w:szCs w:val="21"/>
                <w:highlight w:val="none"/>
              </w:rPr>
            </w:pPr>
            <w:r>
              <w:rPr>
                <w:rFonts w:hint="eastAsia" w:eastAsia="宋体" w:cs="宋体"/>
                <w:color w:val="auto"/>
                <w:szCs w:val="21"/>
                <w:highlight w:val="none"/>
              </w:rPr>
              <w:t>单项分值（</w:t>
            </w:r>
            <w:r>
              <w:rPr>
                <w:rFonts w:hint="eastAsia" w:cs="宋体"/>
                <w:color w:val="auto"/>
                <w:szCs w:val="21"/>
                <w:highlight w:val="none"/>
                <w:lang w:val="en-US" w:eastAsia="zh-CN"/>
              </w:rPr>
              <w:t>3</w:t>
            </w:r>
            <w:r>
              <w:rPr>
                <w:rFonts w:hint="eastAsia" w:eastAsia="宋体" w:cs="宋体"/>
                <w:color w:val="auto"/>
                <w:szCs w:val="21"/>
                <w:highlight w:val="none"/>
              </w:rPr>
              <w:t>，</w:t>
            </w:r>
            <w:r>
              <w:rPr>
                <w:rFonts w:hint="eastAsia" w:cs="宋体"/>
                <w:color w:val="auto"/>
                <w:szCs w:val="21"/>
                <w:highlight w:val="none"/>
                <w:lang w:val="en-US" w:eastAsia="zh-CN"/>
              </w:rPr>
              <w:t>1</w:t>
            </w:r>
            <w:r>
              <w:rPr>
                <w:rFonts w:hint="eastAsia" w:eastAsia="宋体" w:cs="宋体"/>
                <w:color w:val="auto"/>
                <w:szCs w:val="21"/>
                <w:highlight w:val="none"/>
              </w:rPr>
              <w:t>）</w:t>
            </w:r>
          </w:p>
          <w:p>
            <w:pPr>
              <w:rPr>
                <w:rFonts w:eastAsia="宋体" w:cs="宋体"/>
                <w:color w:val="auto"/>
                <w:szCs w:val="21"/>
                <w:highlight w:val="none"/>
              </w:rPr>
            </w:pPr>
            <w:r>
              <w:rPr>
                <w:rFonts w:hint="eastAsia" w:eastAsia="宋体" w:cs="宋体"/>
                <w:color w:val="auto"/>
                <w:szCs w:val="21"/>
                <w:highlight w:val="none"/>
              </w:rPr>
              <w:t>差</w:t>
            </w:r>
            <w:r>
              <w:rPr>
                <w:rFonts w:hint="eastAsia" w:cs="宋体"/>
                <w:color w:val="auto"/>
                <w:szCs w:val="21"/>
                <w:highlight w:val="none"/>
                <w:lang w:val="en-US" w:eastAsia="zh-CN"/>
              </w:rPr>
              <w:t>档</w:t>
            </w:r>
            <w:r>
              <w:rPr>
                <w:rFonts w:hint="eastAsia" w:eastAsia="宋体" w:cs="宋体"/>
                <w:color w:val="auto"/>
                <w:szCs w:val="21"/>
                <w:highlight w:val="none"/>
              </w:rPr>
              <w:t>：</w:t>
            </w:r>
          </w:p>
          <w:p>
            <w:pPr>
              <w:rPr>
                <w:rFonts w:eastAsia="宋体" w:cs="宋体"/>
                <w:color w:val="auto"/>
                <w:szCs w:val="21"/>
                <w:highlight w:val="none"/>
              </w:rPr>
            </w:pPr>
            <w:r>
              <w:rPr>
                <w:rFonts w:hint="eastAsia" w:eastAsia="宋体" w:cs="宋体"/>
                <w:color w:val="auto"/>
                <w:szCs w:val="21"/>
                <w:highlight w:val="none"/>
              </w:rPr>
              <w:t>达不到【好】、【中】标准的情况。</w:t>
            </w:r>
          </w:p>
          <w:p>
            <w:pPr>
              <w:ind w:left="0" w:leftChars="0" w:firstLine="0" w:firstLineChars="0"/>
              <w:rPr>
                <w:rFonts w:hint="eastAsia" w:ascii="Calibri" w:hAnsi="Calibri"/>
                <w:color w:val="auto"/>
                <w:szCs w:val="22"/>
                <w:highlight w:val="none"/>
              </w:rPr>
            </w:pPr>
            <w:r>
              <w:rPr>
                <w:rFonts w:hint="eastAsia" w:eastAsia="宋体" w:cs="宋体"/>
                <w:color w:val="auto"/>
                <w:szCs w:val="21"/>
                <w:highlight w:val="none"/>
              </w:rPr>
              <w:t>单项分值</w:t>
            </w:r>
            <w:r>
              <w:rPr>
                <w:rFonts w:eastAsia="宋体" w:cs="宋体"/>
                <w:color w:val="auto"/>
                <w:szCs w:val="21"/>
                <w:highlight w:val="none"/>
              </w:rPr>
              <w:t>[</w:t>
            </w:r>
            <w:r>
              <w:rPr>
                <w:rFonts w:hint="eastAsia" w:cs="宋体"/>
                <w:color w:val="auto"/>
                <w:szCs w:val="21"/>
                <w:highlight w:val="none"/>
                <w:lang w:val="en-US" w:eastAsia="zh-CN"/>
              </w:rPr>
              <w:t>1</w:t>
            </w:r>
            <w:r>
              <w:rPr>
                <w:rFonts w:eastAsia="宋体" w:cs="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124" w:type="dxa"/>
            <w:vMerge w:val="continue"/>
            <w:tcBorders>
              <w:left w:val="nil"/>
              <w:right w:val="single" w:color="auto" w:sz="4" w:space="0"/>
            </w:tcBorders>
            <w:noWrap w:val="0"/>
            <w:vAlign w:val="center"/>
          </w:tcPr>
          <w:p>
            <w:pPr>
              <w:widowControl/>
              <w:jc w:val="left"/>
              <w:rPr>
                <w:rFonts w:hint="eastAsia"/>
                <w:color w:val="auto"/>
                <w:highlight w:val="none"/>
                <w:lang w:val="en-US" w:eastAsia="zh-C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auto"/>
                <w:szCs w:val="21"/>
                <w:highlight w:val="none"/>
                <w:u w:val="none"/>
              </w:rPr>
            </w:pP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none"/>
              </w:rPr>
              <w:t>各系统设计联络实施要点（</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eastAsia="宋体" w:cs="宋体"/>
                <w:color w:val="auto"/>
                <w:szCs w:val="21"/>
                <w:highlight w:val="none"/>
                <w:u w:val="none"/>
              </w:rPr>
            </w:pPr>
            <w:r>
              <w:rPr>
                <w:rFonts w:hint="eastAsia" w:eastAsia="宋体" w:cs="宋体"/>
                <w:color w:val="auto"/>
                <w:szCs w:val="21"/>
                <w:highlight w:val="none"/>
                <w:u w:val="none"/>
              </w:rPr>
              <w:t>好</w:t>
            </w:r>
            <w:r>
              <w:rPr>
                <w:rFonts w:hint="eastAsia" w:cs="宋体"/>
                <w:color w:val="auto"/>
                <w:szCs w:val="21"/>
                <w:highlight w:val="none"/>
                <w:u w:val="none"/>
                <w:lang w:val="en-US" w:eastAsia="zh-CN"/>
              </w:rPr>
              <w:t>档</w:t>
            </w:r>
            <w:r>
              <w:rPr>
                <w:rFonts w:hint="eastAsia" w:eastAsia="宋体" w:cs="宋体"/>
                <w:color w:val="auto"/>
                <w:szCs w:val="21"/>
                <w:highlight w:val="none"/>
                <w:u w:val="none"/>
              </w:rPr>
              <w:t>：</w:t>
            </w:r>
          </w:p>
          <w:p>
            <w:pPr>
              <w:rPr>
                <w:rFonts w:eastAsia="宋体" w:cs="宋体"/>
                <w:color w:val="auto"/>
                <w:szCs w:val="21"/>
                <w:highlight w:val="none"/>
                <w:u w:val="none"/>
              </w:rPr>
            </w:pPr>
            <w:r>
              <w:rPr>
                <w:rFonts w:hint="eastAsia" w:eastAsia="宋体" w:cs="宋体"/>
                <w:color w:val="auto"/>
                <w:szCs w:val="21"/>
                <w:highlight w:val="none"/>
                <w:u w:val="none"/>
              </w:rPr>
              <w:t>各设备材料设计联络实施要点描述非常全面、科学、详细，至少包含以下内容且可操作性强：</w:t>
            </w:r>
          </w:p>
          <w:p>
            <w:pPr>
              <w:rPr>
                <w:rFonts w:eastAsia="宋体" w:cs="宋体"/>
                <w:color w:val="auto"/>
                <w:szCs w:val="21"/>
                <w:highlight w:val="none"/>
                <w:u w:val="none"/>
              </w:rPr>
            </w:pPr>
            <w:r>
              <w:rPr>
                <w:rFonts w:eastAsia="宋体" w:cs="宋体"/>
                <w:color w:val="auto"/>
                <w:szCs w:val="21"/>
                <w:highlight w:val="none"/>
                <w:u w:val="none"/>
              </w:rPr>
              <w:t>1）设计联络主要内容；</w:t>
            </w:r>
          </w:p>
          <w:p>
            <w:pPr>
              <w:rPr>
                <w:rFonts w:eastAsia="宋体" w:cs="宋体"/>
                <w:color w:val="auto"/>
                <w:szCs w:val="21"/>
                <w:highlight w:val="none"/>
                <w:u w:val="none"/>
              </w:rPr>
            </w:pPr>
            <w:r>
              <w:rPr>
                <w:rFonts w:eastAsia="宋体" w:cs="宋体"/>
                <w:color w:val="auto"/>
                <w:szCs w:val="21"/>
                <w:highlight w:val="none"/>
                <w:u w:val="none"/>
              </w:rPr>
              <w:t>2）设计联络工作流程及安排；</w:t>
            </w:r>
          </w:p>
          <w:p>
            <w:pPr>
              <w:rPr>
                <w:rFonts w:eastAsia="宋体" w:cs="宋体"/>
                <w:color w:val="auto"/>
                <w:szCs w:val="21"/>
                <w:highlight w:val="none"/>
                <w:u w:val="none"/>
              </w:rPr>
            </w:pPr>
            <w:r>
              <w:rPr>
                <w:rFonts w:eastAsia="宋体" w:cs="宋体"/>
                <w:color w:val="auto"/>
                <w:szCs w:val="21"/>
                <w:highlight w:val="none"/>
                <w:u w:val="none"/>
              </w:rPr>
              <w:t>3）</w:t>
            </w:r>
            <w:r>
              <w:rPr>
                <w:rFonts w:hint="eastAsia" w:eastAsia="宋体" w:cs="宋体"/>
                <w:color w:val="auto"/>
                <w:szCs w:val="21"/>
                <w:highlight w:val="none"/>
                <w:u w:val="none"/>
              </w:rPr>
              <w:t>各专业接口控制措施</w:t>
            </w:r>
            <w:r>
              <w:rPr>
                <w:rFonts w:eastAsia="宋体" w:cs="宋体"/>
                <w:color w:val="auto"/>
                <w:szCs w:val="21"/>
                <w:highlight w:val="none"/>
                <w:u w:val="none"/>
              </w:rPr>
              <w:t>；</w:t>
            </w:r>
          </w:p>
          <w:p>
            <w:pPr>
              <w:rPr>
                <w:rFonts w:eastAsia="宋体" w:cs="宋体"/>
                <w:color w:val="auto"/>
                <w:szCs w:val="21"/>
                <w:highlight w:val="none"/>
                <w:u w:val="none"/>
              </w:rPr>
            </w:pPr>
            <w:r>
              <w:rPr>
                <w:rFonts w:eastAsia="宋体" w:cs="宋体"/>
                <w:color w:val="auto"/>
                <w:szCs w:val="21"/>
                <w:highlight w:val="none"/>
                <w:u w:val="none"/>
              </w:rPr>
              <w:t>4）各专业设备的关键参数和设计要点；</w:t>
            </w:r>
          </w:p>
          <w:p>
            <w:pPr>
              <w:rPr>
                <w:rFonts w:eastAsia="宋体" w:cs="宋体"/>
                <w:color w:val="auto"/>
                <w:szCs w:val="21"/>
                <w:highlight w:val="none"/>
                <w:u w:val="none"/>
              </w:rPr>
            </w:pPr>
            <w:r>
              <w:rPr>
                <w:rFonts w:eastAsia="宋体" w:cs="宋体"/>
                <w:color w:val="auto"/>
                <w:szCs w:val="21"/>
                <w:highlight w:val="none"/>
                <w:u w:val="none"/>
              </w:rPr>
              <w:t>5）对各专业设备</w:t>
            </w:r>
            <w:r>
              <w:rPr>
                <w:rFonts w:hint="eastAsia" w:eastAsia="宋体" w:cs="宋体"/>
                <w:color w:val="auto"/>
                <w:szCs w:val="21"/>
                <w:highlight w:val="none"/>
                <w:u w:val="none"/>
                <w:lang w:val="en-US" w:eastAsia="zh-CN"/>
              </w:rPr>
              <w:t>材料</w:t>
            </w:r>
            <w:r>
              <w:rPr>
                <w:rFonts w:eastAsia="宋体" w:cs="宋体"/>
                <w:color w:val="auto"/>
                <w:szCs w:val="21"/>
                <w:highlight w:val="none"/>
                <w:u w:val="none"/>
              </w:rPr>
              <w:t>BIM</w:t>
            </w:r>
            <w:r>
              <w:rPr>
                <w:rFonts w:hint="eastAsia" w:eastAsia="宋体" w:cs="宋体"/>
                <w:color w:val="auto"/>
                <w:szCs w:val="21"/>
                <w:highlight w:val="none"/>
                <w:u w:val="none"/>
              </w:rPr>
              <w:t>的审查要点；</w:t>
            </w:r>
          </w:p>
          <w:p>
            <w:pPr>
              <w:rPr>
                <w:rFonts w:eastAsia="宋体" w:cs="宋体"/>
                <w:color w:val="auto"/>
                <w:szCs w:val="21"/>
                <w:highlight w:val="none"/>
                <w:u w:val="none"/>
              </w:rPr>
            </w:pPr>
            <w:r>
              <w:rPr>
                <w:rFonts w:hint="eastAsia" w:eastAsia="宋体" w:cs="宋体"/>
                <w:color w:val="auto"/>
                <w:szCs w:val="21"/>
                <w:highlight w:val="none"/>
                <w:u w:val="none"/>
              </w:rPr>
              <w:t>单项分值</w:t>
            </w:r>
            <w:r>
              <w:rPr>
                <w:rFonts w:eastAsia="宋体" w:cs="宋体"/>
                <w:color w:val="auto"/>
                <w:szCs w:val="21"/>
                <w:highlight w:val="none"/>
                <w:u w:val="none"/>
              </w:rPr>
              <w:t>[</w:t>
            </w:r>
            <w:r>
              <w:rPr>
                <w:rFonts w:hint="eastAsia" w:cs="宋体"/>
                <w:color w:val="auto"/>
                <w:szCs w:val="21"/>
                <w:highlight w:val="none"/>
                <w:u w:val="none"/>
                <w:lang w:val="en-US" w:eastAsia="zh-CN"/>
              </w:rPr>
              <w:t>5</w:t>
            </w:r>
            <w:r>
              <w:rPr>
                <w:rFonts w:hint="eastAsia" w:eastAsia="宋体" w:cs="宋体"/>
                <w:color w:val="auto"/>
                <w:szCs w:val="21"/>
                <w:highlight w:val="none"/>
                <w:u w:val="none"/>
              </w:rPr>
              <w:t>，</w:t>
            </w:r>
            <w:r>
              <w:rPr>
                <w:rFonts w:hint="eastAsia" w:cs="宋体"/>
                <w:color w:val="auto"/>
                <w:szCs w:val="21"/>
                <w:highlight w:val="none"/>
                <w:u w:val="none"/>
                <w:lang w:val="en-US" w:eastAsia="zh-CN"/>
              </w:rPr>
              <w:t>3</w:t>
            </w:r>
            <w:r>
              <w:rPr>
                <w:rFonts w:eastAsia="宋体" w:cs="宋体"/>
                <w:color w:val="auto"/>
                <w:szCs w:val="21"/>
                <w:highlight w:val="none"/>
                <w:u w:val="none"/>
              </w:rPr>
              <w:t>]</w:t>
            </w:r>
          </w:p>
          <w:p>
            <w:pPr>
              <w:rPr>
                <w:rFonts w:eastAsia="宋体" w:cs="宋体"/>
                <w:color w:val="auto"/>
                <w:szCs w:val="21"/>
                <w:highlight w:val="none"/>
                <w:u w:val="none"/>
              </w:rPr>
            </w:pPr>
            <w:r>
              <w:rPr>
                <w:rFonts w:hint="eastAsia" w:eastAsia="宋体" w:cs="宋体"/>
                <w:color w:val="auto"/>
                <w:szCs w:val="21"/>
                <w:highlight w:val="none"/>
                <w:u w:val="none"/>
              </w:rPr>
              <w:t>中</w:t>
            </w:r>
            <w:r>
              <w:rPr>
                <w:rFonts w:hint="eastAsia" w:cs="宋体"/>
                <w:color w:val="auto"/>
                <w:szCs w:val="21"/>
                <w:highlight w:val="none"/>
                <w:u w:val="none"/>
                <w:lang w:val="en-US" w:eastAsia="zh-CN"/>
              </w:rPr>
              <w:t>档</w:t>
            </w:r>
            <w:r>
              <w:rPr>
                <w:rFonts w:hint="eastAsia" w:eastAsia="宋体" w:cs="宋体"/>
                <w:color w:val="auto"/>
                <w:szCs w:val="21"/>
                <w:highlight w:val="none"/>
                <w:u w:val="none"/>
              </w:rPr>
              <w:t>：</w:t>
            </w:r>
          </w:p>
          <w:p>
            <w:pPr>
              <w:rPr>
                <w:rFonts w:eastAsia="宋体" w:cs="宋体"/>
                <w:color w:val="auto"/>
                <w:szCs w:val="21"/>
                <w:highlight w:val="none"/>
                <w:u w:val="none"/>
              </w:rPr>
            </w:pPr>
            <w:r>
              <w:rPr>
                <w:rFonts w:hint="eastAsia" w:eastAsia="宋体" w:cs="宋体"/>
                <w:color w:val="auto"/>
                <w:szCs w:val="21"/>
                <w:highlight w:val="none"/>
                <w:u w:val="none"/>
              </w:rPr>
              <w:t>各设备材料设计联络实施要点描述基本全面、较简单，包含以下内容，但有</w:t>
            </w:r>
            <w:r>
              <w:rPr>
                <w:rFonts w:eastAsia="宋体" w:cs="宋体"/>
                <w:color w:val="auto"/>
                <w:szCs w:val="21"/>
                <w:highlight w:val="none"/>
                <w:u w:val="none"/>
              </w:rPr>
              <w:t>1-2项</w:t>
            </w:r>
            <w:r>
              <w:rPr>
                <w:rFonts w:hint="eastAsia" w:eastAsia="宋体" w:cs="宋体"/>
                <w:color w:val="auto"/>
                <w:szCs w:val="21"/>
                <w:highlight w:val="none"/>
                <w:u w:val="none"/>
              </w:rPr>
              <w:t>可行性</w:t>
            </w:r>
            <w:r>
              <w:rPr>
                <w:rFonts w:eastAsia="宋体" w:cs="宋体"/>
                <w:color w:val="auto"/>
                <w:szCs w:val="21"/>
                <w:highlight w:val="none"/>
                <w:u w:val="none"/>
              </w:rPr>
              <w:t>差</w:t>
            </w:r>
            <w:r>
              <w:rPr>
                <w:rFonts w:hint="eastAsia" w:eastAsia="宋体" w:cs="宋体"/>
                <w:color w:val="auto"/>
                <w:szCs w:val="21"/>
                <w:highlight w:val="none"/>
                <w:u w:val="none"/>
              </w:rPr>
              <w:t>：</w:t>
            </w:r>
          </w:p>
          <w:p>
            <w:pPr>
              <w:rPr>
                <w:rFonts w:eastAsia="宋体" w:cs="宋体"/>
                <w:color w:val="auto"/>
                <w:szCs w:val="21"/>
                <w:highlight w:val="none"/>
                <w:u w:val="none"/>
              </w:rPr>
            </w:pPr>
            <w:r>
              <w:rPr>
                <w:rFonts w:eastAsia="宋体" w:cs="宋体"/>
                <w:color w:val="auto"/>
                <w:szCs w:val="21"/>
                <w:highlight w:val="none"/>
                <w:u w:val="none"/>
              </w:rPr>
              <w:t>1）设计联络主要内容；</w:t>
            </w:r>
          </w:p>
          <w:p>
            <w:pPr>
              <w:rPr>
                <w:rFonts w:eastAsia="宋体" w:cs="宋体"/>
                <w:color w:val="auto"/>
                <w:szCs w:val="21"/>
                <w:highlight w:val="none"/>
                <w:u w:val="none"/>
              </w:rPr>
            </w:pPr>
            <w:r>
              <w:rPr>
                <w:rFonts w:eastAsia="宋体" w:cs="宋体"/>
                <w:color w:val="auto"/>
                <w:szCs w:val="21"/>
                <w:highlight w:val="none"/>
                <w:u w:val="none"/>
              </w:rPr>
              <w:t>2）设计联络工作流程及安排；</w:t>
            </w:r>
          </w:p>
          <w:p>
            <w:pPr>
              <w:rPr>
                <w:rFonts w:eastAsia="宋体" w:cs="宋体"/>
                <w:color w:val="auto"/>
                <w:szCs w:val="21"/>
                <w:highlight w:val="none"/>
                <w:u w:val="none"/>
              </w:rPr>
            </w:pPr>
            <w:r>
              <w:rPr>
                <w:rFonts w:eastAsia="宋体" w:cs="宋体"/>
                <w:color w:val="auto"/>
                <w:szCs w:val="21"/>
                <w:highlight w:val="none"/>
                <w:u w:val="none"/>
              </w:rPr>
              <w:t>3）</w:t>
            </w:r>
            <w:r>
              <w:rPr>
                <w:rFonts w:hint="eastAsia" w:eastAsia="宋体" w:cs="宋体"/>
                <w:color w:val="auto"/>
                <w:szCs w:val="21"/>
                <w:highlight w:val="none"/>
                <w:u w:val="none"/>
              </w:rPr>
              <w:t>各专业接口控制措施</w:t>
            </w:r>
            <w:r>
              <w:rPr>
                <w:rFonts w:eastAsia="宋体" w:cs="宋体"/>
                <w:color w:val="auto"/>
                <w:szCs w:val="21"/>
                <w:highlight w:val="none"/>
                <w:u w:val="none"/>
              </w:rPr>
              <w:t>；</w:t>
            </w:r>
          </w:p>
          <w:p>
            <w:pPr>
              <w:rPr>
                <w:rFonts w:eastAsia="宋体" w:cs="宋体"/>
                <w:color w:val="auto"/>
                <w:szCs w:val="21"/>
                <w:highlight w:val="none"/>
                <w:u w:val="none"/>
              </w:rPr>
            </w:pPr>
            <w:r>
              <w:rPr>
                <w:rFonts w:eastAsia="宋体" w:cs="宋体"/>
                <w:color w:val="auto"/>
                <w:szCs w:val="21"/>
                <w:highlight w:val="none"/>
                <w:u w:val="none"/>
              </w:rPr>
              <w:t>4）各专业设备的关键参数和设计要点；</w:t>
            </w:r>
          </w:p>
          <w:p>
            <w:pPr>
              <w:rPr>
                <w:rFonts w:eastAsia="宋体" w:cs="宋体"/>
                <w:color w:val="auto"/>
                <w:szCs w:val="21"/>
                <w:highlight w:val="none"/>
                <w:u w:val="none"/>
              </w:rPr>
            </w:pPr>
            <w:r>
              <w:rPr>
                <w:rFonts w:eastAsia="宋体" w:cs="宋体"/>
                <w:color w:val="auto"/>
                <w:szCs w:val="21"/>
                <w:highlight w:val="none"/>
                <w:u w:val="none"/>
              </w:rPr>
              <w:t>5）对各专业设备</w:t>
            </w:r>
            <w:r>
              <w:rPr>
                <w:rFonts w:hint="eastAsia" w:eastAsia="宋体" w:cs="宋体"/>
                <w:color w:val="auto"/>
                <w:szCs w:val="21"/>
                <w:highlight w:val="none"/>
                <w:u w:val="none"/>
                <w:lang w:val="en-US" w:eastAsia="zh-CN"/>
              </w:rPr>
              <w:t>材料</w:t>
            </w:r>
            <w:r>
              <w:rPr>
                <w:rFonts w:eastAsia="宋体" w:cs="宋体"/>
                <w:color w:val="auto"/>
                <w:szCs w:val="21"/>
                <w:highlight w:val="none"/>
                <w:u w:val="none"/>
              </w:rPr>
              <w:t>BIM</w:t>
            </w:r>
            <w:r>
              <w:rPr>
                <w:rFonts w:hint="eastAsia" w:eastAsia="宋体" w:cs="宋体"/>
                <w:color w:val="auto"/>
                <w:szCs w:val="21"/>
                <w:highlight w:val="none"/>
                <w:u w:val="none"/>
              </w:rPr>
              <w:t>的审查要点；</w:t>
            </w:r>
          </w:p>
          <w:p>
            <w:pPr>
              <w:rPr>
                <w:rFonts w:eastAsia="宋体" w:cs="宋体"/>
                <w:color w:val="auto"/>
                <w:szCs w:val="21"/>
                <w:highlight w:val="none"/>
                <w:u w:val="none"/>
              </w:rPr>
            </w:pPr>
            <w:r>
              <w:rPr>
                <w:rFonts w:hint="eastAsia" w:eastAsia="宋体" w:cs="宋体"/>
                <w:color w:val="auto"/>
                <w:szCs w:val="21"/>
                <w:highlight w:val="none"/>
                <w:u w:val="none"/>
              </w:rPr>
              <w:t>单项分值（</w:t>
            </w:r>
            <w:r>
              <w:rPr>
                <w:rFonts w:hint="eastAsia" w:cs="宋体"/>
                <w:color w:val="auto"/>
                <w:szCs w:val="21"/>
                <w:highlight w:val="none"/>
                <w:u w:val="none"/>
                <w:lang w:val="en-US" w:eastAsia="zh-CN"/>
              </w:rPr>
              <w:t>3</w:t>
            </w:r>
            <w:r>
              <w:rPr>
                <w:rFonts w:hint="eastAsia" w:eastAsia="宋体" w:cs="宋体"/>
                <w:color w:val="auto"/>
                <w:szCs w:val="21"/>
                <w:highlight w:val="none"/>
                <w:u w:val="none"/>
              </w:rPr>
              <w:t>，</w:t>
            </w:r>
            <w:r>
              <w:rPr>
                <w:rFonts w:hint="eastAsia" w:cs="宋体"/>
                <w:color w:val="auto"/>
                <w:szCs w:val="21"/>
                <w:highlight w:val="none"/>
                <w:u w:val="none"/>
                <w:lang w:val="en-US" w:eastAsia="zh-CN"/>
              </w:rPr>
              <w:t>1</w:t>
            </w:r>
            <w:r>
              <w:rPr>
                <w:rFonts w:hint="eastAsia" w:eastAsia="宋体" w:cs="宋体"/>
                <w:color w:val="auto"/>
                <w:szCs w:val="21"/>
                <w:highlight w:val="none"/>
                <w:u w:val="none"/>
              </w:rPr>
              <w:t>）</w:t>
            </w:r>
          </w:p>
          <w:p>
            <w:pPr>
              <w:rPr>
                <w:rFonts w:eastAsia="宋体" w:cs="宋体"/>
                <w:color w:val="auto"/>
                <w:szCs w:val="21"/>
                <w:highlight w:val="none"/>
                <w:u w:val="none"/>
              </w:rPr>
            </w:pPr>
            <w:r>
              <w:rPr>
                <w:rFonts w:hint="eastAsia" w:eastAsia="宋体" w:cs="宋体"/>
                <w:color w:val="auto"/>
                <w:szCs w:val="21"/>
                <w:highlight w:val="none"/>
                <w:u w:val="none"/>
              </w:rPr>
              <w:t>差</w:t>
            </w:r>
            <w:r>
              <w:rPr>
                <w:rFonts w:hint="eastAsia" w:cs="宋体"/>
                <w:color w:val="auto"/>
                <w:szCs w:val="21"/>
                <w:highlight w:val="none"/>
                <w:u w:val="none"/>
                <w:lang w:val="en-US" w:eastAsia="zh-CN"/>
              </w:rPr>
              <w:t>档</w:t>
            </w:r>
            <w:r>
              <w:rPr>
                <w:rFonts w:hint="eastAsia" w:eastAsia="宋体" w:cs="宋体"/>
                <w:color w:val="auto"/>
                <w:szCs w:val="21"/>
                <w:highlight w:val="none"/>
                <w:u w:val="none"/>
              </w:rPr>
              <w:t>：</w:t>
            </w:r>
          </w:p>
          <w:p>
            <w:pPr>
              <w:rPr>
                <w:rFonts w:eastAsia="宋体" w:cs="宋体"/>
                <w:color w:val="auto"/>
                <w:szCs w:val="21"/>
                <w:highlight w:val="none"/>
                <w:u w:val="none"/>
              </w:rPr>
            </w:pPr>
            <w:r>
              <w:rPr>
                <w:rFonts w:hint="eastAsia" w:eastAsia="宋体" w:cs="宋体"/>
                <w:color w:val="auto"/>
                <w:szCs w:val="21"/>
                <w:highlight w:val="none"/>
                <w:u w:val="none"/>
              </w:rPr>
              <w:t>达不到【好】、【中】标准的情况。</w:t>
            </w:r>
          </w:p>
          <w:p>
            <w:pPr>
              <w:rPr>
                <w:rFonts w:eastAsia="宋体" w:cs="宋体"/>
                <w:color w:val="auto"/>
                <w:szCs w:val="21"/>
                <w:highlight w:val="none"/>
                <w:u w:val="none"/>
              </w:rPr>
            </w:pPr>
            <w:r>
              <w:rPr>
                <w:rFonts w:hint="eastAsia" w:eastAsia="宋体" w:cs="宋体"/>
                <w:color w:val="auto"/>
                <w:szCs w:val="21"/>
                <w:highlight w:val="none"/>
                <w:u w:val="none"/>
              </w:rPr>
              <w:t>单项分值</w:t>
            </w:r>
            <w:r>
              <w:rPr>
                <w:rFonts w:eastAsia="宋体" w:cs="宋体"/>
                <w:color w:val="auto"/>
                <w:szCs w:val="21"/>
                <w:highlight w:val="none"/>
                <w:u w:val="none"/>
              </w:rPr>
              <w:t>[</w:t>
            </w:r>
            <w:r>
              <w:rPr>
                <w:rFonts w:hint="eastAsia" w:cs="宋体"/>
                <w:color w:val="auto"/>
                <w:szCs w:val="21"/>
                <w:highlight w:val="none"/>
                <w:u w:val="none"/>
                <w:lang w:val="en-US" w:eastAsia="zh-CN"/>
              </w:rPr>
              <w:t>1</w:t>
            </w:r>
            <w:r>
              <w:rPr>
                <w:rFonts w:hint="eastAsia" w:eastAsia="宋体" w:cs="宋体"/>
                <w:color w:val="auto"/>
                <w:szCs w:val="21"/>
                <w:highlight w:val="none"/>
                <w:u w:val="none"/>
              </w:rPr>
              <w:t>，</w:t>
            </w:r>
            <w:r>
              <w:rPr>
                <w:rFonts w:eastAsia="宋体" w:cs="宋体"/>
                <w:color w:val="auto"/>
                <w:szCs w:val="21"/>
                <w:highlight w:val="none"/>
                <w:u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124" w:type="dxa"/>
            <w:vMerge w:val="continue"/>
            <w:tcBorders>
              <w:left w:val="nil"/>
              <w:right w:val="single" w:color="auto" w:sz="4" w:space="0"/>
            </w:tcBorders>
            <w:noWrap w:val="0"/>
            <w:vAlign w:val="center"/>
          </w:tcPr>
          <w:p>
            <w:pPr>
              <w:widowControl/>
              <w:jc w:val="left"/>
              <w:rPr>
                <w:rFonts w:hint="eastAsia"/>
                <w:color w:val="auto"/>
                <w:highlight w:val="none"/>
                <w:lang w:val="en-US" w:eastAsia="zh-C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default" w:ascii="宋体" w:hAnsi="宋体" w:eastAsia="宋体" w:cs="宋体"/>
                <w:color w:val="auto"/>
                <w:szCs w:val="21"/>
                <w:highlight w:val="none"/>
                <w:lang w:val="en-US" w:eastAsia="zh-CN"/>
              </w:rPr>
              <w:t>单机调试</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lang w:val="en-US" w:eastAsia="zh-CN"/>
              </w:rPr>
              <w:t>系统联调</w:t>
            </w:r>
            <w:r>
              <w:rPr>
                <w:rFonts w:hint="eastAsia" w:ascii="宋体" w:hAnsi="宋体" w:cs="宋体"/>
                <w:color w:val="auto"/>
                <w:szCs w:val="21"/>
                <w:highlight w:val="none"/>
                <w:lang w:val="en-US" w:eastAsia="zh-CN"/>
              </w:rPr>
              <w:t>和综合联调</w:t>
            </w:r>
            <w:r>
              <w:rPr>
                <w:rFonts w:hint="default" w:ascii="宋体" w:hAnsi="宋体" w:eastAsia="宋体" w:cs="宋体"/>
                <w:color w:val="auto"/>
                <w:szCs w:val="21"/>
                <w:highlight w:val="none"/>
                <w:lang w:val="en-US" w:eastAsia="zh-CN"/>
              </w:rPr>
              <w:t>分析方案</w:t>
            </w:r>
            <w:r>
              <w:rPr>
                <w:rFonts w:hint="eastAsia" w:ascii="宋体" w:hAnsi="宋体" w:cs="宋体"/>
                <w:color w:val="auto"/>
                <w:szCs w:val="21"/>
                <w:highlight w:val="none"/>
                <w:lang w:val="en-US" w:eastAsia="zh-CN"/>
              </w:rPr>
              <w:t>（5分）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eastAsia="宋体" w:cs="宋体"/>
                <w:color w:val="auto"/>
                <w:szCs w:val="21"/>
                <w:highlight w:val="none"/>
              </w:rPr>
            </w:pPr>
            <w:r>
              <w:rPr>
                <w:rFonts w:hint="eastAsia" w:eastAsia="宋体" w:cs="宋体"/>
                <w:color w:val="auto"/>
                <w:szCs w:val="21"/>
                <w:highlight w:val="none"/>
              </w:rPr>
              <w:t>好</w:t>
            </w:r>
            <w:r>
              <w:rPr>
                <w:rFonts w:hint="eastAsia" w:cs="宋体"/>
                <w:color w:val="auto"/>
                <w:szCs w:val="21"/>
                <w:highlight w:val="none"/>
                <w:lang w:val="en-US" w:eastAsia="zh-CN"/>
              </w:rPr>
              <w:t>档</w:t>
            </w:r>
            <w:r>
              <w:rPr>
                <w:rFonts w:hint="eastAsia" w:eastAsia="宋体" w:cs="宋体"/>
                <w:color w:val="auto"/>
                <w:szCs w:val="21"/>
                <w:highlight w:val="none"/>
              </w:rPr>
              <w:t>：</w:t>
            </w:r>
          </w:p>
          <w:p>
            <w:pPr>
              <w:rPr>
                <w:rFonts w:hint="eastAsia" w:cs="宋体"/>
                <w:color w:val="auto"/>
                <w:szCs w:val="21"/>
                <w:highlight w:val="none"/>
                <w:lang w:val="en-US" w:eastAsia="zh-CN"/>
              </w:rPr>
            </w:pPr>
            <w:r>
              <w:rPr>
                <w:rFonts w:hint="eastAsia" w:eastAsia="宋体" w:cs="宋体"/>
                <w:color w:val="auto"/>
                <w:szCs w:val="21"/>
                <w:highlight w:val="none"/>
              </w:rPr>
              <w:t>单机调试</w:t>
            </w:r>
            <w:r>
              <w:rPr>
                <w:rFonts w:hint="eastAsia" w:cs="宋体"/>
                <w:color w:val="auto"/>
                <w:szCs w:val="21"/>
                <w:highlight w:val="none"/>
                <w:lang w:val="en-US" w:eastAsia="zh-CN"/>
              </w:rPr>
              <w:t>及</w:t>
            </w:r>
            <w:r>
              <w:rPr>
                <w:rFonts w:hint="eastAsia" w:eastAsia="宋体" w:cs="宋体"/>
                <w:color w:val="auto"/>
                <w:szCs w:val="21"/>
                <w:highlight w:val="none"/>
              </w:rPr>
              <w:t>系统联调分析方案内容完整，调试的实施要点、前提条件、要把控的关键节点、协调重点描述非常全面、科学、详细，且可操作性强</w:t>
            </w:r>
            <w:r>
              <w:rPr>
                <w:rFonts w:hint="eastAsia" w:cs="宋体"/>
                <w:color w:val="auto"/>
                <w:szCs w:val="21"/>
                <w:highlight w:val="none"/>
                <w:lang w:eastAsia="zh-CN"/>
              </w:rPr>
              <w:t>。</w:t>
            </w:r>
            <w:r>
              <w:rPr>
                <w:rFonts w:hint="eastAsia" w:cs="宋体"/>
                <w:color w:val="auto"/>
                <w:szCs w:val="21"/>
                <w:highlight w:val="none"/>
                <w:lang w:val="en-US" w:eastAsia="zh-CN"/>
              </w:rPr>
              <w:t>其中单机调试分析至少包含：</w:t>
            </w:r>
          </w:p>
          <w:p>
            <w:pPr>
              <w:rPr>
                <w:rFonts w:eastAsia="宋体" w:cs="宋体"/>
                <w:color w:val="auto"/>
                <w:szCs w:val="21"/>
                <w:highlight w:val="none"/>
              </w:rPr>
            </w:pPr>
            <w:r>
              <w:rPr>
                <w:rFonts w:eastAsia="宋体" w:cs="宋体"/>
                <w:color w:val="auto"/>
                <w:szCs w:val="21"/>
                <w:highlight w:val="none"/>
              </w:rPr>
              <w:t>1）设备单机调试的实施要点；</w:t>
            </w:r>
          </w:p>
          <w:p>
            <w:pPr>
              <w:rPr>
                <w:rFonts w:eastAsia="宋体" w:cs="宋体"/>
                <w:color w:val="auto"/>
                <w:szCs w:val="21"/>
                <w:highlight w:val="none"/>
              </w:rPr>
            </w:pPr>
            <w:r>
              <w:rPr>
                <w:rFonts w:eastAsia="宋体" w:cs="宋体"/>
                <w:color w:val="auto"/>
                <w:szCs w:val="21"/>
                <w:highlight w:val="none"/>
              </w:rPr>
              <w:t>2）单机调试中可能出现问题及解决建议</w:t>
            </w:r>
          </w:p>
          <w:p>
            <w:pPr>
              <w:rPr>
                <w:rFonts w:eastAsia="宋体" w:cs="宋体"/>
                <w:color w:val="auto"/>
                <w:szCs w:val="21"/>
                <w:highlight w:val="none"/>
              </w:rPr>
            </w:pPr>
            <w:r>
              <w:rPr>
                <w:rFonts w:eastAsia="宋体" w:cs="宋体"/>
                <w:color w:val="auto"/>
                <w:szCs w:val="21"/>
                <w:highlight w:val="none"/>
              </w:rPr>
              <w:t>3）单机调试案例分析；</w:t>
            </w:r>
          </w:p>
          <w:p>
            <w:pPr>
              <w:rPr>
                <w:rFonts w:hint="default" w:eastAsia="宋体" w:cs="宋体"/>
                <w:color w:val="auto"/>
                <w:szCs w:val="21"/>
                <w:highlight w:val="none"/>
                <w:lang w:val="en-US" w:eastAsia="zh-CN"/>
              </w:rPr>
            </w:pPr>
            <w:r>
              <w:rPr>
                <w:rFonts w:hint="eastAsia" w:eastAsia="宋体" w:cs="宋体"/>
                <w:color w:val="auto"/>
                <w:szCs w:val="21"/>
                <w:highlight w:val="none"/>
              </w:rPr>
              <w:t>系统联调分析</w:t>
            </w:r>
            <w:r>
              <w:rPr>
                <w:rFonts w:hint="eastAsia" w:cs="宋体"/>
                <w:color w:val="auto"/>
                <w:szCs w:val="21"/>
                <w:highlight w:val="none"/>
                <w:lang w:val="en-US" w:eastAsia="zh-CN"/>
              </w:rPr>
              <w:t>至少包含：</w:t>
            </w:r>
          </w:p>
          <w:p>
            <w:pPr>
              <w:rPr>
                <w:rFonts w:eastAsia="宋体" w:cs="宋体"/>
                <w:color w:val="auto"/>
                <w:szCs w:val="21"/>
                <w:highlight w:val="none"/>
              </w:rPr>
            </w:pPr>
            <w:r>
              <w:rPr>
                <w:rFonts w:eastAsia="宋体" w:cs="宋体"/>
                <w:color w:val="auto"/>
                <w:szCs w:val="21"/>
                <w:highlight w:val="none"/>
              </w:rPr>
              <w:t>1）设备系统联调的实施要点；</w:t>
            </w:r>
          </w:p>
          <w:p>
            <w:pPr>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）系统联调人员组织方案和策略；</w:t>
            </w:r>
          </w:p>
          <w:p>
            <w:pPr>
              <w:rPr>
                <w:rFonts w:eastAsia="宋体" w:cs="宋体"/>
                <w:color w:val="auto"/>
                <w:szCs w:val="21"/>
                <w:highlight w:val="none"/>
              </w:rPr>
            </w:pPr>
            <w:r>
              <w:rPr>
                <w:rFonts w:eastAsia="宋体" w:cs="宋体"/>
                <w:color w:val="auto"/>
                <w:szCs w:val="21"/>
                <w:highlight w:val="none"/>
              </w:rPr>
              <w:t>3</w:t>
            </w:r>
            <w:r>
              <w:rPr>
                <w:rFonts w:hint="eastAsia" w:eastAsia="宋体" w:cs="宋体"/>
                <w:color w:val="auto"/>
                <w:szCs w:val="21"/>
                <w:highlight w:val="none"/>
              </w:rPr>
              <w:t>）联调中可能出现问题及解决建议；</w:t>
            </w:r>
          </w:p>
          <w:p>
            <w:pPr>
              <w:rPr>
                <w:rFonts w:eastAsia="宋体" w:cs="宋体"/>
                <w:color w:val="auto"/>
                <w:szCs w:val="21"/>
                <w:highlight w:val="none"/>
              </w:rPr>
            </w:pPr>
            <w:r>
              <w:rPr>
                <w:rFonts w:eastAsia="宋体" w:cs="宋体"/>
                <w:color w:val="auto"/>
                <w:szCs w:val="21"/>
                <w:highlight w:val="none"/>
              </w:rPr>
              <w:t>4</w:t>
            </w:r>
            <w:r>
              <w:rPr>
                <w:rFonts w:hint="eastAsia" w:eastAsia="宋体" w:cs="宋体"/>
                <w:color w:val="auto"/>
                <w:szCs w:val="21"/>
                <w:highlight w:val="none"/>
              </w:rPr>
              <w:t>）联调案例分析。</w:t>
            </w:r>
          </w:p>
          <w:p>
            <w:pPr>
              <w:rPr>
                <w:rFonts w:eastAsia="宋体" w:cs="宋体"/>
                <w:color w:val="auto"/>
                <w:szCs w:val="21"/>
                <w:highlight w:val="none"/>
              </w:rPr>
            </w:pPr>
            <w:r>
              <w:rPr>
                <w:rFonts w:hint="eastAsia" w:eastAsia="宋体" w:cs="宋体"/>
                <w:color w:val="auto"/>
                <w:szCs w:val="21"/>
                <w:highlight w:val="none"/>
              </w:rPr>
              <w:t>单项分值</w:t>
            </w:r>
            <w:r>
              <w:rPr>
                <w:rFonts w:eastAsia="宋体" w:cs="宋体"/>
                <w:color w:val="auto"/>
                <w:szCs w:val="21"/>
                <w:highlight w:val="none"/>
              </w:rPr>
              <w:t>[</w:t>
            </w:r>
            <w:r>
              <w:rPr>
                <w:rFonts w:hint="eastAsia" w:cs="宋体"/>
                <w:color w:val="auto"/>
                <w:szCs w:val="21"/>
                <w:highlight w:val="none"/>
                <w:lang w:val="en-US" w:eastAsia="zh-CN"/>
              </w:rPr>
              <w:t>5</w:t>
            </w:r>
            <w:r>
              <w:rPr>
                <w:rFonts w:hint="eastAsia" w:eastAsia="宋体" w:cs="宋体"/>
                <w:color w:val="auto"/>
                <w:szCs w:val="21"/>
                <w:highlight w:val="none"/>
              </w:rPr>
              <w:t>，</w:t>
            </w:r>
            <w:r>
              <w:rPr>
                <w:rFonts w:hint="eastAsia" w:cs="宋体"/>
                <w:color w:val="auto"/>
                <w:szCs w:val="21"/>
                <w:highlight w:val="none"/>
                <w:lang w:val="en-US" w:eastAsia="zh-CN"/>
              </w:rPr>
              <w:t>3</w:t>
            </w:r>
            <w:r>
              <w:rPr>
                <w:rFonts w:eastAsia="宋体" w:cs="宋体"/>
                <w:color w:val="auto"/>
                <w:szCs w:val="21"/>
                <w:highlight w:val="none"/>
              </w:rPr>
              <w:t>]</w:t>
            </w:r>
          </w:p>
          <w:p>
            <w:pPr>
              <w:rPr>
                <w:rFonts w:eastAsia="宋体" w:cs="宋体"/>
                <w:color w:val="auto"/>
                <w:szCs w:val="21"/>
                <w:highlight w:val="none"/>
              </w:rPr>
            </w:pPr>
          </w:p>
          <w:p>
            <w:pPr>
              <w:rPr>
                <w:rFonts w:hint="eastAsia" w:cs="宋体"/>
                <w:color w:val="auto"/>
                <w:szCs w:val="21"/>
                <w:highlight w:val="none"/>
                <w:lang w:val="en-US" w:eastAsia="zh-CN"/>
              </w:rPr>
            </w:pPr>
            <w:r>
              <w:rPr>
                <w:rFonts w:hint="eastAsia" w:cs="宋体"/>
                <w:color w:val="auto"/>
                <w:szCs w:val="21"/>
                <w:highlight w:val="none"/>
                <w:lang w:val="en-US" w:eastAsia="zh-CN"/>
              </w:rPr>
              <w:t>中档：</w:t>
            </w:r>
          </w:p>
          <w:p>
            <w:pPr>
              <w:rPr>
                <w:rFonts w:hint="eastAsia" w:cs="宋体"/>
                <w:color w:val="auto"/>
                <w:szCs w:val="21"/>
                <w:highlight w:val="none"/>
                <w:lang w:val="en-US" w:eastAsia="zh-CN"/>
              </w:rPr>
            </w:pPr>
            <w:r>
              <w:rPr>
                <w:rFonts w:hint="eastAsia" w:eastAsia="宋体" w:cs="宋体"/>
                <w:color w:val="auto"/>
                <w:szCs w:val="21"/>
                <w:highlight w:val="none"/>
              </w:rPr>
              <w:t>单机调试</w:t>
            </w:r>
            <w:r>
              <w:rPr>
                <w:rFonts w:hint="eastAsia" w:cs="宋体"/>
                <w:color w:val="auto"/>
                <w:szCs w:val="21"/>
                <w:highlight w:val="none"/>
                <w:lang w:val="en-US" w:eastAsia="zh-CN"/>
              </w:rPr>
              <w:t>及</w:t>
            </w:r>
            <w:r>
              <w:rPr>
                <w:rFonts w:hint="eastAsia" w:eastAsia="宋体" w:cs="宋体"/>
                <w:color w:val="auto"/>
                <w:szCs w:val="21"/>
                <w:highlight w:val="none"/>
              </w:rPr>
              <w:t>系统联调分析方案内容</w:t>
            </w:r>
            <w:r>
              <w:rPr>
                <w:rFonts w:hint="eastAsia" w:cs="宋体"/>
                <w:color w:val="auto"/>
                <w:szCs w:val="21"/>
                <w:highlight w:val="none"/>
                <w:lang w:val="en-US" w:eastAsia="zh-CN"/>
              </w:rPr>
              <w:t>基本</w:t>
            </w:r>
            <w:r>
              <w:rPr>
                <w:rFonts w:hint="eastAsia" w:eastAsia="宋体" w:cs="宋体"/>
                <w:color w:val="auto"/>
                <w:szCs w:val="21"/>
                <w:highlight w:val="none"/>
              </w:rPr>
              <w:t>完整，调试的关键点和调试结果描述较简单，包含</w:t>
            </w:r>
            <w:r>
              <w:rPr>
                <w:rFonts w:hint="eastAsia" w:cs="宋体"/>
                <w:color w:val="auto"/>
                <w:szCs w:val="21"/>
                <w:highlight w:val="none"/>
                <w:lang w:val="en-US" w:eastAsia="zh-CN"/>
              </w:rPr>
              <w:t>关键</w:t>
            </w:r>
            <w:r>
              <w:rPr>
                <w:rFonts w:hint="eastAsia" w:eastAsia="宋体" w:cs="宋体"/>
                <w:color w:val="auto"/>
                <w:szCs w:val="21"/>
                <w:highlight w:val="none"/>
              </w:rPr>
              <w:t>内容</w:t>
            </w:r>
            <w:r>
              <w:rPr>
                <w:rFonts w:hint="eastAsia" w:cs="宋体"/>
                <w:color w:val="auto"/>
                <w:szCs w:val="21"/>
                <w:highlight w:val="none"/>
                <w:lang w:eastAsia="zh-CN"/>
              </w:rPr>
              <w:t>。</w:t>
            </w:r>
            <w:r>
              <w:rPr>
                <w:rFonts w:hint="eastAsia" w:cs="宋体"/>
                <w:color w:val="auto"/>
                <w:szCs w:val="21"/>
                <w:highlight w:val="none"/>
                <w:lang w:val="en-US" w:eastAsia="zh-CN"/>
              </w:rPr>
              <w:t>其中单机调试分析包含：</w:t>
            </w:r>
          </w:p>
          <w:p>
            <w:pPr>
              <w:rPr>
                <w:rFonts w:eastAsia="宋体" w:cs="宋体"/>
                <w:color w:val="auto"/>
                <w:szCs w:val="21"/>
                <w:highlight w:val="none"/>
              </w:rPr>
            </w:pPr>
            <w:r>
              <w:rPr>
                <w:rFonts w:eastAsia="宋体" w:cs="宋体"/>
                <w:color w:val="auto"/>
                <w:szCs w:val="21"/>
                <w:highlight w:val="none"/>
              </w:rPr>
              <w:t>1）设备单机调试的实施要点；</w:t>
            </w:r>
          </w:p>
          <w:p>
            <w:pPr>
              <w:rPr>
                <w:rFonts w:eastAsia="宋体" w:cs="宋体"/>
                <w:color w:val="auto"/>
                <w:szCs w:val="21"/>
                <w:highlight w:val="none"/>
              </w:rPr>
            </w:pPr>
            <w:r>
              <w:rPr>
                <w:rFonts w:eastAsia="宋体" w:cs="宋体"/>
                <w:color w:val="auto"/>
                <w:szCs w:val="21"/>
                <w:highlight w:val="none"/>
              </w:rPr>
              <w:t>2）单机调试中可能出现问题及解决建议</w:t>
            </w:r>
          </w:p>
          <w:p>
            <w:pPr>
              <w:rPr>
                <w:rFonts w:eastAsia="宋体" w:cs="宋体"/>
                <w:color w:val="auto"/>
                <w:szCs w:val="21"/>
                <w:highlight w:val="none"/>
              </w:rPr>
            </w:pPr>
            <w:r>
              <w:rPr>
                <w:rFonts w:eastAsia="宋体" w:cs="宋体"/>
                <w:color w:val="auto"/>
                <w:szCs w:val="21"/>
                <w:highlight w:val="none"/>
              </w:rPr>
              <w:t>3）单机调试案例分析；</w:t>
            </w:r>
          </w:p>
          <w:p>
            <w:pPr>
              <w:rPr>
                <w:rFonts w:hint="default" w:eastAsia="宋体" w:cs="宋体"/>
                <w:color w:val="auto"/>
                <w:szCs w:val="21"/>
                <w:highlight w:val="none"/>
                <w:lang w:val="en-US" w:eastAsia="zh-CN"/>
              </w:rPr>
            </w:pPr>
            <w:r>
              <w:rPr>
                <w:rFonts w:hint="eastAsia" w:eastAsia="宋体" w:cs="宋体"/>
                <w:color w:val="auto"/>
                <w:szCs w:val="21"/>
                <w:highlight w:val="none"/>
              </w:rPr>
              <w:t>系统联调分析</w:t>
            </w:r>
            <w:r>
              <w:rPr>
                <w:rFonts w:hint="eastAsia" w:cs="宋体"/>
                <w:color w:val="auto"/>
                <w:szCs w:val="21"/>
                <w:highlight w:val="none"/>
                <w:lang w:val="en-US" w:eastAsia="zh-CN"/>
              </w:rPr>
              <w:t>包含：</w:t>
            </w:r>
          </w:p>
          <w:p>
            <w:pPr>
              <w:rPr>
                <w:rFonts w:eastAsia="宋体" w:cs="宋体"/>
                <w:color w:val="auto"/>
                <w:szCs w:val="21"/>
                <w:highlight w:val="none"/>
              </w:rPr>
            </w:pPr>
            <w:r>
              <w:rPr>
                <w:rFonts w:eastAsia="宋体" w:cs="宋体"/>
                <w:color w:val="auto"/>
                <w:szCs w:val="21"/>
                <w:highlight w:val="none"/>
              </w:rPr>
              <w:t>1）设备系统联调的实施要点；</w:t>
            </w:r>
          </w:p>
          <w:p>
            <w:pPr>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）系统联调人员组织方案和策略；</w:t>
            </w:r>
          </w:p>
          <w:p>
            <w:pPr>
              <w:rPr>
                <w:rFonts w:eastAsia="宋体" w:cs="宋体"/>
                <w:color w:val="auto"/>
                <w:szCs w:val="21"/>
                <w:highlight w:val="none"/>
              </w:rPr>
            </w:pPr>
            <w:r>
              <w:rPr>
                <w:rFonts w:eastAsia="宋体" w:cs="宋体"/>
                <w:color w:val="auto"/>
                <w:szCs w:val="21"/>
                <w:highlight w:val="none"/>
              </w:rPr>
              <w:t>3</w:t>
            </w:r>
            <w:r>
              <w:rPr>
                <w:rFonts w:hint="eastAsia" w:eastAsia="宋体" w:cs="宋体"/>
                <w:color w:val="auto"/>
                <w:szCs w:val="21"/>
                <w:highlight w:val="none"/>
              </w:rPr>
              <w:t>）联调中可能出现问题及解决建议；</w:t>
            </w:r>
          </w:p>
          <w:p>
            <w:pPr>
              <w:rPr>
                <w:rFonts w:hint="eastAsia" w:eastAsia="宋体" w:cs="宋体"/>
                <w:color w:val="auto"/>
                <w:szCs w:val="21"/>
                <w:highlight w:val="none"/>
              </w:rPr>
            </w:pPr>
            <w:r>
              <w:rPr>
                <w:rFonts w:eastAsia="宋体" w:cs="宋体"/>
                <w:color w:val="auto"/>
                <w:szCs w:val="21"/>
                <w:highlight w:val="none"/>
              </w:rPr>
              <w:t>4</w:t>
            </w:r>
            <w:r>
              <w:rPr>
                <w:rFonts w:hint="eastAsia" w:eastAsia="宋体" w:cs="宋体"/>
                <w:color w:val="auto"/>
                <w:szCs w:val="21"/>
                <w:highlight w:val="none"/>
              </w:rPr>
              <w:t>）联调案例分析。</w:t>
            </w:r>
          </w:p>
          <w:p>
            <w:pPr>
              <w:rPr>
                <w:rFonts w:eastAsia="宋体" w:cs="宋体"/>
                <w:color w:val="auto"/>
                <w:szCs w:val="21"/>
                <w:highlight w:val="none"/>
              </w:rPr>
            </w:pPr>
            <w:r>
              <w:rPr>
                <w:rFonts w:hint="eastAsia" w:eastAsia="宋体" w:cs="宋体"/>
                <w:color w:val="auto"/>
                <w:szCs w:val="21"/>
                <w:highlight w:val="none"/>
              </w:rPr>
              <w:t>单项分值（</w:t>
            </w:r>
            <w:r>
              <w:rPr>
                <w:rFonts w:hint="eastAsia" w:cs="宋体"/>
                <w:color w:val="auto"/>
                <w:szCs w:val="21"/>
                <w:highlight w:val="none"/>
                <w:lang w:val="en-US" w:eastAsia="zh-CN"/>
              </w:rPr>
              <w:t>3</w:t>
            </w:r>
            <w:r>
              <w:rPr>
                <w:rFonts w:hint="eastAsia" w:eastAsia="宋体" w:cs="宋体"/>
                <w:color w:val="auto"/>
                <w:szCs w:val="21"/>
                <w:highlight w:val="none"/>
              </w:rPr>
              <w:t>，</w:t>
            </w:r>
            <w:r>
              <w:rPr>
                <w:rFonts w:hint="eastAsia" w:cs="宋体"/>
                <w:color w:val="auto"/>
                <w:szCs w:val="21"/>
                <w:highlight w:val="none"/>
                <w:lang w:val="en-US" w:eastAsia="zh-CN"/>
              </w:rPr>
              <w:t>1</w:t>
            </w:r>
            <w:r>
              <w:rPr>
                <w:rFonts w:hint="eastAsia" w:eastAsia="宋体" w:cs="宋体"/>
                <w:color w:val="auto"/>
                <w:szCs w:val="21"/>
                <w:highlight w:val="none"/>
              </w:rPr>
              <w:t>）</w:t>
            </w:r>
          </w:p>
          <w:p>
            <w:pPr>
              <w:rPr>
                <w:rFonts w:eastAsia="宋体" w:cs="宋体"/>
                <w:color w:val="auto"/>
                <w:szCs w:val="21"/>
                <w:highlight w:val="none"/>
              </w:rPr>
            </w:pPr>
            <w:r>
              <w:rPr>
                <w:rFonts w:hint="eastAsia" w:eastAsia="宋体" w:cs="宋体"/>
                <w:color w:val="auto"/>
                <w:szCs w:val="21"/>
                <w:highlight w:val="none"/>
              </w:rPr>
              <w:t>差</w:t>
            </w:r>
            <w:r>
              <w:rPr>
                <w:rFonts w:hint="eastAsia" w:cs="宋体"/>
                <w:color w:val="auto"/>
                <w:szCs w:val="21"/>
                <w:highlight w:val="none"/>
                <w:lang w:val="en-US" w:eastAsia="zh-CN"/>
              </w:rPr>
              <w:t>档</w:t>
            </w:r>
            <w:r>
              <w:rPr>
                <w:rFonts w:hint="eastAsia" w:eastAsia="宋体" w:cs="宋体"/>
                <w:color w:val="auto"/>
                <w:szCs w:val="21"/>
                <w:highlight w:val="none"/>
              </w:rPr>
              <w:t>：</w:t>
            </w:r>
          </w:p>
          <w:p>
            <w:pPr>
              <w:rPr>
                <w:rFonts w:eastAsia="宋体" w:cs="宋体"/>
                <w:color w:val="auto"/>
                <w:szCs w:val="21"/>
                <w:highlight w:val="none"/>
              </w:rPr>
            </w:pPr>
            <w:r>
              <w:rPr>
                <w:rFonts w:hint="eastAsia" w:eastAsia="宋体" w:cs="宋体"/>
                <w:color w:val="auto"/>
                <w:szCs w:val="21"/>
                <w:highlight w:val="none"/>
              </w:rPr>
              <w:t>达不到【好】、【中】标准的情况。</w:t>
            </w:r>
          </w:p>
          <w:p>
            <w:pPr>
              <w:rPr>
                <w:rFonts w:hint="eastAsia" w:eastAsia="宋体" w:cs="宋体"/>
                <w:color w:val="auto"/>
                <w:szCs w:val="21"/>
                <w:highlight w:val="none"/>
              </w:rPr>
            </w:pPr>
            <w:r>
              <w:rPr>
                <w:rFonts w:hint="eastAsia" w:eastAsia="宋体" w:cs="宋体"/>
                <w:color w:val="auto"/>
                <w:szCs w:val="21"/>
                <w:highlight w:val="none"/>
              </w:rPr>
              <w:t>单项分值</w:t>
            </w:r>
            <w:r>
              <w:rPr>
                <w:rFonts w:eastAsia="宋体" w:cs="宋体"/>
                <w:color w:val="auto"/>
                <w:szCs w:val="21"/>
                <w:highlight w:val="none"/>
              </w:rPr>
              <w:t>[</w:t>
            </w:r>
            <w:r>
              <w:rPr>
                <w:rFonts w:hint="eastAsia" w:cs="宋体"/>
                <w:color w:val="auto"/>
                <w:szCs w:val="21"/>
                <w:highlight w:val="none"/>
                <w:lang w:val="en-US" w:eastAsia="zh-CN"/>
              </w:rPr>
              <w:t>1</w:t>
            </w:r>
            <w:r>
              <w:rPr>
                <w:rFonts w:hint="eastAsia" w:eastAsia="宋体" w:cs="宋体"/>
                <w:color w:val="auto"/>
                <w:szCs w:val="21"/>
                <w:highlight w:val="none"/>
              </w:rPr>
              <w:t>，</w:t>
            </w:r>
            <w:r>
              <w:rPr>
                <w:rFonts w:eastAsia="宋体" w:cs="宋体"/>
                <w:color w:val="auto"/>
                <w:szCs w:val="21"/>
                <w:highlight w:val="none"/>
              </w:rPr>
              <w:t>0]</w:t>
            </w:r>
            <w:r>
              <w:rPr>
                <w:rFonts w:hint="eastAsia"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0"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124" w:type="dxa"/>
            <w:vMerge w:val="continue"/>
            <w:tcBorders>
              <w:left w:val="nil"/>
              <w:right w:val="single" w:color="auto" w:sz="4" w:space="0"/>
            </w:tcBorders>
            <w:noWrap w:val="0"/>
            <w:vAlign w:val="center"/>
          </w:tcPr>
          <w:p>
            <w:pPr>
              <w:widowControl/>
              <w:jc w:val="left"/>
              <w:rPr>
                <w:rFonts w:hint="eastAsia"/>
                <w:color w:val="auto"/>
                <w:highlight w:val="none"/>
                <w:lang w:val="en-US" w:eastAsia="zh-C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r>
              <w:rPr>
                <w:rFonts w:hint="eastAsia" w:cs="宋体"/>
                <w:strike w:val="0"/>
                <w:dstrike w:val="0"/>
                <w:color w:val="auto"/>
                <w:szCs w:val="21"/>
                <w:highlight w:val="none"/>
                <w:lang w:val="en-US" w:eastAsia="zh-CN"/>
              </w:rPr>
              <w:t>8</w:t>
            </w:r>
            <w:r>
              <w:rPr>
                <w:rFonts w:hint="eastAsia" w:eastAsia="宋体" w:cs="宋体"/>
                <w:strike w:val="0"/>
                <w:dstrike w:val="0"/>
                <w:color w:val="auto"/>
                <w:szCs w:val="21"/>
                <w:highlight w:val="none"/>
                <w:lang w:val="en-US" w:eastAsia="zh-CN"/>
              </w:rPr>
              <w:t>.</w:t>
            </w:r>
            <w:r>
              <w:rPr>
                <w:rFonts w:hint="eastAsia" w:eastAsia="宋体" w:cs="宋体"/>
                <w:strike w:val="0"/>
                <w:dstrike w:val="0"/>
                <w:color w:val="auto"/>
                <w:szCs w:val="21"/>
                <w:highlight w:val="none"/>
              </w:rPr>
              <w:t>合同、信息与档案资料管理措施（</w:t>
            </w:r>
            <w:r>
              <w:rPr>
                <w:rFonts w:hint="eastAsia" w:cs="宋体"/>
                <w:strike w:val="0"/>
                <w:dstrike w:val="0"/>
                <w:color w:val="auto"/>
                <w:szCs w:val="21"/>
                <w:highlight w:val="none"/>
                <w:lang w:val="en-US" w:eastAsia="zh-CN"/>
              </w:rPr>
              <w:t>2</w:t>
            </w:r>
            <w:r>
              <w:rPr>
                <w:rFonts w:eastAsia="宋体" w:cs="宋体"/>
                <w:strike w:val="0"/>
                <w:dstrike w:val="0"/>
                <w:color w:val="auto"/>
                <w:szCs w:val="21"/>
                <w:highlight w:val="none"/>
              </w:rPr>
              <w:t>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eastAsia="宋体" w:cs="宋体"/>
                <w:color w:val="auto"/>
                <w:szCs w:val="21"/>
                <w:highlight w:val="none"/>
              </w:rPr>
            </w:pPr>
            <w:r>
              <w:rPr>
                <w:rFonts w:hint="eastAsia" w:eastAsia="宋体" w:cs="宋体"/>
                <w:color w:val="auto"/>
                <w:szCs w:val="21"/>
                <w:highlight w:val="none"/>
              </w:rPr>
              <w:t>好档：</w:t>
            </w:r>
          </w:p>
          <w:p>
            <w:pPr>
              <w:rPr>
                <w:rFonts w:eastAsia="宋体" w:cs="宋体"/>
                <w:color w:val="auto"/>
                <w:szCs w:val="21"/>
                <w:highlight w:val="none"/>
              </w:rPr>
            </w:pPr>
            <w:r>
              <w:rPr>
                <w:rFonts w:hint="eastAsia" w:eastAsia="宋体" w:cs="宋体"/>
                <w:color w:val="auto"/>
                <w:szCs w:val="21"/>
                <w:highlight w:val="none"/>
              </w:rPr>
              <w:t>合同、信息与档案资料管理措施内容全面、合理，措施具体，至少包含以下内容且可行性强：</w:t>
            </w:r>
          </w:p>
          <w:p>
            <w:pPr>
              <w:rPr>
                <w:rFonts w:eastAsia="宋体" w:cs="宋体"/>
                <w:color w:val="auto"/>
                <w:szCs w:val="21"/>
                <w:highlight w:val="none"/>
              </w:rPr>
            </w:pPr>
            <w:r>
              <w:rPr>
                <w:rFonts w:eastAsia="宋体" w:cs="宋体"/>
                <w:color w:val="auto"/>
                <w:szCs w:val="21"/>
                <w:highlight w:val="none"/>
              </w:rPr>
              <w:t>1）</w:t>
            </w:r>
            <w:r>
              <w:rPr>
                <w:rFonts w:eastAsia="宋体" w:cs="宋体"/>
                <w:color w:val="auto"/>
                <w:szCs w:val="21"/>
                <w:highlight w:val="none"/>
              </w:rPr>
              <w:tab/>
            </w:r>
            <w:r>
              <w:rPr>
                <w:rFonts w:eastAsia="宋体" w:cs="宋体"/>
                <w:color w:val="auto"/>
                <w:szCs w:val="21"/>
                <w:highlight w:val="none"/>
              </w:rPr>
              <w:t>合同、信息与档案资料管理措施工作程序；</w:t>
            </w:r>
          </w:p>
          <w:p>
            <w:pPr>
              <w:rPr>
                <w:rFonts w:eastAsia="宋体" w:cs="宋体"/>
                <w:color w:val="auto"/>
                <w:szCs w:val="21"/>
                <w:highlight w:val="none"/>
              </w:rPr>
            </w:pPr>
            <w:r>
              <w:rPr>
                <w:rFonts w:eastAsia="宋体" w:cs="宋体"/>
                <w:color w:val="auto"/>
                <w:szCs w:val="21"/>
                <w:highlight w:val="none"/>
              </w:rPr>
              <w:t>2）</w:t>
            </w:r>
            <w:r>
              <w:rPr>
                <w:rFonts w:eastAsia="宋体" w:cs="宋体"/>
                <w:color w:val="auto"/>
                <w:szCs w:val="21"/>
                <w:highlight w:val="none"/>
              </w:rPr>
              <w:tab/>
            </w:r>
            <w:r>
              <w:rPr>
                <w:rFonts w:eastAsia="宋体" w:cs="宋体"/>
                <w:color w:val="auto"/>
                <w:szCs w:val="21"/>
                <w:highlight w:val="none"/>
              </w:rPr>
              <w:t>合同、信息与档案资料管理措施主要内容；</w:t>
            </w:r>
          </w:p>
          <w:p>
            <w:pPr>
              <w:rPr>
                <w:rFonts w:eastAsia="宋体" w:cs="宋体"/>
                <w:color w:val="auto"/>
                <w:szCs w:val="21"/>
                <w:highlight w:val="none"/>
              </w:rPr>
            </w:pPr>
            <w:r>
              <w:rPr>
                <w:rFonts w:eastAsia="宋体" w:cs="宋体"/>
                <w:color w:val="auto"/>
                <w:szCs w:val="21"/>
                <w:highlight w:val="none"/>
              </w:rPr>
              <w:t>3）</w:t>
            </w:r>
            <w:r>
              <w:rPr>
                <w:rFonts w:eastAsia="宋体" w:cs="宋体"/>
                <w:color w:val="auto"/>
                <w:szCs w:val="21"/>
                <w:highlight w:val="none"/>
              </w:rPr>
              <w:tab/>
            </w:r>
            <w:r>
              <w:rPr>
                <w:rFonts w:eastAsia="宋体" w:cs="宋体"/>
                <w:color w:val="auto"/>
                <w:szCs w:val="21"/>
                <w:highlight w:val="none"/>
              </w:rPr>
              <w:t>合同、信息与档案资料管理措施重难点及应对措施；</w:t>
            </w:r>
          </w:p>
          <w:p>
            <w:pPr>
              <w:rPr>
                <w:rFonts w:eastAsia="宋体" w:cs="宋体"/>
                <w:color w:val="auto"/>
                <w:szCs w:val="21"/>
                <w:highlight w:val="none"/>
              </w:rPr>
            </w:pPr>
            <w:r>
              <w:rPr>
                <w:rFonts w:eastAsia="宋体" w:cs="宋体"/>
                <w:color w:val="auto"/>
                <w:szCs w:val="21"/>
                <w:highlight w:val="none"/>
              </w:rPr>
              <w:t>4）</w:t>
            </w:r>
            <w:r>
              <w:rPr>
                <w:rFonts w:eastAsia="宋体" w:cs="宋体"/>
                <w:color w:val="auto"/>
                <w:szCs w:val="21"/>
                <w:highlight w:val="none"/>
              </w:rPr>
              <w:tab/>
            </w:r>
            <w:r>
              <w:rPr>
                <w:rFonts w:eastAsia="宋体" w:cs="宋体"/>
                <w:color w:val="auto"/>
                <w:szCs w:val="21"/>
                <w:highlight w:val="none"/>
              </w:rPr>
              <w:t>合同、信息与档案资料管理措施服务制度；</w:t>
            </w:r>
          </w:p>
          <w:p>
            <w:pPr>
              <w:rPr>
                <w:rFonts w:eastAsia="宋体" w:cs="宋体"/>
                <w:color w:val="auto"/>
                <w:szCs w:val="21"/>
                <w:highlight w:val="none"/>
              </w:rPr>
            </w:pPr>
            <w:r>
              <w:rPr>
                <w:rFonts w:hint="eastAsia" w:eastAsia="宋体" w:cs="宋体"/>
                <w:color w:val="auto"/>
                <w:szCs w:val="21"/>
                <w:highlight w:val="none"/>
              </w:rPr>
              <w:t>单项分值</w:t>
            </w:r>
            <w:r>
              <w:rPr>
                <w:rFonts w:eastAsia="宋体" w:cs="宋体"/>
                <w:color w:val="auto"/>
                <w:szCs w:val="21"/>
                <w:highlight w:val="none"/>
              </w:rPr>
              <w:t>[</w:t>
            </w:r>
            <w:r>
              <w:rPr>
                <w:rFonts w:hint="eastAsia" w:cs="宋体"/>
                <w:color w:val="auto"/>
                <w:szCs w:val="21"/>
                <w:highlight w:val="none"/>
                <w:lang w:val="en-US" w:eastAsia="zh-CN"/>
              </w:rPr>
              <w:t>2</w:t>
            </w:r>
            <w:r>
              <w:rPr>
                <w:rFonts w:eastAsia="宋体" w:cs="宋体"/>
                <w:color w:val="auto"/>
                <w:szCs w:val="21"/>
                <w:highlight w:val="none"/>
              </w:rPr>
              <w:t>，</w:t>
            </w:r>
            <w:r>
              <w:rPr>
                <w:rFonts w:hint="eastAsia" w:cs="宋体"/>
                <w:color w:val="auto"/>
                <w:szCs w:val="21"/>
                <w:highlight w:val="none"/>
                <w:lang w:val="en-US" w:eastAsia="zh-CN"/>
              </w:rPr>
              <w:t>1</w:t>
            </w:r>
            <w:r>
              <w:rPr>
                <w:rFonts w:eastAsia="宋体" w:cs="宋体"/>
                <w:color w:val="auto"/>
                <w:szCs w:val="21"/>
                <w:highlight w:val="none"/>
              </w:rPr>
              <w:t>]</w:t>
            </w:r>
          </w:p>
          <w:p>
            <w:pPr>
              <w:rPr>
                <w:rFonts w:eastAsia="宋体" w:cs="宋体"/>
                <w:color w:val="auto"/>
                <w:szCs w:val="21"/>
                <w:highlight w:val="none"/>
              </w:rPr>
            </w:pPr>
            <w:r>
              <w:rPr>
                <w:rFonts w:hint="eastAsia" w:eastAsia="宋体" w:cs="宋体"/>
                <w:color w:val="auto"/>
                <w:szCs w:val="21"/>
                <w:highlight w:val="none"/>
              </w:rPr>
              <w:t>中档：</w:t>
            </w:r>
          </w:p>
          <w:p>
            <w:pPr>
              <w:rPr>
                <w:rFonts w:eastAsia="宋体" w:cs="宋体"/>
                <w:color w:val="auto"/>
                <w:szCs w:val="21"/>
                <w:highlight w:val="none"/>
              </w:rPr>
            </w:pPr>
            <w:r>
              <w:rPr>
                <w:rFonts w:hint="eastAsia" w:eastAsia="宋体" w:cs="宋体"/>
                <w:color w:val="auto"/>
                <w:szCs w:val="21"/>
                <w:highlight w:val="none"/>
              </w:rPr>
              <w:t>合同、信息与档案资料管理措施内容比较完整，措施基本合理，包含以下内容</w:t>
            </w:r>
            <w:r>
              <w:rPr>
                <w:rFonts w:eastAsia="宋体" w:cs="宋体"/>
                <w:color w:val="auto"/>
                <w:szCs w:val="21"/>
                <w:highlight w:val="none"/>
              </w:rPr>
              <w:t>：</w:t>
            </w:r>
          </w:p>
          <w:p>
            <w:pPr>
              <w:rPr>
                <w:rFonts w:eastAsia="宋体" w:cs="宋体"/>
                <w:color w:val="auto"/>
                <w:szCs w:val="21"/>
                <w:highlight w:val="none"/>
              </w:rPr>
            </w:pPr>
            <w:r>
              <w:rPr>
                <w:rFonts w:eastAsia="宋体" w:cs="宋体"/>
                <w:color w:val="auto"/>
                <w:szCs w:val="21"/>
                <w:highlight w:val="none"/>
              </w:rPr>
              <w:t>1）</w:t>
            </w:r>
            <w:r>
              <w:rPr>
                <w:rFonts w:eastAsia="宋体" w:cs="宋体"/>
                <w:color w:val="auto"/>
                <w:szCs w:val="21"/>
                <w:highlight w:val="none"/>
              </w:rPr>
              <w:tab/>
            </w:r>
            <w:r>
              <w:rPr>
                <w:rFonts w:eastAsia="宋体" w:cs="宋体"/>
                <w:color w:val="auto"/>
                <w:szCs w:val="21"/>
                <w:highlight w:val="none"/>
              </w:rPr>
              <w:t>合同、信息与档案资料管理措施工作程序；</w:t>
            </w:r>
          </w:p>
          <w:p>
            <w:pPr>
              <w:rPr>
                <w:rFonts w:eastAsia="宋体" w:cs="宋体"/>
                <w:color w:val="auto"/>
                <w:szCs w:val="21"/>
                <w:highlight w:val="none"/>
              </w:rPr>
            </w:pPr>
            <w:r>
              <w:rPr>
                <w:rFonts w:eastAsia="宋体" w:cs="宋体"/>
                <w:color w:val="auto"/>
                <w:szCs w:val="21"/>
                <w:highlight w:val="none"/>
              </w:rPr>
              <w:t>2）</w:t>
            </w:r>
            <w:r>
              <w:rPr>
                <w:rFonts w:eastAsia="宋体" w:cs="宋体"/>
                <w:color w:val="auto"/>
                <w:szCs w:val="21"/>
                <w:highlight w:val="none"/>
              </w:rPr>
              <w:tab/>
            </w:r>
            <w:r>
              <w:rPr>
                <w:rFonts w:eastAsia="宋体" w:cs="宋体"/>
                <w:color w:val="auto"/>
                <w:szCs w:val="21"/>
                <w:highlight w:val="none"/>
              </w:rPr>
              <w:t>合同、信息与档案资料管理措施主要内容；</w:t>
            </w:r>
          </w:p>
          <w:p>
            <w:pPr>
              <w:rPr>
                <w:rFonts w:eastAsia="宋体" w:cs="宋体"/>
                <w:color w:val="auto"/>
                <w:szCs w:val="21"/>
                <w:highlight w:val="none"/>
              </w:rPr>
            </w:pPr>
            <w:r>
              <w:rPr>
                <w:rFonts w:eastAsia="宋体" w:cs="宋体"/>
                <w:color w:val="auto"/>
                <w:szCs w:val="21"/>
                <w:highlight w:val="none"/>
              </w:rPr>
              <w:t>3）</w:t>
            </w:r>
            <w:r>
              <w:rPr>
                <w:rFonts w:eastAsia="宋体" w:cs="宋体"/>
                <w:color w:val="auto"/>
                <w:szCs w:val="21"/>
                <w:highlight w:val="none"/>
              </w:rPr>
              <w:tab/>
            </w:r>
            <w:r>
              <w:rPr>
                <w:rFonts w:eastAsia="宋体" w:cs="宋体"/>
                <w:color w:val="auto"/>
                <w:szCs w:val="21"/>
                <w:highlight w:val="none"/>
              </w:rPr>
              <w:t>合同、信息与档案资料管理措施重难点及应对措施；</w:t>
            </w:r>
          </w:p>
          <w:p>
            <w:pPr>
              <w:rPr>
                <w:rFonts w:eastAsia="宋体" w:cs="宋体"/>
                <w:color w:val="auto"/>
                <w:szCs w:val="21"/>
                <w:highlight w:val="none"/>
              </w:rPr>
            </w:pPr>
            <w:r>
              <w:rPr>
                <w:rFonts w:eastAsia="宋体" w:cs="宋体"/>
                <w:color w:val="auto"/>
                <w:szCs w:val="21"/>
                <w:highlight w:val="none"/>
              </w:rPr>
              <w:t>4）</w:t>
            </w:r>
            <w:r>
              <w:rPr>
                <w:rFonts w:eastAsia="宋体" w:cs="宋体"/>
                <w:color w:val="auto"/>
                <w:szCs w:val="21"/>
                <w:highlight w:val="none"/>
              </w:rPr>
              <w:tab/>
            </w:r>
            <w:r>
              <w:rPr>
                <w:rFonts w:eastAsia="宋体" w:cs="宋体"/>
                <w:color w:val="auto"/>
                <w:szCs w:val="21"/>
                <w:highlight w:val="none"/>
              </w:rPr>
              <w:t>合同、信息与档案资料管理措施服务制度；</w:t>
            </w:r>
          </w:p>
          <w:p>
            <w:pPr>
              <w:rPr>
                <w:rFonts w:eastAsia="宋体" w:cs="宋体"/>
                <w:color w:val="auto"/>
                <w:szCs w:val="21"/>
                <w:highlight w:val="none"/>
              </w:rPr>
            </w:pPr>
            <w:r>
              <w:rPr>
                <w:rFonts w:hint="eastAsia" w:eastAsia="宋体" w:cs="宋体"/>
                <w:color w:val="auto"/>
                <w:szCs w:val="21"/>
                <w:highlight w:val="none"/>
              </w:rPr>
              <w:t>单项分值（</w:t>
            </w:r>
            <w:r>
              <w:rPr>
                <w:rFonts w:hint="eastAsia" w:cs="宋体"/>
                <w:color w:val="auto"/>
                <w:szCs w:val="21"/>
                <w:highlight w:val="none"/>
                <w:lang w:val="en-US" w:eastAsia="zh-CN"/>
              </w:rPr>
              <w:t>1</w:t>
            </w:r>
            <w:r>
              <w:rPr>
                <w:rFonts w:eastAsia="宋体" w:cs="宋体"/>
                <w:color w:val="auto"/>
                <w:szCs w:val="21"/>
                <w:highlight w:val="none"/>
              </w:rPr>
              <w:t>，</w:t>
            </w:r>
            <w:r>
              <w:rPr>
                <w:rFonts w:hint="eastAsia" w:cs="宋体"/>
                <w:color w:val="auto"/>
                <w:szCs w:val="21"/>
                <w:highlight w:val="none"/>
                <w:lang w:val="en-US" w:eastAsia="zh-CN"/>
              </w:rPr>
              <w:t>0.5</w:t>
            </w:r>
            <w:r>
              <w:rPr>
                <w:rFonts w:eastAsia="宋体" w:cs="宋体"/>
                <w:color w:val="auto"/>
                <w:szCs w:val="21"/>
                <w:highlight w:val="none"/>
              </w:rPr>
              <w:t>）</w:t>
            </w:r>
          </w:p>
          <w:p>
            <w:pPr>
              <w:rPr>
                <w:rFonts w:eastAsia="宋体" w:cs="宋体"/>
                <w:color w:val="auto"/>
                <w:szCs w:val="21"/>
                <w:highlight w:val="none"/>
              </w:rPr>
            </w:pPr>
            <w:r>
              <w:rPr>
                <w:rFonts w:hint="eastAsia" w:eastAsia="宋体" w:cs="宋体"/>
                <w:color w:val="auto"/>
                <w:szCs w:val="21"/>
                <w:highlight w:val="none"/>
              </w:rPr>
              <w:t>差：</w:t>
            </w:r>
          </w:p>
          <w:p>
            <w:pPr>
              <w:rPr>
                <w:rFonts w:eastAsia="宋体" w:cs="宋体"/>
                <w:color w:val="auto"/>
                <w:szCs w:val="21"/>
                <w:highlight w:val="none"/>
              </w:rPr>
            </w:pPr>
            <w:r>
              <w:rPr>
                <w:rFonts w:hint="eastAsia" w:eastAsia="宋体" w:cs="宋体"/>
                <w:color w:val="auto"/>
                <w:szCs w:val="21"/>
                <w:highlight w:val="none"/>
              </w:rPr>
              <w:t>达不到【好】、【中】标准的情况。</w:t>
            </w:r>
          </w:p>
          <w:p>
            <w:pPr>
              <w:rPr>
                <w:rFonts w:hint="eastAsia" w:eastAsia="宋体" w:cs="宋体"/>
                <w:color w:val="auto"/>
                <w:szCs w:val="21"/>
                <w:highlight w:val="none"/>
              </w:rPr>
            </w:pPr>
            <w:r>
              <w:rPr>
                <w:rFonts w:hint="eastAsia" w:eastAsia="宋体" w:cs="宋体"/>
                <w:color w:val="auto"/>
                <w:szCs w:val="21"/>
                <w:highlight w:val="none"/>
              </w:rPr>
              <w:t>单项分值</w:t>
            </w:r>
            <w:r>
              <w:rPr>
                <w:rFonts w:eastAsia="宋体" w:cs="宋体"/>
                <w:color w:val="auto"/>
                <w:szCs w:val="21"/>
                <w:highlight w:val="none"/>
              </w:rPr>
              <w:t>[</w:t>
            </w:r>
            <w:r>
              <w:rPr>
                <w:rFonts w:hint="eastAsia" w:cs="宋体"/>
                <w:color w:val="auto"/>
                <w:szCs w:val="21"/>
                <w:highlight w:val="none"/>
                <w:lang w:val="en-US" w:eastAsia="zh-CN"/>
              </w:rPr>
              <w:t>0.5</w:t>
            </w:r>
            <w:r>
              <w:rPr>
                <w:rFonts w:eastAsia="宋体" w:cs="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2.2.4（3）</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投标报价评分标准</w:t>
            </w:r>
          </w:p>
          <w:p>
            <w:pPr>
              <w:pStyle w:val="13"/>
              <w:ind w:left="0" w:leftChars="0" w:firstLine="0" w:firstLineChars="0"/>
              <w:rPr>
                <w:rFonts w:hint="eastAsia" w:eastAsia="宋体"/>
                <w:color w:val="auto"/>
                <w:highlight w:val="none"/>
                <w:lang w:eastAsia="zh-C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投标报价偏差率</w:t>
            </w:r>
          </w:p>
          <w:p>
            <w:pPr>
              <w:pStyle w:val="13"/>
              <w:jc w:val="center"/>
              <w:rPr>
                <w:rFonts w:hint="eastAsia"/>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r>
              <w:rPr>
                <w:rFonts w:hint="eastAsia"/>
                <w:color w:val="auto"/>
                <w:highlight w:val="none"/>
              </w:rPr>
              <w:t>当评标价等于评标基准价时，得</w:t>
            </w:r>
            <w:r>
              <w:rPr>
                <w:rFonts w:hint="eastAsia"/>
                <w:color w:val="auto"/>
                <w:highlight w:val="none"/>
                <w:lang w:val="en-US" w:eastAsia="zh-CN"/>
              </w:rPr>
              <w:t>35</w:t>
            </w:r>
            <w:r>
              <w:rPr>
                <w:rFonts w:hint="eastAsia"/>
                <w:color w:val="auto"/>
                <w:highlight w:val="none"/>
              </w:rPr>
              <w:t>分，评标价每高于评标基准价1%时，扣1分；每低于评标基准价1%时，扣0.5分，扣至0分为止，得出评标价得分，精确到小数点后两位。</w:t>
            </w:r>
          </w:p>
        </w:tc>
      </w:tr>
    </w:tbl>
    <w:p>
      <w:pPr>
        <w:rPr>
          <w:color w:val="auto"/>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备注：</w:t>
      </w:r>
    </w:p>
    <w:p>
      <w:pPr>
        <w:spacing w:line="400" w:lineRule="exact"/>
        <w:rPr>
          <w:rFonts w:hint="default"/>
          <w:color w:val="auto"/>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、项目管理人员业绩</w:t>
      </w:r>
      <w:r>
        <w:rPr>
          <w:rFonts w:hint="eastAsia" w:ascii="宋体" w:hAnsi="宋体" w:cs="宋体"/>
          <w:color w:val="auto"/>
          <w:szCs w:val="21"/>
          <w:highlight w:val="none"/>
          <w:lang w:val="en-US" w:eastAsia="zh-CN"/>
        </w:rPr>
        <w:t>经验需</w:t>
      </w:r>
      <w:r>
        <w:rPr>
          <w:rFonts w:hint="eastAsia"/>
          <w:color w:val="auto"/>
          <w:highlight w:val="none"/>
          <w:lang w:val="en-US" w:eastAsia="zh-CN"/>
        </w:rPr>
        <w:t>提供有效证明文件（如合同或其他经</w:t>
      </w:r>
      <w:r>
        <w:rPr>
          <w:rFonts w:hint="eastAsia"/>
          <w:color w:val="auto"/>
          <w:highlight w:val="none"/>
          <w:lang w:eastAsia="zh-CN"/>
        </w:rPr>
        <w:t>业主确认的证明文件</w:t>
      </w:r>
      <w:r>
        <w:rPr>
          <w:rFonts w:hint="eastAsia"/>
          <w:color w:val="auto"/>
          <w:highlight w:val="none"/>
          <w:lang w:val="en-US" w:eastAsia="zh-CN"/>
        </w:rPr>
        <w:t>）、社保证明文件（提供投标截止日前近6个月（</w:t>
      </w:r>
      <w:r>
        <w:rPr>
          <w:rFonts w:hint="eastAsia"/>
          <w:color w:val="auto"/>
          <w:highlight w:val="none"/>
          <w:u w:val="single"/>
          <w:lang w:val="en-US" w:eastAsia="zh-CN"/>
        </w:rPr>
        <w:t>2024</w:t>
      </w:r>
      <w:r>
        <w:rPr>
          <w:rFonts w:hint="eastAsia"/>
          <w:color w:val="auto"/>
          <w:highlight w:val="none"/>
          <w:lang w:val="en-US" w:eastAsia="zh-CN"/>
        </w:rPr>
        <w:t>年</w:t>
      </w:r>
      <w:r>
        <w:rPr>
          <w:rFonts w:hint="eastAsia"/>
          <w:color w:val="auto"/>
          <w:highlight w:val="none"/>
          <w:u w:val="single"/>
          <w:lang w:val="en-US" w:eastAsia="zh-CN"/>
        </w:rPr>
        <w:t>12</w:t>
      </w:r>
      <w:r>
        <w:rPr>
          <w:rFonts w:hint="eastAsia"/>
          <w:color w:val="auto"/>
          <w:highlight w:val="none"/>
          <w:lang w:val="en-US" w:eastAsia="zh-CN"/>
        </w:rPr>
        <w:t>月至</w:t>
      </w:r>
      <w:r>
        <w:rPr>
          <w:rFonts w:hint="eastAsia"/>
          <w:color w:val="auto"/>
          <w:highlight w:val="none"/>
          <w:u w:val="single"/>
          <w:lang w:val="en-US" w:eastAsia="zh-CN"/>
        </w:rPr>
        <w:t>2025</w:t>
      </w:r>
      <w:r>
        <w:rPr>
          <w:rFonts w:hint="eastAsia"/>
          <w:color w:val="auto"/>
          <w:highlight w:val="none"/>
          <w:lang w:val="en-US" w:eastAsia="zh-CN"/>
        </w:rPr>
        <w:t>年</w:t>
      </w:r>
      <w:r>
        <w:rPr>
          <w:rFonts w:hint="eastAsia"/>
          <w:color w:val="auto"/>
          <w:highlight w:val="none"/>
          <w:u w:val="single"/>
          <w:lang w:val="en-US" w:eastAsia="zh-CN"/>
        </w:rPr>
        <w:t>5</w:t>
      </w:r>
      <w:r>
        <w:rPr>
          <w:rFonts w:hint="eastAsia"/>
          <w:color w:val="auto"/>
          <w:highlight w:val="none"/>
          <w:lang w:val="en-US" w:eastAsia="zh-CN"/>
        </w:rPr>
        <w:t>月）以上的社保证明（如部分地区社保证明显示隔月缴费状态，则提供</w:t>
      </w:r>
      <w:r>
        <w:rPr>
          <w:rFonts w:hint="eastAsia"/>
          <w:color w:val="auto"/>
          <w:highlight w:val="none"/>
          <w:u w:val="single"/>
          <w:lang w:val="en-US" w:eastAsia="zh-CN"/>
        </w:rPr>
        <w:t>2024</w:t>
      </w:r>
      <w:r>
        <w:rPr>
          <w:rFonts w:hint="eastAsia"/>
          <w:color w:val="auto"/>
          <w:highlight w:val="none"/>
          <w:lang w:val="en-US" w:eastAsia="zh-CN"/>
        </w:rPr>
        <w:t>年</w:t>
      </w:r>
      <w:r>
        <w:rPr>
          <w:rFonts w:hint="eastAsia"/>
          <w:color w:val="auto"/>
          <w:highlight w:val="none"/>
          <w:u w:val="single"/>
          <w:lang w:val="en-US" w:eastAsia="zh-CN"/>
        </w:rPr>
        <w:t>11</w:t>
      </w:r>
      <w:r>
        <w:rPr>
          <w:rFonts w:hint="eastAsia"/>
          <w:color w:val="auto"/>
          <w:highlight w:val="none"/>
          <w:lang w:val="en-US" w:eastAsia="zh-CN"/>
        </w:rPr>
        <w:t>月至</w:t>
      </w:r>
      <w:r>
        <w:rPr>
          <w:rFonts w:hint="eastAsia"/>
          <w:color w:val="auto"/>
          <w:highlight w:val="none"/>
          <w:u w:val="single"/>
          <w:lang w:val="en-US" w:eastAsia="zh-CN"/>
        </w:rPr>
        <w:t>2025</w:t>
      </w:r>
      <w:r>
        <w:rPr>
          <w:rFonts w:hint="eastAsia"/>
          <w:color w:val="auto"/>
          <w:highlight w:val="none"/>
          <w:lang w:val="en-US" w:eastAsia="zh-CN"/>
        </w:rPr>
        <w:t>年</w:t>
      </w:r>
      <w:r>
        <w:rPr>
          <w:rFonts w:hint="eastAsia"/>
          <w:color w:val="auto"/>
          <w:highlight w:val="none"/>
          <w:u w:val="single"/>
          <w:lang w:val="en-US" w:eastAsia="zh-CN"/>
        </w:rPr>
        <w:t>4</w:t>
      </w:r>
      <w:r>
        <w:rPr>
          <w:rFonts w:hint="eastAsia"/>
          <w:color w:val="auto"/>
          <w:highlight w:val="none"/>
          <w:lang w:val="en-US" w:eastAsia="zh-CN"/>
        </w:rPr>
        <w:t>月的社保证明）。社保证明文件应具备社保管理机构印章，社保可以是投标人总公司或其分公司缴纳的社保）等。</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、评标办法正文与《评标办法前附表》描述存在不一致之处，以《评标办法前附表》为准。</w:t>
      </w:r>
    </w:p>
    <w:p>
      <w:pPr>
        <w:tabs>
          <w:tab w:val="left" w:pos="720"/>
        </w:tabs>
        <w:spacing w:line="400" w:lineRule="exact"/>
        <w:outlineLvl w:val="1"/>
        <w:rPr>
          <w:rFonts w:hint="eastAsia" w:ascii="宋体" w:hAnsi="宋体" w:cs="宋体"/>
          <w:color w:val="auto"/>
          <w:szCs w:val="21"/>
          <w:highlight w:val="none"/>
        </w:rPr>
      </w:pPr>
      <w:bookmarkStart w:id="649" w:name="_Toc17388"/>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、评分如出现小数点，则保留小数点后两位，第三位四舍五入。</w:t>
      </w:r>
      <w:bookmarkEnd w:id="649"/>
    </w:p>
    <w:p>
      <w:pPr>
        <w:tabs>
          <w:tab w:val="left" w:pos="720"/>
          <w:tab w:val="center" w:pos="4153"/>
          <w:tab w:val="right" w:pos="8306"/>
        </w:tabs>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企业</w:t>
      </w:r>
      <w:r>
        <w:rPr>
          <w:rFonts w:hint="eastAsia" w:ascii="宋体" w:hAnsi="宋体" w:cs="宋体"/>
          <w:color w:val="auto"/>
          <w:szCs w:val="21"/>
          <w:highlight w:val="none"/>
        </w:rPr>
        <w:t>类似项目业绩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轨道交通工程指城市轨道交通、市域（郊）铁路、城际铁路、国家铁路工程。</w:t>
      </w:r>
    </w:p>
    <w:p>
      <w:pPr>
        <w:tabs>
          <w:tab w:val="left" w:pos="720"/>
          <w:tab w:val="center" w:pos="4153"/>
          <w:tab w:val="right" w:pos="8306"/>
        </w:tabs>
        <w:spacing w:line="400" w:lineRule="exact"/>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cs="宋体"/>
          <w:color w:val="auto"/>
          <w:szCs w:val="21"/>
          <w:highlight w:val="none"/>
          <w:lang w:val="en-US" w:eastAsia="zh-CN"/>
        </w:rPr>
        <w:t>投标人须同时提供</w:t>
      </w:r>
      <w:r>
        <w:rPr>
          <w:rFonts w:eastAsia="宋体" w:cs="宋体"/>
          <w:color w:val="auto"/>
          <w:szCs w:val="21"/>
          <w:highlight w:val="none"/>
        </w:rPr>
        <w:t>中标通知书</w:t>
      </w:r>
      <w:r>
        <w:rPr>
          <w:rFonts w:hint="eastAsia" w:eastAsia="宋体" w:cs="宋体"/>
          <w:color w:val="auto"/>
          <w:szCs w:val="21"/>
          <w:highlight w:val="none"/>
          <w:lang w:eastAsia="zh-CN"/>
        </w:rPr>
        <w:t>（</w:t>
      </w:r>
      <w:r>
        <w:rPr>
          <w:rFonts w:hint="eastAsia" w:cs="宋体"/>
          <w:color w:val="auto"/>
          <w:szCs w:val="21"/>
          <w:highlight w:val="none"/>
          <w:lang w:val="en-US" w:eastAsia="zh-CN"/>
        </w:rPr>
        <w:t>或成交通知书</w:t>
      </w:r>
      <w:r>
        <w:rPr>
          <w:rFonts w:hint="eastAsia" w:ascii="宋体" w:hAnsi="宋体" w:cs="宋体"/>
          <w:color w:val="auto"/>
          <w:szCs w:val="21"/>
          <w:highlight w:val="none"/>
        </w:rPr>
        <w:t>或免招标相关证明</w:t>
      </w:r>
      <w:r>
        <w:rPr>
          <w:rFonts w:hint="eastAsia" w:eastAsia="宋体" w:cs="宋体"/>
          <w:color w:val="auto"/>
          <w:szCs w:val="21"/>
          <w:highlight w:val="none"/>
          <w:lang w:eastAsia="zh-CN"/>
        </w:rPr>
        <w:t>）</w:t>
      </w:r>
      <w:r>
        <w:rPr>
          <w:rFonts w:eastAsia="宋体" w:cs="宋体"/>
          <w:color w:val="auto"/>
          <w:szCs w:val="21"/>
          <w:highlight w:val="none"/>
        </w:rPr>
        <w:t>、合同关键页、项目完工证明（完工证明以业主出具的加盖公章的完工证明说明或该合同服务内容中</w:t>
      </w:r>
      <w:r>
        <w:rPr>
          <w:rFonts w:hint="eastAsia" w:eastAsia="宋体" w:cs="宋体"/>
          <w:color w:val="auto"/>
          <w:szCs w:val="21"/>
          <w:highlight w:val="none"/>
          <w:lang w:val="en-US" w:eastAsia="zh-CN"/>
        </w:rPr>
        <w:t>至少一项对应</w:t>
      </w:r>
      <w:r>
        <w:rPr>
          <w:rFonts w:eastAsia="宋体" w:cs="宋体"/>
          <w:color w:val="auto"/>
          <w:szCs w:val="21"/>
          <w:highlight w:val="none"/>
        </w:rPr>
        <w:t>设备的预验收证书为准</w:t>
      </w:r>
      <w:r>
        <w:rPr>
          <w:rFonts w:hint="eastAsia" w:cs="宋体"/>
          <w:color w:val="auto"/>
          <w:szCs w:val="21"/>
          <w:highlight w:val="none"/>
          <w:lang w:val="en-US" w:eastAsia="zh-CN"/>
        </w:rPr>
        <w:t>或</w:t>
      </w:r>
      <w:r>
        <w:rPr>
          <w:rFonts w:hint="eastAsia" w:cs="宋体"/>
          <w:color w:val="auto"/>
          <w:kern w:val="0"/>
          <w:szCs w:val="21"/>
          <w:highlight w:val="none"/>
        </w:rPr>
        <w:t>开通</w:t>
      </w:r>
      <w:r>
        <w:rPr>
          <w:rFonts w:hint="eastAsia" w:cs="宋体"/>
          <w:color w:val="auto"/>
          <w:kern w:val="0"/>
          <w:szCs w:val="21"/>
          <w:highlight w:val="none"/>
          <w:lang w:val="en-US" w:eastAsia="zh-CN"/>
        </w:rPr>
        <w:t>初期</w:t>
      </w:r>
      <w:r>
        <w:rPr>
          <w:rFonts w:hint="eastAsia" w:cs="宋体"/>
          <w:color w:val="auto"/>
          <w:kern w:val="0"/>
          <w:szCs w:val="21"/>
          <w:highlight w:val="none"/>
        </w:rPr>
        <w:t>运营证明</w:t>
      </w:r>
      <w:r>
        <w:rPr>
          <w:rFonts w:eastAsia="宋体" w:cs="宋体"/>
          <w:color w:val="auto"/>
          <w:szCs w:val="21"/>
          <w:highlight w:val="none"/>
        </w:rPr>
        <w:t>）</w:t>
      </w:r>
      <w:r>
        <w:rPr>
          <w:rFonts w:hint="eastAsia" w:eastAsia="宋体" w:cs="宋体"/>
          <w:color w:val="auto"/>
          <w:szCs w:val="21"/>
          <w:highlight w:val="none"/>
          <w:lang w:eastAsia="zh-CN"/>
        </w:rPr>
        <w:t>。</w:t>
      </w:r>
      <w:r>
        <w:rPr>
          <w:rFonts w:hint="eastAsia" w:eastAsia="宋体" w:cs="宋体"/>
          <w:color w:val="auto"/>
          <w:szCs w:val="21"/>
          <w:highlight w:val="none"/>
          <w:lang w:val="en-US" w:eastAsia="zh-CN"/>
        </w:rPr>
        <w:t>业绩</w:t>
      </w:r>
      <w:r>
        <w:rPr>
          <w:rFonts w:eastAsia="宋体" w:cs="宋体"/>
          <w:color w:val="auto"/>
          <w:szCs w:val="21"/>
          <w:highlight w:val="none"/>
        </w:rPr>
        <w:t>时间以项目完工证明为准，金额以合同</w:t>
      </w:r>
      <w:r>
        <w:rPr>
          <w:rFonts w:hint="eastAsia" w:eastAsia="宋体" w:cs="宋体"/>
          <w:color w:val="auto"/>
          <w:szCs w:val="21"/>
          <w:highlight w:val="none"/>
          <w:lang w:val="en-US" w:eastAsia="zh-CN"/>
        </w:rPr>
        <w:t>金额</w:t>
      </w:r>
      <w:r>
        <w:rPr>
          <w:rFonts w:eastAsia="宋体" w:cs="宋体"/>
          <w:color w:val="auto"/>
          <w:szCs w:val="21"/>
          <w:highlight w:val="none"/>
        </w:rPr>
        <w:t>为准</w:t>
      </w:r>
      <w:r>
        <w:rPr>
          <w:rFonts w:hint="eastAsia" w:eastAsia="宋体" w:cs="宋体"/>
          <w:color w:val="auto"/>
          <w:szCs w:val="21"/>
          <w:highlight w:val="none"/>
        </w:rPr>
        <w:t>。</w:t>
      </w:r>
    </w:p>
    <w:p>
      <w:pPr>
        <w:tabs>
          <w:tab w:val="left" w:pos="420"/>
          <w:tab w:val="left" w:pos="720"/>
        </w:tabs>
        <w:spacing w:line="400" w:lineRule="exact"/>
        <w:outlineLvl w:val="1"/>
        <w:rPr>
          <w:rFonts w:ascii="宋体" w:hAnsi="宋体" w:cs="宋体"/>
          <w:color w:val="auto"/>
          <w:kern w:val="0"/>
          <w:szCs w:val="21"/>
          <w:highlight w:val="none"/>
        </w:rPr>
      </w:pPr>
      <w:bookmarkStart w:id="650" w:name="_Toc21560"/>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、评标程序中关于详细评审的补充说明</w:t>
      </w:r>
      <w:bookmarkEnd w:id="650"/>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详细评审的评分因素（除</w:t>
      </w:r>
      <w:r>
        <w:rPr>
          <w:rFonts w:hint="eastAsia" w:ascii="宋体" w:hAnsi="宋体" w:cs="宋体"/>
          <w:color w:val="auto"/>
          <w:szCs w:val="21"/>
          <w:highlight w:val="none"/>
          <w:lang w:eastAsia="zh-CN"/>
        </w:rPr>
        <w:t>“</w:t>
      </w:r>
      <w:r>
        <w:rPr>
          <w:rFonts w:hint="eastAsia" w:ascii="宋体" w:hAnsi="宋体" w:cs="宋体"/>
          <w:color w:val="auto"/>
          <w:szCs w:val="21"/>
          <w:highlight w:val="none"/>
        </w:rPr>
        <w:t>资信业绩</w:t>
      </w:r>
      <w:r>
        <w:rPr>
          <w:rFonts w:hint="eastAsia" w:ascii="宋体" w:hAnsi="宋体" w:cs="宋体"/>
          <w:color w:val="auto"/>
          <w:szCs w:val="21"/>
          <w:highlight w:val="none"/>
          <w:lang w:eastAsia="zh-CN"/>
        </w:rPr>
        <w:t>、</w:t>
      </w:r>
      <w:r>
        <w:rPr>
          <w:rFonts w:hint="eastAsia" w:ascii="宋体" w:hAnsi="宋体" w:cs="宋体"/>
          <w:strike w:val="0"/>
          <w:dstrike w:val="0"/>
          <w:color w:val="auto"/>
          <w:sz w:val="21"/>
          <w:szCs w:val="21"/>
          <w:highlight w:val="none"/>
        </w:rPr>
        <w:t>项目管理</w:t>
      </w:r>
      <w:r>
        <w:rPr>
          <w:rFonts w:hint="eastAsia" w:ascii="宋体" w:hAnsi="宋体" w:cs="宋体"/>
          <w:strike w:val="0"/>
          <w:dstrike w:val="0"/>
          <w:color w:val="auto"/>
          <w:sz w:val="21"/>
          <w:szCs w:val="21"/>
          <w:highlight w:val="none"/>
          <w:lang w:val="en-US" w:eastAsia="zh-CN"/>
        </w:rPr>
        <w:t>人员业绩经验</w:t>
      </w:r>
      <w:r>
        <w:rPr>
          <w:rFonts w:hint="eastAsia" w:ascii="宋体" w:hAnsi="宋体" w:cs="宋体"/>
          <w:strike w:val="0"/>
          <w:dstrike w:val="0"/>
          <w:color w:val="auto"/>
          <w:sz w:val="21"/>
          <w:szCs w:val="21"/>
          <w:highlight w:val="none"/>
          <w:lang w:eastAsia="zh-CN"/>
        </w:rPr>
        <w:t>、</w:t>
      </w:r>
      <w:r>
        <w:rPr>
          <w:rFonts w:hint="eastAsia" w:eastAsia="宋体" w:cs="宋体"/>
          <w:strike w:val="0"/>
          <w:dstrike w:val="0"/>
          <w:color w:val="auto"/>
          <w:kern w:val="0"/>
          <w:szCs w:val="21"/>
          <w:highlight w:val="none"/>
        </w:rPr>
        <w:t>承担业务的能力优势</w:t>
      </w:r>
      <w:r>
        <w:rPr>
          <w:rFonts w:hint="eastAsia" w:ascii="宋体" w:hAnsi="宋体" w:cs="宋体"/>
          <w:color w:val="auto"/>
          <w:szCs w:val="21"/>
          <w:highlight w:val="none"/>
        </w:rPr>
        <w:t>、投标报价</w:t>
      </w:r>
      <w:r>
        <w:rPr>
          <w:rFonts w:hint="eastAsia" w:ascii="宋体" w:hAnsi="宋体" w:cs="宋体"/>
          <w:strike w:val="0"/>
          <w:dstrike w:val="0"/>
          <w:color w:val="auto"/>
          <w:szCs w:val="21"/>
          <w:highlight w:val="none"/>
          <w:lang w:val="en-US" w:eastAsia="zh-CN"/>
        </w:rPr>
        <w:t>”</w:t>
      </w:r>
      <w:r>
        <w:rPr>
          <w:rFonts w:hint="eastAsia" w:ascii="宋体" w:hAnsi="宋体" w:cs="宋体"/>
          <w:color w:val="auto"/>
          <w:szCs w:val="21"/>
          <w:highlight w:val="none"/>
        </w:rPr>
        <w:t>）得分依据“先定档、后评分”的原则，具体要求如下：</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（1）每位评标专家应严格按照详细评审项目规定的【好、中、差】等级标准对有效投标文件进行定档评议。</w:t>
      </w:r>
    </w:p>
    <w:p>
      <w:pPr>
        <w:tabs>
          <w:tab w:val="left" w:pos="720"/>
        </w:tabs>
        <w:spacing w:line="400" w:lineRule="exact"/>
        <w:rPr>
          <w:rFonts w:ascii="宋体" w:hAnsi="宋体" w:cs="宋体"/>
          <w:color w:val="auto"/>
          <w:szCs w:val="21"/>
          <w:highlight w:val="none"/>
        </w:rPr>
      </w:pPr>
      <w:r>
        <w:rPr>
          <w:rFonts w:hint="eastAsia" w:ascii="宋体" w:hAnsi="宋体" w:cs="宋体"/>
          <w:color w:val="auto"/>
          <w:szCs w:val="21"/>
          <w:highlight w:val="none"/>
        </w:rPr>
        <w:t>（2）每位评标专家先递交各自的定档评议，定档分好、中、差三档，好为3分、中为2分、差为1分；经汇总并计算其算术平均分，最终按下表得出各投标人的最终档次。</w:t>
      </w:r>
    </w:p>
    <w:tbl>
      <w:tblPr>
        <w:tblStyle w:val="14"/>
        <w:tblW w:w="0" w:type="auto"/>
        <w:tblInd w:w="1393" w:type="dxa"/>
        <w:tblLayout w:type="fixed"/>
        <w:tblCellMar>
          <w:top w:w="0" w:type="dxa"/>
          <w:left w:w="28" w:type="dxa"/>
          <w:bottom w:w="0" w:type="dxa"/>
          <w:right w:w="28" w:type="dxa"/>
        </w:tblCellMar>
      </w:tblPr>
      <w:tblGrid>
        <w:gridCol w:w="2205"/>
        <w:gridCol w:w="2310"/>
        <w:gridCol w:w="2220"/>
      </w:tblGrid>
      <w:tr>
        <w:tblPrEx>
          <w:tblCellMar>
            <w:top w:w="0" w:type="dxa"/>
            <w:left w:w="28" w:type="dxa"/>
            <w:bottom w:w="0" w:type="dxa"/>
            <w:right w:w="28" w:type="dxa"/>
          </w:tblCellMar>
        </w:tblPrEx>
        <w:trPr>
          <w:cantSplit/>
          <w:trHeight w:val="263" w:hRule="atLeast"/>
          <w:tblHeader/>
        </w:trPr>
        <w:tc>
          <w:tcPr>
            <w:tcW w:w="2205" w:type="dxa"/>
            <w:tcBorders>
              <w:top w:val="single" w:color="auto" w:sz="6" w:space="0"/>
              <w:left w:val="single" w:color="auto" w:sz="6" w:space="0"/>
              <w:bottom w:val="nil"/>
              <w:right w:val="single" w:color="auto" w:sz="6" w:space="0"/>
            </w:tcBorders>
            <w:noWrap w:val="0"/>
            <w:vAlign w:val="center"/>
          </w:tcPr>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好</w:t>
            </w:r>
          </w:p>
        </w:tc>
        <w:tc>
          <w:tcPr>
            <w:tcW w:w="2310" w:type="dxa"/>
            <w:tcBorders>
              <w:top w:val="single" w:color="auto" w:sz="6" w:space="0"/>
              <w:left w:val="single" w:color="auto" w:sz="6" w:space="0"/>
              <w:bottom w:val="nil"/>
              <w:right w:val="single" w:color="auto" w:sz="6" w:space="0"/>
            </w:tcBorders>
            <w:noWrap w:val="0"/>
            <w:vAlign w:val="center"/>
          </w:tcPr>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中</w:t>
            </w:r>
          </w:p>
        </w:tc>
        <w:tc>
          <w:tcPr>
            <w:tcW w:w="2220" w:type="dxa"/>
            <w:tcBorders>
              <w:top w:val="single" w:color="auto" w:sz="6" w:space="0"/>
              <w:left w:val="single" w:color="auto" w:sz="6" w:space="0"/>
              <w:bottom w:val="nil"/>
              <w:right w:val="single" w:color="auto" w:sz="4" w:space="0"/>
            </w:tcBorders>
            <w:noWrap w:val="0"/>
            <w:vAlign w:val="center"/>
          </w:tcPr>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差</w:t>
            </w:r>
          </w:p>
        </w:tc>
      </w:tr>
      <w:tr>
        <w:tblPrEx>
          <w:tblCellMar>
            <w:top w:w="0" w:type="dxa"/>
            <w:left w:w="28" w:type="dxa"/>
            <w:bottom w:w="0" w:type="dxa"/>
            <w:right w:w="28" w:type="dxa"/>
          </w:tblCellMar>
        </w:tblPrEx>
        <w:trPr>
          <w:cantSplit/>
          <w:trHeight w:val="244" w:hRule="atLeast"/>
          <w:tblHeader/>
        </w:trPr>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[3.0，2.5]</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（2.5，1.5）</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[1.5，1.0]</w:t>
            </w:r>
          </w:p>
        </w:tc>
      </w:tr>
    </w:tbl>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（3）各评标专家根据评定的最终档次进行各自打分，评分不符合最终档次的无效，须按最终档次重新打分。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（4）最后按评标办法第3.2条，对每一项评分因素去掉一个最高分和一个最低分后计取算术平均分，分数出现小数点，保留小数点后两位，得出各项最终详细评审得分。</w:t>
      </w:r>
    </w:p>
    <w:p>
      <w:pPr>
        <w:keepNext/>
        <w:keepLines/>
        <w:adjustRightInd w:val="0"/>
        <w:spacing w:before="240" w:after="120" w:line="20" w:lineRule="exact"/>
        <w:textAlignment w:val="baseline"/>
        <w:outlineLvl w:val="1"/>
        <w:rPr>
          <w:rFonts w:eastAsia="黑体"/>
          <w:color w:val="auto"/>
          <w:kern w:val="0"/>
          <w:sz w:val="24"/>
          <w:szCs w:val="20"/>
          <w:highlight w:val="none"/>
        </w:rPr>
      </w:pPr>
      <w:r>
        <w:rPr>
          <w:rFonts w:hint="eastAsia" w:ascii="宋体" w:hAnsi="宋体" w:cs="宋体"/>
          <w:color w:val="auto"/>
          <w:szCs w:val="21"/>
          <w:highlight w:val="none"/>
        </w:rPr>
        <w:br w:type="page"/>
      </w:r>
      <w:bookmarkStart w:id="651" w:name="_Toc4906"/>
      <w:bookmarkStart w:id="652" w:name="_Toc15257"/>
      <w:bookmarkStart w:id="653" w:name="_Toc2909"/>
      <w:bookmarkStart w:id="654" w:name="_Toc28174"/>
      <w:bookmarkStart w:id="655" w:name="_Toc13482"/>
      <w:bookmarkStart w:id="656" w:name="_Toc10413"/>
      <w:bookmarkStart w:id="657" w:name="_Toc156398385"/>
      <w:r>
        <w:rPr>
          <w:rFonts w:eastAsia="黑体"/>
          <w:color w:val="auto"/>
          <w:kern w:val="0"/>
          <w:sz w:val="24"/>
          <w:szCs w:val="20"/>
          <w:highlight w:val="none"/>
        </w:rPr>
        <w:t xml:space="preserve">1. </w:t>
      </w:r>
      <w:r>
        <w:rPr>
          <w:rFonts w:hint="eastAsia" w:eastAsia="黑体"/>
          <w:color w:val="auto"/>
          <w:kern w:val="0"/>
          <w:sz w:val="24"/>
          <w:szCs w:val="20"/>
          <w:highlight w:val="none"/>
        </w:rPr>
        <w:t>评标方法</w:t>
      </w:r>
      <w:bookmarkEnd w:id="651"/>
      <w:bookmarkEnd w:id="652"/>
      <w:bookmarkEnd w:id="653"/>
      <w:bookmarkEnd w:id="654"/>
      <w:bookmarkEnd w:id="655"/>
      <w:bookmarkEnd w:id="656"/>
      <w:bookmarkEnd w:id="657"/>
    </w:p>
    <w:p>
      <w:pPr>
        <w:spacing w:line="360" w:lineRule="auto"/>
        <w:ind w:firstLine="420" w:firstLineChars="200"/>
        <w:rPr>
          <w:color w:val="auto"/>
          <w:highlight w:val="none"/>
        </w:rPr>
      </w:pPr>
      <w:r>
        <w:rPr>
          <w:rFonts w:hint="eastAsia"/>
          <w:color w:val="auto"/>
          <w:highlight w:val="none"/>
        </w:rPr>
        <w:t>本次评标采用综合评估法。评标委员会对满足招标文件实质性要求的投标文件，按照本章第</w:t>
      </w:r>
      <w:r>
        <w:rPr>
          <w:color w:val="auto"/>
          <w:highlight w:val="none"/>
        </w:rPr>
        <w:t>2.2</w:t>
      </w:r>
      <w:r>
        <w:rPr>
          <w:rFonts w:hint="eastAsia"/>
          <w:color w:val="auto"/>
          <w:highlight w:val="none"/>
        </w:rPr>
        <w:t>款规定的评分标准进行打分，并按得分由高到低顺序推荐中标候选人，或根据招标人授权直接确定中标人，但投标报价低于其成本的除外。综合评分相等时，以投标报价低的优先；投标报价也相等的，以</w:t>
      </w:r>
      <w:r>
        <w:rPr>
          <w:rFonts w:hint="eastAsia" w:ascii="Times New Roman" w:hAnsi="Times New Roman" w:eastAsia="宋体" w:cs="Times New Roman"/>
          <w:color w:val="auto"/>
          <w:highlight w:val="none"/>
          <w:lang w:val="en-US" w:eastAsia="zh-CN"/>
        </w:rPr>
        <w:t>技术及保障</w:t>
      </w:r>
      <w:r>
        <w:rPr>
          <w:rFonts w:hint="eastAsia" w:ascii="Times New Roman" w:hAnsi="Times New Roman" w:eastAsia="宋体" w:cs="Times New Roman"/>
          <w:color w:val="auto"/>
          <w:highlight w:val="none"/>
        </w:rPr>
        <w:t>得分高的优先；如果</w:t>
      </w:r>
      <w:r>
        <w:rPr>
          <w:rFonts w:hint="eastAsia" w:ascii="Times New Roman" w:hAnsi="Times New Roman" w:eastAsia="宋体" w:cs="Times New Roman"/>
          <w:color w:val="auto"/>
          <w:highlight w:val="none"/>
          <w:lang w:val="en-US" w:eastAsia="zh-CN"/>
        </w:rPr>
        <w:t>技术及保障</w:t>
      </w:r>
      <w:r>
        <w:rPr>
          <w:rFonts w:hint="eastAsia" w:ascii="Times New Roman" w:hAnsi="Times New Roman" w:eastAsia="宋体" w:cs="Times New Roman"/>
          <w:color w:val="auto"/>
          <w:highlight w:val="none"/>
        </w:rPr>
        <w:t>得分也相等，按照评标办法前附表的规定确定中标候选人顺序。</w:t>
      </w:r>
    </w:p>
    <w:p>
      <w:pPr>
        <w:keepNext/>
        <w:keepLines/>
        <w:adjustRightInd w:val="0"/>
        <w:spacing w:before="240" w:after="120" w:line="20" w:lineRule="exact"/>
        <w:textAlignment w:val="baseline"/>
        <w:outlineLvl w:val="1"/>
        <w:rPr>
          <w:rFonts w:eastAsia="黑体"/>
          <w:color w:val="auto"/>
          <w:kern w:val="0"/>
          <w:sz w:val="24"/>
          <w:szCs w:val="20"/>
          <w:highlight w:val="none"/>
        </w:rPr>
      </w:pPr>
      <w:bookmarkStart w:id="658" w:name="_Toc6344"/>
      <w:bookmarkStart w:id="659" w:name="_Toc31591"/>
      <w:bookmarkStart w:id="660" w:name="_Toc130"/>
      <w:bookmarkStart w:id="661" w:name="_Toc22267"/>
      <w:bookmarkStart w:id="662" w:name="_Toc156398386"/>
      <w:bookmarkStart w:id="663" w:name="_Toc333"/>
      <w:bookmarkStart w:id="664" w:name="_Toc5049"/>
      <w:r>
        <w:rPr>
          <w:rFonts w:eastAsia="黑体"/>
          <w:color w:val="auto"/>
          <w:kern w:val="0"/>
          <w:sz w:val="24"/>
          <w:szCs w:val="20"/>
          <w:highlight w:val="none"/>
        </w:rPr>
        <w:t xml:space="preserve">2. </w:t>
      </w:r>
      <w:r>
        <w:rPr>
          <w:rFonts w:hint="eastAsia" w:eastAsia="黑体"/>
          <w:color w:val="auto"/>
          <w:kern w:val="0"/>
          <w:sz w:val="24"/>
          <w:szCs w:val="20"/>
          <w:highlight w:val="none"/>
        </w:rPr>
        <w:t>评审标准</w:t>
      </w:r>
      <w:bookmarkEnd w:id="658"/>
      <w:bookmarkEnd w:id="659"/>
      <w:bookmarkEnd w:id="660"/>
      <w:bookmarkEnd w:id="661"/>
      <w:bookmarkEnd w:id="662"/>
      <w:bookmarkEnd w:id="663"/>
      <w:bookmarkEnd w:id="664"/>
    </w:p>
    <w:p>
      <w:pPr>
        <w:keepNext/>
        <w:keepLines/>
        <w:spacing w:before="260" w:after="260"/>
        <w:ind w:firstLine="137" w:firstLineChars="49"/>
        <w:outlineLvl w:val="2"/>
        <w:rPr>
          <w:rFonts w:eastAsia="黑体"/>
          <w:color w:val="auto"/>
          <w:sz w:val="28"/>
          <w:szCs w:val="20"/>
          <w:highlight w:val="none"/>
        </w:rPr>
      </w:pPr>
      <w:bookmarkStart w:id="665" w:name="_Toc13495"/>
      <w:bookmarkStart w:id="666" w:name="_Toc24719"/>
      <w:bookmarkStart w:id="667" w:name="_Toc13084"/>
      <w:bookmarkStart w:id="668" w:name="_Toc156398387"/>
      <w:bookmarkStart w:id="669" w:name="_Toc25235"/>
      <w:bookmarkStart w:id="670" w:name="_Toc7962"/>
      <w:r>
        <w:rPr>
          <w:rFonts w:eastAsia="黑体"/>
          <w:color w:val="auto"/>
          <w:sz w:val="28"/>
          <w:szCs w:val="20"/>
          <w:highlight w:val="none"/>
        </w:rPr>
        <w:t xml:space="preserve">2.1 </w:t>
      </w:r>
      <w:r>
        <w:rPr>
          <w:rFonts w:hint="eastAsia" w:eastAsia="黑体"/>
          <w:color w:val="auto"/>
          <w:sz w:val="28"/>
          <w:szCs w:val="20"/>
          <w:highlight w:val="none"/>
        </w:rPr>
        <w:t>初步评审标准</w:t>
      </w:r>
      <w:bookmarkEnd w:id="665"/>
      <w:bookmarkEnd w:id="666"/>
      <w:bookmarkEnd w:id="667"/>
      <w:bookmarkEnd w:id="668"/>
      <w:bookmarkEnd w:id="669"/>
      <w:bookmarkEnd w:id="670"/>
    </w:p>
    <w:p>
      <w:pPr>
        <w:spacing w:line="400" w:lineRule="exact"/>
        <w:ind w:firstLine="420" w:firstLineChars="200"/>
        <w:rPr>
          <w:color w:val="auto"/>
          <w:highlight w:val="none"/>
        </w:rPr>
      </w:pPr>
      <w:r>
        <w:rPr>
          <w:color w:val="auto"/>
          <w:highlight w:val="none"/>
        </w:rPr>
        <w:t xml:space="preserve">2.1.1 </w:t>
      </w:r>
      <w:r>
        <w:rPr>
          <w:rFonts w:hint="eastAsia"/>
          <w:color w:val="auto"/>
          <w:highlight w:val="none"/>
        </w:rPr>
        <w:t>形式评审标准：见评标办法前附表。</w:t>
      </w:r>
    </w:p>
    <w:p>
      <w:pPr>
        <w:spacing w:line="400" w:lineRule="exact"/>
        <w:ind w:firstLine="420" w:firstLineChars="200"/>
        <w:rPr>
          <w:color w:val="auto"/>
          <w:highlight w:val="none"/>
        </w:rPr>
      </w:pPr>
      <w:r>
        <w:rPr>
          <w:color w:val="auto"/>
          <w:highlight w:val="none"/>
        </w:rPr>
        <w:t xml:space="preserve">2.1.2 </w:t>
      </w:r>
      <w:r>
        <w:rPr>
          <w:rFonts w:hint="eastAsia"/>
          <w:color w:val="auto"/>
          <w:highlight w:val="none"/>
        </w:rPr>
        <w:t>资格评审标准：见评标办法前附表。</w:t>
      </w:r>
    </w:p>
    <w:p>
      <w:pPr>
        <w:spacing w:line="400" w:lineRule="exact"/>
        <w:ind w:firstLine="420" w:firstLineChars="200"/>
        <w:rPr>
          <w:color w:val="auto"/>
          <w:highlight w:val="none"/>
        </w:rPr>
      </w:pPr>
      <w:r>
        <w:rPr>
          <w:color w:val="auto"/>
          <w:highlight w:val="none"/>
        </w:rPr>
        <w:t xml:space="preserve">2.1.3 </w:t>
      </w:r>
      <w:r>
        <w:rPr>
          <w:rFonts w:hint="eastAsia"/>
          <w:color w:val="auto"/>
          <w:highlight w:val="none"/>
        </w:rPr>
        <w:t>响应性评审标准：见评标办法前附表。</w:t>
      </w:r>
    </w:p>
    <w:p>
      <w:pPr>
        <w:keepNext/>
        <w:keepLines/>
        <w:spacing w:before="260" w:after="260"/>
        <w:ind w:firstLine="137" w:firstLineChars="49"/>
        <w:outlineLvl w:val="2"/>
        <w:rPr>
          <w:rFonts w:eastAsia="黑体"/>
          <w:color w:val="auto"/>
          <w:sz w:val="28"/>
          <w:szCs w:val="20"/>
          <w:highlight w:val="none"/>
        </w:rPr>
      </w:pPr>
      <w:bookmarkStart w:id="671" w:name="_Toc7879"/>
      <w:bookmarkStart w:id="672" w:name="_Toc11857"/>
      <w:bookmarkStart w:id="673" w:name="_Toc156398388"/>
      <w:bookmarkStart w:id="674" w:name="_Toc6448"/>
      <w:bookmarkStart w:id="675" w:name="_Toc18039"/>
      <w:bookmarkStart w:id="676" w:name="_Toc3137"/>
      <w:r>
        <w:rPr>
          <w:rFonts w:eastAsia="黑体"/>
          <w:color w:val="auto"/>
          <w:sz w:val="28"/>
          <w:szCs w:val="20"/>
          <w:highlight w:val="none"/>
        </w:rPr>
        <w:t xml:space="preserve">2.2 </w:t>
      </w:r>
      <w:r>
        <w:rPr>
          <w:rFonts w:hint="eastAsia" w:eastAsia="黑体"/>
          <w:color w:val="auto"/>
          <w:sz w:val="28"/>
          <w:szCs w:val="20"/>
          <w:highlight w:val="none"/>
        </w:rPr>
        <w:t>分值构成与评分标准</w:t>
      </w:r>
      <w:bookmarkEnd w:id="671"/>
      <w:bookmarkEnd w:id="672"/>
      <w:bookmarkEnd w:id="673"/>
      <w:bookmarkEnd w:id="674"/>
      <w:bookmarkEnd w:id="675"/>
      <w:bookmarkEnd w:id="676"/>
    </w:p>
    <w:p>
      <w:pPr>
        <w:spacing w:line="400" w:lineRule="exact"/>
        <w:ind w:firstLine="420" w:firstLineChars="200"/>
        <w:rPr>
          <w:color w:val="auto"/>
          <w:highlight w:val="none"/>
        </w:rPr>
      </w:pPr>
      <w:r>
        <w:rPr>
          <w:color w:val="auto"/>
          <w:highlight w:val="none"/>
        </w:rPr>
        <w:t xml:space="preserve">2.2.1 </w:t>
      </w:r>
      <w:r>
        <w:rPr>
          <w:rFonts w:hint="eastAsia"/>
          <w:color w:val="auto"/>
          <w:highlight w:val="none"/>
        </w:rPr>
        <w:t>分值构成</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）资信业绩部分：见评标办法前附表；</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highlight w:val="none"/>
          <w:lang w:val="en-US" w:eastAsia="zh-CN"/>
        </w:rPr>
        <w:t>技术及保障</w:t>
      </w:r>
      <w:r>
        <w:rPr>
          <w:rFonts w:hint="eastAsia"/>
          <w:color w:val="auto"/>
          <w:highlight w:val="none"/>
        </w:rPr>
        <w:t>部分：见评标办法前附表；</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）投标报价：见评标办法前附表；</w:t>
      </w:r>
    </w:p>
    <w:p>
      <w:pPr>
        <w:spacing w:line="400" w:lineRule="exact"/>
        <w:ind w:firstLine="420" w:firstLineChars="200"/>
        <w:rPr>
          <w:color w:val="auto"/>
          <w:highlight w:val="none"/>
        </w:rPr>
      </w:pPr>
      <w:r>
        <w:rPr>
          <w:color w:val="auto"/>
          <w:highlight w:val="none"/>
        </w:rPr>
        <w:t xml:space="preserve">2.2.2 </w:t>
      </w:r>
      <w:r>
        <w:rPr>
          <w:rFonts w:hint="eastAsia"/>
          <w:color w:val="auto"/>
          <w:highlight w:val="none"/>
        </w:rPr>
        <w:t>评标基准价计算</w:t>
      </w:r>
    </w:p>
    <w:p>
      <w:pPr>
        <w:spacing w:line="400" w:lineRule="exact"/>
        <w:ind w:firstLine="420" w:firstLineChars="200"/>
        <w:rPr>
          <w:color w:val="auto"/>
          <w:highlight w:val="none"/>
        </w:rPr>
      </w:pPr>
      <w:r>
        <w:rPr>
          <w:rFonts w:hint="eastAsia"/>
          <w:color w:val="auto"/>
          <w:highlight w:val="none"/>
        </w:rPr>
        <w:t>评标基准价计算方法：见评标办法前附表。</w:t>
      </w:r>
    </w:p>
    <w:p>
      <w:pPr>
        <w:spacing w:line="400" w:lineRule="exact"/>
        <w:ind w:firstLine="420" w:firstLineChars="200"/>
        <w:rPr>
          <w:color w:val="auto"/>
          <w:highlight w:val="none"/>
        </w:rPr>
      </w:pPr>
      <w:r>
        <w:rPr>
          <w:color w:val="auto"/>
          <w:highlight w:val="none"/>
        </w:rPr>
        <w:t xml:space="preserve">2.2.3 </w:t>
      </w:r>
      <w:r>
        <w:rPr>
          <w:rFonts w:hint="eastAsia"/>
          <w:color w:val="auto"/>
          <w:highlight w:val="none"/>
        </w:rPr>
        <w:t>投标报价的偏差率计算</w:t>
      </w:r>
    </w:p>
    <w:p>
      <w:pPr>
        <w:spacing w:line="400" w:lineRule="exact"/>
        <w:ind w:firstLine="420" w:firstLineChars="200"/>
        <w:rPr>
          <w:color w:val="auto"/>
          <w:highlight w:val="none"/>
        </w:rPr>
      </w:pPr>
      <w:r>
        <w:rPr>
          <w:rFonts w:hint="eastAsia"/>
          <w:color w:val="auto"/>
          <w:highlight w:val="none"/>
        </w:rPr>
        <w:t>投标报价的偏差率计算公式：见评标办法前附表。</w:t>
      </w:r>
    </w:p>
    <w:p>
      <w:pPr>
        <w:spacing w:line="400" w:lineRule="exact"/>
        <w:ind w:firstLine="420" w:firstLineChars="200"/>
        <w:rPr>
          <w:color w:val="auto"/>
          <w:highlight w:val="none"/>
        </w:rPr>
      </w:pPr>
      <w:r>
        <w:rPr>
          <w:color w:val="auto"/>
          <w:highlight w:val="none"/>
        </w:rPr>
        <w:t xml:space="preserve">2.2.4 </w:t>
      </w:r>
      <w:r>
        <w:rPr>
          <w:rFonts w:hint="eastAsia"/>
          <w:color w:val="auto"/>
          <w:highlight w:val="none"/>
        </w:rPr>
        <w:t>评分标准</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）资信业绩评分标准：见评标办法前附表；</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highlight w:val="none"/>
          <w:lang w:val="en-US" w:eastAsia="zh-CN"/>
        </w:rPr>
        <w:t>技术及保障</w:t>
      </w:r>
      <w:r>
        <w:rPr>
          <w:rFonts w:hint="eastAsia"/>
          <w:color w:val="auto"/>
          <w:highlight w:val="none"/>
        </w:rPr>
        <w:t>评分标准：见评标办法前附表；</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）投标报价评分标准：见评标办法前附表；</w:t>
      </w:r>
    </w:p>
    <w:p>
      <w:pPr>
        <w:keepNext/>
        <w:keepLines/>
        <w:adjustRightInd w:val="0"/>
        <w:spacing w:before="240" w:after="120" w:line="20" w:lineRule="exact"/>
        <w:textAlignment w:val="baseline"/>
        <w:outlineLvl w:val="1"/>
        <w:rPr>
          <w:rFonts w:eastAsia="黑体"/>
          <w:color w:val="auto"/>
          <w:kern w:val="0"/>
          <w:sz w:val="24"/>
          <w:szCs w:val="20"/>
          <w:highlight w:val="none"/>
        </w:rPr>
      </w:pPr>
      <w:bookmarkStart w:id="677" w:name="_Toc25013"/>
      <w:bookmarkStart w:id="678" w:name="_Toc156398389"/>
      <w:bookmarkStart w:id="679" w:name="_Toc30690"/>
      <w:bookmarkStart w:id="680" w:name="_Toc12772"/>
      <w:bookmarkStart w:id="681" w:name="_Toc15096"/>
      <w:bookmarkStart w:id="682" w:name="_Toc4144"/>
      <w:bookmarkStart w:id="683" w:name="_Toc1320"/>
      <w:r>
        <w:rPr>
          <w:rFonts w:eastAsia="黑体"/>
          <w:color w:val="auto"/>
          <w:kern w:val="0"/>
          <w:sz w:val="24"/>
          <w:szCs w:val="20"/>
          <w:highlight w:val="none"/>
        </w:rPr>
        <w:t xml:space="preserve">3. </w:t>
      </w:r>
      <w:r>
        <w:rPr>
          <w:rFonts w:hint="eastAsia" w:eastAsia="黑体"/>
          <w:color w:val="auto"/>
          <w:kern w:val="0"/>
          <w:sz w:val="24"/>
          <w:szCs w:val="20"/>
          <w:highlight w:val="none"/>
        </w:rPr>
        <w:t>评标程序</w:t>
      </w:r>
      <w:bookmarkEnd w:id="677"/>
      <w:bookmarkEnd w:id="678"/>
      <w:bookmarkEnd w:id="679"/>
      <w:bookmarkEnd w:id="680"/>
      <w:bookmarkEnd w:id="681"/>
      <w:bookmarkEnd w:id="682"/>
      <w:bookmarkEnd w:id="683"/>
    </w:p>
    <w:p>
      <w:pPr>
        <w:keepNext/>
        <w:keepLines/>
        <w:spacing w:before="260" w:after="260"/>
        <w:ind w:firstLine="137" w:firstLineChars="49"/>
        <w:outlineLvl w:val="2"/>
        <w:rPr>
          <w:rFonts w:eastAsia="黑体"/>
          <w:color w:val="auto"/>
          <w:sz w:val="28"/>
          <w:szCs w:val="20"/>
          <w:highlight w:val="none"/>
        </w:rPr>
      </w:pPr>
      <w:bookmarkStart w:id="684" w:name="_Toc156398390"/>
      <w:bookmarkStart w:id="685" w:name="_Toc26043"/>
      <w:bookmarkStart w:id="686" w:name="_Toc2520"/>
      <w:bookmarkStart w:id="687" w:name="_Toc14603"/>
      <w:bookmarkStart w:id="688" w:name="_Toc17909"/>
      <w:bookmarkStart w:id="689" w:name="_Toc1315"/>
      <w:r>
        <w:rPr>
          <w:rFonts w:eastAsia="黑体"/>
          <w:color w:val="auto"/>
          <w:sz w:val="28"/>
          <w:szCs w:val="20"/>
          <w:highlight w:val="none"/>
        </w:rPr>
        <w:t xml:space="preserve">3.1 </w:t>
      </w:r>
      <w:r>
        <w:rPr>
          <w:rFonts w:hint="eastAsia" w:eastAsia="黑体"/>
          <w:color w:val="auto"/>
          <w:sz w:val="28"/>
          <w:szCs w:val="20"/>
          <w:highlight w:val="none"/>
        </w:rPr>
        <w:t>初步评审</w:t>
      </w:r>
      <w:bookmarkEnd w:id="684"/>
      <w:bookmarkEnd w:id="685"/>
      <w:bookmarkEnd w:id="686"/>
      <w:bookmarkEnd w:id="687"/>
      <w:bookmarkEnd w:id="688"/>
      <w:bookmarkEnd w:id="689"/>
    </w:p>
    <w:p>
      <w:pPr>
        <w:spacing w:line="400" w:lineRule="exact"/>
        <w:ind w:firstLine="420" w:firstLineChars="200"/>
        <w:rPr>
          <w:color w:val="auto"/>
          <w:highlight w:val="none"/>
        </w:rPr>
      </w:pPr>
      <w:r>
        <w:rPr>
          <w:color w:val="auto"/>
          <w:highlight w:val="none"/>
        </w:rPr>
        <w:t xml:space="preserve">3.1.1 </w:t>
      </w:r>
      <w:r>
        <w:rPr>
          <w:rFonts w:hint="eastAsia"/>
          <w:color w:val="auto"/>
          <w:highlight w:val="none"/>
        </w:rPr>
        <w:t>评标委员会可以要求投标人提交第二章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规定的有关证明和证件的原件，以便核验。评标委员会依据本章第</w:t>
      </w:r>
      <w:r>
        <w:rPr>
          <w:color w:val="auto"/>
          <w:highlight w:val="none"/>
        </w:rPr>
        <w:t>2.1</w:t>
      </w:r>
      <w:r>
        <w:rPr>
          <w:rFonts w:hint="eastAsia"/>
          <w:color w:val="auto"/>
          <w:highlight w:val="none"/>
        </w:rPr>
        <w:t>款规定的标准对投标文件进行初步评审。有一项不符合评审标准的，评标委员会应当否决其投标。</w:t>
      </w:r>
    </w:p>
    <w:p>
      <w:pPr>
        <w:spacing w:line="400" w:lineRule="exact"/>
        <w:ind w:firstLine="420" w:firstLineChars="200"/>
        <w:rPr>
          <w:color w:val="auto"/>
          <w:highlight w:val="none"/>
        </w:rPr>
      </w:pPr>
      <w:r>
        <w:rPr>
          <w:color w:val="auto"/>
          <w:highlight w:val="none"/>
        </w:rPr>
        <w:t xml:space="preserve">3.1.2 </w:t>
      </w:r>
      <w:r>
        <w:rPr>
          <w:rFonts w:hint="eastAsia"/>
          <w:color w:val="auto"/>
          <w:highlight w:val="none"/>
        </w:rPr>
        <w:t>投标人有以下情形之一的，评标委员会应当否决其投标：</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）投标文件没有对招标文件的实质性要求和条件作出响应，或者对招标文件的偏差超出招标文件规定的偏差范围或最高项数；</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）有串通投标、弄虚作假、行贿等违法行为。</w:t>
      </w:r>
    </w:p>
    <w:p>
      <w:pPr>
        <w:spacing w:line="400" w:lineRule="exact"/>
        <w:ind w:firstLine="420" w:firstLineChars="200"/>
        <w:rPr>
          <w:color w:val="auto"/>
          <w:highlight w:val="none"/>
        </w:rPr>
      </w:pPr>
      <w:r>
        <w:rPr>
          <w:color w:val="auto"/>
          <w:highlight w:val="none"/>
        </w:rPr>
        <w:t xml:space="preserve">3.1.3 </w:t>
      </w:r>
      <w:r>
        <w:rPr>
          <w:rFonts w:hint="eastAsia"/>
          <w:color w:val="auto"/>
          <w:highlight w:val="none"/>
        </w:rPr>
        <w:t>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）投标文件中的大写金额与小写金额不一致的，以大写金额为准；</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）总价金额与单价金额不一致的，以总价金额为准。</w:t>
      </w:r>
    </w:p>
    <w:p>
      <w:pPr>
        <w:keepNext/>
        <w:keepLines/>
        <w:spacing w:before="260" w:after="260"/>
        <w:ind w:firstLine="137" w:firstLineChars="49"/>
        <w:outlineLvl w:val="2"/>
        <w:rPr>
          <w:rFonts w:eastAsia="黑体"/>
          <w:color w:val="auto"/>
          <w:sz w:val="28"/>
          <w:szCs w:val="20"/>
          <w:highlight w:val="none"/>
        </w:rPr>
      </w:pPr>
      <w:bookmarkStart w:id="690" w:name="_Toc156398391"/>
      <w:bookmarkStart w:id="691" w:name="_Toc21185"/>
      <w:bookmarkStart w:id="692" w:name="_Toc20594"/>
      <w:bookmarkStart w:id="693" w:name="_Toc18296"/>
      <w:bookmarkStart w:id="694" w:name="_Toc17283"/>
      <w:bookmarkStart w:id="695" w:name="_Toc20868"/>
      <w:r>
        <w:rPr>
          <w:rFonts w:eastAsia="黑体"/>
          <w:color w:val="auto"/>
          <w:sz w:val="28"/>
          <w:szCs w:val="20"/>
          <w:highlight w:val="none"/>
        </w:rPr>
        <w:t xml:space="preserve">3.2 </w:t>
      </w:r>
      <w:r>
        <w:rPr>
          <w:rFonts w:hint="eastAsia" w:eastAsia="黑体"/>
          <w:color w:val="auto"/>
          <w:sz w:val="28"/>
          <w:szCs w:val="20"/>
          <w:highlight w:val="none"/>
        </w:rPr>
        <w:t>详细评审</w:t>
      </w:r>
      <w:bookmarkEnd w:id="690"/>
      <w:bookmarkEnd w:id="691"/>
      <w:bookmarkEnd w:id="692"/>
      <w:bookmarkEnd w:id="693"/>
      <w:bookmarkEnd w:id="694"/>
      <w:bookmarkEnd w:id="695"/>
    </w:p>
    <w:p>
      <w:pPr>
        <w:spacing w:line="400" w:lineRule="exact"/>
        <w:ind w:firstLine="420" w:firstLineChars="200"/>
        <w:rPr>
          <w:color w:val="auto"/>
          <w:highlight w:val="none"/>
        </w:rPr>
      </w:pPr>
      <w:r>
        <w:rPr>
          <w:color w:val="auto"/>
          <w:highlight w:val="none"/>
        </w:rPr>
        <w:t xml:space="preserve">3.2.1 </w:t>
      </w:r>
      <w:r>
        <w:rPr>
          <w:rFonts w:hint="eastAsia"/>
          <w:color w:val="auto"/>
          <w:highlight w:val="none"/>
        </w:rPr>
        <w:t>评标委员会按本章第</w:t>
      </w:r>
      <w:r>
        <w:rPr>
          <w:color w:val="auto"/>
          <w:highlight w:val="none"/>
        </w:rPr>
        <w:t>2.2</w:t>
      </w:r>
      <w:r>
        <w:rPr>
          <w:rFonts w:hint="eastAsia"/>
          <w:color w:val="auto"/>
          <w:highlight w:val="none"/>
        </w:rPr>
        <w:t>款规定的量化因素和分值进行打分，并计算出综合评估得分。</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）按本章第</w:t>
      </w:r>
      <w:r>
        <w:rPr>
          <w:color w:val="auto"/>
          <w:highlight w:val="none"/>
        </w:rPr>
        <w:t>2.2.4</w:t>
      </w:r>
      <w:r>
        <w:rPr>
          <w:rFonts w:hint="eastAsia"/>
          <w:color w:val="auto"/>
          <w:highlight w:val="none"/>
        </w:rPr>
        <w:t>（</w:t>
      </w:r>
      <w:r>
        <w:rPr>
          <w:color w:val="auto"/>
          <w:highlight w:val="none"/>
        </w:rPr>
        <w:t>1</w:t>
      </w:r>
      <w:r>
        <w:rPr>
          <w:rFonts w:hint="eastAsia"/>
          <w:color w:val="auto"/>
          <w:highlight w:val="none"/>
        </w:rPr>
        <w:t>）目规定的评审因素和分值对资信业绩部分计算出得分</w:t>
      </w:r>
      <w:r>
        <w:rPr>
          <w:color w:val="auto"/>
          <w:highlight w:val="none"/>
        </w:rPr>
        <w:t>A</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）按本章第</w:t>
      </w:r>
      <w:r>
        <w:rPr>
          <w:color w:val="auto"/>
          <w:highlight w:val="none"/>
        </w:rPr>
        <w:t>2.2.4</w:t>
      </w:r>
      <w:r>
        <w:rPr>
          <w:rFonts w:hint="eastAsia"/>
          <w:color w:val="auto"/>
          <w:highlight w:val="none"/>
        </w:rPr>
        <w:t>（</w:t>
      </w:r>
      <w:r>
        <w:rPr>
          <w:color w:val="auto"/>
          <w:highlight w:val="none"/>
        </w:rPr>
        <w:t>2</w:t>
      </w:r>
      <w:r>
        <w:rPr>
          <w:rFonts w:hint="eastAsia"/>
          <w:color w:val="auto"/>
          <w:highlight w:val="none"/>
        </w:rPr>
        <w:t>）目规定的评审因素和分值对</w:t>
      </w:r>
      <w:r>
        <w:rPr>
          <w:rFonts w:hint="eastAsia" w:eastAsia="宋体" w:cs="宋体"/>
          <w:color w:val="auto"/>
          <w:szCs w:val="21"/>
          <w:highlight w:val="none"/>
        </w:rPr>
        <w:t>技术及保障</w:t>
      </w:r>
      <w:r>
        <w:rPr>
          <w:rFonts w:hint="eastAsia"/>
          <w:color w:val="auto"/>
          <w:highlight w:val="none"/>
        </w:rPr>
        <w:t>部分计算出得分</w:t>
      </w:r>
      <w:r>
        <w:rPr>
          <w:color w:val="auto"/>
          <w:highlight w:val="none"/>
        </w:rPr>
        <w:t>B</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）按本章第</w:t>
      </w:r>
      <w:r>
        <w:rPr>
          <w:color w:val="auto"/>
          <w:highlight w:val="none"/>
        </w:rPr>
        <w:t>2.2.4</w:t>
      </w:r>
      <w:r>
        <w:rPr>
          <w:rFonts w:hint="eastAsia"/>
          <w:color w:val="auto"/>
          <w:highlight w:val="none"/>
        </w:rPr>
        <w:t>（</w:t>
      </w:r>
      <w:r>
        <w:rPr>
          <w:color w:val="auto"/>
          <w:highlight w:val="none"/>
        </w:rPr>
        <w:t>3</w:t>
      </w:r>
      <w:r>
        <w:rPr>
          <w:rFonts w:hint="eastAsia"/>
          <w:color w:val="auto"/>
          <w:highlight w:val="none"/>
        </w:rPr>
        <w:t>）目规定的评审因素和分值对投标报价计算出得分</w:t>
      </w:r>
      <w:r>
        <w:rPr>
          <w:color w:val="auto"/>
          <w:highlight w:val="none"/>
        </w:rPr>
        <w:t>C</w:t>
      </w:r>
      <w:r>
        <w:rPr>
          <w:rFonts w:hint="eastAsia"/>
          <w:color w:val="auto"/>
          <w:highlight w:val="none"/>
        </w:rPr>
        <w:t>；</w:t>
      </w:r>
    </w:p>
    <w:p>
      <w:pPr>
        <w:spacing w:line="400" w:lineRule="exact"/>
        <w:ind w:firstLine="420" w:firstLineChars="200"/>
        <w:rPr>
          <w:color w:val="auto"/>
          <w:highlight w:val="none"/>
        </w:rPr>
      </w:pPr>
      <w:r>
        <w:rPr>
          <w:color w:val="auto"/>
          <w:highlight w:val="none"/>
        </w:rPr>
        <w:t xml:space="preserve">3.2.2 </w:t>
      </w:r>
      <w:r>
        <w:rPr>
          <w:rFonts w:hint="eastAsia"/>
          <w:color w:val="auto"/>
          <w:highlight w:val="none"/>
        </w:rPr>
        <w:t>评分分值计算保留小数点后两位，小数点后第三位</w:t>
      </w:r>
      <w:r>
        <w:rPr>
          <w:color w:val="auto"/>
          <w:highlight w:val="none"/>
        </w:rPr>
        <w:t>“</w:t>
      </w:r>
      <w:r>
        <w:rPr>
          <w:rFonts w:hint="eastAsia"/>
          <w:color w:val="auto"/>
          <w:highlight w:val="none"/>
        </w:rPr>
        <w:t>四舍五入</w:t>
      </w:r>
      <w:r>
        <w:rPr>
          <w:color w:val="auto"/>
          <w:highlight w:val="none"/>
        </w:rPr>
        <w:t>”</w:t>
      </w:r>
      <w:r>
        <w:rPr>
          <w:rFonts w:hint="eastAsia"/>
          <w:color w:val="auto"/>
          <w:highlight w:val="none"/>
        </w:rPr>
        <w:t>。</w:t>
      </w:r>
    </w:p>
    <w:p>
      <w:pPr>
        <w:spacing w:line="400" w:lineRule="exact"/>
        <w:ind w:firstLine="420" w:firstLineChars="200"/>
        <w:rPr>
          <w:color w:val="auto"/>
          <w:highlight w:val="none"/>
        </w:rPr>
      </w:pPr>
      <w:r>
        <w:rPr>
          <w:color w:val="auto"/>
          <w:highlight w:val="none"/>
        </w:rPr>
        <w:t xml:space="preserve">3.2.3 </w:t>
      </w:r>
      <w:r>
        <w:rPr>
          <w:rFonts w:hint="eastAsia"/>
          <w:color w:val="auto"/>
          <w:highlight w:val="none"/>
        </w:rPr>
        <w:t>投标人得分</w:t>
      </w:r>
      <w:r>
        <w:rPr>
          <w:color w:val="auto"/>
          <w:highlight w:val="none"/>
        </w:rPr>
        <w:t>=A+B+C</w:t>
      </w:r>
      <w:r>
        <w:rPr>
          <w:rFonts w:hint="eastAsia"/>
          <w:color w:val="auto"/>
          <w:highlight w:val="none"/>
        </w:rPr>
        <w:t>。</w:t>
      </w:r>
    </w:p>
    <w:p>
      <w:pPr>
        <w:spacing w:line="400" w:lineRule="exact"/>
        <w:ind w:firstLine="420" w:firstLineChars="200"/>
        <w:rPr>
          <w:color w:val="auto"/>
          <w:highlight w:val="none"/>
        </w:rPr>
      </w:pPr>
      <w:r>
        <w:rPr>
          <w:color w:val="auto"/>
          <w:highlight w:val="none"/>
        </w:rPr>
        <w:t xml:space="preserve">3.2.4 </w:t>
      </w:r>
      <w:r>
        <w:rPr>
          <w:rFonts w:hint="eastAsia"/>
          <w:color w:val="auto"/>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before="260" w:after="260"/>
        <w:ind w:firstLine="137" w:firstLineChars="49"/>
        <w:outlineLvl w:val="2"/>
        <w:rPr>
          <w:rFonts w:eastAsia="黑体"/>
          <w:color w:val="auto"/>
          <w:sz w:val="28"/>
          <w:szCs w:val="20"/>
          <w:highlight w:val="none"/>
        </w:rPr>
      </w:pPr>
      <w:bookmarkStart w:id="696" w:name="_Toc156398392"/>
      <w:bookmarkStart w:id="697" w:name="_Toc8107"/>
      <w:bookmarkStart w:id="698" w:name="_Toc31057"/>
      <w:bookmarkStart w:id="699" w:name="_Toc19886"/>
      <w:bookmarkStart w:id="700" w:name="_Toc2633"/>
      <w:bookmarkStart w:id="701" w:name="_Toc12740"/>
      <w:r>
        <w:rPr>
          <w:rFonts w:eastAsia="黑体"/>
          <w:color w:val="auto"/>
          <w:sz w:val="28"/>
          <w:szCs w:val="20"/>
          <w:highlight w:val="none"/>
        </w:rPr>
        <w:t xml:space="preserve">3.3 </w:t>
      </w:r>
      <w:r>
        <w:rPr>
          <w:rFonts w:hint="eastAsia" w:eastAsia="黑体"/>
          <w:color w:val="auto"/>
          <w:sz w:val="28"/>
          <w:szCs w:val="20"/>
          <w:highlight w:val="none"/>
        </w:rPr>
        <w:t>投标文件的澄清</w:t>
      </w:r>
      <w:bookmarkEnd w:id="696"/>
      <w:bookmarkEnd w:id="697"/>
      <w:bookmarkEnd w:id="698"/>
      <w:bookmarkEnd w:id="699"/>
      <w:bookmarkEnd w:id="700"/>
      <w:bookmarkEnd w:id="701"/>
    </w:p>
    <w:p>
      <w:pPr>
        <w:spacing w:line="400" w:lineRule="exact"/>
        <w:ind w:firstLine="420" w:firstLineChars="200"/>
        <w:rPr>
          <w:color w:val="auto"/>
          <w:highlight w:val="none"/>
        </w:rPr>
      </w:pPr>
      <w:r>
        <w:rPr>
          <w:color w:val="auto"/>
          <w:highlight w:val="none"/>
        </w:rPr>
        <w:t xml:space="preserve">3.3.1 </w:t>
      </w:r>
      <w:r>
        <w:rPr>
          <w:rFonts w:hint="eastAsia"/>
          <w:color w:val="auto"/>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color w:val="auto"/>
          <w:highlight w:val="none"/>
        </w:rPr>
      </w:pPr>
      <w:r>
        <w:rPr>
          <w:color w:val="auto"/>
          <w:highlight w:val="none"/>
        </w:rPr>
        <w:t xml:space="preserve">3.3.2 </w:t>
      </w:r>
      <w:r>
        <w:rPr>
          <w:rFonts w:hint="eastAsia"/>
          <w:color w:val="auto"/>
          <w:highlight w:val="none"/>
        </w:rPr>
        <w:t>澄清、说明或补正不得超出投标文件的范围且不得改变投标文件的实质性内容，并构成投标文件的组成部分。</w:t>
      </w:r>
    </w:p>
    <w:p>
      <w:pPr>
        <w:spacing w:line="400" w:lineRule="exact"/>
        <w:ind w:firstLine="420" w:firstLineChars="200"/>
        <w:rPr>
          <w:color w:val="auto"/>
          <w:highlight w:val="none"/>
        </w:rPr>
      </w:pPr>
      <w:r>
        <w:rPr>
          <w:color w:val="auto"/>
          <w:highlight w:val="none"/>
        </w:rPr>
        <w:t xml:space="preserve">3.3.3 </w:t>
      </w:r>
      <w:r>
        <w:rPr>
          <w:rFonts w:hint="eastAsia"/>
          <w:color w:val="auto"/>
          <w:highlight w:val="none"/>
        </w:rPr>
        <w:t>评标委员会对投标人提交的澄清、说明或补正有疑问的，可以要求投标人进一步澄清、说明或补正，直至满足评标委员会的要求。</w:t>
      </w:r>
    </w:p>
    <w:p>
      <w:pPr>
        <w:keepNext/>
        <w:keepLines/>
        <w:spacing w:before="260" w:after="260"/>
        <w:ind w:firstLine="137" w:firstLineChars="49"/>
        <w:outlineLvl w:val="2"/>
        <w:rPr>
          <w:rFonts w:eastAsia="黑体"/>
          <w:color w:val="auto"/>
          <w:sz w:val="28"/>
          <w:szCs w:val="20"/>
          <w:highlight w:val="none"/>
        </w:rPr>
      </w:pPr>
      <w:bookmarkStart w:id="702" w:name="_Toc32234"/>
      <w:bookmarkStart w:id="703" w:name="_Toc1438"/>
      <w:bookmarkStart w:id="704" w:name="_Toc13851"/>
      <w:bookmarkStart w:id="705" w:name="_Toc11308"/>
      <w:bookmarkStart w:id="706" w:name="_Toc13656"/>
      <w:bookmarkStart w:id="707" w:name="_Toc156398393"/>
      <w:r>
        <w:rPr>
          <w:rFonts w:eastAsia="黑体"/>
          <w:color w:val="auto"/>
          <w:sz w:val="28"/>
          <w:szCs w:val="20"/>
          <w:highlight w:val="none"/>
        </w:rPr>
        <w:t xml:space="preserve">3.4 </w:t>
      </w:r>
      <w:r>
        <w:rPr>
          <w:rFonts w:hint="eastAsia" w:eastAsia="黑体"/>
          <w:color w:val="auto"/>
          <w:sz w:val="28"/>
          <w:szCs w:val="20"/>
          <w:highlight w:val="none"/>
        </w:rPr>
        <w:t>评标结果</w:t>
      </w:r>
      <w:bookmarkEnd w:id="702"/>
      <w:bookmarkEnd w:id="703"/>
      <w:bookmarkEnd w:id="704"/>
      <w:bookmarkEnd w:id="705"/>
      <w:bookmarkEnd w:id="706"/>
      <w:bookmarkEnd w:id="707"/>
    </w:p>
    <w:p>
      <w:pPr>
        <w:spacing w:line="400" w:lineRule="exact"/>
        <w:ind w:firstLine="420" w:firstLineChars="200"/>
        <w:rPr>
          <w:color w:val="auto"/>
          <w:highlight w:val="none"/>
        </w:rPr>
      </w:pPr>
      <w:r>
        <w:rPr>
          <w:color w:val="auto"/>
          <w:highlight w:val="none"/>
        </w:rPr>
        <w:t xml:space="preserve">3.4.1 </w:t>
      </w:r>
      <w:r>
        <w:rPr>
          <w:rFonts w:hint="eastAsia"/>
          <w:color w:val="auto"/>
          <w:highlight w:val="none"/>
        </w:rPr>
        <w:t>除第二章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前附表授权直接确定中标人外，评标委员会按照得分由高到低的顺序推荐中标候选人，并标明排序。</w:t>
      </w:r>
    </w:p>
    <w:p>
      <w:pPr>
        <w:spacing w:line="400" w:lineRule="exact"/>
        <w:ind w:firstLine="420" w:firstLineChars="200"/>
        <w:rPr>
          <w:color w:val="auto"/>
          <w:highlight w:val="none"/>
        </w:rPr>
      </w:pPr>
      <w:r>
        <w:rPr>
          <w:rFonts w:ascii="Calibri" w:hAnsi="Calibri"/>
          <w:color w:val="auto"/>
          <w:highlight w:val="none"/>
        </w:rPr>
        <w:t>3.4.2</w:t>
      </w:r>
      <w:r>
        <w:rPr>
          <w:color w:val="auto"/>
          <w:highlight w:val="none"/>
        </w:rPr>
        <w:t xml:space="preserve"> </w:t>
      </w:r>
      <w:r>
        <w:rPr>
          <w:rFonts w:hint="eastAsia" w:ascii="Calibri" w:hAnsi="Calibri"/>
          <w:color w:val="auto"/>
          <w:highlight w:val="none"/>
        </w:rPr>
        <w:t>评标委员会完成评标后，应当向招标人提交书面评标报告和中标候选人名单。</w:t>
      </w:r>
    </w:p>
    <w:p>
      <w:pPr>
        <w:rPr>
          <w:color w:val="auto"/>
          <w:highlight w:val="none"/>
        </w:rPr>
      </w:pPr>
      <w:r>
        <w:rPr>
          <w:color w:val="auto"/>
          <w:highlight w:val="none"/>
        </w:rPr>
        <w:br w:type="page"/>
      </w:r>
    </w:p>
    <w:p>
      <w:pPr>
        <w:pStyle w:val="2"/>
        <w:spacing w:line="480" w:lineRule="auto"/>
        <w:jc w:val="center"/>
        <w:rPr>
          <w:color w:val="auto"/>
          <w:highlight w:val="none"/>
        </w:rPr>
      </w:pPr>
      <w:bookmarkStart w:id="708" w:name="_Toc2479"/>
      <w:bookmarkStart w:id="709" w:name="_Toc26327"/>
      <w:bookmarkStart w:id="710" w:name="_Toc10428"/>
      <w:bookmarkStart w:id="711" w:name="_Toc21411"/>
      <w:bookmarkStart w:id="712" w:name="_Toc27689"/>
      <w:bookmarkStart w:id="713" w:name="_Toc156398394"/>
      <w:r>
        <w:rPr>
          <w:rFonts w:hint="eastAsia"/>
          <w:color w:val="auto"/>
          <w:highlight w:val="none"/>
        </w:rPr>
        <w:t>第四章</w:t>
      </w:r>
      <w:r>
        <w:rPr>
          <w:color w:val="auto"/>
          <w:highlight w:val="none"/>
        </w:rPr>
        <w:t xml:space="preserve"> </w:t>
      </w:r>
      <w:r>
        <w:rPr>
          <w:rFonts w:hint="eastAsia"/>
          <w:color w:val="auto"/>
          <w:highlight w:val="none"/>
        </w:rPr>
        <w:t>合同条款及附件</w:t>
      </w:r>
      <w:bookmarkEnd w:id="708"/>
      <w:bookmarkEnd w:id="709"/>
      <w:bookmarkEnd w:id="710"/>
      <w:bookmarkEnd w:id="711"/>
      <w:bookmarkEnd w:id="712"/>
      <w:bookmarkEnd w:id="713"/>
    </w:p>
    <w:p>
      <w:pPr>
        <w:rPr>
          <w:color w:val="auto"/>
          <w:highlight w:val="none"/>
        </w:rPr>
      </w:pPr>
      <w:r>
        <w:rPr>
          <w:color w:val="auto"/>
          <w:highlight w:val="none"/>
        </w:rPr>
        <w:br w:type="page"/>
      </w:r>
    </w:p>
    <w:p>
      <w:pPr>
        <w:spacing w:line="360" w:lineRule="auto"/>
        <w:jc w:val="center"/>
        <w:rPr>
          <w:rFonts w:hint="eastAsia" w:ascii="宋体" w:hAnsi="宋体" w:cs="Times New Roman" w:eastAsiaTheme="minorEastAsia"/>
          <w:b/>
          <w:bCs/>
          <w:color w:val="auto"/>
          <w:sz w:val="48"/>
          <w:szCs w:val="48"/>
          <w:highlight w:val="none"/>
        </w:rPr>
      </w:pPr>
    </w:p>
    <w:p>
      <w:pPr>
        <w:spacing w:line="360" w:lineRule="auto"/>
        <w:jc w:val="center"/>
        <w:rPr>
          <w:rFonts w:hint="eastAsia" w:ascii="宋体" w:hAnsi="宋体" w:cs="Times New Roman" w:eastAsiaTheme="minorEastAsia"/>
          <w:b/>
          <w:bCs/>
          <w:color w:val="auto"/>
          <w:sz w:val="52"/>
          <w:szCs w:val="52"/>
          <w:highlight w:val="none"/>
        </w:rPr>
      </w:pPr>
    </w:p>
    <w:p>
      <w:pPr>
        <w:spacing w:line="360" w:lineRule="auto"/>
        <w:jc w:val="center"/>
        <w:rPr>
          <w:rFonts w:hint="eastAsia" w:ascii="宋体" w:hAnsi="宋体" w:cs="Times New Roman" w:eastAsiaTheme="minorEastAsia"/>
          <w:b/>
          <w:bCs/>
          <w:color w:val="auto"/>
          <w:sz w:val="52"/>
          <w:szCs w:val="52"/>
          <w:highlight w:val="none"/>
        </w:rPr>
      </w:pPr>
    </w:p>
    <w:p>
      <w:pPr>
        <w:spacing w:line="360" w:lineRule="auto"/>
        <w:jc w:val="center"/>
        <w:outlineLvl w:val="0"/>
        <w:rPr>
          <w:rFonts w:hint="eastAsia" w:ascii="宋体" w:hAnsi="宋体" w:cs="Times New Roman" w:eastAsiaTheme="minorEastAsia"/>
          <w:b/>
          <w:bCs/>
          <w:color w:val="auto"/>
          <w:sz w:val="52"/>
          <w:szCs w:val="52"/>
          <w:highlight w:val="none"/>
        </w:rPr>
      </w:pPr>
      <w:bookmarkStart w:id="714" w:name="_Toc8832"/>
      <w:r>
        <w:rPr>
          <w:rFonts w:hint="eastAsia" w:ascii="宋体" w:hAnsi="宋体" w:eastAsia="黑体" w:cs="Times New Roman"/>
          <w:color w:val="auto"/>
          <w:sz w:val="44"/>
          <w:szCs w:val="44"/>
          <w:highlight w:val="none"/>
          <w:u w:val="single"/>
        </w:rPr>
        <w:t>东莞市城市轨道交通2号线三期强弱电系统</w:t>
      </w:r>
      <w:r>
        <w:rPr>
          <w:rFonts w:hint="eastAsia" w:ascii="宋体" w:hAnsi="宋体" w:eastAsia="黑体" w:cs="Times New Roman"/>
          <w:color w:val="auto"/>
          <w:sz w:val="44"/>
          <w:szCs w:val="44"/>
          <w:highlight w:val="none"/>
          <w:u w:val="single"/>
          <w:lang w:val="en-US" w:eastAsia="zh-CN"/>
        </w:rPr>
        <w:t>和</w:t>
      </w:r>
      <w:r>
        <w:rPr>
          <w:rFonts w:hint="eastAsia" w:ascii="宋体" w:hAnsi="宋体" w:eastAsia="黑体" w:cs="Times New Roman"/>
          <w:color w:val="auto"/>
          <w:sz w:val="44"/>
          <w:szCs w:val="44"/>
          <w:highlight w:val="none"/>
          <w:u w:val="single"/>
        </w:rPr>
        <w:t>车站设备集成服务</w:t>
      </w:r>
      <w:r>
        <w:rPr>
          <w:rFonts w:hint="eastAsia" w:ascii="宋体" w:hAnsi="宋体" w:eastAsia="黑体" w:cs="Times New Roman"/>
          <w:color w:val="auto"/>
          <w:sz w:val="44"/>
          <w:szCs w:val="44"/>
          <w:highlight w:val="none"/>
          <w:u w:val="single"/>
          <w:lang w:eastAsia="zh-CN"/>
        </w:rPr>
        <w:t>（</w:t>
      </w:r>
      <w:r>
        <w:rPr>
          <w:rFonts w:hint="eastAsia" w:ascii="宋体" w:hAnsi="宋体" w:eastAsia="黑体" w:cs="Times New Roman"/>
          <w:color w:val="auto"/>
          <w:sz w:val="44"/>
          <w:szCs w:val="44"/>
          <w:highlight w:val="none"/>
          <w:u w:val="single"/>
        </w:rPr>
        <w:t>2532 标</w:t>
      </w:r>
      <w:bookmarkEnd w:id="714"/>
      <w:r>
        <w:rPr>
          <w:rFonts w:hint="eastAsia" w:ascii="宋体" w:hAnsi="宋体" w:eastAsia="黑体" w:cs="Times New Roman"/>
          <w:color w:val="auto"/>
          <w:sz w:val="44"/>
          <w:szCs w:val="44"/>
          <w:highlight w:val="none"/>
          <w:u w:val="single"/>
          <w:lang w:eastAsia="zh-CN"/>
        </w:rPr>
        <w:t>）</w:t>
      </w:r>
    </w:p>
    <w:p>
      <w:pPr>
        <w:spacing w:line="360" w:lineRule="auto"/>
        <w:jc w:val="center"/>
        <w:rPr>
          <w:rFonts w:hint="eastAsia" w:ascii="宋体" w:hAnsi="宋体" w:cs="Times New Roman" w:eastAsiaTheme="minorEastAsia"/>
          <w:b/>
          <w:bCs/>
          <w:color w:val="auto"/>
          <w:sz w:val="52"/>
          <w:szCs w:val="52"/>
          <w:highlight w:val="none"/>
        </w:rPr>
      </w:pPr>
    </w:p>
    <w:p>
      <w:pPr>
        <w:spacing w:line="360" w:lineRule="auto"/>
        <w:jc w:val="center"/>
        <w:outlineLvl w:val="9"/>
        <w:rPr>
          <w:rFonts w:hint="eastAsia" w:ascii="Times New Roman" w:hAnsi="Times New Roman" w:eastAsia="黑体" w:cs="Times New Roman"/>
          <w:b w:val="0"/>
          <w:bCs w:val="0"/>
          <w:color w:val="auto"/>
          <w:sz w:val="52"/>
          <w:szCs w:val="52"/>
          <w:highlight w:val="none"/>
          <w:u w:val="none"/>
        </w:rPr>
      </w:pPr>
      <w:bookmarkStart w:id="715" w:name="_Toc28782"/>
      <w:bookmarkStart w:id="716" w:name="_Toc4177"/>
      <w:bookmarkStart w:id="717" w:name="_Toc2538"/>
      <w:bookmarkStart w:id="718" w:name="_Toc21837"/>
      <w:r>
        <w:rPr>
          <w:rFonts w:hint="eastAsia" w:ascii="Times New Roman" w:hAnsi="Times New Roman" w:eastAsia="黑体" w:cs="Times New Roman"/>
          <w:b w:val="0"/>
          <w:bCs w:val="0"/>
          <w:color w:val="auto"/>
          <w:sz w:val="52"/>
          <w:szCs w:val="52"/>
          <w:highlight w:val="none"/>
          <w:u w:val="none"/>
          <w:lang w:val="en-US" w:eastAsia="zh-CN"/>
        </w:rPr>
        <w:t>集成服务</w:t>
      </w:r>
      <w:r>
        <w:rPr>
          <w:rFonts w:hint="eastAsia" w:ascii="Times New Roman" w:hAnsi="Times New Roman" w:eastAsia="黑体" w:cs="Times New Roman"/>
          <w:b w:val="0"/>
          <w:bCs w:val="0"/>
          <w:color w:val="auto"/>
          <w:sz w:val="52"/>
          <w:szCs w:val="52"/>
          <w:highlight w:val="none"/>
          <w:u w:val="none"/>
        </w:rPr>
        <w:t>合同</w:t>
      </w:r>
      <w:bookmarkEnd w:id="715"/>
      <w:bookmarkEnd w:id="716"/>
      <w:bookmarkEnd w:id="717"/>
      <w:bookmarkEnd w:id="718"/>
    </w:p>
    <w:p>
      <w:pPr>
        <w:spacing w:line="360" w:lineRule="auto"/>
        <w:jc w:val="center"/>
        <w:rPr>
          <w:rFonts w:hint="default" w:ascii="宋体" w:hAnsi="宋体" w:eastAsia="宋体" w:cs="Times New Roman"/>
          <w:bCs/>
          <w:color w:val="auto"/>
          <w:sz w:val="30"/>
          <w:szCs w:val="30"/>
          <w:highlight w:val="none"/>
          <w:lang w:val="en-US" w:eastAsia="zh-CN"/>
        </w:rPr>
      </w:pPr>
      <w:r>
        <w:rPr>
          <w:rFonts w:hint="eastAsia" w:ascii="宋体" w:hAnsi="宋体" w:cs="Times New Roman" w:eastAsiaTheme="minorEastAsia"/>
          <w:bCs/>
          <w:color w:val="auto"/>
          <w:sz w:val="30"/>
          <w:szCs w:val="30"/>
          <w:highlight w:val="none"/>
          <w:lang w:val="en-US" w:eastAsia="zh-CN"/>
        </w:rPr>
        <w:t>（合同编号：）</w:t>
      </w:r>
    </w:p>
    <w:p>
      <w:pPr>
        <w:spacing w:line="360" w:lineRule="auto"/>
        <w:jc w:val="center"/>
        <w:rPr>
          <w:rFonts w:hint="eastAsia" w:ascii="宋体" w:hAnsi="宋体" w:cs="Times New Roman" w:eastAsiaTheme="minorEastAsia"/>
          <w:bCs/>
          <w:color w:val="auto"/>
          <w:sz w:val="48"/>
          <w:szCs w:val="48"/>
          <w:highlight w:val="none"/>
        </w:rPr>
      </w:pPr>
    </w:p>
    <w:p>
      <w:pPr>
        <w:spacing w:line="360" w:lineRule="auto"/>
        <w:jc w:val="center"/>
        <w:rPr>
          <w:rFonts w:hint="eastAsia" w:ascii="宋体" w:hAnsi="宋体" w:cs="Times New Roman" w:eastAsiaTheme="minorEastAsia"/>
          <w:b/>
          <w:bCs/>
          <w:color w:val="auto"/>
          <w:sz w:val="24"/>
          <w:highlight w:val="none"/>
        </w:rPr>
      </w:pPr>
    </w:p>
    <w:p>
      <w:pPr>
        <w:spacing w:line="360" w:lineRule="auto"/>
        <w:jc w:val="center"/>
        <w:rPr>
          <w:rFonts w:hint="eastAsia" w:ascii="宋体" w:hAnsi="宋体" w:cs="Times New Roman" w:eastAsiaTheme="minorEastAsia"/>
          <w:b/>
          <w:bCs/>
          <w:color w:val="auto"/>
          <w:sz w:val="24"/>
          <w:highlight w:val="none"/>
        </w:rPr>
      </w:pPr>
    </w:p>
    <w:p>
      <w:pPr>
        <w:spacing w:line="360" w:lineRule="auto"/>
        <w:jc w:val="center"/>
        <w:rPr>
          <w:rFonts w:hint="eastAsia" w:ascii="宋体" w:hAnsi="宋体" w:cs="Times New Roman" w:eastAsiaTheme="minorEastAsia"/>
          <w:b/>
          <w:bCs/>
          <w:color w:val="auto"/>
          <w:sz w:val="24"/>
          <w:highlight w:val="none"/>
        </w:rPr>
      </w:pPr>
    </w:p>
    <w:p>
      <w:pPr>
        <w:spacing w:line="360" w:lineRule="auto"/>
        <w:ind w:firstLine="500" w:firstLineChars="200"/>
        <w:jc w:val="left"/>
        <w:rPr>
          <w:rFonts w:hint="eastAsia" w:ascii="宋体" w:hAnsi="宋体" w:eastAsia="宋体" w:cs="宋体"/>
          <w:b w:val="0"/>
          <w:bCs w:val="0"/>
          <w:color w:val="auto"/>
          <w:spacing w:val="20"/>
          <w:sz w:val="21"/>
          <w:szCs w:val="21"/>
          <w:highlight w:val="none"/>
          <w:lang w:val="zh-CN"/>
        </w:rPr>
      </w:pPr>
    </w:p>
    <w:p>
      <w:pPr>
        <w:wordWrap/>
        <w:spacing w:line="360" w:lineRule="auto"/>
        <w:ind w:firstLine="500" w:firstLineChars="200"/>
        <w:outlineLvl w:val="9"/>
        <w:rPr>
          <w:rFonts w:hint="eastAsia" w:ascii="宋体" w:hAnsi="宋体" w:eastAsia="宋体" w:cs="宋体"/>
          <w:b w:val="0"/>
          <w:bCs w:val="0"/>
          <w:color w:val="auto"/>
          <w:spacing w:val="20"/>
          <w:sz w:val="21"/>
          <w:szCs w:val="21"/>
          <w:highlight w:val="none"/>
          <w:lang w:val="zh-CN"/>
        </w:rPr>
      </w:pPr>
      <w:bookmarkStart w:id="719" w:name="_Toc28615"/>
      <w:bookmarkStart w:id="720" w:name="_Toc10976"/>
      <w:r>
        <w:rPr>
          <w:rFonts w:hint="eastAsia" w:ascii="宋体" w:hAnsi="宋体" w:eastAsia="宋体" w:cs="宋体"/>
          <w:b w:val="0"/>
          <w:bCs w:val="0"/>
          <w:color w:val="auto"/>
          <w:spacing w:val="20"/>
          <w:sz w:val="21"/>
          <w:szCs w:val="21"/>
          <w:highlight w:val="none"/>
          <w:lang w:val="zh-CN" w:eastAsia="zh-CN"/>
        </w:rPr>
        <w:t>业  主  单  位</w:t>
      </w:r>
      <w:r>
        <w:rPr>
          <w:rFonts w:hint="eastAsia" w:ascii="宋体" w:hAnsi="宋体" w:eastAsia="宋体" w:cs="宋体"/>
          <w:b w:val="0"/>
          <w:bCs w:val="0"/>
          <w:color w:val="auto"/>
          <w:spacing w:val="20"/>
          <w:sz w:val="21"/>
          <w:szCs w:val="21"/>
          <w:highlight w:val="none"/>
          <w:lang w:val="zh-CN"/>
        </w:rPr>
        <w:t>：</w:t>
      </w:r>
      <w:r>
        <w:rPr>
          <w:rFonts w:hint="eastAsia" w:ascii="宋体" w:hAnsi="宋体" w:eastAsia="宋体" w:cs="宋体"/>
          <w:b w:val="0"/>
          <w:bCs w:val="0"/>
          <w:color w:val="auto"/>
          <w:spacing w:val="20"/>
          <w:sz w:val="21"/>
          <w:szCs w:val="21"/>
          <w:highlight w:val="none"/>
          <w:u w:val="none"/>
          <w:lang w:val="zh-CN"/>
        </w:rPr>
        <w:t>东莞轨道交通二号线三期投资有限公司</w:t>
      </w:r>
      <w:bookmarkEnd w:id="719"/>
      <w:bookmarkEnd w:id="720"/>
    </w:p>
    <w:p>
      <w:pPr>
        <w:wordWrap/>
        <w:spacing w:line="360" w:lineRule="auto"/>
        <w:ind w:firstLine="500" w:firstLineChars="200"/>
        <w:outlineLvl w:val="9"/>
        <w:rPr>
          <w:rFonts w:hint="eastAsia" w:ascii="宋体" w:hAnsi="宋体" w:eastAsia="宋体" w:cs="宋体"/>
          <w:b w:val="0"/>
          <w:bCs w:val="0"/>
          <w:color w:val="auto"/>
          <w:spacing w:val="20"/>
          <w:sz w:val="21"/>
          <w:szCs w:val="21"/>
          <w:highlight w:val="none"/>
          <w:lang w:val="zh-CN"/>
        </w:rPr>
      </w:pPr>
      <w:bookmarkStart w:id="721" w:name="_Toc27194"/>
      <w:r>
        <w:rPr>
          <w:rFonts w:hint="eastAsia" w:ascii="宋体" w:hAnsi="宋体" w:eastAsia="宋体" w:cs="宋体"/>
          <w:b w:val="0"/>
          <w:bCs w:val="0"/>
          <w:color w:val="auto"/>
          <w:spacing w:val="20"/>
          <w:sz w:val="21"/>
          <w:szCs w:val="21"/>
          <w:highlight w:val="none"/>
          <w:lang w:val="zh-CN" w:eastAsia="zh-CN"/>
        </w:rPr>
        <w:t>委托人（</w:t>
      </w:r>
      <w:r>
        <w:rPr>
          <w:rFonts w:hint="eastAsia" w:ascii="宋体" w:hAnsi="宋体" w:eastAsia="宋体" w:cs="宋体"/>
          <w:b w:val="0"/>
          <w:bCs w:val="0"/>
          <w:color w:val="auto"/>
          <w:spacing w:val="20"/>
          <w:sz w:val="21"/>
          <w:szCs w:val="21"/>
          <w:highlight w:val="none"/>
          <w:lang w:val="zh-CN"/>
        </w:rPr>
        <w:t>甲方</w:t>
      </w:r>
      <w:r>
        <w:rPr>
          <w:rFonts w:hint="eastAsia" w:ascii="宋体" w:hAnsi="宋体" w:eastAsia="宋体" w:cs="宋体"/>
          <w:b w:val="0"/>
          <w:bCs w:val="0"/>
          <w:color w:val="auto"/>
          <w:spacing w:val="20"/>
          <w:sz w:val="21"/>
          <w:szCs w:val="21"/>
          <w:highlight w:val="none"/>
          <w:lang w:val="zh-CN" w:eastAsia="zh-CN"/>
        </w:rPr>
        <w:t>）</w:t>
      </w:r>
      <w:r>
        <w:rPr>
          <w:rFonts w:hint="eastAsia" w:ascii="宋体" w:hAnsi="宋体" w:eastAsia="宋体" w:cs="宋体"/>
          <w:b w:val="0"/>
          <w:bCs w:val="0"/>
          <w:color w:val="auto"/>
          <w:spacing w:val="20"/>
          <w:sz w:val="21"/>
          <w:szCs w:val="21"/>
          <w:highlight w:val="none"/>
          <w:lang w:val="zh-CN"/>
        </w:rPr>
        <w:t>：</w:t>
      </w:r>
      <w:r>
        <w:rPr>
          <w:rFonts w:hint="eastAsia" w:ascii="宋体" w:hAnsi="宋体" w:eastAsia="宋体" w:cs="宋体"/>
          <w:b w:val="0"/>
          <w:bCs w:val="0"/>
          <w:color w:val="auto"/>
          <w:spacing w:val="20"/>
          <w:sz w:val="21"/>
          <w:szCs w:val="21"/>
          <w:highlight w:val="none"/>
          <w:u w:val="none"/>
          <w:lang w:val="zh-CN"/>
        </w:rPr>
        <w:t>东莞市轨道交通有限公司</w:t>
      </w:r>
      <w:bookmarkEnd w:id="721"/>
    </w:p>
    <w:p>
      <w:pPr>
        <w:spacing w:line="360" w:lineRule="auto"/>
        <w:ind w:firstLine="500" w:firstLineChars="200"/>
        <w:jc w:val="left"/>
        <w:rPr>
          <w:rFonts w:hint="eastAsia" w:ascii="宋体" w:hAnsi="宋体" w:eastAsia="宋体" w:cs="宋体"/>
          <w:b w:val="0"/>
          <w:bCs w:val="0"/>
          <w:color w:val="auto"/>
          <w:spacing w:val="20"/>
          <w:sz w:val="21"/>
          <w:szCs w:val="21"/>
          <w:highlight w:val="none"/>
          <w:lang w:val="zh-CN"/>
        </w:rPr>
      </w:pPr>
      <w:r>
        <w:rPr>
          <w:rFonts w:hint="eastAsia" w:ascii="宋体" w:hAnsi="宋体" w:eastAsia="宋体" w:cs="宋体"/>
          <w:b w:val="0"/>
          <w:bCs w:val="0"/>
          <w:color w:val="auto"/>
          <w:spacing w:val="20"/>
          <w:sz w:val="21"/>
          <w:szCs w:val="21"/>
          <w:highlight w:val="none"/>
          <w:lang w:val="en-US" w:eastAsia="zh-CN"/>
        </w:rPr>
        <w:t>集成服务</w:t>
      </w:r>
      <w:r>
        <w:rPr>
          <w:rFonts w:hint="eastAsia" w:ascii="宋体" w:hAnsi="宋体" w:eastAsia="宋体" w:cs="宋体"/>
          <w:b w:val="0"/>
          <w:bCs w:val="0"/>
          <w:color w:val="auto"/>
          <w:spacing w:val="20"/>
          <w:sz w:val="21"/>
          <w:szCs w:val="21"/>
          <w:highlight w:val="none"/>
          <w:lang w:val="zh-CN" w:eastAsia="zh-CN"/>
        </w:rPr>
        <w:t>单位（</w:t>
      </w:r>
      <w:r>
        <w:rPr>
          <w:rFonts w:hint="eastAsia" w:ascii="宋体" w:hAnsi="宋体" w:eastAsia="宋体" w:cs="宋体"/>
          <w:b w:val="0"/>
          <w:bCs w:val="0"/>
          <w:color w:val="auto"/>
          <w:spacing w:val="20"/>
          <w:sz w:val="21"/>
          <w:szCs w:val="21"/>
          <w:highlight w:val="none"/>
          <w:lang w:val="zh-CN"/>
        </w:rPr>
        <w:t>乙方</w:t>
      </w:r>
      <w:r>
        <w:rPr>
          <w:rFonts w:hint="eastAsia" w:ascii="宋体" w:hAnsi="宋体" w:eastAsia="宋体" w:cs="宋体"/>
          <w:b w:val="0"/>
          <w:bCs w:val="0"/>
          <w:color w:val="auto"/>
          <w:spacing w:val="20"/>
          <w:sz w:val="21"/>
          <w:szCs w:val="21"/>
          <w:highlight w:val="none"/>
          <w:lang w:val="zh-CN" w:eastAsia="zh-CN"/>
        </w:rPr>
        <w:t>）</w:t>
      </w:r>
      <w:r>
        <w:rPr>
          <w:rFonts w:hint="eastAsia" w:ascii="宋体" w:hAnsi="宋体" w:eastAsia="宋体" w:cs="宋体"/>
          <w:b w:val="0"/>
          <w:bCs w:val="0"/>
          <w:color w:val="auto"/>
          <w:spacing w:val="20"/>
          <w:sz w:val="21"/>
          <w:szCs w:val="21"/>
          <w:highlight w:val="none"/>
          <w:lang w:val="zh-CN"/>
        </w:rPr>
        <w:t>：</w:t>
      </w:r>
      <w:r>
        <w:rPr>
          <w:rFonts w:hint="eastAsia" w:ascii="宋体" w:hAnsi="宋体" w:eastAsia="宋体" w:cs="宋体"/>
          <w:b w:val="0"/>
          <w:bCs w:val="0"/>
          <w:color w:val="auto"/>
          <w:spacing w:val="20"/>
          <w:sz w:val="21"/>
          <w:szCs w:val="21"/>
          <w:highlight w:val="none"/>
          <w:u w:val="none"/>
          <w:lang w:val="zh-CN" w:eastAsia="zh-CN"/>
        </w:rPr>
        <w:t xml:space="preserve">   </w:t>
      </w:r>
    </w:p>
    <w:p>
      <w:pPr>
        <w:adjustRightInd w:val="0"/>
        <w:snapToGrid w:val="0"/>
        <w:spacing w:line="360" w:lineRule="auto"/>
        <w:jc w:val="center"/>
        <w:rPr>
          <w:rFonts w:ascii="宋体" w:hAnsi="宋体" w:eastAsia="宋体" w:cs="宋体"/>
          <w:b/>
          <w:color w:val="auto"/>
          <w:sz w:val="30"/>
          <w:highlight w:val="none"/>
        </w:rPr>
      </w:pPr>
    </w:p>
    <w:p>
      <w:pPr>
        <w:widowControl w:val="0"/>
        <w:adjustRightInd w:val="0"/>
        <w:spacing w:before="120" w:after="120" w:line="312" w:lineRule="atLeast"/>
        <w:ind w:right="25" w:rightChars="12"/>
        <w:jc w:val="left"/>
        <w:textAlignment w:val="baseline"/>
        <w:rPr>
          <w:rFonts w:hint="eastAsia" w:ascii="宋体" w:hAnsi="宋体" w:eastAsia="宋体" w:cs="宋体"/>
          <w:b/>
          <w:caps/>
          <w:color w:val="auto"/>
          <w:kern w:val="0"/>
          <w:sz w:val="20"/>
          <w:szCs w:val="20"/>
          <w:highlight w:val="none"/>
          <w:lang w:val="en-US" w:eastAsia="zh-CN" w:bidi="ar-SA"/>
        </w:rPr>
      </w:pPr>
    </w:p>
    <w:p>
      <w:pPr>
        <w:widowControl w:val="0"/>
        <w:adjustRightInd w:val="0"/>
        <w:spacing w:before="120" w:after="120" w:line="312" w:lineRule="atLeast"/>
        <w:ind w:right="25" w:rightChars="12"/>
        <w:jc w:val="left"/>
        <w:textAlignment w:val="baseline"/>
        <w:rPr>
          <w:rFonts w:hint="eastAsia" w:ascii="宋体" w:hAnsi="宋体" w:eastAsia="宋体" w:cs="宋体"/>
          <w:b/>
          <w:caps/>
          <w:color w:val="auto"/>
          <w:kern w:val="0"/>
          <w:sz w:val="20"/>
          <w:szCs w:val="20"/>
          <w:highlight w:val="none"/>
          <w:lang w:val="en-US" w:eastAsia="zh-CN" w:bidi="ar-SA"/>
        </w:rPr>
      </w:pPr>
    </w:p>
    <w:p>
      <w:pPr>
        <w:widowControl w:val="0"/>
        <w:adjustRightInd w:val="0"/>
        <w:spacing w:before="120" w:after="120" w:line="312" w:lineRule="atLeast"/>
        <w:ind w:right="25" w:rightChars="12"/>
        <w:jc w:val="left"/>
        <w:textAlignment w:val="baseline"/>
        <w:rPr>
          <w:rFonts w:hint="eastAsia" w:ascii="宋体" w:hAnsi="宋体" w:eastAsia="宋体" w:cs="宋体"/>
          <w:b/>
          <w:caps/>
          <w:color w:val="auto"/>
          <w:kern w:val="0"/>
          <w:sz w:val="20"/>
          <w:szCs w:val="20"/>
          <w:highlight w:val="none"/>
          <w:lang w:val="en-US" w:eastAsia="zh-CN" w:bidi="ar-SA"/>
        </w:rPr>
      </w:pPr>
    </w:p>
    <w:p>
      <w:pPr>
        <w:widowControl w:val="0"/>
        <w:adjustRightInd w:val="0"/>
        <w:spacing w:before="120" w:after="120" w:line="312" w:lineRule="atLeast"/>
        <w:ind w:right="25" w:rightChars="12"/>
        <w:jc w:val="left"/>
        <w:textAlignment w:val="baseline"/>
        <w:rPr>
          <w:rFonts w:hint="eastAsia" w:ascii="宋体" w:hAnsi="宋体" w:eastAsia="宋体" w:cs="宋体"/>
          <w:b/>
          <w:caps/>
          <w:color w:val="auto"/>
          <w:kern w:val="0"/>
          <w:sz w:val="20"/>
          <w:szCs w:val="20"/>
          <w:highlight w:val="none"/>
          <w:lang w:val="en-US" w:eastAsia="zh-CN" w:bidi="ar-SA"/>
        </w:rPr>
      </w:pPr>
    </w:p>
    <w:p>
      <w:pPr>
        <w:widowControl w:val="0"/>
        <w:adjustRightInd w:val="0"/>
        <w:spacing w:before="120" w:after="120" w:line="312" w:lineRule="atLeast"/>
        <w:ind w:right="25" w:rightChars="12"/>
        <w:jc w:val="left"/>
        <w:textAlignment w:val="baseline"/>
        <w:rPr>
          <w:rFonts w:hint="eastAsia" w:ascii="宋体" w:hAnsi="宋体" w:eastAsia="宋体" w:cs="宋体"/>
          <w:b/>
          <w:caps/>
          <w:color w:val="auto"/>
          <w:kern w:val="0"/>
          <w:sz w:val="20"/>
          <w:szCs w:val="20"/>
          <w:highlight w:val="none"/>
          <w:lang w:val="en-US" w:eastAsia="zh-CN" w:bidi="ar-SA"/>
        </w:rPr>
      </w:pPr>
    </w:p>
    <w:sdt>
      <w:sdtPr>
        <w:rPr>
          <w:rFonts w:ascii="宋体" w:hAnsi="宋体" w:eastAsia="宋体" w:cs="Times New Roman"/>
          <w:color w:val="auto"/>
          <w:kern w:val="2"/>
          <w:sz w:val="21"/>
          <w:szCs w:val="22"/>
          <w:highlight w:val="none"/>
          <w:lang w:val="en-US" w:eastAsia="zh-CN" w:bidi="ar-SA"/>
        </w:rPr>
        <w:id w:val="147472019"/>
        <w15:color w:val="DBDBDB"/>
        <w:docPartObj>
          <w:docPartGallery w:val="Table of Contents"/>
          <w:docPartUnique/>
        </w:docPartObj>
      </w:sdtPr>
      <w:sdtEndPr>
        <w:rPr>
          <w:rFonts w:hint="eastAsia" w:ascii="宋体" w:hAnsi="宋体" w:cs="Times New Roman" w:eastAsiaTheme="minorEastAsia"/>
          <w:b/>
          <w:color w:val="auto"/>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cs="Times New Roman" w:eastAsiaTheme="minorEastAsia"/>
              <w:color w:val="auto"/>
              <w:highlight w:val="none"/>
            </w:rPr>
          </w:pPr>
          <w:r>
            <w:rPr>
              <w:rFonts w:ascii="宋体" w:hAnsi="宋体" w:eastAsia="宋体" w:cs="Times New Roman"/>
              <w:color w:val="auto"/>
              <w:sz w:val="21"/>
              <w:highlight w:val="none"/>
            </w:rPr>
            <w:t>目录</w:t>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color w:val="auto"/>
              <w:sz w:val="20"/>
              <w:szCs w:val="20"/>
              <w:highlight w:val="none"/>
              <w:lang w:val="en-US" w:eastAsia="zh-CN"/>
            </w:rPr>
            <w:fldChar w:fldCharType="begin"/>
          </w:r>
          <w:r>
            <w:rPr>
              <w:rFonts w:hint="eastAsia" w:asciiTheme="minorHAnsi" w:hAnsiTheme="minorHAnsi" w:eastAsiaTheme="minorEastAsia" w:cstheme="minorBidi"/>
              <w:color w:val="auto"/>
              <w:sz w:val="20"/>
              <w:szCs w:val="20"/>
              <w:highlight w:val="none"/>
              <w:lang w:val="en-US" w:eastAsia="zh-CN"/>
            </w:rPr>
            <w:instrText xml:space="preserve">TOC \o "1-2" \h \u </w:instrText>
          </w:r>
          <w:r>
            <w:rPr>
              <w:rFonts w:hint="eastAsia" w:asciiTheme="minorHAnsi" w:hAnsiTheme="minorHAnsi" w:eastAsiaTheme="minorEastAsia" w:cstheme="minorBidi"/>
              <w:color w:val="auto"/>
              <w:sz w:val="20"/>
              <w:szCs w:val="20"/>
              <w:highlight w:val="none"/>
              <w:lang w:val="en-US" w:eastAsia="zh-CN"/>
            </w:rPr>
            <w:fldChar w:fldCharType="separate"/>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_Toc20127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w:t>
          </w:r>
          <w:r>
            <w:rPr>
              <w:rFonts w:hint="eastAsia" w:eastAsia="宋体" w:asciiTheme="minorHAnsi" w:hAnsiTheme="minorHAnsi" w:cstheme="minorBidi"/>
              <w:b/>
              <w:color w:val="auto"/>
              <w:sz w:val="24"/>
              <w:szCs w:val="24"/>
              <w:highlight w:val="none"/>
              <w:lang w:val="en-US" w:eastAsia="zh-CN"/>
            </w:rPr>
            <w:t>一</w:t>
          </w:r>
          <w:r>
            <w:rPr>
              <w:rFonts w:hint="eastAsia" w:asciiTheme="minorHAnsi" w:hAnsiTheme="minorHAnsi" w:eastAsiaTheme="minorEastAsia" w:cstheme="minorBidi"/>
              <w:b/>
              <w:color w:val="auto"/>
              <w:sz w:val="24"/>
              <w:szCs w:val="24"/>
              <w:highlight w:val="none"/>
            </w:rPr>
            <w:t>章  合同协议书</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_Toc20127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49</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_Toc11029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第二章  补充协议书（如果有）</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_Toc11029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51</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_Toc28347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第三章</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合</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同</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条</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款</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_Toc28347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52</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200"/>
            <w:rPr>
              <w:rFonts w:asciiTheme="minorHAnsi" w:hAnsiTheme="minorHAnsi" w:eastAsiaTheme="minorEastAsia" w:cstheme="minorBidi"/>
              <w:color w:val="auto"/>
              <w:sz w:val="24"/>
              <w:szCs w:val="24"/>
              <w:highlight w:val="none"/>
            </w:rPr>
          </w:pPr>
          <w:r>
            <w:rPr>
              <w:rFonts w:hint="eastAsia" w:asciiTheme="minorHAnsi" w:hAnsiTheme="minorHAnsi" w:eastAsiaTheme="minorEastAsia" w:cstheme="minorBidi"/>
              <w:color w:val="auto"/>
              <w:sz w:val="24"/>
              <w:szCs w:val="24"/>
              <w:highlight w:val="none"/>
              <w:lang w:val="en-US" w:eastAsia="zh-CN"/>
            </w:rPr>
            <w:fldChar w:fldCharType="begin"/>
          </w:r>
          <w:r>
            <w:rPr>
              <w:rFonts w:hint="eastAsia" w:asciiTheme="minorHAnsi" w:hAnsiTheme="minorHAnsi" w:eastAsiaTheme="minorEastAsia" w:cstheme="minorBidi"/>
              <w:color w:val="auto"/>
              <w:sz w:val="24"/>
              <w:szCs w:val="24"/>
              <w:highlight w:val="none"/>
              <w:lang w:val="en-US" w:eastAsia="zh-CN"/>
            </w:rPr>
            <w:instrText xml:space="preserve"> HYPERLINK \l _Toc507 </w:instrText>
          </w:r>
          <w:r>
            <w:rPr>
              <w:rFonts w:hint="eastAsia" w:asciiTheme="minorHAnsi" w:hAnsiTheme="minorHAnsi" w:eastAsiaTheme="minorEastAsia" w:cstheme="minorBidi"/>
              <w:color w:val="auto"/>
              <w:sz w:val="24"/>
              <w:szCs w:val="24"/>
              <w:highlight w:val="none"/>
              <w:lang w:val="en-US" w:eastAsia="zh-CN"/>
            </w:rPr>
            <w:fldChar w:fldCharType="separate"/>
          </w:r>
          <w:r>
            <w:rPr>
              <w:rFonts w:hint="eastAsia" w:asciiTheme="minorHAnsi" w:hAnsiTheme="minorHAnsi" w:eastAsiaTheme="minorEastAsia" w:cstheme="minorBidi"/>
              <w:color w:val="auto"/>
              <w:sz w:val="24"/>
              <w:szCs w:val="24"/>
              <w:highlight w:val="none"/>
            </w:rPr>
            <w:t>（一）通用合同条款</w:t>
          </w:r>
          <w:r>
            <w:rPr>
              <w:rFonts w:asciiTheme="minorHAnsi" w:hAnsiTheme="minorHAnsi" w:eastAsiaTheme="minorEastAsia" w:cstheme="minorBidi"/>
              <w:color w:val="auto"/>
              <w:sz w:val="24"/>
              <w:szCs w:val="24"/>
              <w:highlight w:val="none"/>
            </w:rPr>
            <w:tab/>
          </w:r>
          <w:r>
            <w:rPr>
              <w:rFonts w:asciiTheme="minorHAnsi" w:hAnsiTheme="minorHAnsi" w:eastAsiaTheme="minorEastAsia" w:cstheme="minorBidi"/>
              <w:color w:val="auto"/>
              <w:sz w:val="24"/>
              <w:szCs w:val="24"/>
              <w:highlight w:val="none"/>
            </w:rPr>
            <w:fldChar w:fldCharType="begin"/>
          </w:r>
          <w:r>
            <w:rPr>
              <w:rFonts w:asciiTheme="minorHAnsi" w:hAnsiTheme="minorHAnsi" w:eastAsiaTheme="minorEastAsia" w:cstheme="minorBidi"/>
              <w:color w:val="auto"/>
              <w:sz w:val="24"/>
              <w:szCs w:val="24"/>
              <w:highlight w:val="none"/>
            </w:rPr>
            <w:instrText xml:space="preserve"> PAGEREF _Toc507 \h </w:instrText>
          </w:r>
          <w:r>
            <w:rPr>
              <w:rFonts w:asciiTheme="minorHAnsi" w:hAnsiTheme="minorHAnsi" w:eastAsiaTheme="minorEastAsia" w:cstheme="minorBidi"/>
              <w:color w:val="auto"/>
              <w:sz w:val="24"/>
              <w:szCs w:val="24"/>
              <w:highlight w:val="none"/>
            </w:rPr>
            <w:fldChar w:fldCharType="separate"/>
          </w:r>
          <w:r>
            <w:rPr>
              <w:rFonts w:asciiTheme="minorHAnsi" w:hAnsiTheme="minorHAnsi" w:eastAsiaTheme="minorEastAsia" w:cstheme="minorBidi"/>
              <w:color w:val="auto"/>
              <w:sz w:val="24"/>
              <w:szCs w:val="24"/>
              <w:highlight w:val="none"/>
            </w:rPr>
            <w:t>53</w:t>
          </w:r>
          <w:r>
            <w:rPr>
              <w:rFonts w:asciiTheme="minorHAnsi" w:hAnsiTheme="minorHAnsi" w:eastAsiaTheme="minorEastAsia" w:cstheme="minorBidi"/>
              <w:color w:val="auto"/>
              <w:sz w:val="24"/>
              <w:szCs w:val="24"/>
              <w:highlight w:val="none"/>
            </w:rPr>
            <w:fldChar w:fldCharType="end"/>
          </w:r>
          <w:r>
            <w:rPr>
              <w:rFonts w:hint="eastAsia" w:asciiTheme="minorHAnsi" w:hAnsiTheme="minorHAnsi" w:eastAsiaTheme="minorEastAsia" w:cstheme="minorBidi"/>
              <w:color w:val="auto"/>
              <w:sz w:val="24"/>
              <w:szCs w:val="24"/>
              <w:highlight w:val="none"/>
              <w:lang w:val="en-US" w:eastAsia="zh-CN"/>
            </w:rPr>
            <w:fldChar w:fldCharType="end"/>
          </w:r>
        </w:p>
        <w:p>
          <w:pPr>
            <w:tabs>
              <w:tab w:val="right" w:leader="dot" w:pos="8900"/>
            </w:tabs>
            <w:spacing w:line="360" w:lineRule="auto"/>
            <w:ind w:leftChars="200"/>
            <w:rPr>
              <w:rFonts w:asciiTheme="minorHAnsi" w:hAnsiTheme="minorHAnsi" w:eastAsiaTheme="minorEastAsia" w:cstheme="minorBidi"/>
              <w:color w:val="auto"/>
              <w:sz w:val="24"/>
              <w:szCs w:val="24"/>
              <w:highlight w:val="none"/>
            </w:rPr>
          </w:pPr>
          <w:r>
            <w:rPr>
              <w:rFonts w:hint="eastAsia" w:asciiTheme="minorHAnsi" w:hAnsiTheme="minorHAnsi" w:eastAsiaTheme="minorEastAsia" w:cstheme="minorBidi"/>
              <w:color w:val="auto"/>
              <w:sz w:val="24"/>
              <w:szCs w:val="24"/>
              <w:highlight w:val="none"/>
              <w:lang w:val="en-US" w:eastAsia="zh-CN"/>
            </w:rPr>
            <w:fldChar w:fldCharType="begin"/>
          </w:r>
          <w:r>
            <w:rPr>
              <w:rFonts w:hint="eastAsia" w:asciiTheme="minorHAnsi" w:hAnsiTheme="minorHAnsi" w:eastAsiaTheme="minorEastAsia" w:cstheme="minorBidi"/>
              <w:color w:val="auto"/>
              <w:sz w:val="24"/>
              <w:szCs w:val="24"/>
              <w:highlight w:val="none"/>
              <w:lang w:val="en-US" w:eastAsia="zh-CN"/>
            </w:rPr>
            <w:instrText xml:space="preserve"> HYPERLINK \l _Toc23442 </w:instrText>
          </w:r>
          <w:r>
            <w:rPr>
              <w:rFonts w:hint="eastAsia" w:asciiTheme="minorHAnsi" w:hAnsiTheme="minorHAnsi" w:eastAsiaTheme="minorEastAsia" w:cstheme="minorBidi"/>
              <w:color w:val="auto"/>
              <w:sz w:val="24"/>
              <w:szCs w:val="24"/>
              <w:highlight w:val="none"/>
              <w:lang w:val="en-US" w:eastAsia="zh-CN"/>
            </w:rPr>
            <w:fldChar w:fldCharType="separate"/>
          </w:r>
          <w:r>
            <w:rPr>
              <w:rFonts w:hint="eastAsia" w:asciiTheme="minorHAnsi" w:hAnsiTheme="minorHAnsi" w:eastAsiaTheme="minorEastAsia" w:cstheme="minorBidi"/>
              <w:color w:val="auto"/>
              <w:sz w:val="24"/>
              <w:szCs w:val="24"/>
              <w:highlight w:val="none"/>
            </w:rPr>
            <w:t>（二）专用合同条款</w:t>
          </w:r>
          <w:r>
            <w:rPr>
              <w:rFonts w:asciiTheme="minorHAnsi" w:hAnsiTheme="minorHAnsi" w:eastAsiaTheme="minorEastAsia" w:cstheme="minorBidi"/>
              <w:color w:val="auto"/>
              <w:sz w:val="24"/>
              <w:szCs w:val="24"/>
              <w:highlight w:val="none"/>
            </w:rPr>
            <w:tab/>
          </w:r>
          <w:r>
            <w:rPr>
              <w:rFonts w:asciiTheme="minorHAnsi" w:hAnsiTheme="minorHAnsi" w:eastAsiaTheme="minorEastAsia" w:cstheme="minorBidi"/>
              <w:color w:val="auto"/>
              <w:sz w:val="24"/>
              <w:szCs w:val="24"/>
              <w:highlight w:val="none"/>
            </w:rPr>
            <w:fldChar w:fldCharType="begin"/>
          </w:r>
          <w:r>
            <w:rPr>
              <w:rFonts w:asciiTheme="minorHAnsi" w:hAnsiTheme="minorHAnsi" w:eastAsiaTheme="minorEastAsia" w:cstheme="minorBidi"/>
              <w:color w:val="auto"/>
              <w:sz w:val="24"/>
              <w:szCs w:val="24"/>
              <w:highlight w:val="none"/>
            </w:rPr>
            <w:instrText xml:space="preserve"> PAGEREF _Toc23442 \h </w:instrText>
          </w:r>
          <w:r>
            <w:rPr>
              <w:rFonts w:asciiTheme="minorHAnsi" w:hAnsiTheme="minorHAnsi" w:eastAsiaTheme="minorEastAsia" w:cstheme="minorBidi"/>
              <w:color w:val="auto"/>
              <w:sz w:val="24"/>
              <w:szCs w:val="24"/>
              <w:highlight w:val="none"/>
            </w:rPr>
            <w:fldChar w:fldCharType="separate"/>
          </w:r>
          <w:r>
            <w:rPr>
              <w:rFonts w:asciiTheme="minorHAnsi" w:hAnsiTheme="minorHAnsi" w:eastAsiaTheme="minorEastAsia" w:cstheme="minorBidi"/>
              <w:color w:val="auto"/>
              <w:sz w:val="24"/>
              <w:szCs w:val="24"/>
              <w:highlight w:val="none"/>
            </w:rPr>
            <w:t>63</w:t>
          </w:r>
          <w:r>
            <w:rPr>
              <w:rFonts w:asciiTheme="minorHAnsi" w:hAnsiTheme="minorHAnsi" w:eastAsiaTheme="minorEastAsia" w:cstheme="minorBidi"/>
              <w:color w:val="auto"/>
              <w:sz w:val="24"/>
              <w:szCs w:val="24"/>
              <w:highlight w:val="none"/>
            </w:rPr>
            <w:fldChar w:fldCharType="end"/>
          </w:r>
          <w:r>
            <w:rPr>
              <w:rFonts w:hint="eastAsia" w:asciiTheme="minorHAnsi" w:hAnsiTheme="minorHAnsi" w:eastAsiaTheme="minorEastAsia" w:cstheme="minorBidi"/>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_Toc19191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第四章</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价</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格</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清</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单</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_Toc19191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78</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_Toc570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第五章</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合同附件</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_Toc570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79</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_Toc1458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第六章</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合同附录</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_Toc1458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81</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200"/>
            <w:rPr>
              <w:rFonts w:asciiTheme="minorHAnsi" w:hAnsiTheme="minorHAnsi" w:eastAsiaTheme="minorEastAsia" w:cstheme="minorBidi"/>
              <w:color w:val="auto"/>
              <w:sz w:val="24"/>
              <w:szCs w:val="24"/>
              <w:highlight w:val="none"/>
            </w:rPr>
          </w:pPr>
          <w:r>
            <w:rPr>
              <w:rFonts w:hint="eastAsia" w:asciiTheme="minorHAnsi" w:hAnsiTheme="minorHAnsi" w:eastAsiaTheme="minorEastAsia" w:cstheme="minorBidi"/>
              <w:color w:val="auto"/>
              <w:sz w:val="24"/>
              <w:szCs w:val="24"/>
              <w:highlight w:val="none"/>
              <w:lang w:val="en-US" w:eastAsia="zh-CN"/>
            </w:rPr>
            <w:fldChar w:fldCharType="begin"/>
          </w:r>
          <w:r>
            <w:rPr>
              <w:rFonts w:hint="eastAsia" w:asciiTheme="minorHAnsi" w:hAnsiTheme="minorHAnsi" w:eastAsiaTheme="minorEastAsia" w:cstheme="minorBidi"/>
              <w:color w:val="auto"/>
              <w:sz w:val="24"/>
              <w:szCs w:val="24"/>
              <w:highlight w:val="none"/>
              <w:lang w:val="en-US" w:eastAsia="zh-CN"/>
            </w:rPr>
            <w:instrText xml:space="preserve"> HYPERLINK \l _Toc14878 </w:instrText>
          </w:r>
          <w:r>
            <w:rPr>
              <w:rFonts w:hint="eastAsia" w:asciiTheme="minorHAnsi" w:hAnsiTheme="minorHAnsi" w:eastAsiaTheme="minorEastAsia" w:cstheme="minorBidi"/>
              <w:color w:val="auto"/>
              <w:sz w:val="24"/>
              <w:szCs w:val="24"/>
              <w:highlight w:val="none"/>
              <w:lang w:val="en-US" w:eastAsia="zh-CN"/>
            </w:rPr>
            <w:fldChar w:fldCharType="separate"/>
          </w:r>
          <w:r>
            <w:rPr>
              <w:rFonts w:eastAsia="宋体" w:cs="宋体" w:asciiTheme="minorHAnsi" w:hAnsiTheme="minorHAnsi"/>
              <w:bCs/>
              <w:color w:val="auto"/>
              <w:sz w:val="24"/>
              <w:szCs w:val="24"/>
              <w:highlight w:val="none"/>
            </w:rPr>
            <w:t xml:space="preserve">6.1 </w:t>
          </w:r>
          <w:r>
            <w:rPr>
              <w:rFonts w:hint="eastAsia" w:eastAsia="宋体" w:cs="宋体" w:asciiTheme="minorHAnsi" w:hAnsiTheme="minorHAnsi"/>
              <w:bCs/>
              <w:color w:val="auto"/>
              <w:sz w:val="24"/>
              <w:szCs w:val="24"/>
              <w:highlight w:val="none"/>
            </w:rPr>
            <w:t>履约保函格式</w:t>
          </w:r>
          <w:r>
            <w:rPr>
              <w:rFonts w:asciiTheme="minorHAnsi" w:hAnsiTheme="minorHAnsi" w:eastAsiaTheme="minorEastAsia" w:cstheme="minorBidi"/>
              <w:color w:val="auto"/>
              <w:sz w:val="24"/>
              <w:szCs w:val="24"/>
              <w:highlight w:val="none"/>
            </w:rPr>
            <w:tab/>
          </w:r>
          <w:r>
            <w:rPr>
              <w:rFonts w:asciiTheme="minorHAnsi" w:hAnsiTheme="minorHAnsi" w:eastAsiaTheme="minorEastAsia" w:cstheme="minorBidi"/>
              <w:color w:val="auto"/>
              <w:sz w:val="24"/>
              <w:szCs w:val="24"/>
              <w:highlight w:val="none"/>
            </w:rPr>
            <w:fldChar w:fldCharType="begin"/>
          </w:r>
          <w:r>
            <w:rPr>
              <w:rFonts w:asciiTheme="minorHAnsi" w:hAnsiTheme="minorHAnsi" w:eastAsiaTheme="minorEastAsia" w:cstheme="minorBidi"/>
              <w:color w:val="auto"/>
              <w:sz w:val="24"/>
              <w:szCs w:val="24"/>
              <w:highlight w:val="none"/>
            </w:rPr>
            <w:instrText xml:space="preserve"> PAGEREF _Toc14878 \h </w:instrText>
          </w:r>
          <w:r>
            <w:rPr>
              <w:rFonts w:asciiTheme="minorHAnsi" w:hAnsiTheme="minorHAnsi" w:eastAsiaTheme="minorEastAsia" w:cstheme="minorBidi"/>
              <w:color w:val="auto"/>
              <w:sz w:val="24"/>
              <w:szCs w:val="24"/>
              <w:highlight w:val="none"/>
            </w:rPr>
            <w:fldChar w:fldCharType="separate"/>
          </w:r>
          <w:r>
            <w:rPr>
              <w:rFonts w:asciiTheme="minorHAnsi" w:hAnsiTheme="minorHAnsi" w:eastAsiaTheme="minorEastAsia" w:cstheme="minorBidi"/>
              <w:color w:val="auto"/>
              <w:sz w:val="24"/>
              <w:szCs w:val="24"/>
              <w:highlight w:val="none"/>
            </w:rPr>
            <w:t>82</w:t>
          </w:r>
          <w:r>
            <w:rPr>
              <w:rFonts w:asciiTheme="minorHAnsi" w:hAnsiTheme="minorHAnsi" w:eastAsiaTheme="minorEastAsia" w:cstheme="minorBidi"/>
              <w:color w:val="auto"/>
              <w:sz w:val="24"/>
              <w:szCs w:val="24"/>
              <w:highlight w:val="none"/>
            </w:rPr>
            <w:fldChar w:fldCharType="end"/>
          </w:r>
          <w:r>
            <w:rPr>
              <w:rFonts w:hint="eastAsia" w:asciiTheme="minorHAnsi" w:hAnsiTheme="minorHAnsi" w:eastAsiaTheme="minorEastAsia" w:cstheme="minorBidi"/>
              <w:color w:val="auto"/>
              <w:sz w:val="24"/>
              <w:szCs w:val="24"/>
              <w:highlight w:val="none"/>
              <w:lang w:val="en-US" w:eastAsia="zh-CN"/>
            </w:rPr>
            <w:fldChar w:fldCharType="end"/>
          </w:r>
        </w:p>
        <w:p>
          <w:pPr>
            <w:tabs>
              <w:tab w:val="right" w:leader="dot" w:pos="8900"/>
            </w:tabs>
            <w:spacing w:line="360" w:lineRule="auto"/>
            <w:ind w:leftChars="200"/>
            <w:rPr>
              <w:rFonts w:asciiTheme="minorHAnsi" w:hAnsiTheme="minorHAnsi" w:eastAsiaTheme="minorEastAsia" w:cstheme="minorBidi"/>
              <w:color w:val="auto"/>
              <w:sz w:val="24"/>
              <w:szCs w:val="24"/>
              <w:highlight w:val="none"/>
            </w:rPr>
          </w:pPr>
          <w:r>
            <w:rPr>
              <w:rFonts w:hint="eastAsia" w:asciiTheme="minorHAnsi" w:hAnsiTheme="minorHAnsi" w:eastAsiaTheme="minorEastAsia" w:cstheme="minorBidi"/>
              <w:color w:val="auto"/>
              <w:sz w:val="24"/>
              <w:szCs w:val="24"/>
              <w:highlight w:val="none"/>
              <w:lang w:val="en-US" w:eastAsia="zh-CN"/>
            </w:rPr>
            <w:fldChar w:fldCharType="begin"/>
          </w:r>
          <w:r>
            <w:rPr>
              <w:rFonts w:hint="eastAsia" w:asciiTheme="minorHAnsi" w:hAnsiTheme="minorHAnsi" w:eastAsiaTheme="minorEastAsia" w:cstheme="minorBidi"/>
              <w:color w:val="auto"/>
              <w:sz w:val="24"/>
              <w:szCs w:val="24"/>
              <w:highlight w:val="none"/>
              <w:lang w:val="en-US" w:eastAsia="zh-CN"/>
            </w:rPr>
            <w:instrText xml:space="preserve"> HYPERLINK \l _Toc17566 </w:instrText>
          </w:r>
          <w:r>
            <w:rPr>
              <w:rFonts w:hint="eastAsia" w:asciiTheme="minorHAnsi" w:hAnsiTheme="minorHAnsi" w:eastAsiaTheme="minorEastAsia" w:cstheme="minorBidi"/>
              <w:color w:val="auto"/>
              <w:sz w:val="24"/>
              <w:szCs w:val="24"/>
              <w:highlight w:val="none"/>
              <w:lang w:val="en-US" w:eastAsia="zh-CN"/>
            </w:rPr>
            <w:fldChar w:fldCharType="separate"/>
          </w:r>
          <w:r>
            <w:rPr>
              <w:rFonts w:asciiTheme="minorHAnsi" w:hAnsiTheme="minorHAnsi" w:eastAsiaTheme="minorEastAsia" w:cstheme="minorBidi"/>
              <w:bCs/>
              <w:color w:val="auto"/>
              <w:sz w:val="24"/>
              <w:szCs w:val="24"/>
              <w:highlight w:val="none"/>
            </w:rPr>
            <w:t>6.2 履约保函公证书格式</w:t>
          </w:r>
          <w:r>
            <w:rPr>
              <w:rFonts w:asciiTheme="minorHAnsi" w:hAnsiTheme="minorHAnsi" w:eastAsiaTheme="minorEastAsia" w:cstheme="minorBidi"/>
              <w:color w:val="auto"/>
              <w:sz w:val="24"/>
              <w:szCs w:val="24"/>
              <w:highlight w:val="none"/>
            </w:rPr>
            <w:tab/>
          </w:r>
          <w:r>
            <w:rPr>
              <w:rFonts w:asciiTheme="minorHAnsi" w:hAnsiTheme="minorHAnsi" w:eastAsiaTheme="minorEastAsia" w:cstheme="minorBidi"/>
              <w:color w:val="auto"/>
              <w:sz w:val="24"/>
              <w:szCs w:val="24"/>
              <w:highlight w:val="none"/>
            </w:rPr>
            <w:fldChar w:fldCharType="begin"/>
          </w:r>
          <w:r>
            <w:rPr>
              <w:rFonts w:asciiTheme="minorHAnsi" w:hAnsiTheme="minorHAnsi" w:eastAsiaTheme="minorEastAsia" w:cstheme="minorBidi"/>
              <w:color w:val="auto"/>
              <w:sz w:val="24"/>
              <w:szCs w:val="24"/>
              <w:highlight w:val="none"/>
            </w:rPr>
            <w:instrText xml:space="preserve"> PAGEREF _Toc17566 \h </w:instrText>
          </w:r>
          <w:r>
            <w:rPr>
              <w:rFonts w:asciiTheme="minorHAnsi" w:hAnsiTheme="minorHAnsi" w:eastAsiaTheme="minorEastAsia" w:cstheme="minorBidi"/>
              <w:color w:val="auto"/>
              <w:sz w:val="24"/>
              <w:szCs w:val="24"/>
              <w:highlight w:val="none"/>
            </w:rPr>
            <w:fldChar w:fldCharType="separate"/>
          </w:r>
          <w:r>
            <w:rPr>
              <w:rFonts w:asciiTheme="minorHAnsi" w:hAnsiTheme="minorHAnsi" w:eastAsiaTheme="minorEastAsia" w:cstheme="minorBidi"/>
              <w:color w:val="auto"/>
              <w:sz w:val="24"/>
              <w:szCs w:val="24"/>
              <w:highlight w:val="none"/>
            </w:rPr>
            <w:t>83</w:t>
          </w:r>
          <w:r>
            <w:rPr>
              <w:rFonts w:asciiTheme="minorHAnsi" w:hAnsiTheme="minorHAnsi" w:eastAsiaTheme="minorEastAsia" w:cstheme="minorBidi"/>
              <w:color w:val="auto"/>
              <w:sz w:val="24"/>
              <w:szCs w:val="24"/>
              <w:highlight w:val="none"/>
            </w:rPr>
            <w:fldChar w:fldCharType="end"/>
          </w:r>
          <w:r>
            <w:rPr>
              <w:rFonts w:hint="eastAsia" w:asciiTheme="minorHAnsi" w:hAnsiTheme="minorHAnsi" w:eastAsiaTheme="minorEastAsia" w:cstheme="minorBidi"/>
              <w:color w:val="auto"/>
              <w:sz w:val="24"/>
              <w:szCs w:val="24"/>
              <w:highlight w:val="none"/>
              <w:lang w:val="en-US" w:eastAsia="zh-CN"/>
            </w:rPr>
            <w:fldChar w:fldCharType="end"/>
          </w:r>
        </w:p>
        <w:p>
          <w:pPr>
            <w:tabs>
              <w:tab w:val="right" w:leader="dot" w:pos="8900"/>
            </w:tabs>
            <w:spacing w:line="360" w:lineRule="auto"/>
            <w:ind w:leftChars="200"/>
            <w:rPr>
              <w:rFonts w:asciiTheme="minorHAnsi" w:hAnsiTheme="minorHAnsi" w:eastAsiaTheme="minorEastAsia" w:cstheme="minorBidi"/>
              <w:color w:val="auto"/>
              <w:sz w:val="24"/>
              <w:szCs w:val="24"/>
              <w:highlight w:val="none"/>
            </w:rPr>
          </w:pPr>
          <w:r>
            <w:rPr>
              <w:rFonts w:hint="eastAsia" w:asciiTheme="minorHAnsi" w:hAnsiTheme="minorHAnsi" w:eastAsiaTheme="minorEastAsia" w:cstheme="minorBidi"/>
              <w:color w:val="auto"/>
              <w:sz w:val="24"/>
              <w:szCs w:val="24"/>
              <w:highlight w:val="none"/>
              <w:lang w:val="en-US" w:eastAsia="zh-CN"/>
            </w:rPr>
            <w:fldChar w:fldCharType="begin"/>
          </w:r>
          <w:r>
            <w:rPr>
              <w:rFonts w:hint="eastAsia" w:asciiTheme="minorHAnsi" w:hAnsiTheme="minorHAnsi" w:eastAsiaTheme="minorEastAsia" w:cstheme="minorBidi"/>
              <w:color w:val="auto"/>
              <w:sz w:val="24"/>
              <w:szCs w:val="24"/>
              <w:highlight w:val="none"/>
              <w:lang w:val="en-US" w:eastAsia="zh-CN"/>
            </w:rPr>
            <w:instrText xml:space="preserve"> HYPERLINK \l _Toc451 </w:instrText>
          </w:r>
          <w:r>
            <w:rPr>
              <w:rFonts w:hint="eastAsia" w:asciiTheme="minorHAnsi" w:hAnsiTheme="minorHAnsi" w:eastAsiaTheme="minorEastAsia" w:cstheme="minorBidi"/>
              <w:color w:val="auto"/>
              <w:sz w:val="24"/>
              <w:szCs w:val="24"/>
              <w:highlight w:val="none"/>
              <w:lang w:val="en-US" w:eastAsia="zh-CN"/>
            </w:rPr>
            <w:fldChar w:fldCharType="separate"/>
          </w:r>
          <w:r>
            <w:rPr>
              <w:rFonts w:asciiTheme="minorHAnsi" w:hAnsiTheme="minorHAnsi" w:eastAsiaTheme="minorEastAsia" w:cstheme="minorBidi"/>
              <w:color w:val="auto"/>
              <w:sz w:val="24"/>
              <w:szCs w:val="24"/>
              <w:highlight w:val="none"/>
            </w:rPr>
            <w:t xml:space="preserve">6.3 </w:t>
          </w:r>
          <w:r>
            <w:rPr>
              <w:rFonts w:hint="eastAsia" w:asciiTheme="minorHAnsi" w:hAnsiTheme="minorHAnsi" w:eastAsiaTheme="minorEastAsia" w:cstheme="minorBidi"/>
              <w:color w:val="auto"/>
              <w:sz w:val="24"/>
              <w:szCs w:val="24"/>
              <w:highlight w:val="none"/>
            </w:rPr>
            <w:t>承诺函（履约保函）格式</w:t>
          </w:r>
          <w:r>
            <w:rPr>
              <w:rFonts w:asciiTheme="minorHAnsi" w:hAnsiTheme="minorHAnsi" w:eastAsiaTheme="minorEastAsia" w:cstheme="minorBidi"/>
              <w:color w:val="auto"/>
              <w:sz w:val="24"/>
              <w:szCs w:val="24"/>
              <w:highlight w:val="none"/>
            </w:rPr>
            <w:tab/>
          </w:r>
          <w:r>
            <w:rPr>
              <w:rFonts w:asciiTheme="minorHAnsi" w:hAnsiTheme="minorHAnsi" w:eastAsiaTheme="minorEastAsia" w:cstheme="minorBidi"/>
              <w:color w:val="auto"/>
              <w:sz w:val="24"/>
              <w:szCs w:val="24"/>
              <w:highlight w:val="none"/>
            </w:rPr>
            <w:fldChar w:fldCharType="begin"/>
          </w:r>
          <w:r>
            <w:rPr>
              <w:rFonts w:asciiTheme="minorHAnsi" w:hAnsiTheme="minorHAnsi" w:eastAsiaTheme="minorEastAsia" w:cstheme="minorBidi"/>
              <w:color w:val="auto"/>
              <w:sz w:val="24"/>
              <w:szCs w:val="24"/>
              <w:highlight w:val="none"/>
            </w:rPr>
            <w:instrText xml:space="preserve"> PAGEREF _Toc451 \h </w:instrText>
          </w:r>
          <w:r>
            <w:rPr>
              <w:rFonts w:asciiTheme="minorHAnsi" w:hAnsiTheme="minorHAnsi" w:eastAsiaTheme="minorEastAsia" w:cstheme="minorBidi"/>
              <w:color w:val="auto"/>
              <w:sz w:val="24"/>
              <w:szCs w:val="24"/>
              <w:highlight w:val="none"/>
            </w:rPr>
            <w:fldChar w:fldCharType="separate"/>
          </w:r>
          <w:r>
            <w:rPr>
              <w:rFonts w:asciiTheme="minorHAnsi" w:hAnsiTheme="minorHAnsi" w:eastAsiaTheme="minorEastAsia" w:cstheme="minorBidi"/>
              <w:color w:val="auto"/>
              <w:sz w:val="24"/>
              <w:szCs w:val="24"/>
              <w:highlight w:val="none"/>
            </w:rPr>
            <w:t>84</w:t>
          </w:r>
          <w:r>
            <w:rPr>
              <w:rFonts w:asciiTheme="minorHAnsi" w:hAnsiTheme="minorHAnsi" w:eastAsiaTheme="minorEastAsia" w:cstheme="minorBidi"/>
              <w:color w:val="auto"/>
              <w:sz w:val="24"/>
              <w:szCs w:val="24"/>
              <w:highlight w:val="none"/>
            </w:rPr>
            <w:fldChar w:fldCharType="end"/>
          </w:r>
          <w:r>
            <w:rPr>
              <w:rFonts w:hint="eastAsia" w:asciiTheme="minorHAnsi" w:hAnsiTheme="minorHAnsi" w:eastAsiaTheme="minorEastAsia" w:cstheme="minorBidi"/>
              <w:color w:val="auto"/>
              <w:sz w:val="24"/>
              <w:szCs w:val="24"/>
              <w:highlight w:val="none"/>
              <w:lang w:val="en-US" w:eastAsia="zh-CN"/>
            </w:rPr>
            <w:fldChar w:fldCharType="end"/>
          </w:r>
        </w:p>
        <w:p>
          <w:pPr>
            <w:tabs>
              <w:tab w:val="right" w:leader="dot" w:pos="8900"/>
            </w:tabs>
            <w:spacing w:line="360" w:lineRule="auto"/>
            <w:ind w:leftChars="200"/>
            <w:rPr>
              <w:rFonts w:asciiTheme="minorHAnsi" w:hAnsiTheme="minorHAnsi" w:eastAsiaTheme="minorEastAsia" w:cstheme="minorBidi"/>
              <w:color w:val="auto"/>
              <w:sz w:val="24"/>
              <w:szCs w:val="24"/>
              <w:highlight w:val="none"/>
            </w:rPr>
          </w:pPr>
          <w:r>
            <w:rPr>
              <w:rFonts w:hint="eastAsia" w:asciiTheme="minorHAnsi" w:hAnsiTheme="minorHAnsi" w:eastAsiaTheme="minorEastAsia" w:cstheme="minorBidi"/>
              <w:color w:val="auto"/>
              <w:sz w:val="24"/>
              <w:szCs w:val="24"/>
              <w:highlight w:val="none"/>
              <w:lang w:val="en-US" w:eastAsia="zh-CN"/>
            </w:rPr>
            <w:fldChar w:fldCharType="begin"/>
          </w:r>
          <w:r>
            <w:rPr>
              <w:rFonts w:hint="eastAsia" w:asciiTheme="minorHAnsi" w:hAnsiTheme="minorHAnsi" w:eastAsiaTheme="minorEastAsia" w:cstheme="minorBidi"/>
              <w:color w:val="auto"/>
              <w:sz w:val="24"/>
              <w:szCs w:val="24"/>
              <w:highlight w:val="none"/>
              <w:lang w:val="en-US" w:eastAsia="zh-CN"/>
            </w:rPr>
            <w:instrText xml:space="preserve"> HYPERLINK \l _Toc18705 </w:instrText>
          </w:r>
          <w:r>
            <w:rPr>
              <w:rFonts w:hint="eastAsia" w:asciiTheme="minorHAnsi" w:hAnsiTheme="minorHAnsi" w:eastAsiaTheme="minorEastAsia" w:cstheme="minorBidi"/>
              <w:color w:val="auto"/>
              <w:sz w:val="24"/>
              <w:szCs w:val="24"/>
              <w:highlight w:val="none"/>
              <w:lang w:val="en-US" w:eastAsia="zh-CN"/>
            </w:rPr>
            <w:fldChar w:fldCharType="separate"/>
          </w:r>
          <w:r>
            <w:rPr>
              <w:rFonts w:hint="eastAsia" w:asciiTheme="minorHAnsi" w:hAnsiTheme="minorHAnsi" w:eastAsiaTheme="minorEastAsia" w:cstheme="minorBidi"/>
              <w:color w:val="auto"/>
              <w:sz w:val="24"/>
              <w:szCs w:val="24"/>
              <w:highlight w:val="none"/>
              <w:lang w:val="en-US" w:eastAsia="zh-CN"/>
            </w:rPr>
            <w:t>6.4 东莞市城市轨道交通工程项目管理系统使用承诺函</w:t>
          </w:r>
          <w:r>
            <w:rPr>
              <w:rFonts w:asciiTheme="minorHAnsi" w:hAnsiTheme="minorHAnsi" w:eastAsiaTheme="minorEastAsia" w:cstheme="minorBidi"/>
              <w:color w:val="auto"/>
              <w:sz w:val="24"/>
              <w:szCs w:val="24"/>
              <w:highlight w:val="none"/>
            </w:rPr>
            <w:tab/>
          </w:r>
          <w:r>
            <w:rPr>
              <w:rFonts w:asciiTheme="minorHAnsi" w:hAnsiTheme="minorHAnsi" w:eastAsiaTheme="minorEastAsia" w:cstheme="minorBidi"/>
              <w:color w:val="auto"/>
              <w:sz w:val="24"/>
              <w:szCs w:val="24"/>
              <w:highlight w:val="none"/>
            </w:rPr>
            <w:fldChar w:fldCharType="begin"/>
          </w:r>
          <w:r>
            <w:rPr>
              <w:rFonts w:asciiTheme="minorHAnsi" w:hAnsiTheme="minorHAnsi" w:eastAsiaTheme="minorEastAsia" w:cstheme="minorBidi"/>
              <w:color w:val="auto"/>
              <w:sz w:val="24"/>
              <w:szCs w:val="24"/>
              <w:highlight w:val="none"/>
            </w:rPr>
            <w:instrText xml:space="preserve"> PAGEREF _Toc18705 \h </w:instrText>
          </w:r>
          <w:r>
            <w:rPr>
              <w:rFonts w:asciiTheme="minorHAnsi" w:hAnsiTheme="minorHAnsi" w:eastAsiaTheme="minorEastAsia" w:cstheme="minorBidi"/>
              <w:color w:val="auto"/>
              <w:sz w:val="24"/>
              <w:szCs w:val="24"/>
              <w:highlight w:val="none"/>
            </w:rPr>
            <w:fldChar w:fldCharType="separate"/>
          </w:r>
          <w:r>
            <w:rPr>
              <w:rFonts w:asciiTheme="minorHAnsi" w:hAnsiTheme="minorHAnsi" w:eastAsiaTheme="minorEastAsia" w:cstheme="minorBidi"/>
              <w:color w:val="auto"/>
              <w:sz w:val="24"/>
              <w:szCs w:val="24"/>
              <w:highlight w:val="none"/>
            </w:rPr>
            <w:t>85</w:t>
          </w:r>
          <w:r>
            <w:rPr>
              <w:rFonts w:asciiTheme="minorHAnsi" w:hAnsiTheme="minorHAnsi" w:eastAsiaTheme="minorEastAsia" w:cstheme="minorBidi"/>
              <w:color w:val="auto"/>
              <w:sz w:val="24"/>
              <w:szCs w:val="24"/>
              <w:highlight w:val="none"/>
            </w:rPr>
            <w:fldChar w:fldCharType="end"/>
          </w:r>
          <w:r>
            <w:rPr>
              <w:rFonts w:hint="eastAsia" w:asciiTheme="minorHAnsi" w:hAnsiTheme="minorHAnsi" w:eastAsiaTheme="minorEastAsia" w:cstheme="minorBidi"/>
              <w:color w:val="auto"/>
              <w:sz w:val="24"/>
              <w:szCs w:val="24"/>
              <w:highlight w:val="none"/>
              <w:lang w:val="en-US" w:eastAsia="zh-CN"/>
            </w:rPr>
            <w:fldChar w:fldCharType="end"/>
          </w:r>
        </w:p>
        <w:p>
          <w:pPr>
            <w:tabs>
              <w:tab w:val="right" w:leader="dot" w:pos="8900"/>
            </w:tabs>
            <w:spacing w:line="360" w:lineRule="auto"/>
            <w:ind w:leftChars="200"/>
            <w:rPr>
              <w:rFonts w:asciiTheme="minorHAnsi" w:hAnsiTheme="minorHAnsi" w:eastAsiaTheme="minorEastAsia" w:cstheme="minorBidi"/>
              <w:color w:val="auto"/>
              <w:sz w:val="24"/>
              <w:szCs w:val="24"/>
              <w:highlight w:val="none"/>
            </w:rPr>
          </w:pPr>
          <w:r>
            <w:rPr>
              <w:rFonts w:hint="eastAsia" w:asciiTheme="minorHAnsi" w:hAnsiTheme="minorHAnsi" w:eastAsiaTheme="minorEastAsia" w:cstheme="minorBidi"/>
              <w:color w:val="auto"/>
              <w:sz w:val="24"/>
              <w:szCs w:val="24"/>
              <w:highlight w:val="none"/>
              <w:lang w:val="en-US" w:eastAsia="zh-CN"/>
            </w:rPr>
            <w:fldChar w:fldCharType="begin"/>
          </w:r>
          <w:r>
            <w:rPr>
              <w:rFonts w:hint="eastAsia" w:asciiTheme="minorHAnsi" w:hAnsiTheme="minorHAnsi" w:eastAsiaTheme="minorEastAsia" w:cstheme="minorBidi"/>
              <w:color w:val="auto"/>
              <w:sz w:val="24"/>
              <w:szCs w:val="24"/>
              <w:highlight w:val="none"/>
              <w:lang w:val="en-US" w:eastAsia="zh-CN"/>
            </w:rPr>
            <w:instrText xml:space="preserve"> HYPERLINK \l _Toc13181 </w:instrText>
          </w:r>
          <w:r>
            <w:rPr>
              <w:rFonts w:hint="eastAsia" w:asciiTheme="minorHAnsi" w:hAnsiTheme="minorHAnsi" w:eastAsiaTheme="minorEastAsia" w:cstheme="minorBidi"/>
              <w:color w:val="auto"/>
              <w:sz w:val="24"/>
              <w:szCs w:val="24"/>
              <w:highlight w:val="none"/>
              <w:lang w:val="en-US" w:eastAsia="zh-CN"/>
            </w:rPr>
            <w:fldChar w:fldCharType="separate"/>
          </w:r>
          <w:r>
            <w:rPr>
              <w:rFonts w:eastAsia="宋体" w:cs="宋体" w:asciiTheme="minorHAnsi" w:hAnsiTheme="minorHAnsi"/>
              <w:color w:val="auto"/>
              <w:sz w:val="24"/>
              <w:szCs w:val="24"/>
              <w:highlight w:val="none"/>
            </w:rPr>
            <w:t>6.</w:t>
          </w:r>
          <w:r>
            <w:rPr>
              <w:rFonts w:hint="eastAsia" w:eastAsia="宋体" w:cs="宋体" w:asciiTheme="minorHAnsi" w:hAnsiTheme="minorHAnsi"/>
              <w:color w:val="auto"/>
              <w:sz w:val="24"/>
              <w:szCs w:val="24"/>
              <w:highlight w:val="none"/>
              <w:lang w:val="en-US" w:eastAsia="zh-CN"/>
            </w:rPr>
            <w:t>5</w:t>
          </w:r>
          <w:r>
            <w:rPr>
              <w:rFonts w:hint="eastAsia" w:eastAsia="宋体" w:cs="宋体" w:asciiTheme="minorHAnsi" w:hAnsiTheme="minorHAnsi"/>
              <w:color w:val="auto"/>
              <w:sz w:val="24"/>
              <w:szCs w:val="24"/>
              <w:highlight w:val="none"/>
            </w:rPr>
            <w:t>《廉洁协议》</w:t>
          </w:r>
          <w:r>
            <w:rPr>
              <w:rFonts w:asciiTheme="minorHAnsi" w:hAnsiTheme="minorHAnsi" w:eastAsiaTheme="minorEastAsia" w:cstheme="minorBidi"/>
              <w:color w:val="auto"/>
              <w:sz w:val="24"/>
              <w:szCs w:val="24"/>
              <w:highlight w:val="none"/>
            </w:rPr>
            <w:tab/>
          </w:r>
          <w:r>
            <w:rPr>
              <w:rFonts w:asciiTheme="minorHAnsi" w:hAnsiTheme="minorHAnsi" w:eastAsiaTheme="minorEastAsia" w:cstheme="minorBidi"/>
              <w:color w:val="auto"/>
              <w:sz w:val="24"/>
              <w:szCs w:val="24"/>
              <w:highlight w:val="none"/>
            </w:rPr>
            <w:fldChar w:fldCharType="begin"/>
          </w:r>
          <w:r>
            <w:rPr>
              <w:rFonts w:asciiTheme="minorHAnsi" w:hAnsiTheme="minorHAnsi" w:eastAsiaTheme="minorEastAsia" w:cstheme="minorBidi"/>
              <w:color w:val="auto"/>
              <w:sz w:val="24"/>
              <w:szCs w:val="24"/>
              <w:highlight w:val="none"/>
            </w:rPr>
            <w:instrText xml:space="preserve"> PAGEREF _Toc13181 \h </w:instrText>
          </w:r>
          <w:r>
            <w:rPr>
              <w:rFonts w:asciiTheme="minorHAnsi" w:hAnsiTheme="minorHAnsi" w:eastAsiaTheme="minorEastAsia" w:cstheme="minorBidi"/>
              <w:color w:val="auto"/>
              <w:sz w:val="24"/>
              <w:szCs w:val="24"/>
              <w:highlight w:val="none"/>
            </w:rPr>
            <w:fldChar w:fldCharType="separate"/>
          </w:r>
          <w:r>
            <w:rPr>
              <w:rFonts w:asciiTheme="minorHAnsi" w:hAnsiTheme="minorHAnsi" w:eastAsiaTheme="minorEastAsia" w:cstheme="minorBidi"/>
              <w:color w:val="auto"/>
              <w:sz w:val="24"/>
              <w:szCs w:val="24"/>
              <w:highlight w:val="none"/>
            </w:rPr>
            <w:t>88</w:t>
          </w:r>
          <w:r>
            <w:rPr>
              <w:rFonts w:asciiTheme="minorHAnsi" w:hAnsiTheme="minorHAnsi" w:eastAsiaTheme="minorEastAsia" w:cstheme="minorBidi"/>
              <w:color w:val="auto"/>
              <w:sz w:val="24"/>
              <w:szCs w:val="24"/>
              <w:highlight w:val="none"/>
            </w:rPr>
            <w:fldChar w:fldCharType="end"/>
          </w:r>
          <w:r>
            <w:rPr>
              <w:rFonts w:hint="eastAsia" w:asciiTheme="minorHAnsi" w:hAnsiTheme="minorHAnsi" w:eastAsiaTheme="minorEastAsia" w:cstheme="minorBidi"/>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_Toc10205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第七章  中标通知书</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_Toc10205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91</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_Toc23683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第八章</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招标文件及澄清补充文件及其他补充资料</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_Toc23683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92</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r>
            <w:rPr>
              <w:rFonts w:hint="eastAsia" w:asciiTheme="minorHAnsi" w:hAnsiTheme="minorHAnsi" w:eastAsiaTheme="minorEastAsia" w:cstheme="minorBidi"/>
              <w:b/>
              <w:color w:val="auto"/>
              <w:sz w:val="24"/>
              <w:szCs w:val="24"/>
              <w:highlight w:val="none"/>
              <w:lang w:val="en-US" w:eastAsia="zh-CN"/>
            </w:rPr>
            <w:fldChar w:fldCharType="begin"/>
          </w:r>
          <w:r>
            <w:rPr>
              <w:rFonts w:hint="eastAsia" w:asciiTheme="minorHAnsi" w:hAnsiTheme="minorHAnsi" w:eastAsiaTheme="minorEastAsia" w:cstheme="minorBidi"/>
              <w:b/>
              <w:color w:val="auto"/>
              <w:sz w:val="24"/>
              <w:szCs w:val="24"/>
              <w:highlight w:val="none"/>
              <w:lang w:val="en-US" w:eastAsia="zh-CN"/>
            </w:rPr>
            <w:instrText xml:space="preserve"> HYPERLINK \l _Toc17200 </w:instrText>
          </w:r>
          <w:r>
            <w:rPr>
              <w:rFonts w:hint="eastAsia" w:asciiTheme="minorHAnsi" w:hAnsiTheme="minorHAnsi" w:eastAsiaTheme="minorEastAsia" w:cstheme="minorBidi"/>
              <w:b/>
              <w:color w:val="auto"/>
              <w:sz w:val="24"/>
              <w:szCs w:val="24"/>
              <w:highlight w:val="none"/>
              <w:lang w:val="en-US" w:eastAsia="zh-CN"/>
            </w:rPr>
            <w:fldChar w:fldCharType="separate"/>
          </w:r>
          <w:r>
            <w:rPr>
              <w:rFonts w:hint="eastAsia" w:asciiTheme="minorHAnsi" w:hAnsiTheme="minorHAnsi" w:eastAsiaTheme="minorEastAsia" w:cstheme="minorBidi"/>
              <w:b/>
              <w:color w:val="auto"/>
              <w:sz w:val="24"/>
              <w:szCs w:val="24"/>
              <w:highlight w:val="none"/>
            </w:rPr>
            <w:t>第九章</w:t>
          </w:r>
          <w:r>
            <w:rPr>
              <w:rFonts w:asciiTheme="minorHAnsi" w:hAnsiTheme="minorHAnsi" w:eastAsiaTheme="minorEastAsia" w:cstheme="minorBidi"/>
              <w:b/>
              <w:color w:val="auto"/>
              <w:sz w:val="24"/>
              <w:szCs w:val="24"/>
              <w:highlight w:val="none"/>
            </w:rPr>
            <w:t xml:space="preserve">  </w:t>
          </w:r>
          <w:r>
            <w:rPr>
              <w:rFonts w:hint="eastAsia" w:asciiTheme="minorHAnsi" w:hAnsiTheme="minorHAnsi" w:eastAsiaTheme="minorEastAsia" w:cstheme="minorBidi"/>
              <w:b/>
              <w:color w:val="auto"/>
              <w:sz w:val="24"/>
              <w:szCs w:val="24"/>
              <w:highlight w:val="none"/>
            </w:rPr>
            <w:t>投标文件及澄清补充文件及其他补充资料</w:t>
          </w:r>
          <w:r>
            <w:rPr>
              <w:rFonts w:asciiTheme="minorHAnsi" w:hAnsiTheme="minorHAnsi" w:eastAsiaTheme="minorEastAsia" w:cstheme="minorBidi"/>
              <w:b/>
              <w:color w:val="auto"/>
              <w:sz w:val="24"/>
              <w:szCs w:val="24"/>
              <w:highlight w:val="none"/>
            </w:rPr>
            <w:tab/>
          </w:r>
          <w:r>
            <w:rPr>
              <w:rFonts w:asciiTheme="minorHAnsi" w:hAnsiTheme="minorHAnsi" w:eastAsiaTheme="minorEastAsia" w:cstheme="minorBidi"/>
              <w:b/>
              <w:color w:val="auto"/>
              <w:sz w:val="24"/>
              <w:szCs w:val="24"/>
              <w:highlight w:val="none"/>
            </w:rPr>
            <w:fldChar w:fldCharType="begin"/>
          </w:r>
          <w:r>
            <w:rPr>
              <w:rFonts w:asciiTheme="minorHAnsi" w:hAnsiTheme="minorHAnsi" w:eastAsiaTheme="minorEastAsia" w:cstheme="minorBidi"/>
              <w:b/>
              <w:color w:val="auto"/>
              <w:sz w:val="24"/>
              <w:szCs w:val="24"/>
              <w:highlight w:val="none"/>
            </w:rPr>
            <w:instrText xml:space="preserve"> PAGEREF _Toc17200 \h </w:instrText>
          </w:r>
          <w:r>
            <w:rPr>
              <w:rFonts w:asciiTheme="minorHAnsi" w:hAnsiTheme="minorHAnsi" w:eastAsiaTheme="minorEastAsia" w:cstheme="minorBidi"/>
              <w:b/>
              <w:color w:val="auto"/>
              <w:sz w:val="24"/>
              <w:szCs w:val="24"/>
              <w:highlight w:val="none"/>
            </w:rPr>
            <w:fldChar w:fldCharType="separate"/>
          </w:r>
          <w:r>
            <w:rPr>
              <w:rFonts w:asciiTheme="minorHAnsi" w:hAnsiTheme="minorHAnsi" w:eastAsiaTheme="minorEastAsia" w:cstheme="minorBidi"/>
              <w:b/>
              <w:color w:val="auto"/>
              <w:sz w:val="24"/>
              <w:szCs w:val="24"/>
              <w:highlight w:val="none"/>
            </w:rPr>
            <w:t>93</w:t>
          </w:r>
          <w:r>
            <w:rPr>
              <w:rFonts w:asciiTheme="minorHAnsi" w:hAnsiTheme="minorHAnsi" w:eastAsiaTheme="minorEastAsia" w:cstheme="minorBidi"/>
              <w:b/>
              <w:color w:val="auto"/>
              <w:sz w:val="24"/>
              <w:szCs w:val="24"/>
              <w:highlight w:val="none"/>
            </w:rPr>
            <w:fldChar w:fldCharType="end"/>
          </w:r>
          <w:r>
            <w:rPr>
              <w:rFonts w:hint="eastAsia" w:asciiTheme="minorHAnsi" w:hAnsiTheme="minorHAnsi" w:eastAsiaTheme="minorEastAsia" w:cstheme="minorBidi"/>
              <w:b/>
              <w:color w:val="auto"/>
              <w:sz w:val="24"/>
              <w:szCs w:val="24"/>
              <w:highlight w:val="none"/>
              <w:lang w:val="en-US" w:eastAsia="zh-CN"/>
            </w:rPr>
            <w:fldChar w:fldCharType="end"/>
          </w:r>
        </w:p>
        <w:p>
          <w:pPr>
            <w:tabs>
              <w:tab w:val="right" w:leader="dot" w:pos="8900"/>
            </w:tabs>
            <w:spacing w:line="360" w:lineRule="auto"/>
            <w:ind w:leftChars="0"/>
            <w:rPr>
              <w:rFonts w:asciiTheme="minorHAnsi" w:hAnsiTheme="minorHAnsi" w:eastAsiaTheme="minorEastAsia" w:cstheme="minorBidi"/>
              <w:b/>
              <w:color w:val="auto"/>
              <w:sz w:val="24"/>
              <w:szCs w:val="24"/>
              <w:highlight w:val="none"/>
            </w:rPr>
          </w:pPr>
        </w:p>
        <w:p>
          <w:pPr>
            <w:outlineLvl w:val="9"/>
            <w:rPr>
              <w:rFonts w:hint="eastAsia" w:ascii="宋体" w:hAnsi="宋体" w:cs="Times New Roman" w:eastAsiaTheme="minorEastAsia"/>
              <w:b/>
              <w:color w:val="auto"/>
              <w:kern w:val="2"/>
              <w:sz w:val="21"/>
              <w:szCs w:val="22"/>
              <w:highlight w:val="none"/>
              <w:lang w:val="en-US" w:eastAsia="zh-CN" w:bidi="ar-SA"/>
            </w:rPr>
          </w:pPr>
          <w:r>
            <w:rPr>
              <w:rFonts w:hint="eastAsia" w:ascii="宋体" w:hAnsi="宋体" w:cs="Times New Roman" w:eastAsiaTheme="minorEastAsia"/>
              <w:b/>
              <w:color w:val="auto"/>
              <w:highlight w:val="none"/>
              <w:lang w:val="en-US" w:eastAsia="zh-CN"/>
            </w:rPr>
            <w:fldChar w:fldCharType="end"/>
          </w:r>
        </w:p>
      </w:sdtContent>
    </w:sdt>
    <w:p>
      <w:pPr>
        <w:outlineLvl w:val="9"/>
        <w:rPr>
          <w:rFonts w:hint="eastAsia" w:ascii="宋体" w:hAnsi="宋体" w:cs="Times New Roman" w:eastAsiaTheme="minorEastAsia"/>
          <w:b/>
          <w:color w:val="auto"/>
          <w:kern w:val="2"/>
          <w:sz w:val="21"/>
          <w:szCs w:val="22"/>
          <w:highlight w:val="none"/>
          <w:lang w:val="en-US" w:eastAsia="zh-CN" w:bidi="ar-SA"/>
        </w:rPr>
      </w:pPr>
    </w:p>
    <w:p>
      <w:pPr>
        <w:widowControl w:val="0"/>
        <w:adjustRightInd w:val="0"/>
        <w:spacing w:before="120" w:after="120" w:line="312" w:lineRule="atLeast"/>
        <w:ind w:right="25" w:rightChars="12"/>
        <w:jc w:val="left"/>
        <w:textAlignment w:val="baseline"/>
        <w:rPr>
          <w:rFonts w:hint="eastAsia" w:ascii="宋体" w:hAnsi="宋体" w:eastAsia="宋体" w:cs="宋体"/>
          <w:b/>
          <w:caps/>
          <w:color w:val="auto"/>
          <w:kern w:val="0"/>
          <w:sz w:val="20"/>
          <w:szCs w:val="20"/>
          <w:highlight w:val="none"/>
          <w:lang w:val="en-US" w:eastAsia="zh-CN" w:bidi="ar-SA"/>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Times New Roman" w:hAnsi="Times New Roman" w:eastAsia="Yu Mincho Light" w:cs="Times New Roman"/>
          <w:color w:val="auto"/>
          <w:kern w:val="24"/>
          <w:sz w:val="28"/>
          <w:szCs w:val="20"/>
          <w:highlight w:val="none"/>
          <w:lang w:val="en-US" w:eastAsia="zh-CN" w:bidi="ar-SA"/>
        </w:rPr>
      </w:pPr>
      <w:bookmarkStart w:id="722" w:name="_Toc26239"/>
      <w:bookmarkStart w:id="723" w:name="_Toc20127"/>
      <w:bookmarkStart w:id="724" w:name="_Toc11272"/>
      <w:bookmarkStart w:id="725" w:name="_Toc16376"/>
      <w:bookmarkStart w:id="726" w:name="_Toc27925"/>
      <w:r>
        <w:rPr>
          <w:rFonts w:hint="eastAsia" w:ascii="Times New Roman" w:hAnsi="Times New Roman" w:eastAsia="Yu Mincho Light" w:cs="Times New Roman"/>
          <w:color w:val="auto"/>
          <w:kern w:val="24"/>
          <w:sz w:val="28"/>
          <w:szCs w:val="20"/>
          <w:highlight w:val="none"/>
          <w:lang w:val="en-US" w:eastAsia="zh-CN" w:bidi="ar-SA"/>
        </w:rPr>
        <w:br w:type="page"/>
      </w:r>
    </w:p>
    <w:p>
      <w:pPr>
        <w:keepNext/>
        <w:keepLines/>
        <w:widowControl w:val="0"/>
        <w:adjustRightInd w:val="0"/>
        <w:spacing w:before="0" w:after="0" w:line="240" w:lineRule="auto"/>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r>
        <w:rPr>
          <w:rFonts w:hint="eastAsia" w:ascii="Times New Roman" w:hAnsi="Times New Roman" w:eastAsia="Yu Mincho Light" w:cs="Times New Roman"/>
          <w:color w:val="auto"/>
          <w:kern w:val="24"/>
          <w:sz w:val="28"/>
          <w:szCs w:val="20"/>
          <w:highlight w:val="none"/>
          <w:lang w:val="en-US" w:eastAsia="zh-CN" w:bidi="ar-SA"/>
        </w:rPr>
        <w:t>第</w:t>
      </w:r>
      <w:r>
        <w:rPr>
          <w:rFonts w:hint="eastAsia" w:ascii="Times New Roman" w:hAnsi="Times New Roman" w:eastAsia="宋体" w:cs="Times New Roman"/>
          <w:color w:val="auto"/>
          <w:kern w:val="24"/>
          <w:sz w:val="28"/>
          <w:szCs w:val="20"/>
          <w:highlight w:val="none"/>
          <w:lang w:val="en-US" w:eastAsia="zh-CN" w:bidi="ar-SA"/>
        </w:rPr>
        <w:t>一</w:t>
      </w:r>
      <w:r>
        <w:rPr>
          <w:rFonts w:hint="eastAsia" w:ascii="Times New Roman" w:hAnsi="Times New Roman" w:eastAsia="Yu Mincho Light" w:cs="Times New Roman"/>
          <w:color w:val="auto"/>
          <w:kern w:val="24"/>
          <w:sz w:val="28"/>
          <w:szCs w:val="20"/>
          <w:highlight w:val="none"/>
          <w:lang w:val="en-US" w:eastAsia="zh-CN" w:bidi="ar-SA"/>
        </w:rPr>
        <w:t>章  合同协议书</w:t>
      </w:r>
      <w:bookmarkEnd w:id="722"/>
      <w:bookmarkEnd w:id="723"/>
      <w:bookmarkEnd w:id="724"/>
      <w:bookmarkEnd w:id="725"/>
      <w:bookmarkEnd w:id="726"/>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val="zh-CN"/>
        </w:rPr>
      </w:pPr>
      <w:r>
        <w:rPr>
          <w:rFonts w:hint="eastAsia" w:ascii="宋体" w:hAnsi="宋体" w:cs="宋体" w:eastAsiaTheme="minorEastAsia"/>
          <w:color w:val="auto"/>
          <w:spacing w:val="20"/>
          <w:sz w:val="21"/>
          <w:szCs w:val="21"/>
          <w:highlight w:val="none"/>
          <w:lang w:val="zh-CN"/>
        </w:rPr>
        <w:t>东莞轨道交通二号线三期投资有限公司为东莞市轨道交通2号线三期工程的业主单位，是东莞市轨道交通2号线三期工程资产的所有者，具有投资、建设、运营本工程的权利。</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u w:val="single"/>
          <w:lang w:val="zh-CN"/>
        </w:rPr>
        <w:t>东莞轨道交通二号线三期投资有限公司</w:t>
      </w:r>
      <w:r>
        <w:rPr>
          <w:rFonts w:hint="eastAsia" w:ascii="宋体" w:hAnsi="宋体" w:cs="宋体" w:eastAsiaTheme="minorEastAsia"/>
          <w:color w:val="auto"/>
          <w:spacing w:val="20"/>
          <w:sz w:val="21"/>
          <w:szCs w:val="21"/>
          <w:highlight w:val="none"/>
          <w:lang w:val="zh-CN"/>
        </w:rPr>
        <w:t>全权委托</w:t>
      </w:r>
      <w:r>
        <w:rPr>
          <w:rFonts w:hint="eastAsia" w:ascii="宋体" w:hAnsi="宋体" w:cs="宋体" w:eastAsiaTheme="minorEastAsia"/>
          <w:color w:val="auto"/>
          <w:spacing w:val="20"/>
          <w:sz w:val="21"/>
          <w:szCs w:val="21"/>
          <w:highlight w:val="none"/>
          <w:u w:val="single"/>
          <w:lang w:val="zh-CN"/>
        </w:rPr>
        <w:t>甲方（东莞市轨道交通有限公司）</w:t>
      </w:r>
      <w:r>
        <w:rPr>
          <w:rFonts w:hint="eastAsia" w:ascii="宋体" w:hAnsi="宋体" w:cs="宋体" w:eastAsiaTheme="minorEastAsia"/>
          <w:color w:val="auto"/>
          <w:spacing w:val="20"/>
          <w:sz w:val="21"/>
          <w:szCs w:val="21"/>
          <w:highlight w:val="none"/>
          <w:lang w:val="zh-CN"/>
        </w:rPr>
        <w:t>负责轨道交通2号线三期建设管理工作，并以甲方名义组织开展2号线三期</w:t>
      </w:r>
      <w:r>
        <w:rPr>
          <w:rFonts w:hint="eastAsia" w:ascii="宋体" w:hAnsi="宋体" w:cs="宋体" w:eastAsiaTheme="minorEastAsia"/>
          <w:color w:val="auto"/>
          <w:spacing w:val="20"/>
          <w:sz w:val="21"/>
          <w:szCs w:val="21"/>
          <w:highlight w:val="none"/>
          <w:lang w:val="en-US" w:eastAsia="zh-CN"/>
        </w:rPr>
        <w:t>工程建设</w:t>
      </w:r>
      <w:r>
        <w:rPr>
          <w:rFonts w:hint="eastAsia" w:ascii="宋体" w:hAnsi="宋体" w:cs="宋体" w:eastAsiaTheme="minorEastAsia"/>
          <w:color w:val="auto"/>
          <w:spacing w:val="20"/>
          <w:sz w:val="21"/>
          <w:szCs w:val="21"/>
          <w:highlight w:val="none"/>
          <w:lang w:val="zh-CN"/>
        </w:rPr>
        <w:t>相关工作。</w:t>
      </w:r>
      <w:r>
        <w:rPr>
          <w:rFonts w:hint="eastAsia" w:ascii="宋体" w:hAnsi="宋体" w:cs="宋体" w:eastAsiaTheme="minorEastAsia"/>
          <w:color w:val="auto"/>
          <w:spacing w:val="20"/>
          <w:sz w:val="21"/>
          <w:szCs w:val="21"/>
          <w:highlight w:val="none"/>
          <w:lang w:val="en-US" w:eastAsia="zh-CN"/>
        </w:rPr>
        <w:t>上述合同</w:t>
      </w:r>
      <w:r>
        <w:rPr>
          <w:rFonts w:hint="eastAsia" w:ascii="宋体" w:hAnsi="宋体" w:cs="宋体" w:eastAsiaTheme="minorEastAsia"/>
          <w:color w:val="auto"/>
          <w:spacing w:val="20"/>
          <w:sz w:val="21"/>
          <w:szCs w:val="21"/>
          <w:highlight w:val="none"/>
          <w:lang w:eastAsia="zh-CN"/>
        </w:rPr>
        <w:t>三方本着</w:t>
      </w:r>
      <w:r>
        <w:rPr>
          <w:rFonts w:hint="eastAsia" w:ascii="宋体" w:hAnsi="宋体" w:cs="宋体" w:eastAsiaTheme="minorEastAsia"/>
          <w:color w:val="auto"/>
          <w:spacing w:val="20"/>
          <w:sz w:val="21"/>
          <w:szCs w:val="21"/>
          <w:highlight w:val="none"/>
          <w:lang w:val="en-US" w:eastAsia="zh-CN"/>
        </w:rPr>
        <w:t>精诚合作</w:t>
      </w:r>
      <w:r>
        <w:rPr>
          <w:rFonts w:hint="eastAsia" w:ascii="宋体" w:hAnsi="宋体" w:cs="宋体" w:eastAsiaTheme="minorEastAsia"/>
          <w:color w:val="auto"/>
          <w:spacing w:val="20"/>
          <w:sz w:val="21"/>
          <w:szCs w:val="21"/>
          <w:highlight w:val="none"/>
          <w:lang w:eastAsia="zh-CN"/>
        </w:rPr>
        <w:t>的原则订立合作协议如下：</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rPr>
      </w:pPr>
      <w:r>
        <w:rPr>
          <w:rFonts w:hint="eastAsia" w:ascii="宋体" w:hAnsi="宋体" w:cs="宋体" w:eastAsiaTheme="minorEastAsia"/>
          <w:color w:val="auto"/>
          <w:spacing w:val="20"/>
          <w:sz w:val="21"/>
          <w:szCs w:val="21"/>
          <w:highlight w:val="none"/>
          <w:u w:val="single"/>
        </w:rPr>
        <w:t>东莞市轨道交通有限公司</w:t>
      </w:r>
      <w:r>
        <w:rPr>
          <w:rFonts w:hint="eastAsia" w:ascii="宋体" w:hAnsi="宋体" w:cs="宋体" w:eastAsiaTheme="minorEastAsia"/>
          <w:color w:val="auto"/>
          <w:spacing w:val="20"/>
          <w:sz w:val="21"/>
          <w:szCs w:val="21"/>
          <w:highlight w:val="none"/>
        </w:rPr>
        <w:t>（以下简称“甲方”）委托</w:t>
      </w:r>
      <w:r>
        <w:rPr>
          <w:rFonts w:hint="eastAsia" w:ascii="宋体" w:hAnsi="宋体" w:cs="宋体" w:eastAsiaTheme="minorEastAsia"/>
          <w:color w:val="auto"/>
          <w:spacing w:val="20"/>
          <w:sz w:val="21"/>
          <w:szCs w:val="21"/>
          <w:highlight w:val="none"/>
          <w:u w:val="single"/>
          <w:lang w:eastAsia="zh-CN"/>
        </w:rPr>
        <w:t xml:space="preserve"> </w:t>
      </w:r>
      <w:r>
        <w:rPr>
          <w:rFonts w:hint="eastAsia" w:ascii="宋体" w:hAnsi="宋体" w:cs="宋体" w:eastAsiaTheme="minorEastAsia"/>
          <w:color w:val="auto"/>
          <w:spacing w:val="20"/>
          <w:sz w:val="21"/>
          <w:szCs w:val="21"/>
          <w:highlight w:val="none"/>
          <w:u w:val="single"/>
          <w:lang w:val="en-US" w:eastAsia="zh-CN"/>
        </w:rPr>
        <w:t xml:space="preserve">  </w:t>
      </w:r>
      <w:r>
        <w:rPr>
          <w:rFonts w:hint="eastAsia" w:ascii="宋体" w:hAnsi="宋体" w:cs="宋体" w:eastAsiaTheme="minorEastAsia"/>
          <w:color w:val="auto"/>
          <w:spacing w:val="20"/>
          <w:sz w:val="21"/>
          <w:szCs w:val="21"/>
          <w:highlight w:val="none"/>
        </w:rPr>
        <w:t>（以下简称“乙方”</w:t>
      </w:r>
      <w:r>
        <w:rPr>
          <w:rFonts w:hint="eastAsia" w:ascii="宋体" w:hAnsi="宋体" w:cs="宋体" w:eastAsiaTheme="minorEastAsia"/>
          <w:color w:val="auto"/>
          <w:spacing w:val="20"/>
          <w:sz w:val="21"/>
          <w:szCs w:val="21"/>
          <w:highlight w:val="none"/>
          <w:lang w:val="en-US" w:eastAsia="zh-CN"/>
        </w:rPr>
        <w:t>或“集成服务单位”</w:t>
      </w:r>
      <w:r>
        <w:rPr>
          <w:rFonts w:hint="eastAsia" w:ascii="宋体" w:hAnsi="宋体" w:cs="宋体" w:eastAsiaTheme="minorEastAsia"/>
          <w:color w:val="auto"/>
          <w:spacing w:val="20"/>
          <w:sz w:val="21"/>
          <w:szCs w:val="21"/>
          <w:highlight w:val="none"/>
        </w:rPr>
        <w:t>）</w:t>
      </w:r>
      <w:r>
        <w:rPr>
          <w:rFonts w:hint="eastAsia" w:ascii="宋体" w:hAnsi="宋体" w:cs="宋体" w:eastAsiaTheme="minorEastAsia"/>
          <w:color w:val="auto"/>
          <w:spacing w:val="20"/>
          <w:sz w:val="21"/>
          <w:szCs w:val="21"/>
          <w:highlight w:val="none"/>
          <w:lang w:val="en-US" w:eastAsia="zh-CN"/>
        </w:rPr>
        <w:t>实施</w:t>
      </w:r>
      <w:r>
        <w:rPr>
          <w:rFonts w:hint="eastAsia" w:ascii="宋体" w:hAnsi="宋体" w:cs="宋体" w:eastAsiaTheme="minorEastAsia"/>
          <w:b w:val="0"/>
          <w:color w:val="auto"/>
          <w:spacing w:val="20"/>
          <w:sz w:val="21"/>
          <w:szCs w:val="21"/>
          <w:highlight w:val="none"/>
          <w:u w:val="single"/>
          <w:lang w:val="zh-CN"/>
        </w:rPr>
        <w:t>东莞市城市轨道交通2号线三期强弱电系统和车站设备集成服务（2532标）</w:t>
      </w:r>
      <w:r>
        <w:rPr>
          <w:rFonts w:hint="eastAsia" w:ascii="宋体" w:hAnsi="宋体" w:cs="宋体" w:eastAsiaTheme="minorEastAsia"/>
          <w:b w:val="0"/>
          <w:color w:val="auto"/>
          <w:spacing w:val="20"/>
          <w:sz w:val="21"/>
          <w:szCs w:val="21"/>
          <w:highlight w:val="none"/>
          <w:u w:val="single"/>
          <w:lang w:val="zh-CN" w:eastAsia="zh-CN"/>
        </w:rPr>
        <w:t>合同</w:t>
      </w:r>
      <w:r>
        <w:rPr>
          <w:rFonts w:hint="eastAsia" w:ascii="宋体" w:hAnsi="宋体" w:cs="宋体" w:eastAsiaTheme="minorEastAsia"/>
          <w:b w:val="0"/>
          <w:color w:val="auto"/>
          <w:spacing w:val="20"/>
          <w:sz w:val="21"/>
          <w:szCs w:val="21"/>
          <w:highlight w:val="none"/>
          <w:u w:val="single"/>
          <w:lang w:val="en-US" w:eastAsia="zh-CN"/>
        </w:rPr>
        <w:t>的内容。</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鉴于委托方为获得以下服务，即东莞市城市轨道交通2号线三期强弱电系统和车站设备集成服务（</w:t>
      </w:r>
      <w:r>
        <w:rPr>
          <w:rFonts w:hint="eastAsia" w:ascii="宋体" w:hAnsi="宋体" w:cs="宋体" w:eastAsiaTheme="minorEastAsia"/>
          <w:b w:val="0"/>
          <w:color w:val="auto"/>
          <w:spacing w:val="20"/>
          <w:sz w:val="21"/>
          <w:szCs w:val="21"/>
          <w:highlight w:val="none"/>
          <w:u w:val="single"/>
          <w:lang w:val="zh-CN"/>
        </w:rPr>
        <w:t>2532标</w:t>
      </w:r>
      <w:r>
        <w:rPr>
          <w:rFonts w:hint="eastAsia" w:ascii="宋体" w:hAnsi="宋体" w:cs="宋体" w:eastAsiaTheme="minorEastAsia"/>
          <w:color w:val="auto"/>
          <w:spacing w:val="20"/>
          <w:sz w:val="21"/>
          <w:szCs w:val="21"/>
          <w:highlight w:val="none"/>
          <w:lang w:eastAsia="zh-CN"/>
        </w:rPr>
        <w:t>）而进行招标，并接受了受托方以总金额人民币</w:t>
      </w:r>
      <w:r>
        <w:rPr>
          <w:rFonts w:hint="eastAsia" w:ascii="宋体" w:hAnsi="宋体" w:cs="宋体" w:eastAsiaTheme="minorEastAsia"/>
          <w:color w:val="auto"/>
          <w:spacing w:val="20"/>
          <w:sz w:val="21"/>
          <w:szCs w:val="21"/>
          <w:highlight w:val="none"/>
          <w:u w:val="single"/>
          <w:lang w:eastAsia="zh-CN"/>
        </w:rPr>
        <w:t></w:t>
      </w:r>
      <w:r>
        <w:rPr>
          <w:rFonts w:hint="eastAsia" w:ascii="宋体" w:hAnsi="宋体" w:cs="宋体" w:eastAsiaTheme="minorEastAsia"/>
          <w:color w:val="auto"/>
          <w:spacing w:val="20"/>
          <w:sz w:val="21"/>
          <w:szCs w:val="21"/>
          <w:highlight w:val="none"/>
          <w:lang w:eastAsia="zh-CN"/>
        </w:rPr>
        <w:t>元（￥</w:t>
      </w:r>
      <w:r>
        <w:rPr>
          <w:rFonts w:hint="eastAsia" w:ascii="宋体" w:hAnsi="宋体" w:cs="宋体" w:eastAsiaTheme="minorEastAsia"/>
          <w:color w:val="auto"/>
          <w:spacing w:val="20"/>
          <w:sz w:val="21"/>
          <w:szCs w:val="21"/>
          <w:highlight w:val="none"/>
          <w:u w:val="single"/>
          <w:lang w:eastAsia="zh-CN"/>
        </w:rPr>
        <w:t></w:t>
      </w:r>
      <w:r>
        <w:rPr>
          <w:rFonts w:hint="eastAsia" w:ascii="宋体" w:hAnsi="宋体" w:cs="宋体" w:eastAsiaTheme="minorEastAsia"/>
          <w:color w:val="auto"/>
          <w:spacing w:val="20"/>
          <w:sz w:val="21"/>
          <w:szCs w:val="21"/>
          <w:highlight w:val="none"/>
          <w:lang w:eastAsia="zh-CN"/>
        </w:rPr>
        <w:t>）（以下简称合同价格）提供上述服务的投标，双方达成如下协议：</w:t>
      </w:r>
    </w:p>
    <w:p>
      <w:pPr>
        <w:keepNext w:val="0"/>
        <w:keepLines w:val="0"/>
        <w:pageBreakBefore w:val="0"/>
        <w:widowControl w:val="0"/>
        <w:kinsoku/>
        <w:wordWrap/>
        <w:overflowPunct/>
        <w:topLinePunct w:val="0"/>
        <w:autoSpaceDE/>
        <w:autoSpaceDN/>
        <w:bidi w:val="0"/>
        <w:adjustRightInd/>
        <w:spacing w:line="360" w:lineRule="auto"/>
        <w:ind w:firstLine="512" w:firstLineChars="200"/>
        <w:textAlignment w:val="auto"/>
        <w:rPr>
          <w:rFonts w:hint="eastAsia" w:ascii="宋体" w:hAnsi="宋体" w:eastAsia="宋体" w:cs="Times New Roman"/>
          <w:color w:val="auto"/>
          <w:spacing w:val="23"/>
          <w:sz w:val="21"/>
          <w:szCs w:val="21"/>
          <w:highlight w:val="none"/>
        </w:rPr>
      </w:pPr>
      <w:r>
        <w:rPr>
          <w:rFonts w:hint="eastAsia" w:ascii="宋体" w:hAnsi="宋体" w:eastAsia="宋体" w:cs="Times New Roman"/>
          <w:color w:val="auto"/>
          <w:spacing w:val="23"/>
          <w:sz w:val="21"/>
          <w:szCs w:val="21"/>
          <w:highlight w:val="none"/>
        </w:rPr>
        <w:t>1.本协议所用术语的含义与下文提到的合同条款中相应术语的含义相同。</w:t>
      </w:r>
    </w:p>
    <w:p>
      <w:pPr>
        <w:bidi w:val="0"/>
        <w:ind w:firstLine="512" w:firstLineChars="200"/>
        <w:rPr>
          <w:rFonts w:hint="eastAsia" w:ascii="宋体" w:hAnsi="宋体" w:cs="宋体" w:eastAsiaTheme="minorEastAsia"/>
          <w:color w:val="auto"/>
          <w:spacing w:val="20"/>
          <w:sz w:val="21"/>
          <w:szCs w:val="21"/>
          <w:highlight w:val="none"/>
          <w:lang w:eastAsia="zh-CN"/>
        </w:rPr>
      </w:pPr>
      <w:bookmarkStart w:id="727" w:name="_Toc8250"/>
      <w:bookmarkStart w:id="728" w:name="_Toc25484"/>
      <w:r>
        <w:rPr>
          <w:rFonts w:hint="eastAsia" w:ascii="宋体" w:hAnsi="宋体" w:eastAsia="宋体" w:cs="Times New Roman"/>
          <w:color w:val="auto"/>
          <w:spacing w:val="23"/>
          <w:sz w:val="21"/>
          <w:szCs w:val="21"/>
          <w:highlight w:val="none"/>
        </w:rPr>
        <w:t>2.下列</w:t>
      </w:r>
      <w:r>
        <w:rPr>
          <w:rFonts w:hint="eastAsia" w:ascii="宋体" w:hAnsi="宋体" w:cs="宋体" w:eastAsiaTheme="minorEastAsia"/>
          <w:color w:val="auto"/>
          <w:spacing w:val="20"/>
          <w:sz w:val="21"/>
          <w:szCs w:val="21"/>
          <w:highlight w:val="none"/>
          <w:lang w:eastAsia="zh-CN"/>
        </w:rPr>
        <w:t>文件应作为本协议的一部分看待：</w:t>
      </w:r>
      <w:bookmarkEnd w:id="727"/>
      <w:bookmarkEnd w:id="728"/>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（1）   补充协议（如果有）</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（2）   本协议书</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（3）   专用合同条款</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（4）   通用合同条款</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（5）   价格清单</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（6）   合同附件</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（7）   合同附录</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（8）   中标通知书</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（9）   联合协议书（如有）</w:t>
      </w:r>
    </w:p>
    <w:p>
      <w:pPr>
        <w:pageBreakBefore w:val="0"/>
        <w:widowControl w:val="0"/>
        <w:kinsoku/>
        <w:wordWrap/>
        <w:overflowPunct/>
        <w:topLinePunct w:val="0"/>
        <w:autoSpaceDE/>
        <w:autoSpaceDN/>
        <w:bidi w:val="0"/>
        <w:adjustRightInd/>
        <w:spacing w:line="360" w:lineRule="auto"/>
        <w:ind w:firstLine="500" w:firstLineChars="200"/>
        <w:textAlignment w:val="auto"/>
        <w:rPr>
          <w:rFonts w:hint="eastAsia" w:ascii="宋体" w:hAnsi="宋体" w:cs="宋体" w:eastAsiaTheme="minorEastAsia"/>
          <w:color w:val="auto"/>
          <w:spacing w:val="20"/>
          <w:sz w:val="21"/>
          <w:szCs w:val="21"/>
          <w:highlight w:val="none"/>
          <w:lang w:eastAsia="zh-CN"/>
        </w:rPr>
      </w:pPr>
      <w:r>
        <w:rPr>
          <w:rFonts w:hint="eastAsia" w:ascii="宋体" w:hAnsi="宋体" w:cs="宋体" w:eastAsiaTheme="minorEastAsia"/>
          <w:color w:val="auto"/>
          <w:spacing w:val="20"/>
          <w:sz w:val="21"/>
          <w:szCs w:val="21"/>
          <w:highlight w:val="none"/>
          <w:lang w:eastAsia="zh-CN"/>
        </w:rPr>
        <w:t xml:space="preserve">  （10）  招标文件及澄清补充文件及其他补充资料</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Times New Roman"/>
          <w:color w:val="auto"/>
          <w:spacing w:val="23"/>
          <w:szCs w:val="21"/>
          <w:highlight w:val="none"/>
        </w:rPr>
      </w:pPr>
      <w:r>
        <w:rPr>
          <w:rFonts w:hint="eastAsia" w:ascii="宋体" w:hAnsi="宋体" w:eastAsia="宋体" w:cs="Times New Roman"/>
          <w:color w:val="auto"/>
          <w:spacing w:val="23"/>
          <w:szCs w:val="21"/>
          <w:highlight w:val="none"/>
          <w:lang w:eastAsia="zh-CN"/>
        </w:rPr>
        <w:t xml:space="preserve">  （11）  投</w:t>
      </w:r>
      <w:r>
        <w:rPr>
          <w:rFonts w:hint="eastAsia" w:ascii="宋体" w:hAnsi="宋体" w:eastAsia="宋体" w:cs="Times New Roman"/>
          <w:color w:val="auto"/>
          <w:spacing w:val="23"/>
          <w:szCs w:val="21"/>
          <w:highlight w:val="none"/>
        </w:rPr>
        <w:t>标文件及澄清补充文件及其他补充资料</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Times New Roman"/>
          <w:color w:val="auto"/>
          <w:spacing w:val="23"/>
          <w:szCs w:val="21"/>
          <w:highlight w:val="none"/>
        </w:rPr>
      </w:pPr>
      <w:bookmarkStart w:id="729" w:name="_Toc11077"/>
      <w:r>
        <w:rPr>
          <w:rFonts w:hint="eastAsia" w:ascii="宋体" w:hAnsi="宋体" w:eastAsia="宋体" w:cs="Times New Roman"/>
          <w:color w:val="auto"/>
          <w:spacing w:val="23"/>
          <w:szCs w:val="21"/>
          <w:highlight w:val="none"/>
        </w:rPr>
        <w:t xml:space="preserve"> 3．上述文件应认为是互为补充和解释的，但如有模棱两可或互相矛盾之处，以上面所列顺序在前为准。</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Times New Roman"/>
          <w:color w:val="auto"/>
          <w:spacing w:val="23"/>
          <w:szCs w:val="21"/>
          <w:highlight w:val="none"/>
        </w:rPr>
      </w:pPr>
      <w:r>
        <w:rPr>
          <w:rFonts w:hint="eastAsia" w:ascii="宋体" w:hAnsi="宋体" w:eastAsia="宋体" w:cs="Times New Roman"/>
          <w:color w:val="auto"/>
          <w:spacing w:val="23"/>
          <w:szCs w:val="21"/>
          <w:highlight w:val="none"/>
        </w:rPr>
        <w:t xml:space="preserve"> 4．考虑到委托方将按本合同规定向受托方支付，受托方在此保证全部按照合同的规定向委托方提供服务，并修补缺陷。</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Times New Roman"/>
          <w:color w:val="auto"/>
          <w:spacing w:val="23"/>
          <w:szCs w:val="21"/>
          <w:highlight w:val="none"/>
        </w:rPr>
      </w:pPr>
      <w:r>
        <w:rPr>
          <w:rFonts w:hint="eastAsia" w:ascii="宋体" w:hAnsi="宋体" w:eastAsia="宋体" w:cs="Times New Roman"/>
          <w:color w:val="auto"/>
          <w:spacing w:val="23"/>
          <w:szCs w:val="21"/>
          <w:highlight w:val="none"/>
        </w:rPr>
        <w:t xml:space="preserve"> 5．考虑到受托方依照合同规定提供服务并修补缺陷，委托方在此保证按照合同规定的时间和方式向受托方支付合同价或其它按合同规定应支付的金额。</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cs="Times New Roman" w:eastAsiaTheme="minorEastAsia"/>
          <w:color w:val="auto"/>
          <w:highlight w:val="none"/>
        </w:rPr>
      </w:pPr>
      <w:bookmarkStart w:id="730" w:name="_Toc16377"/>
      <w:r>
        <w:rPr>
          <w:rFonts w:hint="eastAsia" w:ascii="宋体" w:hAnsi="宋体" w:cs="Times New Roman" w:eastAsiaTheme="minorEastAsia"/>
          <w:color w:val="auto"/>
          <w:highlight w:val="none"/>
        </w:rPr>
        <w:t>6.双方应在附件中签订《廉洁协议》。</w:t>
      </w:r>
      <w:bookmarkEnd w:id="729"/>
      <w:bookmarkEnd w:id="730"/>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cs="Times New Roman" w:eastAsiaTheme="minorEastAsia"/>
          <w:color w:val="auto"/>
          <w:highlight w:val="none"/>
        </w:rPr>
      </w:pPr>
      <w:r>
        <w:rPr>
          <w:rFonts w:hint="eastAsia" w:ascii="宋体" w:hAnsi="宋体" w:cs="Times New Roman" w:eastAsiaTheme="minorEastAsia"/>
          <w:color w:val="auto"/>
          <w:highlight w:val="none"/>
        </w:rPr>
        <w:t>7.</w:t>
      </w:r>
      <w:r>
        <w:rPr>
          <w:rFonts w:hint="eastAsia" w:ascii="宋体" w:hAnsi="宋体" w:cs="Times New Roman" w:eastAsiaTheme="minorEastAsia"/>
          <w:color w:val="auto"/>
          <w:highlight w:val="none"/>
          <w:lang w:val="en-US" w:eastAsia="zh-CN"/>
        </w:rPr>
        <w:t>集成服务</w:t>
      </w:r>
      <w:r>
        <w:rPr>
          <w:rFonts w:hint="eastAsia" w:ascii="宋体" w:hAnsi="宋体" w:cs="Times New Roman" w:eastAsiaTheme="minorEastAsia"/>
          <w:color w:val="auto"/>
          <w:highlight w:val="none"/>
        </w:rPr>
        <w:t>单位应提交《东莞市城市轨道交通工程项目管理系统使用承诺函》。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cs="Times New Roman" w:eastAsiaTheme="minorEastAsia"/>
          <w:color w:val="auto"/>
          <w:highlight w:val="none"/>
        </w:rPr>
      </w:pPr>
      <w:bookmarkStart w:id="731" w:name="_Toc7173"/>
      <w:bookmarkStart w:id="732" w:name="_Toc21999"/>
      <w:r>
        <w:rPr>
          <w:rFonts w:hint="eastAsia" w:ascii="宋体" w:hAnsi="宋体" w:cs="Times New Roman" w:eastAsiaTheme="minorEastAsia"/>
          <w:color w:val="auto"/>
          <w:highlight w:val="none"/>
          <w:lang w:val="en-US" w:eastAsia="zh-CN"/>
        </w:rPr>
        <w:t>8.</w:t>
      </w:r>
      <w:r>
        <w:rPr>
          <w:rFonts w:hint="eastAsia" w:ascii="宋体" w:hAnsi="宋体" w:cs="Times New Roman" w:eastAsiaTheme="minorEastAsia"/>
          <w:color w:val="auto"/>
          <w:highlight w:val="none"/>
        </w:rPr>
        <w:t>合同份数</w:t>
      </w:r>
      <w:bookmarkEnd w:id="731"/>
      <w:bookmarkEnd w:id="732"/>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Times New Roman"/>
          <w:color w:val="auto"/>
          <w:spacing w:val="23"/>
          <w:szCs w:val="21"/>
          <w:highlight w:val="none"/>
        </w:rPr>
      </w:pPr>
      <w:r>
        <w:rPr>
          <w:rFonts w:hint="eastAsia" w:ascii="宋体" w:hAnsi="宋体" w:eastAsia="宋体" w:cs="Times New Roman"/>
          <w:color w:val="auto"/>
          <w:spacing w:val="23"/>
          <w:szCs w:val="21"/>
          <w:highlight w:val="none"/>
        </w:rPr>
        <w:t>本协议为合同的重要组成部分，共一式</w:t>
      </w:r>
      <w:r>
        <w:rPr>
          <w:rFonts w:hint="eastAsia" w:ascii="宋体" w:hAnsi="宋体" w:eastAsia="宋体" w:cs="Times New Roman"/>
          <w:color w:val="auto"/>
          <w:spacing w:val="23"/>
          <w:szCs w:val="21"/>
          <w:highlight w:val="none"/>
          <w:lang w:val="en-US" w:eastAsia="zh-CN"/>
        </w:rPr>
        <w:t>二十七</w:t>
      </w:r>
      <w:r>
        <w:rPr>
          <w:rFonts w:hint="eastAsia" w:ascii="宋体" w:hAnsi="宋体" w:eastAsia="宋体" w:cs="Times New Roman"/>
          <w:color w:val="auto"/>
          <w:spacing w:val="23"/>
          <w:szCs w:val="21"/>
          <w:highlight w:val="none"/>
        </w:rPr>
        <w:t>份，其中正本</w:t>
      </w:r>
      <w:r>
        <w:rPr>
          <w:rFonts w:hint="eastAsia" w:ascii="宋体" w:hAnsi="宋体" w:eastAsia="宋体" w:cs="Times New Roman"/>
          <w:color w:val="auto"/>
          <w:spacing w:val="23"/>
          <w:szCs w:val="21"/>
          <w:highlight w:val="none"/>
          <w:lang w:val="en-US" w:eastAsia="zh-CN"/>
        </w:rPr>
        <w:t>三</w:t>
      </w:r>
      <w:r>
        <w:rPr>
          <w:rFonts w:hint="eastAsia" w:ascii="宋体" w:hAnsi="宋体" w:eastAsia="宋体" w:cs="Times New Roman"/>
          <w:color w:val="auto"/>
          <w:spacing w:val="23"/>
          <w:szCs w:val="21"/>
          <w:highlight w:val="none"/>
        </w:rPr>
        <w:t>份，协议</w:t>
      </w:r>
      <w:r>
        <w:rPr>
          <w:rFonts w:hint="eastAsia" w:ascii="宋体" w:hAnsi="宋体" w:eastAsia="宋体" w:cs="Times New Roman"/>
          <w:color w:val="auto"/>
          <w:spacing w:val="23"/>
          <w:szCs w:val="21"/>
          <w:highlight w:val="none"/>
          <w:lang w:val="en-US" w:eastAsia="zh-CN"/>
        </w:rPr>
        <w:t>三</w:t>
      </w:r>
      <w:r>
        <w:rPr>
          <w:rFonts w:hint="eastAsia" w:ascii="宋体" w:hAnsi="宋体" w:eastAsia="宋体" w:cs="Times New Roman"/>
          <w:color w:val="auto"/>
          <w:spacing w:val="23"/>
          <w:szCs w:val="21"/>
          <w:highlight w:val="none"/>
        </w:rPr>
        <w:t>方各一份；副本</w:t>
      </w:r>
      <w:r>
        <w:rPr>
          <w:rFonts w:hint="eastAsia" w:ascii="宋体" w:hAnsi="宋体" w:eastAsia="宋体" w:cs="Times New Roman"/>
          <w:color w:val="auto"/>
          <w:spacing w:val="23"/>
          <w:szCs w:val="21"/>
          <w:highlight w:val="none"/>
          <w:lang w:val="en-US" w:eastAsia="zh-CN"/>
        </w:rPr>
        <w:t>二十四</w:t>
      </w:r>
      <w:r>
        <w:rPr>
          <w:rFonts w:hint="eastAsia" w:ascii="宋体" w:hAnsi="宋体" w:eastAsia="宋体" w:cs="Times New Roman"/>
          <w:color w:val="auto"/>
          <w:spacing w:val="23"/>
          <w:szCs w:val="21"/>
          <w:highlight w:val="none"/>
        </w:rPr>
        <w:t>份，</w:t>
      </w:r>
      <w:r>
        <w:rPr>
          <w:rFonts w:hint="eastAsia" w:ascii="宋体" w:hAnsi="宋体" w:eastAsia="宋体" w:cs="Times New Roman"/>
          <w:color w:val="auto"/>
          <w:spacing w:val="23"/>
          <w:szCs w:val="21"/>
          <w:highlight w:val="none"/>
          <w:lang w:val="en-US" w:eastAsia="zh-CN"/>
        </w:rPr>
        <w:t>业主单位五份，</w:t>
      </w:r>
      <w:r>
        <w:rPr>
          <w:rFonts w:hint="eastAsia" w:ascii="宋体" w:hAnsi="宋体" w:eastAsia="宋体" w:cs="Times New Roman"/>
          <w:color w:val="auto"/>
          <w:spacing w:val="23"/>
          <w:szCs w:val="21"/>
          <w:highlight w:val="none"/>
        </w:rPr>
        <w:t>甲方</w:t>
      </w:r>
      <w:r>
        <w:rPr>
          <w:rFonts w:hint="eastAsia" w:ascii="宋体" w:hAnsi="宋体" w:eastAsia="宋体" w:cs="Times New Roman"/>
          <w:color w:val="auto"/>
          <w:spacing w:val="23"/>
          <w:szCs w:val="21"/>
          <w:highlight w:val="none"/>
          <w:lang w:val="en-US" w:eastAsia="zh-CN"/>
        </w:rPr>
        <w:t>十二</w:t>
      </w:r>
      <w:r>
        <w:rPr>
          <w:rFonts w:hint="eastAsia" w:ascii="宋体" w:hAnsi="宋体" w:eastAsia="宋体" w:cs="Times New Roman"/>
          <w:color w:val="auto"/>
          <w:spacing w:val="23"/>
          <w:szCs w:val="21"/>
          <w:highlight w:val="none"/>
        </w:rPr>
        <w:t>份，乙方七份。</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Times New Roman"/>
          <w:color w:val="auto"/>
          <w:spacing w:val="23"/>
          <w:szCs w:val="21"/>
          <w:highlight w:val="none"/>
        </w:rPr>
      </w:pPr>
      <w:r>
        <w:rPr>
          <w:rFonts w:hint="eastAsia" w:ascii="宋体" w:hAnsi="宋体" w:eastAsia="宋体" w:cs="Times New Roman"/>
          <w:color w:val="auto"/>
          <w:spacing w:val="23"/>
          <w:szCs w:val="21"/>
          <w:highlight w:val="none"/>
        </w:rPr>
        <w:t>本协议自</w:t>
      </w:r>
      <w:r>
        <w:rPr>
          <w:rFonts w:hint="eastAsia" w:ascii="宋体" w:hAnsi="宋体" w:eastAsia="宋体" w:cs="Times New Roman"/>
          <w:color w:val="auto"/>
          <w:spacing w:val="23"/>
          <w:szCs w:val="21"/>
          <w:highlight w:val="none"/>
          <w:lang w:val="en-US" w:eastAsia="zh-CN"/>
        </w:rPr>
        <w:t>三</w:t>
      </w:r>
      <w:r>
        <w:rPr>
          <w:rFonts w:hint="eastAsia" w:ascii="宋体" w:hAnsi="宋体" w:eastAsia="宋体" w:cs="Times New Roman"/>
          <w:color w:val="auto"/>
          <w:spacing w:val="23"/>
          <w:szCs w:val="21"/>
          <w:highlight w:val="none"/>
        </w:rPr>
        <w:t>方签字之日起生效。</w:t>
      </w:r>
    </w:p>
    <w:p>
      <w:pPr>
        <w:spacing w:line="360" w:lineRule="auto"/>
        <w:ind w:firstLine="420" w:firstLineChars="200"/>
        <w:rPr>
          <w:rFonts w:ascii="宋体" w:hAnsi="宋体" w:cs="Times New Roman" w:eastAsiaTheme="minorEastAsia"/>
          <w:color w:val="auto"/>
          <w:highlight w:val="none"/>
        </w:rPr>
      </w:pPr>
    </w:p>
    <w:p>
      <w:pPr>
        <w:spacing w:line="360" w:lineRule="auto"/>
        <w:rPr>
          <w:rFonts w:hint="eastAsia" w:ascii="宋体" w:hAnsi="宋体" w:cs="Times New Roman" w:eastAsiaTheme="minorEastAsia"/>
          <w:color w:val="auto"/>
          <w:spacing w:val="20"/>
          <w:szCs w:val="21"/>
          <w:highlight w:val="none"/>
        </w:rPr>
      </w:pPr>
    </w:p>
    <w:p>
      <w:pPr>
        <w:rPr>
          <w:rFonts w:hint="eastAsia" w:ascii="宋体" w:hAnsi="宋体" w:cs="Times New Roman" w:eastAsiaTheme="minorEastAsia"/>
          <w:color w:val="auto"/>
          <w:spacing w:val="20"/>
          <w:szCs w:val="21"/>
          <w:highlight w:val="none"/>
        </w:rPr>
      </w:pPr>
    </w:p>
    <w:tbl>
      <w:tblPr>
        <w:tblStyle w:val="14"/>
        <w:tblW w:w="9718" w:type="dxa"/>
        <w:tblInd w:w="0" w:type="dxa"/>
        <w:tblLayout w:type="fixed"/>
        <w:tblCellMar>
          <w:top w:w="0" w:type="dxa"/>
          <w:left w:w="28" w:type="dxa"/>
          <w:bottom w:w="0" w:type="dxa"/>
          <w:right w:w="28" w:type="dxa"/>
        </w:tblCellMar>
      </w:tblPr>
      <w:tblGrid>
        <w:gridCol w:w="1488"/>
        <w:gridCol w:w="2826"/>
        <w:gridCol w:w="150"/>
        <w:gridCol w:w="1426"/>
        <w:gridCol w:w="3828"/>
      </w:tblGrid>
      <w:tr>
        <w:tblPrEx>
          <w:tblCellMar>
            <w:top w:w="0" w:type="dxa"/>
            <w:left w:w="28" w:type="dxa"/>
            <w:bottom w:w="0" w:type="dxa"/>
            <w:right w:w="28" w:type="dxa"/>
          </w:tblCellMar>
        </w:tblPrEx>
        <w:trPr>
          <w:cantSplit/>
        </w:trPr>
        <w:tc>
          <w:tcPr>
            <w:tcW w:w="1488" w:type="dxa"/>
            <w:noWrap w:val="0"/>
            <w:vAlign w:val="top"/>
          </w:tcPr>
          <w:p>
            <w:pPr>
              <w:jc w:val="center"/>
              <w:rPr>
                <w:rFonts w:ascii="宋体" w:hAnsi="宋体" w:cs="Times New Roman" w:eastAsiaTheme="minorEastAsia"/>
                <w:b/>
                <w:bCs/>
                <w:color w:val="auto"/>
                <w:szCs w:val="21"/>
                <w:highlight w:val="none"/>
              </w:rPr>
            </w:pPr>
            <w:r>
              <w:rPr>
                <w:rFonts w:hint="eastAsia" w:ascii="宋体" w:hAnsi="宋体" w:cs="Times New Roman" w:eastAsiaTheme="minorEastAsia"/>
                <w:b/>
                <w:bCs/>
                <w:color w:val="auto"/>
                <w:szCs w:val="21"/>
                <w:highlight w:val="none"/>
                <w:lang w:val="en-US" w:eastAsia="zh-CN"/>
              </w:rPr>
              <w:t>业主单位</w:t>
            </w:r>
            <w:r>
              <w:rPr>
                <w:rFonts w:ascii="宋体" w:hAnsi="宋体" w:cs="Times New Roman" w:eastAsiaTheme="minorEastAsia"/>
                <w:b/>
                <w:bCs/>
                <w:color w:val="auto"/>
                <w:szCs w:val="21"/>
                <w:highlight w:val="none"/>
              </w:rPr>
              <w:t>：</w:t>
            </w:r>
          </w:p>
        </w:tc>
        <w:tc>
          <w:tcPr>
            <w:tcW w:w="2826" w:type="dxa"/>
            <w:noWrap w:val="0"/>
            <w:vAlign w:val="top"/>
          </w:tcPr>
          <w:p>
            <w:pPr>
              <w:rPr>
                <w:rFonts w:ascii="宋体" w:hAnsi="宋体" w:cs="Times New Roman" w:eastAsiaTheme="minorEastAsia"/>
                <w:b/>
                <w:bCs/>
                <w:color w:val="auto"/>
                <w:szCs w:val="21"/>
                <w:highlight w:val="none"/>
              </w:rPr>
            </w:pPr>
            <w:r>
              <w:rPr>
                <w:rFonts w:hint="eastAsia" w:ascii="宋体" w:hAnsi="宋体" w:cs="Times New Roman" w:eastAsiaTheme="minorEastAsia"/>
                <w:b/>
                <w:bCs/>
                <w:color w:val="auto"/>
                <w:szCs w:val="21"/>
                <w:highlight w:val="none"/>
                <w:lang w:val="zh-CN"/>
              </w:rPr>
              <w:t>东莞轨道交通二号线三期投资有限公司</w:t>
            </w:r>
          </w:p>
        </w:tc>
        <w:tc>
          <w:tcPr>
            <w:tcW w:w="150" w:type="dxa"/>
            <w:noWrap w:val="0"/>
            <w:vAlign w:val="top"/>
          </w:tcPr>
          <w:p>
            <w:pPr>
              <w:rPr>
                <w:rFonts w:ascii="宋体" w:hAnsi="宋体" w:cs="Times New Roman" w:eastAsiaTheme="minorEastAsia"/>
                <w:b/>
                <w:bCs/>
                <w:color w:val="auto"/>
                <w:szCs w:val="21"/>
                <w:highlight w:val="none"/>
              </w:rPr>
            </w:pPr>
          </w:p>
        </w:tc>
        <w:tc>
          <w:tcPr>
            <w:tcW w:w="1426" w:type="dxa"/>
            <w:noWrap w:val="0"/>
            <w:vAlign w:val="center"/>
          </w:tcPr>
          <w:p>
            <w:pPr>
              <w:jc w:val="center"/>
              <w:rPr>
                <w:rFonts w:hint="eastAsia" w:ascii="宋体" w:hAnsi="宋体" w:cs="Times New Roman" w:eastAsiaTheme="minorEastAsia"/>
                <w:b/>
                <w:bCs/>
                <w:color w:val="auto"/>
                <w:szCs w:val="21"/>
                <w:highlight w:val="none"/>
                <w:lang w:val="en-US" w:eastAsia="zh-CN"/>
              </w:rPr>
            </w:pPr>
            <w:r>
              <w:rPr>
                <w:rFonts w:hint="eastAsia" w:ascii="宋体" w:hAnsi="宋体" w:cs="Times New Roman" w:eastAsiaTheme="minorEastAsia"/>
                <w:b/>
                <w:bCs/>
                <w:color w:val="auto"/>
                <w:szCs w:val="21"/>
                <w:highlight w:val="none"/>
                <w:lang w:val="en-US" w:eastAsia="zh-CN"/>
              </w:rPr>
              <w:t>委托人</w:t>
            </w:r>
          </w:p>
          <w:p>
            <w:pPr>
              <w:jc w:val="center"/>
              <w:rPr>
                <w:rFonts w:ascii="宋体" w:hAnsi="宋体" w:cs="Times New Roman" w:eastAsiaTheme="minorEastAsia"/>
                <w:b/>
                <w:bCs/>
                <w:color w:val="auto"/>
                <w:szCs w:val="21"/>
                <w:highlight w:val="none"/>
              </w:rPr>
            </w:pPr>
            <w:r>
              <w:rPr>
                <w:rFonts w:hint="eastAsia" w:ascii="宋体" w:hAnsi="宋体" w:cs="Times New Roman" w:eastAsiaTheme="minorEastAsia"/>
                <w:b/>
                <w:bCs/>
                <w:color w:val="auto"/>
                <w:szCs w:val="21"/>
                <w:highlight w:val="none"/>
                <w:lang w:val="en-US" w:eastAsia="zh-CN"/>
              </w:rPr>
              <w:t>（甲</w:t>
            </w:r>
            <w:r>
              <w:rPr>
                <w:rFonts w:ascii="宋体" w:hAnsi="宋体" w:cs="Times New Roman" w:eastAsiaTheme="minorEastAsia"/>
                <w:b/>
                <w:bCs/>
                <w:color w:val="auto"/>
                <w:szCs w:val="21"/>
                <w:highlight w:val="none"/>
              </w:rPr>
              <w:t>方</w:t>
            </w:r>
            <w:r>
              <w:rPr>
                <w:rFonts w:hint="eastAsia" w:ascii="宋体" w:hAnsi="宋体" w:cs="Times New Roman" w:eastAsiaTheme="minorEastAsia"/>
                <w:b/>
                <w:bCs/>
                <w:color w:val="auto"/>
                <w:szCs w:val="21"/>
                <w:highlight w:val="none"/>
                <w:lang w:val="en-US" w:eastAsia="zh-CN"/>
              </w:rPr>
              <w:t>)</w:t>
            </w:r>
            <w:r>
              <w:rPr>
                <w:rFonts w:ascii="宋体" w:hAnsi="宋体" w:cs="Times New Roman" w:eastAsiaTheme="minorEastAsia"/>
                <w:b/>
                <w:bCs/>
                <w:color w:val="auto"/>
                <w:szCs w:val="21"/>
                <w:highlight w:val="none"/>
              </w:rPr>
              <w:t>：</w:t>
            </w:r>
          </w:p>
        </w:tc>
        <w:tc>
          <w:tcPr>
            <w:tcW w:w="3828" w:type="dxa"/>
            <w:noWrap w:val="0"/>
            <w:vAlign w:val="top"/>
          </w:tcPr>
          <w:p>
            <w:pPr>
              <w:rPr>
                <w:rFonts w:ascii="宋体" w:hAnsi="宋体" w:cs="Times New Roman" w:eastAsiaTheme="minorEastAsia"/>
                <w:b/>
                <w:bCs/>
                <w:color w:val="auto"/>
                <w:szCs w:val="21"/>
                <w:highlight w:val="none"/>
              </w:rPr>
            </w:pPr>
            <w:r>
              <w:rPr>
                <w:rFonts w:hint="eastAsia" w:ascii="宋体" w:hAnsi="宋体" w:cs="Times New Roman" w:eastAsiaTheme="minorEastAsia"/>
                <w:b/>
                <w:bCs/>
                <w:color w:val="auto"/>
                <w:szCs w:val="21"/>
                <w:highlight w:val="none"/>
              </w:rPr>
              <w:t xml:space="preserve"> 东莞市轨道交通有限公司</w:t>
            </w:r>
          </w:p>
        </w:tc>
      </w:tr>
      <w:tr>
        <w:tblPrEx>
          <w:tblCellMar>
            <w:top w:w="0" w:type="dxa"/>
            <w:left w:w="28" w:type="dxa"/>
            <w:bottom w:w="0" w:type="dxa"/>
            <w:right w:w="28" w:type="dxa"/>
          </w:tblCellMar>
        </w:tblPrEx>
        <w:trPr>
          <w:cantSplit/>
        </w:trPr>
        <w:tc>
          <w:tcPr>
            <w:tcW w:w="1488" w:type="dxa"/>
            <w:noWrap w:val="0"/>
            <w:vAlign w:val="top"/>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法定代表人</w:t>
            </w:r>
          </w:p>
          <w:p>
            <w:pPr>
              <w:spacing w:line="440" w:lineRule="exact"/>
              <w:jc w:val="center"/>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lang w:eastAsia="zh-CN"/>
              </w:rPr>
              <w:t>（</w:t>
            </w:r>
            <w:r>
              <w:rPr>
                <w:rFonts w:ascii="宋体" w:hAnsi="宋体" w:cs="Times New Roman" w:eastAsiaTheme="minorEastAsia"/>
                <w:color w:val="auto"/>
                <w:szCs w:val="21"/>
                <w:highlight w:val="none"/>
              </w:rPr>
              <w:t>或授权代表）</w:t>
            </w:r>
          </w:p>
        </w:tc>
        <w:tc>
          <w:tcPr>
            <w:tcW w:w="2826" w:type="dxa"/>
            <w:noWrap w:val="0"/>
            <w:vAlign w:val="top"/>
          </w:tcPr>
          <w:p>
            <w:pPr>
              <w:spacing w:line="440" w:lineRule="exact"/>
              <w:rPr>
                <w:rFonts w:ascii="宋体" w:hAnsi="宋体" w:cs="Times New Roman" w:eastAsiaTheme="minorEastAsia"/>
                <w:color w:val="auto"/>
                <w:szCs w:val="21"/>
                <w:highlight w:val="none"/>
              </w:rPr>
            </w:pPr>
          </w:p>
        </w:tc>
        <w:tc>
          <w:tcPr>
            <w:tcW w:w="150" w:type="dxa"/>
            <w:noWrap w:val="0"/>
            <w:vAlign w:val="top"/>
          </w:tcPr>
          <w:p>
            <w:pPr>
              <w:spacing w:line="440" w:lineRule="exact"/>
              <w:rPr>
                <w:rFonts w:ascii="宋体" w:hAnsi="宋体" w:cs="Times New Roman" w:eastAsiaTheme="minorEastAsia"/>
                <w:color w:val="auto"/>
                <w:szCs w:val="21"/>
                <w:highlight w:val="none"/>
              </w:rPr>
            </w:pPr>
          </w:p>
        </w:tc>
        <w:tc>
          <w:tcPr>
            <w:tcW w:w="1426" w:type="dxa"/>
            <w:noWrap w:val="0"/>
            <w:vAlign w:val="top"/>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法定代表人</w:t>
            </w:r>
          </w:p>
          <w:p>
            <w:pPr>
              <w:spacing w:line="440" w:lineRule="exact"/>
              <w:jc w:val="center"/>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lang w:eastAsia="zh-CN"/>
              </w:rPr>
              <w:t>（</w:t>
            </w:r>
            <w:r>
              <w:rPr>
                <w:rFonts w:ascii="宋体" w:hAnsi="宋体" w:cs="Times New Roman" w:eastAsiaTheme="minorEastAsia"/>
                <w:color w:val="auto"/>
                <w:szCs w:val="21"/>
                <w:highlight w:val="none"/>
              </w:rPr>
              <w:t>或授权代表）</w:t>
            </w:r>
          </w:p>
        </w:tc>
        <w:tc>
          <w:tcPr>
            <w:tcW w:w="3828" w:type="dxa"/>
            <w:noWrap w:val="0"/>
            <w:vAlign w:val="top"/>
          </w:tcPr>
          <w:p>
            <w:pPr>
              <w:spacing w:line="440" w:lineRule="exact"/>
              <w:rPr>
                <w:rFonts w:ascii="宋体" w:hAnsi="宋体" w:cs="Times New Roman" w:eastAsiaTheme="minorEastAsia"/>
                <w:color w:val="auto"/>
                <w:szCs w:val="21"/>
                <w:highlight w:val="none"/>
              </w:rPr>
            </w:pPr>
          </w:p>
        </w:tc>
      </w:tr>
      <w:tr>
        <w:tblPrEx>
          <w:tblCellMar>
            <w:top w:w="0" w:type="dxa"/>
            <w:left w:w="28" w:type="dxa"/>
            <w:bottom w:w="0" w:type="dxa"/>
            <w:right w:w="28" w:type="dxa"/>
          </w:tblCellMar>
        </w:tblPrEx>
        <w:trPr>
          <w:cantSplit/>
          <w:trHeight w:val="475" w:hRule="atLeas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签署日期</w:t>
            </w:r>
          </w:p>
        </w:tc>
        <w:tc>
          <w:tcPr>
            <w:tcW w:w="2826" w:type="dxa"/>
            <w:noWrap w:val="0"/>
            <w:vAlign w:val="top"/>
          </w:tcPr>
          <w:p>
            <w:pPr>
              <w:spacing w:line="440" w:lineRule="exact"/>
              <w:ind w:firstLine="1050" w:firstLineChars="500"/>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 xml:space="preserve">年  </w:t>
            </w:r>
            <w:r>
              <w:rPr>
                <w:rFonts w:hint="eastAsia" w:ascii="宋体" w:hAnsi="宋体" w:cs="Times New Roman" w:eastAsiaTheme="minorEastAsia"/>
                <w:color w:val="auto"/>
                <w:szCs w:val="21"/>
                <w:highlight w:val="none"/>
                <w:lang w:val="en-US" w:eastAsia="zh-CN"/>
              </w:rPr>
              <w:t xml:space="preserve">  </w:t>
            </w:r>
            <w:r>
              <w:rPr>
                <w:rFonts w:ascii="宋体" w:hAnsi="宋体" w:cs="Times New Roman" w:eastAsiaTheme="minorEastAsia"/>
                <w:color w:val="auto"/>
                <w:szCs w:val="21"/>
                <w:highlight w:val="none"/>
              </w:rPr>
              <w:t xml:space="preserve"> 月  </w:t>
            </w:r>
            <w:r>
              <w:rPr>
                <w:rFonts w:hint="eastAsia" w:ascii="宋体" w:hAnsi="宋体" w:cs="Times New Roman" w:eastAsiaTheme="minorEastAsia"/>
                <w:color w:val="auto"/>
                <w:szCs w:val="21"/>
                <w:highlight w:val="none"/>
                <w:lang w:val="en-US" w:eastAsia="zh-CN"/>
              </w:rPr>
              <w:t xml:space="preserve">  </w:t>
            </w:r>
            <w:r>
              <w:rPr>
                <w:rFonts w:ascii="宋体" w:hAnsi="宋体" w:cs="Times New Roman" w:eastAsiaTheme="minorEastAsia"/>
                <w:color w:val="auto"/>
                <w:szCs w:val="21"/>
                <w:highlight w:val="none"/>
              </w:rPr>
              <w:t xml:space="preserve"> 日</w:t>
            </w:r>
          </w:p>
        </w:tc>
        <w:tc>
          <w:tcPr>
            <w:tcW w:w="150" w:type="dxa"/>
            <w:noWrap w:val="0"/>
            <w:vAlign w:val="top"/>
          </w:tcPr>
          <w:p>
            <w:pPr>
              <w:spacing w:line="440" w:lineRule="exact"/>
              <w:rPr>
                <w:rFonts w:ascii="宋体" w:hAnsi="宋体" w:cs="Times New Roman" w:eastAsiaTheme="minorEastAsia"/>
                <w:color w:val="auto"/>
                <w:szCs w:val="21"/>
                <w:highlight w:val="none"/>
              </w:rPr>
            </w:pPr>
          </w:p>
        </w:tc>
        <w:tc>
          <w:tcPr>
            <w:tcW w:w="1426"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签署日期</w:t>
            </w:r>
          </w:p>
        </w:tc>
        <w:tc>
          <w:tcPr>
            <w:tcW w:w="3828" w:type="dxa"/>
            <w:noWrap w:val="0"/>
            <w:vAlign w:val="top"/>
          </w:tcPr>
          <w:p>
            <w:pPr>
              <w:spacing w:line="440" w:lineRule="exact"/>
              <w:ind w:firstLine="1260" w:firstLineChars="600"/>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 xml:space="preserve">年   </w:t>
            </w:r>
            <w:r>
              <w:rPr>
                <w:rFonts w:hint="eastAsia" w:ascii="宋体" w:hAnsi="宋体" w:cs="Times New Roman" w:eastAsiaTheme="minorEastAsia"/>
                <w:color w:val="auto"/>
                <w:szCs w:val="21"/>
                <w:highlight w:val="none"/>
                <w:lang w:val="en-US" w:eastAsia="zh-CN"/>
              </w:rPr>
              <w:t xml:space="preserve">   </w:t>
            </w:r>
            <w:r>
              <w:rPr>
                <w:rFonts w:ascii="宋体" w:hAnsi="宋体" w:cs="Times New Roman" w:eastAsiaTheme="minorEastAsia"/>
                <w:color w:val="auto"/>
                <w:szCs w:val="21"/>
                <w:highlight w:val="none"/>
              </w:rPr>
              <w:t xml:space="preserve">月  </w:t>
            </w:r>
            <w:r>
              <w:rPr>
                <w:rFonts w:hint="eastAsia" w:ascii="宋体" w:hAnsi="宋体" w:cs="Times New Roman" w:eastAsiaTheme="minorEastAsia"/>
                <w:color w:val="auto"/>
                <w:szCs w:val="21"/>
                <w:highlight w:val="none"/>
                <w:lang w:val="en-US" w:eastAsia="zh-CN"/>
              </w:rPr>
              <w:t xml:space="preserve">   </w:t>
            </w:r>
            <w:r>
              <w:rPr>
                <w:rFonts w:ascii="宋体" w:hAnsi="宋体" w:cs="Times New Roman" w:eastAsiaTheme="minorEastAsia"/>
                <w:color w:val="auto"/>
                <w:szCs w:val="21"/>
                <w:highlight w:val="none"/>
              </w:rPr>
              <w:t xml:space="preserve"> 日</w:t>
            </w:r>
          </w:p>
        </w:tc>
      </w:tr>
      <w:tr>
        <w:tblPrEx>
          <w:tblCellMar>
            <w:top w:w="0" w:type="dxa"/>
            <w:left w:w="28" w:type="dxa"/>
            <w:bottom w:w="0" w:type="dxa"/>
            <w:right w:w="28" w:type="dxa"/>
          </w:tblCellMar>
        </w:tblPrEx>
        <w:trPr>
          <w:cantSpli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通讯地址</w:t>
            </w:r>
          </w:p>
        </w:tc>
        <w:tc>
          <w:tcPr>
            <w:tcW w:w="2826" w:type="dxa"/>
            <w:noWrap w:val="0"/>
            <w:vAlign w:val="center"/>
          </w:tcPr>
          <w:p>
            <w:pPr>
              <w:spacing w:line="440" w:lineRule="exact"/>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东莞市南城区东莞大道116号</w:t>
            </w:r>
          </w:p>
        </w:tc>
        <w:tc>
          <w:tcPr>
            <w:tcW w:w="150" w:type="dxa"/>
            <w:noWrap w:val="0"/>
            <w:vAlign w:val="center"/>
          </w:tcPr>
          <w:p>
            <w:pPr>
              <w:spacing w:line="440" w:lineRule="exact"/>
              <w:rPr>
                <w:rFonts w:ascii="宋体" w:hAnsi="宋体" w:cs="Times New Roman" w:eastAsiaTheme="minorEastAsia"/>
                <w:color w:val="auto"/>
                <w:szCs w:val="21"/>
                <w:highlight w:val="none"/>
              </w:rPr>
            </w:pPr>
          </w:p>
        </w:tc>
        <w:tc>
          <w:tcPr>
            <w:tcW w:w="1426"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通讯地址</w:t>
            </w:r>
          </w:p>
        </w:tc>
        <w:tc>
          <w:tcPr>
            <w:tcW w:w="3828" w:type="dxa"/>
            <w:noWrap w:val="0"/>
            <w:vAlign w:val="center"/>
          </w:tcPr>
          <w:p>
            <w:pPr>
              <w:spacing w:line="440" w:lineRule="exact"/>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东莞市南城区东莞大道116号</w:t>
            </w:r>
          </w:p>
        </w:tc>
      </w:tr>
      <w:tr>
        <w:tblPrEx>
          <w:tblCellMar>
            <w:top w:w="0" w:type="dxa"/>
            <w:left w:w="28" w:type="dxa"/>
            <w:bottom w:w="0" w:type="dxa"/>
            <w:right w:w="28" w:type="dxa"/>
          </w:tblCellMar>
        </w:tblPrEx>
        <w:trPr>
          <w:cantSplit/>
          <w:trHeight w:val="512"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传    真：</w:t>
            </w:r>
          </w:p>
        </w:tc>
        <w:tc>
          <w:tcPr>
            <w:tcW w:w="2826" w:type="dxa"/>
            <w:noWrap w:val="0"/>
            <w:vAlign w:val="top"/>
          </w:tcPr>
          <w:p>
            <w:pPr>
              <w:spacing w:line="440" w:lineRule="exact"/>
              <w:rPr>
                <w:rFonts w:hint="default" w:ascii="宋体" w:hAnsi="宋体" w:eastAsia="宋体" w:cs="Times New Roman"/>
                <w:color w:val="auto"/>
                <w:szCs w:val="21"/>
                <w:highlight w:val="none"/>
                <w:lang w:val="en-US" w:eastAsia="zh-CN"/>
              </w:rPr>
            </w:pPr>
          </w:p>
        </w:tc>
        <w:tc>
          <w:tcPr>
            <w:tcW w:w="150" w:type="dxa"/>
            <w:noWrap w:val="0"/>
            <w:vAlign w:val="top"/>
          </w:tcPr>
          <w:p>
            <w:pPr>
              <w:spacing w:line="440" w:lineRule="exact"/>
              <w:rPr>
                <w:rFonts w:ascii="宋体" w:hAnsi="宋体" w:cs="Times New Roman" w:eastAsiaTheme="minorEastAsia"/>
                <w:color w:val="auto"/>
                <w:szCs w:val="21"/>
                <w:highlight w:val="none"/>
              </w:rPr>
            </w:pPr>
          </w:p>
        </w:tc>
        <w:tc>
          <w:tcPr>
            <w:tcW w:w="1426"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传    真：</w:t>
            </w:r>
          </w:p>
        </w:tc>
        <w:tc>
          <w:tcPr>
            <w:tcW w:w="3828" w:type="dxa"/>
            <w:noWrap w:val="0"/>
            <w:vAlign w:val="top"/>
          </w:tcPr>
          <w:p>
            <w:pPr>
              <w:spacing w:line="440" w:lineRule="exact"/>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lang w:val="en-US" w:eastAsia="zh-CN"/>
              </w:rPr>
              <w:t>0769-22210608</w:t>
            </w:r>
          </w:p>
        </w:tc>
      </w:tr>
      <w:tr>
        <w:tblPrEx>
          <w:tblCellMar>
            <w:top w:w="0" w:type="dxa"/>
            <w:left w:w="28" w:type="dxa"/>
            <w:bottom w:w="0" w:type="dxa"/>
            <w:right w:w="28" w:type="dxa"/>
          </w:tblCellMar>
        </w:tblPrEx>
        <w:trPr>
          <w:cantSplit/>
          <w:trHeight w:val="465"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电    话：</w:t>
            </w:r>
          </w:p>
        </w:tc>
        <w:tc>
          <w:tcPr>
            <w:tcW w:w="2826" w:type="dxa"/>
            <w:noWrap w:val="0"/>
            <w:vAlign w:val="top"/>
          </w:tcPr>
          <w:p>
            <w:pPr>
              <w:spacing w:line="440" w:lineRule="exact"/>
              <w:rPr>
                <w:rFonts w:hint="default" w:ascii="宋体" w:hAnsi="宋体" w:eastAsia="宋体" w:cs="Times New Roman"/>
                <w:color w:val="auto"/>
                <w:szCs w:val="21"/>
                <w:highlight w:val="none"/>
                <w:lang w:val="en-US" w:eastAsia="zh-CN"/>
              </w:rPr>
            </w:pPr>
          </w:p>
        </w:tc>
        <w:tc>
          <w:tcPr>
            <w:tcW w:w="150" w:type="dxa"/>
            <w:noWrap w:val="0"/>
            <w:vAlign w:val="top"/>
          </w:tcPr>
          <w:p>
            <w:pPr>
              <w:spacing w:line="440" w:lineRule="exact"/>
              <w:rPr>
                <w:rFonts w:ascii="宋体" w:hAnsi="宋体" w:cs="Times New Roman" w:eastAsiaTheme="minorEastAsia"/>
                <w:color w:val="auto"/>
                <w:szCs w:val="21"/>
                <w:highlight w:val="none"/>
              </w:rPr>
            </w:pPr>
          </w:p>
        </w:tc>
        <w:tc>
          <w:tcPr>
            <w:tcW w:w="1426"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电    话：</w:t>
            </w:r>
          </w:p>
        </w:tc>
        <w:tc>
          <w:tcPr>
            <w:tcW w:w="3828" w:type="dxa"/>
            <w:noWrap w:val="0"/>
            <w:vAlign w:val="top"/>
          </w:tcPr>
          <w:p>
            <w:pPr>
              <w:spacing w:line="440" w:lineRule="exact"/>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lang w:val="en-US" w:eastAsia="zh-CN"/>
              </w:rPr>
              <w:t>0769-</w:t>
            </w:r>
            <w:r>
              <w:rPr>
                <w:rFonts w:hint="eastAsia" w:ascii="宋体" w:hAnsi="宋体" w:cs="宋体" w:eastAsiaTheme="minorEastAsia"/>
                <w:color w:val="auto"/>
                <w:szCs w:val="21"/>
                <w:highlight w:val="none"/>
                <w:u w:val="single"/>
              </w:rPr>
              <w:t>22210298</w:t>
            </w:r>
          </w:p>
        </w:tc>
      </w:tr>
      <w:tr>
        <w:tblPrEx>
          <w:tblCellMar>
            <w:top w:w="0" w:type="dxa"/>
            <w:left w:w="28" w:type="dxa"/>
            <w:bottom w:w="0" w:type="dxa"/>
            <w:right w:w="28" w:type="dxa"/>
          </w:tblCellMar>
        </w:tblPrEx>
        <w:trPr>
          <w:cantSplit/>
          <w:trHeight w:val="465"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邮政编码：</w:t>
            </w:r>
          </w:p>
        </w:tc>
        <w:tc>
          <w:tcPr>
            <w:tcW w:w="2826" w:type="dxa"/>
            <w:noWrap w:val="0"/>
            <w:vAlign w:val="top"/>
          </w:tcPr>
          <w:p>
            <w:pPr>
              <w:spacing w:line="440" w:lineRule="exact"/>
              <w:rPr>
                <w:rFonts w:hint="default" w:ascii="宋体" w:hAnsi="宋体" w:eastAsia="宋体" w:cs="Times New Roman"/>
                <w:color w:val="auto"/>
                <w:szCs w:val="21"/>
                <w:highlight w:val="none"/>
                <w:lang w:val="en-US" w:eastAsia="zh-CN"/>
              </w:rPr>
            </w:pPr>
          </w:p>
        </w:tc>
        <w:tc>
          <w:tcPr>
            <w:tcW w:w="150" w:type="dxa"/>
            <w:noWrap w:val="0"/>
            <w:vAlign w:val="top"/>
          </w:tcPr>
          <w:p>
            <w:pPr>
              <w:spacing w:line="440" w:lineRule="exact"/>
              <w:rPr>
                <w:rFonts w:ascii="宋体" w:hAnsi="宋体" w:cs="Times New Roman" w:eastAsiaTheme="minorEastAsia"/>
                <w:color w:val="auto"/>
                <w:szCs w:val="21"/>
                <w:highlight w:val="none"/>
              </w:rPr>
            </w:pPr>
          </w:p>
        </w:tc>
        <w:tc>
          <w:tcPr>
            <w:tcW w:w="1426"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邮政编码：</w:t>
            </w:r>
          </w:p>
        </w:tc>
        <w:tc>
          <w:tcPr>
            <w:tcW w:w="3828" w:type="dxa"/>
            <w:noWrap w:val="0"/>
            <w:vAlign w:val="top"/>
          </w:tcPr>
          <w:p>
            <w:pPr>
              <w:spacing w:line="440" w:lineRule="exact"/>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lang w:val="en-US" w:eastAsia="zh-CN"/>
              </w:rPr>
              <w:t>523079</w:t>
            </w:r>
          </w:p>
        </w:tc>
      </w:tr>
      <w:tr>
        <w:tblPrEx>
          <w:tblCellMar>
            <w:top w:w="0" w:type="dxa"/>
            <w:left w:w="28" w:type="dxa"/>
            <w:bottom w:w="0" w:type="dxa"/>
            <w:right w:w="28" w:type="dxa"/>
          </w:tblCellMar>
        </w:tblPrEx>
        <w:trPr>
          <w:cantSplit/>
          <w:trHeight w:val="454"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联系人：</w:t>
            </w:r>
          </w:p>
        </w:tc>
        <w:tc>
          <w:tcPr>
            <w:tcW w:w="2826" w:type="dxa"/>
            <w:noWrap w:val="0"/>
            <w:vAlign w:val="top"/>
          </w:tcPr>
          <w:p>
            <w:pPr>
              <w:spacing w:line="440" w:lineRule="exact"/>
              <w:rPr>
                <w:rFonts w:ascii="宋体" w:hAnsi="宋体" w:cs="Times New Roman" w:eastAsiaTheme="minorEastAsia"/>
                <w:color w:val="auto"/>
                <w:szCs w:val="21"/>
                <w:highlight w:val="none"/>
              </w:rPr>
            </w:pPr>
          </w:p>
        </w:tc>
        <w:tc>
          <w:tcPr>
            <w:tcW w:w="150" w:type="dxa"/>
            <w:noWrap w:val="0"/>
            <w:vAlign w:val="top"/>
          </w:tcPr>
          <w:p>
            <w:pPr>
              <w:spacing w:line="440" w:lineRule="exact"/>
              <w:rPr>
                <w:rFonts w:ascii="宋体" w:hAnsi="宋体" w:cs="Times New Roman" w:eastAsiaTheme="minorEastAsia"/>
                <w:color w:val="auto"/>
                <w:szCs w:val="21"/>
                <w:highlight w:val="none"/>
              </w:rPr>
            </w:pPr>
          </w:p>
        </w:tc>
        <w:tc>
          <w:tcPr>
            <w:tcW w:w="1426"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联系人：</w:t>
            </w:r>
          </w:p>
        </w:tc>
        <w:tc>
          <w:tcPr>
            <w:tcW w:w="3828" w:type="dxa"/>
            <w:noWrap w:val="0"/>
            <w:vAlign w:val="top"/>
          </w:tcPr>
          <w:p>
            <w:pPr>
              <w:spacing w:line="440" w:lineRule="exact"/>
              <w:rPr>
                <w:rFonts w:ascii="宋体" w:hAnsi="宋体" w:cs="Times New Roman" w:eastAsiaTheme="minorEastAsia"/>
                <w:color w:val="auto"/>
                <w:szCs w:val="21"/>
                <w:highlight w:val="none"/>
              </w:rPr>
            </w:pPr>
          </w:p>
        </w:tc>
      </w:tr>
      <w:tr>
        <w:tblPrEx>
          <w:tblCellMar>
            <w:top w:w="0" w:type="dxa"/>
            <w:left w:w="28" w:type="dxa"/>
            <w:bottom w:w="0" w:type="dxa"/>
            <w:right w:w="28" w:type="dxa"/>
          </w:tblCellMar>
        </w:tblPrEx>
        <w:trPr>
          <w:cantSplit/>
          <w:trHeight w:val="499" w:hRule="exact"/>
        </w:trPr>
        <w:tc>
          <w:tcPr>
            <w:tcW w:w="1488" w:type="dxa"/>
            <w:noWrap w:val="0"/>
            <w:vAlign w:val="center"/>
          </w:tcPr>
          <w:p>
            <w:pPr>
              <w:spacing w:line="440" w:lineRule="exact"/>
              <w:rPr>
                <w:rFonts w:ascii="宋体" w:hAnsi="宋体" w:cs="Times New Roman" w:eastAsiaTheme="minorEastAsia"/>
                <w:color w:val="auto"/>
                <w:szCs w:val="21"/>
                <w:highlight w:val="none"/>
              </w:rPr>
            </w:pPr>
          </w:p>
        </w:tc>
        <w:tc>
          <w:tcPr>
            <w:tcW w:w="2826" w:type="dxa"/>
            <w:noWrap w:val="0"/>
            <w:vAlign w:val="top"/>
          </w:tcPr>
          <w:p>
            <w:pPr>
              <w:spacing w:line="440" w:lineRule="exact"/>
              <w:rPr>
                <w:rFonts w:ascii="宋体" w:hAnsi="宋体" w:cs="Times New Roman" w:eastAsiaTheme="minorEastAsia"/>
                <w:color w:val="auto"/>
                <w:szCs w:val="21"/>
                <w:highlight w:val="none"/>
              </w:rPr>
            </w:pPr>
          </w:p>
        </w:tc>
        <w:tc>
          <w:tcPr>
            <w:tcW w:w="150" w:type="dxa"/>
            <w:noWrap w:val="0"/>
            <w:vAlign w:val="top"/>
          </w:tcPr>
          <w:p>
            <w:pPr>
              <w:spacing w:line="440" w:lineRule="exact"/>
              <w:rPr>
                <w:rFonts w:ascii="宋体" w:hAnsi="宋体" w:cs="Times New Roman" w:eastAsiaTheme="minorEastAsia"/>
                <w:color w:val="auto"/>
                <w:szCs w:val="21"/>
                <w:highlight w:val="none"/>
              </w:rPr>
            </w:pPr>
          </w:p>
        </w:tc>
        <w:tc>
          <w:tcPr>
            <w:tcW w:w="1426" w:type="dxa"/>
            <w:noWrap w:val="0"/>
            <w:vAlign w:val="top"/>
          </w:tcPr>
          <w:p>
            <w:pPr>
              <w:spacing w:line="440" w:lineRule="exact"/>
              <w:jc w:val="distribute"/>
              <w:rPr>
                <w:rFonts w:ascii="宋体" w:hAnsi="宋体" w:cs="Times New Roman" w:eastAsiaTheme="minorEastAsia"/>
                <w:color w:val="auto"/>
                <w:szCs w:val="21"/>
                <w:highlight w:val="none"/>
              </w:rPr>
            </w:pPr>
          </w:p>
        </w:tc>
        <w:tc>
          <w:tcPr>
            <w:tcW w:w="3828" w:type="dxa"/>
            <w:noWrap w:val="0"/>
            <w:vAlign w:val="center"/>
          </w:tcPr>
          <w:p>
            <w:pPr>
              <w:spacing w:line="440" w:lineRule="exact"/>
              <w:rPr>
                <w:rFonts w:ascii="宋体" w:hAnsi="宋体" w:cs="Times New Roman" w:eastAsiaTheme="minorEastAsia"/>
                <w:color w:val="auto"/>
                <w:szCs w:val="21"/>
                <w:highlight w:val="none"/>
              </w:rPr>
            </w:pPr>
          </w:p>
        </w:tc>
      </w:tr>
      <w:tr>
        <w:tblPrEx>
          <w:tblCellMar>
            <w:top w:w="0" w:type="dxa"/>
            <w:left w:w="28" w:type="dxa"/>
            <w:bottom w:w="0" w:type="dxa"/>
            <w:right w:w="28" w:type="dxa"/>
          </w:tblCellMar>
        </w:tblPrEx>
        <w:trPr>
          <w:gridAfter w:val="1"/>
          <w:wAfter w:w="3828" w:type="dxa"/>
          <w:cantSplit/>
        </w:trPr>
        <w:tc>
          <w:tcPr>
            <w:tcW w:w="1488" w:type="dxa"/>
            <w:noWrap w:val="0"/>
            <w:vAlign w:val="center"/>
          </w:tcPr>
          <w:p>
            <w:pPr>
              <w:jc w:val="center"/>
              <w:rPr>
                <w:rFonts w:ascii="宋体" w:hAnsi="宋体" w:cs="Times New Roman" w:eastAsiaTheme="minorEastAsia"/>
                <w:b/>
                <w:bCs/>
                <w:color w:val="auto"/>
                <w:szCs w:val="21"/>
                <w:highlight w:val="none"/>
              </w:rPr>
            </w:pPr>
            <w:r>
              <w:rPr>
                <w:rFonts w:hint="eastAsia" w:ascii="宋体" w:hAnsi="宋体" w:cs="Times New Roman" w:eastAsiaTheme="minorEastAsia"/>
                <w:b/>
                <w:bCs/>
                <w:color w:val="auto"/>
                <w:szCs w:val="21"/>
                <w:highlight w:val="none"/>
                <w:lang w:val="en-US" w:eastAsia="zh-CN"/>
              </w:rPr>
              <w:t>集成服务单位（</w:t>
            </w:r>
            <w:r>
              <w:rPr>
                <w:rFonts w:ascii="宋体" w:hAnsi="宋体" w:cs="Times New Roman" w:eastAsiaTheme="minorEastAsia"/>
                <w:b/>
                <w:bCs/>
                <w:color w:val="auto"/>
                <w:szCs w:val="21"/>
                <w:highlight w:val="none"/>
              </w:rPr>
              <w:t>乙方</w:t>
            </w:r>
            <w:r>
              <w:rPr>
                <w:rFonts w:hint="eastAsia" w:ascii="宋体" w:hAnsi="宋体" w:cs="Times New Roman" w:eastAsiaTheme="minorEastAsia"/>
                <w:b/>
                <w:bCs/>
                <w:color w:val="auto"/>
                <w:szCs w:val="21"/>
                <w:highlight w:val="none"/>
                <w:lang w:eastAsia="zh-CN"/>
              </w:rPr>
              <w:t>）</w:t>
            </w:r>
            <w:r>
              <w:rPr>
                <w:rFonts w:ascii="宋体" w:hAnsi="宋体" w:cs="Times New Roman" w:eastAsiaTheme="minorEastAsia"/>
                <w:b/>
                <w:bCs/>
                <w:color w:val="auto"/>
                <w:szCs w:val="21"/>
                <w:highlight w:val="none"/>
              </w:rPr>
              <w:t>：</w:t>
            </w:r>
          </w:p>
        </w:tc>
        <w:tc>
          <w:tcPr>
            <w:tcW w:w="4402" w:type="dxa"/>
            <w:gridSpan w:val="3"/>
            <w:noWrap w:val="0"/>
            <w:vAlign w:val="top"/>
          </w:tcPr>
          <w:p>
            <w:pPr>
              <w:rPr>
                <w:rFonts w:ascii="宋体" w:hAnsi="宋体" w:cs="Times New Roman" w:eastAsiaTheme="minorEastAsia"/>
                <w:b/>
                <w:bCs/>
                <w:color w:val="auto"/>
                <w:szCs w:val="21"/>
                <w:highlight w:val="none"/>
              </w:rPr>
            </w:pPr>
          </w:p>
        </w:tc>
      </w:tr>
      <w:tr>
        <w:tblPrEx>
          <w:tblCellMar>
            <w:top w:w="0" w:type="dxa"/>
            <w:left w:w="28" w:type="dxa"/>
            <w:bottom w:w="0" w:type="dxa"/>
            <w:right w:w="28" w:type="dxa"/>
          </w:tblCellMar>
        </w:tblPrEx>
        <w:trPr>
          <w:gridAfter w:val="1"/>
          <w:wAfter w:w="3828" w:type="dxa"/>
          <w:cantSpli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法定代表人</w:t>
            </w:r>
          </w:p>
          <w:p>
            <w:pPr>
              <w:spacing w:line="440" w:lineRule="exact"/>
              <w:jc w:val="center"/>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lang w:eastAsia="zh-CN"/>
              </w:rPr>
              <w:t>（</w:t>
            </w:r>
            <w:r>
              <w:rPr>
                <w:rFonts w:ascii="宋体" w:hAnsi="宋体" w:cs="Times New Roman" w:eastAsiaTheme="minorEastAsia"/>
                <w:color w:val="auto"/>
                <w:szCs w:val="21"/>
                <w:highlight w:val="none"/>
              </w:rPr>
              <w:t>或授权代表）</w:t>
            </w:r>
          </w:p>
        </w:tc>
        <w:tc>
          <w:tcPr>
            <w:tcW w:w="4402" w:type="dxa"/>
            <w:gridSpan w:val="3"/>
            <w:noWrap w:val="0"/>
            <w:vAlign w:val="top"/>
          </w:tcPr>
          <w:p>
            <w:pPr>
              <w:spacing w:line="440" w:lineRule="exact"/>
              <w:rPr>
                <w:rFonts w:ascii="宋体" w:hAnsi="宋体" w:cs="Times New Roman" w:eastAsiaTheme="minorEastAsia"/>
                <w:color w:val="auto"/>
                <w:szCs w:val="21"/>
                <w:highlight w:val="none"/>
              </w:rPr>
            </w:pPr>
          </w:p>
        </w:tc>
      </w:tr>
      <w:tr>
        <w:tblPrEx>
          <w:tblCellMar>
            <w:top w:w="0" w:type="dxa"/>
            <w:left w:w="28" w:type="dxa"/>
            <w:bottom w:w="0" w:type="dxa"/>
            <w:right w:w="28" w:type="dxa"/>
          </w:tblCellMar>
        </w:tblPrEx>
        <w:trPr>
          <w:gridAfter w:val="1"/>
          <w:wAfter w:w="3828" w:type="dxa"/>
          <w:cantSplit/>
          <w:trHeight w:val="475" w:hRule="atLeas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签署日期</w:t>
            </w:r>
          </w:p>
        </w:tc>
        <w:tc>
          <w:tcPr>
            <w:tcW w:w="4402" w:type="dxa"/>
            <w:gridSpan w:val="3"/>
            <w:noWrap w:val="0"/>
            <w:vAlign w:val="top"/>
          </w:tcPr>
          <w:p>
            <w:pPr>
              <w:spacing w:line="440" w:lineRule="exact"/>
              <w:ind w:firstLine="840" w:firstLineChars="400"/>
              <w:rPr>
                <w:rFonts w:ascii="宋体" w:hAnsi="宋体" w:cs="Times New Roman" w:eastAsiaTheme="minorEastAsia"/>
                <w:color w:val="auto"/>
                <w:szCs w:val="21"/>
                <w:highlight w:val="none"/>
              </w:rPr>
            </w:pPr>
          </w:p>
        </w:tc>
      </w:tr>
      <w:tr>
        <w:tblPrEx>
          <w:tblCellMar>
            <w:top w:w="0" w:type="dxa"/>
            <w:left w:w="28" w:type="dxa"/>
            <w:bottom w:w="0" w:type="dxa"/>
            <w:right w:w="28" w:type="dxa"/>
          </w:tblCellMar>
        </w:tblPrEx>
        <w:trPr>
          <w:gridAfter w:val="1"/>
          <w:wAfter w:w="3828" w:type="dxa"/>
          <w:cantSpli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通讯地址</w:t>
            </w:r>
          </w:p>
        </w:tc>
        <w:tc>
          <w:tcPr>
            <w:tcW w:w="4402" w:type="dxa"/>
            <w:gridSpan w:val="3"/>
            <w:noWrap w:val="0"/>
            <w:vAlign w:val="center"/>
          </w:tcPr>
          <w:p>
            <w:pPr>
              <w:spacing w:line="440" w:lineRule="exact"/>
              <w:rPr>
                <w:rFonts w:hint="eastAsia" w:ascii="宋体" w:hAnsi="宋体" w:cs="Times New Roman" w:eastAsiaTheme="minorEastAsia"/>
                <w:color w:val="auto"/>
                <w:szCs w:val="21"/>
                <w:highlight w:val="none"/>
              </w:rPr>
            </w:pPr>
          </w:p>
        </w:tc>
      </w:tr>
      <w:tr>
        <w:tblPrEx>
          <w:tblCellMar>
            <w:top w:w="0" w:type="dxa"/>
            <w:left w:w="28" w:type="dxa"/>
            <w:bottom w:w="0" w:type="dxa"/>
            <w:right w:w="28" w:type="dxa"/>
          </w:tblCellMar>
        </w:tblPrEx>
        <w:trPr>
          <w:gridAfter w:val="1"/>
          <w:wAfter w:w="3828" w:type="dxa"/>
          <w:cantSplit/>
          <w:trHeight w:val="450"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传    真：</w:t>
            </w:r>
          </w:p>
        </w:tc>
        <w:tc>
          <w:tcPr>
            <w:tcW w:w="4402" w:type="dxa"/>
            <w:gridSpan w:val="3"/>
            <w:noWrap w:val="0"/>
            <w:vAlign w:val="top"/>
          </w:tcPr>
          <w:p>
            <w:pPr>
              <w:spacing w:line="440" w:lineRule="exact"/>
              <w:rPr>
                <w:rFonts w:hint="eastAsia" w:ascii="宋体" w:hAnsi="宋体" w:cs="Times New Roman" w:eastAsiaTheme="minorEastAsia"/>
                <w:color w:val="auto"/>
                <w:szCs w:val="21"/>
                <w:highlight w:val="none"/>
              </w:rPr>
            </w:pPr>
          </w:p>
        </w:tc>
      </w:tr>
      <w:tr>
        <w:tblPrEx>
          <w:tblCellMar>
            <w:top w:w="0" w:type="dxa"/>
            <w:left w:w="28" w:type="dxa"/>
            <w:bottom w:w="0" w:type="dxa"/>
            <w:right w:w="28" w:type="dxa"/>
          </w:tblCellMar>
        </w:tblPrEx>
        <w:trPr>
          <w:gridAfter w:val="1"/>
          <w:wAfter w:w="3828" w:type="dxa"/>
          <w:cantSplit/>
          <w:trHeight w:val="465"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电    话：</w:t>
            </w:r>
          </w:p>
        </w:tc>
        <w:tc>
          <w:tcPr>
            <w:tcW w:w="4402" w:type="dxa"/>
            <w:gridSpan w:val="3"/>
            <w:noWrap w:val="0"/>
            <w:vAlign w:val="top"/>
          </w:tcPr>
          <w:p>
            <w:pPr>
              <w:spacing w:line="440" w:lineRule="exact"/>
              <w:rPr>
                <w:rFonts w:hint="eastAsia" w:ascii="宋体" w:hAnsi="宋体" w:cs="Times New Roman" w:eastAsiaTheme="minorEastAsia"/>
                <w:color w:val="auto"/>
                <w:szCs w:val="21"/>
                <w:highlight w:val="none"/>
              </w:rPr>
            </w:pPr>
          </w:p>
        </w:tc>
      </w:tr>
      <w:tr>
        <w:tblPrEx>
          <w:tblCellMar>
            <w:top w:w="0" w:type="dxa"/>
            <w:left w:w="28" w:type="dxa"/>
            <w:bottom w:w="0" w:type="dxa"/>
            <w:right w:w="28" w:type="dxa"/>
          </w:tblCellMar>
        </w:tblPrEx>
        <w:trPr>
          <w:gridAfter w:val="1"/>
          <w:wAfter w:w="3828" w:type="dxa"/>
          <w:cantSplit/>
          <w:trHeight w:val="465"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邮政编码：</w:t>
            </w:r>
          </w:p>
        </w:tc>
        <w:tc>
          <w:tcPr>
            <w:tcW w:w="4402" w:type="dxa"/>
            <w:gridSpan w:val="3"/>
            <w:noWrap w:val="0"/>
            <w:vAlign w:val="top"/>
          </w:tcPr>
          <w:p>
            <w:pPr>
              <w:spacing w:line="440" w:lineRule="exact"/>
              <w:rPr>
                <w:rFonts w:hint="default" w:ascii="宋体" w:hAnsi="宋体" w:eastAsia="宋体" w:cs="Times New Roman"/>
                <w:color w:val="auto"/>
                <w:szCs w:val="21"/>
                <w:highlight w:val="none"/>
                <w:lang w:val="en-US" w:eastAsia="zh-CN"/>
              </w:rPr>
            </w:pPr>
          </w:p>
        </w:tc>
      </w:tr>
      <w:tr>
        <w:tblPrEx>
          <w:tblCellMar>
            <w:top w:w="0" w:type="dxa"/>
            <w:left w:w="28" w:type="dxa"/>
            <w:bottom w:w="0" w:type="dxa"/>
            <w:right w:w="28" w:type="dxa"/>
          </w:tblCellMar>
        </w:tblPrEx>
        <w:trPr>
          <w:gridAfter w:val="1"/>
          <w:wAfter w:w="3828" w:type="dxa"/>
          <w:cantSplit/>
          <w:trHeight w:val="454"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联系人：</w:t>
            </w:r>
          </w:p>
        </w:tc>
        <w:tc>
          <w:tcPr>
            <w:tcW w:w="4402" w:type="dxa"/>
            <w:gridSpan w:val="3"/>
            <w:noWrap w:val="0"/>
            <w:vAlign w:val="top"/>
          </w:tcPr>
          <w:p>
            <w:pPr>
              <w:spacing w:line="440" w:lineRule="exact"/>
              <w:rPr>
                <w:rFonts w:hint="eastAsia" w:ascii="宋体" w:hAnsi="宋体" w:cs="Times New Roman" w:eastAsiaTheme="minorEastAsia"/>
                <w:color w:val="auto"/>
                <w:szCs w:val="21"/>
                <w:highlight w:val="none"/>
              </w:rPr>
            </w:pPr>
          </w:p>
        </w:tc>
      </w:tr>
      <w:tr>
        <w:tblPrEx>
          <w:tblCellMar>
            <w:top w:w="0" w:type="dxa"/>
            <w:left w:w="28" w:type="dxa"/>
            <w:bottom w:w="0" w:type="dxa"/>
            <w:right w:w="28" w:type="dxa"/>
          </w:tblCellMar>
        </w:tblPrEx>
        <w:trPr>
          <w:gridAfter w:val="1"/>
          <w:wAfter w:w="3828" w:type="dxa"/>
          <w:cantSplit/>
          <w:trHeight w:val="587"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开户银行：</w:t>
            </w:r>
          </w:p>
        </w:tc>
        <w:tc>
          <w:tcPr>
            <w:tcW w:w="4402" w:type="dxa"/>
            <w:gridSpan w:val="3"/>
            <w:noWrap w:val="0"/>
            <w:vAlign w:val="center"/>
          </w:tcPr>
          <w:p>
            <w:pPr>
              <w:spacing w:line="440" w:lineRule="exact"/>
              <w:rPr>
                <w:rFonts w:hint="eastAsia" w:ascii="宋体" w:hAnsi="宋体" w:cs="Times New Roman" w:eastAsiaTheme="minorEastAsia"/>
                <w:color w:val="auto"/>
                <w:szCs w:val="21"/>
                <w:highlight w:val="none"/>
              </w:rPr>
            </w:pPr>
          </w:p>
        </w:tc>
      </w:tr>
      <w:tr>
        <w:tblPrEx>
          <w:tblCellMar>
            <w:top w:w="0" w:type="dxa"/>
            <w:left w:w="28" w:type="dxa"/>
            <w:bottom w:w="0" w:type="dxa"/>
            <w:right w:w="28" w:type="dxa"/>
          </w:tblCellMar>
        </w:tblPrEx>
        <w:trPr>
          <w:gridAfter w:val="1"/>
          <w:wAfter w:w="3828" w:type="dxa"/>
          <w:cantSplit/>
          <w:trHeight w:val="499" w:hRule="exact"/>
        </w:trPr>
        <w:tc>
          <w:tcPr>
            <w:tcW w:w="1488" w:type="dxa"/>
            <w:noWrap w:val="0"/>
            <w:vAlign w:val="center"/>
          </w:tcPr>
          <w:p>
            <w:pPr>
              <w:spacing w:line="440" w:lineRule="exact"/>
              <w:jc w:val="center"/>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银行账号：</w:t>
            </w:r>
          </w:p>
        </w:tc>
        <w:tc>
          <w:tcPr>
            <w:tcW w:w="4402" w:type="dxa"/>
            <w:gridSpan w:val="3"/>
            <w:noWrap w:val="0"/>
            <w:vAlign w:val="center"/>
          </w:tcPr>
          <w:p>
            <w:pPr>
              <w:spacing w:line="440" w:lineRule="exact"/>
              <w:rPr>
                <w:rFonts w:hint="eastAsia" w:ascii="宋体" w:hAnsi="宋体" w:cs="Times New Roman" w:eastAsiaTheme="minorEastAsia"/>
                <w:color w:val="auto"/>
                <w:szCs w:val="21"/>
                <w:highlight w:val="none"/>
              </w:rPr>
            </w:pPr>
          </w:p>
        </w:tc>
      </w:tr>
    </w:tbl>
    <w:p>
      <w:pPr>
        <w:rPr>
          <w:rFonts w:ascii="宋体" w:hAnsi="宋体" w:cs="Times New Roman" w:eastAsiaTheme="minorEastAsia"/>
          <w:color w:val="auto"/>
          <w:szCs w:val="21"/>
          <w:highlight w:val="none"/>
        </w:rPr>
      </w:pPr>
    </w:p>
    <w:p>
      <w:pPr>
        <w:widowControl w:val="0"/>
        <w:adjustRightInd w:val="0"/>
        <w:spacing w:before="120" w:after="120" w:line="312" w:lineRule="atLeast"/>
        <w:ind w:right="25" w:rightChars="12"/>
        <w:jc w:val="left"/>
        <w:textAlignment w:val="baseline"/>
        <w:rPr>
          <w:rFonts w:ascii="宋体" w:hAnsi="宋体" w:eastAsia="宋体" w:cs="宋体"/>
          <w:b w:val="0"/>
          <w:bCs/>
          <w:caps w:val="0"/>
          <w:color w:val="auto"/>
          <w:kern w:val="0"/>
          <w:sz w:val="20"/>
          <w:szCs w:val="20"/>
          <w:highlight w:val="none"/>
          <w:lang w:val="en-US" w:eastAsia="zh-CN" w:bidi="ar-SA"/>
        </w:rPr>
      </w:pPr>
      <w:r>
        <w:rPr>
          <w:rFonts w:hint="eastAsia" w:ascii="宋体" w:hAnsi="宋体" w:eastAsia="Cambria Math" w:cs="Times New Roman"/>
          <w:b/>
          <w:caps/>
          <w:color w:val="auto"/>
          <w:spacing w:val="20"/>
          <w:kern w:val="0"/>
          <w:sz w:val="32"/>
          <w:szCs w:val="32"/>
          <w:highlight w:val="none"/>
          <w:lang w:val="en-US" w:eastAsia="zh-CN" w:bidi="ar-SA"/>
        </w:rPr>
        <w:br w:type="page"/>
      </w:r>
      <w:r>
        <w:rPr>
          <w:rFonts w:hint="eastAsia" w:ascii="宋体" w:hAnsi="宋体" w:eastAsia="宋体" w:cs="宋体"/>
          <w:b/>
          <w:caps/>
          <w:color w:val="auto"/>
          <w:kern w:val="0"/>
          <w:sz w:val="20"/>
          <w:szCs w:val="20"/>
          <w:highlight w:val="none"/>
          <w:lang w:val="en-US" w:eastAsia="zh-CN" w:bidi="ar-SA"/>
        </w:rPr>
        <w:fldChar w:fldCharType="begin"/>
      </w:r>
      <w:r>
        <w:rPr>
          <w:rFonts w:ascii="宋体" w:hAnsi="宋体" w:eastAsia="宋体" w:cs="宋体"/>
          <w:b/>
          <w:caps/>
          <w:color w:val="auto"/>
          <w:kern w:val="0"/>
          <w:sz w:val="20"/>
          <w:szCs w:val="20"/>
          <w:highlight w:val="none"/>
          <w:lang w:val="en-US" w:eastAsia="zh-CN" w:bidi="ar-SA"/>
        </w:rPr>
        <w:instrText xml:space="preserve"> TOC \h \z \t "合同书,1" </w:instrText>
      </w:r>
      <w:r>
        <w:rPr>
          <w:rFonts w:hint="eastAsia" w:ascii="宋体" w:hAnsi="宋体" w:eastAsia="宋体" w:cs="宋体"/>
          <w:b/>
          <w:caps/>
          <w:color w:val="auto"/>
          <w:kern w:val="0"/>
          <w:sz w:val="20"/>
          <w:szCs w:val="20"/>
          <w:highlight w:val="none"/>
          <w:lang w:val="en-US" w:eastAsia="zh-CN" w:bidi="ar-SA"/>
        </w:rPr>
        <w:fldChar w:fldCharType="separate"/>
      </w:r>
    </w:p>
    <w:p>
      <w:pPr>
        <w:widowControl w:val="0"/>
        <w:tabs>
          <w:tab w:val="right" w:leader="dot" w:pos="8302"/>
        </w:tabs>
        <w:adjustRightInd w:val="0"/>
        <w:spacing w:before="120" w:after="120" w:line="312" w:lineRule="atLeast"/>
        <w:ind w:right="25" w:rightChars="12"/>
        <w:jc w:val="left"/>
        <w:textAlignment w:val="baseline"/>
        <w:rPr>
          <w:rFonts w:ascii="Times New Roman" w:hAnsi="Times New Roman" w:eastAsia="宋体" w:cs="宋体"/>
          <w:b/>
          <w:caps/>
          <w:color w:val="auto"/>
          <w:kern w:val="0"/>
          <w:sz w:val="36"/>
          <w:szCs w:val="20"/>
          <w:highlight w:val="none"/>
          <w:lang w:val="en-US" w:eastAsia="zh-CN" w:bidi="ar-SA"/>
        </w:rPr>
      </w:pPr>
      <w:r>
        <w:rPr>
          <w:rFonts w:hint="eastAsia" w:ascii="宋体" w:hAnsi="宋体" w:eastAsia="宋体" w:cs="宋体"/>
          <w:b/>
          <w:caps/>
          <w:color w:val="auto"/>
          <w:kern w:val="0"/>
          <w:sz w:val="20"/>
          <w:szCs w:val="20"/>
          <w:highlight w:val="none"/>
          <w:lang w:val="en-US" w:eastAsia="zh-CN" w:bidi="ar-SA"/>
        </w:rPr>
        <w:fldChar w:fldCharType="end"/>
      </w:r>
    </w:p>
    <w:p>
      <w:pPr>
        <w:snapToGrid w:val="0"/>
        <w:spacing w:line="360" w:lineRule="auto"/>
        <w:jc w:val="center"/>
        <w:rPr>
          <w:rFonts w:ascii="宋体" w:hAnsi="宋体" w:eastAsia="宋体" w:cs="宋体"/>
          <w:color w:val="auto"/>
          <w:sz w:val="36"/>
          <w:highlight w:val="none"/>
        </w:rPr>
      </w:pPr>
    </w:p>
    <w:p>
      <w:pPr>
        <w:snapToGrid w:val="0"/>
        <w:spacing w:line="360" w:lineRule="auto"/>
        <w:jc w:val="center"/>
        <w:rPr>
          <w:rFonts w:ascii="宋体" w:hAnsi="宋体" w:eastAsia="宋体" w:cs="宋体"/>
          <w:color w:val="auto"/>
          <w:sz w:val="36"/>
          <w:highlight w:val="none"/>
        </w:rPr>
      </w:pPr>
    </w:p>
    <w:p>
      <w:pPr>
        <w:snapToGrid w:val="0"/>
        <w:spacing w:line="360" w:lineRule="auto"/>
        <w:jc w:val="center"/>
        <w:rPr>
          <w:rFonts w:ascii="宋体" w:hAnsi="宋体" w:eastAsia="宋体" w:cs="宋体"/>
          <w:color w:val="auto"/>
          <w:sz w:val="36"/>
          <w:highlight w:val="none"/>
        </w:rPr>
      </w:pPr>
    </w:p>
    <w:p>
      <w:pPr>
        <w:snapToGrid w:val="0"/>
        <w:spacing w:line="360" w:lineRule="auto"/>
        <w:jc w:val="center"/>
        <w:rPr>
          <w:rFonts w:ascii="宋体" w:hAnsi="宋体" w:eastAsia="宋体" w:cs="宋体"/>
          <w:color w:val="auto"/>
          <w:sz w:val="36"/>
          <w:highlight w:val="none"/>
        </w:rPr>
      </w:pPr>
    </w:p>
    <w:p>
      <w:pPr>
        <w:snapToGrid w:val="0"/>
        <w:spacing w:line="360" w:lineRule="auto"/>
        <w:jc w:val="center"/>
        <w:rPr>
          <w:rFonts w:ascii="宋体" w:hAnsi="宋体" w:eastAsia="宋体" w:cs="宋体"/>
          <w:color w:val="auto"/>
          <w:sz w:val="36"/>
          <w:highlight w:val="none"/>
        </w:rPr>
      </w:pPr>
    </w:p>
    <w:p>
      <w:pPr>
        <w:snapToGrid w:val="0"/>
        <w:spacing w:line="360" w:lineRule="auto"/>
        <w:jc w:val="center"/>
        <w:rPr>
          <w:rFonts w:ascii="宋体" w:hAnsi="宋体" w:eastAsia="宋体" w:cs="宋体"/>
          <w:color w:val="auto"/>
          <w:sz w:val="36"/>
          <w:highlight w:val="none"/>
        </w:rPr>
      </w:pPr>
    </w:p>
    <w:p>
      <w:pPr>
        <w:keepNext/>
        <w:keepLines/>
        <w:widowControl w:val="0"/>
        <w:adjustRightInd w:val="0"/>
        <w:spacing w:before="240" w:after="60" w:line="20" w:lineRule="exact"/>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bookmarkStart w:id="733" w:name="_Toc101000629"/>
      <w:bookmarkStart w:id="734" w:name="_Toc55188089"/>
      <w:bookmarkStart w:id="735" w:name="_Toc306007194"/>
      <w:bookmarkStart w:id="736" w:name="_Toc11029"/>
      <w:bookmarkStart w:id="737" w:name="_Toc305942086"/>
      <w:bookmarkStart w:id="738" w:name="_Toc306005075"/>
      <w:bookmarkStart w:id="739" w:name="_Toc306006281"/>
      <w:bookmarkStart w:id="740" w:name="_Toc25215"/>
      <w:bookmarkStart w:id="741" w:name="_Toc12114"/>
      <w:bookmarkStart w:id="742" w:name="_Toc4112"/>
      <w:bookmarkStart w:id="743" w:name="_Toc319311352"/>
      <w:bookmarkStart w:id="744" w:name="_Toc306091567"/>
      <w:bookmarkStart w:id="745" w:name="_Toc319313615"/>
      <w:bookmarkStart w:id="746" w:name="_Toc321906014"/>
      <w:bookmarkStart w:id="747" w:name="_Toc318208926"/>
      <w:bookmarkStart w:id="748" w:name="_Toc306006949"/>
      <w:bookmarkStart w:id="749" w:name="_Toc9656"/>
      <w:bookmarkStart w:id="750" w:name="_Toc103314408"/>
      <w:bookmarkStart w:id="751" w:name="_Toc240949685"/>
      <w:bookmarkStart w:id="752" w:name="_Toc309026838"/>
      <w:bookmarkStart w:id="753" w:name="_Toc319311178"/>
      <w:bookmarkStart w:id="754" w:name="_Toc98142455"/>
      <w:bookmarkStart w:id="755" w:name="_Toc309026444"/>
      <w:bookmarkStart w:id="756" w:name="_Toc306007418"/>
      <w:bookmarkStart w:id="757" w:name="_Toc306007637"/>
      <w:bookmarkStart w:id="758" w:name="_Toc319320618"/>
      <w:bookmarkStart w:id="759" w:name="_Toc306006731"/>
      <w:bookmarkStart w:id="760" w:name="_Toc306091412"/>
      <w:bookmarkStart w:id="761" w:name="_Toc306004639"/>
      <w:bookmarkStart w:id="762" w:name="_Toc1295"/>
      <w:bookmarkStart w:id="763" w:name="_Toc319312303"/>
      <w:r>
        <w:rPr>
          <w:rFonts w:hint="eastAsia" w:ascii="Times New Roman" w:hAnsi="Times New Roman" w:eastAsia="Yu Mincho Light" w:cs="Times New Roman"/>
          <w:color w:val="auto"/>
          <w:kern w:val="24"/>
          <w:sz w:val="28"/>
          <w:szCs w:val="20"/>
          <w:highlight w:val="none"/>
          <w:lang w:val="en-US" w:eastAsia="zh-CN" w:bidi="ar-SA"/>
        </w:rPr>
        <w:t>第二章</w:t>
      </w:r>
      <w:bookmarkEnd w:id="733"/>
      <w:bookmarkEnd w:id="734"/>
      <w:r>
        <w:rPr>
          <w:rFonts w:hint="eastAsia" w:ascii="Times New Roman" w:hAnsi="Times New Roman" w:eastAsia="Yu Mincho Light" w:cs="Times New Roman"/>
          <w:color w:val="auto"/>
          <w:kern w:val="24"/>
          <w:sz w:val="28"/>
          <w:szCs w:val="20"/>
          <w:highlight w:val="none"/>
          <w:lang w:val="en-US" w:eastAsia="zh-CN" w:bidi="ar-SA"/>
        </w:rPr>
        <w:t xml:space="preserve">  补充协议书（如果有）</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snapToGrid w:val="0"/>
        <w:spacing w:line="360" w:lineRule="auto"/>
        <w:jc w:val="center"/>
        <w:rPr>
          <w:rFonts w:ascii="宋体" w:hAnsi="宋体" w:eastAsia="宋体" w:cs="宋体"/>
          <w:b/>
          <w:color w:val="auto"/>
          <w:sz w:val="36"/>
          <w:highlight w:val="none"/>
        </w:rPr>
      </w:pPr>
      <w:r>
        <w:rPr>
          <w:rFonts w:ascii="宋体" w:hAnsi="宋体" w:eastAsia="宋体" w:cs="宋体"/>
          <w:b/>
          <w:color w:val="auto"/>
          <w:sz w:val="36"/>
          <w:highlight w:val="none"/>
        </w:rPr>
        <w:br w:type="page"/>
      </w: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keepNext/>
        <w:keepLines/>
        <w:widowControl w:val="0"/>
        <w:adjustRightInd w:val="0"/>
        <w:spacing w:before="240" w:after="60" w:line="20" w:lineRule="exact"/>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bookmarkStart w:id="764" w:name="_Toc306005076"/>
      <w:bookmarkStart w:id="765" w:name="_Toc319320619"/>
      <w:bookmarkStart w:id="766" w:name="_Toc319313616"/>
      <w:bookmarkStart w:id="767" w:name="_Toc306004640"/>
      <w:bookmarkStart w:id="768" w:name="_Toc98142456"/>
      <w:bookmarkStart w:id="769" w:name="_Toc55188090"/>
      <w:bookmarkStart w:id="770" w:name="_Toc319312304"/>
      <w:bookmarkStart w:id="771" w:name="_Toc309026839"/>
      <w:bookmarkStart w:id="772" w:name="_Toc306091413"/>
      <w:bookmarkStart w:id="773" w:name="_Toc306006282"/>
      <w:bookmarkStart w:id="774" w:name="_Toc306006950"/>
      <w:bookmarkStart w:id="775" w:name="_Toc306006732"/>
      <w:bookmarkStart w:id="776" w:name="_Toc306007419"/>
      <w:bookmarkStart w:id="777" w:name="_Toc5540"/>
      <w:bookmarkStart w:id="778" w:name="_Toc6034"/>
      <w:bookmarkStart w:id="779" w:name="_Toc306091568"/>
      <w:bookmarkStart w:id="780" w:name="_Toc318208927"/>
      <w:bookmarkStart w:id="781" w:name="_Toc309026445"/>
      <w:bookmarkStart w:id="782" w:name="_Toc306007638"/>
      <w:bookmarkStart w:id="783" w:name="_Toc321906015"/>
      <w:bookmarkStart w:id="784" w:name="_Toc28347"/>
      <w:bookmarkStart w:id="785" w:name="_Toc319311179"/>
      <w:bookmarkStart w:id="786" w:name="_Toc240949686"/>
      <w:bookmarkStart w:id="787" w:name="_Toc27703"/>
      <w:bookmarkStart w:id="788" w:name="_Toc319311353"/>
      <w:bookmarkStart w:id="789" w:name="_Toc103314409"/>
      <w:bookmarkStart w:id="790" w:name="_Toc12957"/>
      <w:bookmarkStart w:id="791" w:name="_Toc306007195"/>
      <w:bookmarkStart w:id="792" w:name="_Toc305942087"/>
      <w:bookmarkStart w:id="793" w:name="_Toc20166"/>
      <w:bookmarkStart w:id="794" w:name="_Toc101000630"/>
      <w:r>
        <w:rPr>
          <w:rFonts w:hint="eastAsia" w:ascii="Times New Roman" w:hAnsi="Times New Roman" w:eastAsia="Yu Mincho Light" w:cs="Times New Roman"/>
          <w:color w:val="auto"/>
          <w:kern w:val="24"/>
          <w:sz w:val="28"/>
          <w:szCs w:val="20"/>
          <w:highlight w:val="none"/>
          <w:lang w:val="en-US" w:eastAsia="zh-CN" w:bidi="ar-SA"/>
        </w:rPr>
        <w:t>第三章</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合</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同</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条</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款</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rPr>
          <w:rFonts w:ascii="宋体" w:hAnsi="宋体" w:eastAsia="宋体" w:cs="宋体"/>
          <w:color w:val="auto"/>
          <w:highlight w:val="none"/>
        </w:rPr>
      </w:pPr>
      <w:r>
        <w:rPr>
          <w:rFonts w:ascii="宋体" w:hAnsi="宋体" w:eastAsia="宋体" w:cs="宋体"/>
          <w:color w:val="auto"/>
          <w:highlight w:val="none"/>
        </w:rPr>
        <w:br w:type="page"/>
      </w: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keepNext/>
        <w:keepLines/>
        <w:widowControl w:val="0"/>
        <w:spacing w:before="260" w:after="260" w:line="416" w:lineRule="auto"/>
        <w:jc w:val="center"/>
        <w:outlineLvl w:val="2"/>
        <w:rPr>
          <w:rFonts w:ascii="Arial" w:hAnsi="Arial" w:eastAsia="黑体" w:cs="Times New Roman"/>
          <w:b/>
          <w:bCs/>
          <w:color w:val="auto"/>
          <w:kern w:val="2"/>
          <w:sz w:val="32"/>
          <w:szCs w:val="32"/>
          <w:highlight w:val="none"/>
          <w:lang w:val="en-US" w:eastAsia="zh-CN" w:bidi="ar-SA"/>
        </w:rPr>
      </w:pPr>
      <w:bookmarkStart w:id="795" w:name="_Toc319311180"/>
      <w:bookmarkStart w:id="796" w:name="_Toc319312305"/>
      <w:bookmarkStart w:id="797" w:name="_Toc306006283"/>
      <w:bookmarkStart w:id="798" w:name="_Toc306005077"/>
      <w:bookmarkStart w:id="799" w:name="_Toc306004641"/>
      <w:bookmarkStart w:id="800" w:name="_Toc321906016"/>
      <w:bookmarkStart w:id="801" w:name="_Toc305942088"/>
      <w:bookmarkStart w:id="802" w:name="_Toc306006733"/>
      <w:bookmarkStart w:id="803" w:name="_Toc306006951"/>
      <w:bookmarkStart w:id="804" w:name="_Toc31511"/>
      <w:bookmarkStart w:id="805" w:name="_Toc98142457"/>
      <w:bookmarkStart w:id="806" w:name="_Toc306007420"/>
      <w:bookmarkStart w:id="807" w:name="_Toc26784"/>
      <w:bookmarkStart w:id="808" w:name="_Toc309026446"/>
      <w:bookmarkStart w:id="809" w:name="_Toc309026840"/>
      <w:bookmarkStart w:id="810" w:name="_Toc11069"/>
      <w:bookmarkStart w:id="811" w:name="_Toc306007639"/>
      <w:bookmarkStart w:id="812" w:name="_Toc306007196"/>
      <w:bookmarkStart w:id="813" w:name="_Toc9383"/>
      <w:bookmarkStart w:id="814" w:name="_Toc306091414"/>
      <w:bookmarkStart w:id="815" w:name="_Toc306091569"/>
      <w:bookmarkStart w:id="816" w:name="_Toc319320620"/>
      <w:bookmarkStart w:id="817" w:name="_Toc319313617"/>
      <w:bookmarkStart w:id="818" w:name="_Toc25073"/>
      <w:bookmarkStart w:id="819" w:name="_Toc507"/>
      <w:bookmarkStart w:id="820" w:name="_Toc240949687"/>
      <w:bookmarkStart w:id="821" w:name="_Toc319311354"/>
      <w:bookmarkStart w:id="822" w:name="_Toc318208928"/>
      <w:bookmarkStart w:id="823" w:name="_Toc484946947"/>
      <w:r>
        <w:rPr>
          <w:rFonts w:hint="eastAsia" w:ascii="Arial" w:hAnsi="Arial" w:eastAsia="黑体" w:cs="Times New Roman"/>
          <w:b/>
          <w:bCs/>
          <w:color w:val="auto"/>
          <w:kern w:val="2"/>
          <w:sz w:val="32"/>
          <w:szCs w:val="32"/>
          <w:highlight w:val="none"/>
          <w:lang w:val="en-US" w:eastAsia="zh-CN" w:bidi="ar-SA"/>
        </w:rPr>
        <w:t>（一）通用合同条款</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keepNext/>
        <w:keepLines/>
        <w:widowControl w:val="0"/>
        <w:bidi w:val="0"/>
        <w:spacing w:before="260" w:beforeLines="0" w:beforeAutospacing="0" w:after="260" w:afterLines="0" w:afterAutospacing="0" w:line="413" w:lineRule="auto"/>
        <w:jc w:val="both"/>
        <w:outlineLvl w:val="3"/>
        <w:rPr>
          <w:rFonts w:ascii="宋体" w:hAnsi="宋体" w:eastAsia="宋体" w:cs="宋体"/>
          <w:b/>
          <w:color w:val="auto"/>
          <w:kern w:val="2"/>
          <w:sz w:val="32"/>
          <w:szCs w:val="22"/>
          <w:highlight w:val="none"/>
          <w:lang w:val="en-US" w:eastAsia="zh-CN" w:bidi="ar-SA"/>
        </w:rPr>
      </w:pPr>
      <w:r>
        <w:rPr>
          <w:rFonts w:ascii="宋体" w:hAnsi="宋体" w:eastAsia="宋体" w:cs="宋体"/>
          <w:b/>
          <w:color w:val="auto"/>
          <w:kern w:val="2"/>
          <w:sz w:val="32"/>
          <w:szCs w:val="22"/>
          <w:highlight w:val="none"/>
          <w:lang w:val="en-US" w:eastAsia="zh-CN" w:bidi="ar-SA"/>
        </w:rPr>
        <w:br w:type="page"/>
      </w:r>
      <w:bookmarkStart w:id="824" w:name="_Hlt504280618"/>
      <w:bookmarkEnd w:id="824"/>
      <w:bookmarkStart w:id="825" w:name="_Hlt508425328"/>
      <w:bookmarkEnd w:id="825"/>
      <w:bookmarkStart w:id="826" w:name="_Toc101000456"/>
      <w:bookmarkStart w:id="827" w:name="_Toc319313618"/>
      <w:bookmarkStart w:id="828" w:name="_Toc319312306"/>
      <w:bookmarkStart w:id="829" w:name="_Toc12808"/>
      <w:bookmarkStart w:id="830" w:name="_Toc319311181"/>
      <w:bookmarkStart w:id="831" w:name="_Toc318208929"/>
      <w:bookmarkStart w:id="832" w:name="_Toc319320621"/>
      <w:bookmarkStart w:id="833" w:name="_Toc306006734"/>
      <w:bookmarkStart w:id="834" w:name="_Toc3470"/>
      <w:bookmarkStart w:id="835" w:name="_Toc306007197"/>
      <w:bookmarkStart w:id="836" w:name="_Toc309026447"/>
      <w:bookmarkStart w:id="837" w:name="_Toc309026841"/>
      <w:bookmarkStart w:id="838" w:name="_Toc101002710"/>
      <w:bookmarkStart w:id="839" w:name="_Toc306007640"/>
      <w:bookmarkStart w:id="840" w:name="_Toc306007421"/>
      <w:bookmarkStart w:id="841" w:name="_Toc98142458"/>
      <w:bookmarkStart w:id="842" w:name="_Toc321906017"/>
      <w:bookmarkStart w:id="843" w:name="_Toc306091570"/>
      <w:bookmarkStart w:id="844" w:name="_Toc319311355"/>
      <w:bookmarkStart w:id="845" w:name="_Toc2099"/>
      <w:bookmarkStart w:id="846" w:name="_Toc101000498"/>
      <w:bookmarkStart w:id="847" w:name="_Toc306006952"/>
      <w:bookmarkStart w:id="848" w:name="_Toc23871"/>
      <w:bookmarkStart w:id="849" w:name="_Toc28392"/>
      <w:r>
        <w:rPr>
          <w:rFonts w:hint="eastAsia" w:ascii="宋体" w:hAnsi="宋体" w:eastAsia="宋体" w:cs="宋体"/>
          <w:b/>
          <w:color w:val="auto"/>
          <w:kern w:val="2"/>
          <w:sz w:val="32"/>
          <w:szCs w:val="22"/>
          <w:highlight w:val="none"/>
          <w:lang w:val="en-US" w:eastAsia="zh-CN" w:bidi="ar-SA"/>
        </w:rPr>
        <w:t>1.定义及解释</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1.1 </w:t>
      </w:r>
      <w:r>
        <w:rPr>
          <w:rFonts w:hint="eastAsia" w:ascii="宋体" w:hAnsi="宋体" w:eastAsia="宋体" w:cs="宋体"/>
          <w:color w:val="auto"/>
          <w:kern w:val="2"/>
          <w:sz w:val="21"/>
          <w:szCs w:val="20"/>
          <w:highlight w:val="none"/>
          <w:lang w:val="en-US" w:eastAsia="zh-CN" w:bidi="ar-SA"/>
        </w:rPr>
        <w:t>定义</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1）“合同”或称“合同书”系指委托方、受托方双方签署的、协议书载明的委托方、受托方所达成的协议，包括所有的附件、附录和上述文件所提到的构成合同的所有文件。</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2）“协议书”是指合同书中的第一章内容。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3）“合同附件”是指合同书中的第五章内容。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4）“合同价”系指根据合同规定受托方在正确地完全履行合同义务后委托方应支付给受托方的金额。</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5）“价格清单”是指合同书中第四章规定的价格清单，或其中任何部分或单个的价格表。</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6）“合同价格”是指价格清单中的价格或其中任何部分的或单个的价格。</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7）“通用条款”指本章通用合同条款。</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8）“专用条款”指本章专用合同条款。</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9）“合同条款”是指通用条款和专用条款的统称。</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10）“服务”系指受托方必须承担的合同规定的义务。</w:t>
      </w:r>
    </w:p>
    <w:p>
      <w:pPr>
        <w:spacing w:line="36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ascii="宋体" w:hAnsi="宋体" w:eastAsia="宋体" w:cs="宋体"/>
          <w:color w:val="auto"/>
          <w:highlight w:val="none"/>
        </w:rPr>
        <w:t>11）“委托方”指专用条款中所述的委托方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即委托人</w:t>
      </w:r>
      <w:r>
        <w:rPr>
          <w:rFonts w:ascii="宋体" w:hAnsi="宋体" w:eastAsia="宋体" w:cs="宋体"/>
          <w:color w:val="auto"/>
          <w:highlight w:val="none"/>
        </w:rPr>
        <w:t>。</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12）“受托方”指专用条款中所述的受托方。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13）“业主</w:t>
      </w:r>
      <w:r>
        <w:rPr>
          <w:rFonts w:hint="eastAsia" w:ascii="宋体" w:hAnsi="宋体" w:eastAsia="宋体" w:cs="宋体"/>
          <w:color w:val="auto"/>
          <w:highlight w:val="none"/>
          <w:lang w:val="en-US" w:eastAsia="zh-CN"/>
        </w:rPr>
        <w:t>单位</w:t>
      </w:r>
      <w:r>
        <w:rPr>
          <w:rFonts w:ascii="宋体" w:hAnsi="宋体" w:eastAsia="宋体" w:cs="宋体"/>
          <w:color w:val="auto"/>
          <w:highlight w:val="none"/>
        </w:rPr>
        <w:t>”指</w:t>
      </w:r>
      <w:r>
        <w:rPr>
          <w:rFonts w:hint="eastAsia" w:ascii="宋体" w:hAnsi="宋体" w:cs="Times New Roman" w:eastAsiaTheme="minorEastAsia"/>
          <w:b w:val="0"/>
          <w:bCs w:val="0"/>
          <w:color w:val="auto"/>
          <w:szCs w:val="21"/>
          <w:highlight w:val="none"/>
          <w:lang w:val="zh-CN"/>
        </w:rPr>
        <w:t>东莞轨道交通二号线三期投资有限公司，是东莞市轨道交通2号线三期工程资产的所有者，具有投资、建设、运营本工程的权利。</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14）“集成服务商”指本合同所述的受托方。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15）“供货商”是指委托方通过公开招标选定的设备供应商。</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16）“项目”是指</w:t>
      </w:r>
      <w:r>
        <w:rPr>
          <w:rFonts w:hint="eastAsia" w:ascii="宋体" w:hAnsi="宋体" w:eastAsia="宋体" w:cs="宋体"/>
          <w:bCs/>
          <w:color w:val="auto"/>
          <w:szCs w:val="21"/>
          <w:highlight w:val="none"/>
        </w:rPr>
        <w:t>东莞市城市轨道交通2号线三期强弱电系统</w:t>
      </w:r>
      <w:r>
        <w:rPr>
          <w:rFonts w:hint="eastAsia" w:ascii="宋体" w:hAnsi="宋体" w:cs="宋体"/>
          <w:bCs/>
          <w:color w:val="auto"/>
          <w:szCs w:val="21"/>
          <w:highlight w:val="none"/>
          <w:lang w:eastAsia="zh-CN"/>
        </w:rPr>
        <w:t>和车站设备集成服务</w:t>
      </w:r>
      <w:r>
        <w:rPr>
          <w:rFonts w:hint="eastAsia" w:ascii="宋体" w:hAnsi="宋体" w:eastAsia="宋体" w:cs="宋体"/>
          <w:bCs/>
          <w:color w:val="auto"/>
          <w:szCs w:val="21"/>
          <w:highlight w:val="none"/>
        </w:rPr>
        <w:t>项目</w:t>
      </w:r>
      <w:r>
        <w:rPr>
          <w:rFonts w:hint="eastAsia" w:ascii="宋体" w:hAnsi="宋体" w:eastAsia="宋体" w:cs="宋体"/>
          <w:color w:val="auto"/>
          <w:highlight w:val="none"/>
        </w:rPr>
        <w:t>有关的各方全部设备、材料、技术文件及服务所构成的整体。</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17）“集成服务”是指受托方根据本合同进行的所有工作。</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18）“管理机构”是指受托方根据本合同规定设立的专门的项目管理组织。</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19）“</w:t>
      </w:r>
      <w:r>
        <w:rPr>
          <w:rFonts w:hint="eastAsia" w:ascii="宋体" w:hAnsi="宋体" w:eastAsia="宋体" w:cs="宋体"/>
          <w:color w:val="auto"/>
          <w:highlight w:val="none"/>
        </w:rPr>
        <w:t>合同生效日期”是指通用条款第</w:t>
      </w:r>
      <w:r>
        <w:rPr>
          <w:rFonts w:ascii="宋体" w:hAnsi="宋体" w:eastAsia="宋体" w:cs="宋体"/>
          <w:color w:val="auto"/>
          <w:highlight w:val="none"/>
        </w:rPr>
        <w:t>29</w:t>
      </w:r>
      <w:r>
        <w:rPr>
          <w:rFonts w:hint="eastAsia" w:ascii="宋体" w:hAnsi="宋体" w:eastAsia="宋体" w:cs="宋体"/>
          <w:color w:val="auto"/>
          <w:highlight w:val="none"/>
        </w:rPr>
        <w:t>条中规定的日期。</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20）“天”指日历天数。</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21）“不可抗力”具有通用条款第21条赋予它的含义。</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22）“外币”是指人民币之外的其它流通货币。</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1.2 </w:t>
      </w:r>
      <w:r>
        <w:rPr>
          <w:rFonts w:hint="eastAsia" w:ascii="宋体" w:hAnsi="宋体" w:eastAsia="宋体" w:cs="宋体"/>
          <w:color w:val="auto"/>
          <w:kern w:val="2"/>
          <w:sz w:val="21"/>
          <w:szCs w:val="20"/>
          <w:highlight w:val="none"/>
          <w:lang w:val="en-US" w:eastAsia="zh-CN" w:bidi="ar-SA"/>
        </w:rPr>
        <w:t>解释</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1）本合同条款中的标题和题名不应视为是本合同条款的一部分，在合同的解释或构成中也不应考虑这些标题和题名。本合同引用某个条款时，除非特别说明，应解释为该条款项下所有子条款的内容。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2）凡指当事人或各方的措辞应包括商行、公司以及具有法人资格的任何组织。仅表明单数形式的词也包括复数含义，视上下文需要而定，反之亦然。</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3）凡合同中规定通讯是“书面的”或“用书面形式”，这是指任何手写的、打印的或印刷的通讯，包括电报、电传和传真发送。</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4）凡合同规定任何人发出通知、同意或确认时，该通知、同意或确认不得被无故扣押。除非另有规定，该通知、同意或确认应是书面的并应对“通知”一词做出相应解释。</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850" w:name="_Toc101000457"/>
      <w:bookmarkStart w:id="851" w:name="_Toc319312307"/>
      <w:bookmarkStart w:id="852" w:name="_Toc318208930"/>
      <w:bookmarkStart w:id="853" w:name="_Toc8676"/>
      <w:bookmarkStart w:id="854" w:name="_Toc309026448"/>
      <w:bookmarkStart w:id="855" w:name="_Toc306091571"/>
      <w:bookmarkStart w:id="856" w:name="_Toc319311356"/>
      <w:bookmarkStart w:id="857" w:name="_Toc306007422"/>
      <w:bookmarkStart w:id="858" w:name="_Toc13444"/>
      <w:bookmarkStart w:id="859" w:name="_Toc18232"/>
      <w:bookmarkStart w:id="860" w:name="_Toc309026842"/>
      <w:bookmarkStart w:id="861" w:name="_Toc306007198"/>
      <w:bookmarkStart w:id="862" w:name="_Toc319313619"/>
      <w:bookmarkStart w:id="863" w:name="_Toc306006953"/>
      <w:bookmarkStart w:id="864" w:name="_Toc26690"/>
      <w:bookmarkStart w:id="865" w:name="_Toc101002711"/>
      <w:bookmarkStart w:id="866" w:name="_Toc306007641"/>
      <w:bookmarkStart w:id="867" w:name="_Toc98142459"/>
      <w:bookmarkStart w:id="868" w:name="_Toc306006735"/>
      <w:bookmarkStart w:id="869" w:name="_Toc319320622"/>
      <w:bookmarkStart w:id="870" w:name="_Toc321906018"/>
      <w:bookmarkStart w:id="871" w:name="_Toc101000499"/>
      <w:bookmarkStart w:id="872" w:name="_Toc319311182"/>
      <w:bookmarkStart w:id="873" w:name="_Toc11391"/>
      <w:r>
        <w:rPr>
          <w:rFonts w:hint="eastAsia" w:ascii="宋体" w:hAnsi="宋体" w:cs="Times New Roman" w:eastAsiaTheme="minorEastAsia"/>
          <w:b/>
          <w:color w:val="auto"/>
          <w:kern w:val="2"/>
          <w:sz w:val="32"/>
          <w:szCs w:val="22"/>
          <w:highlight w:val="none"/>
          <w:lang w:val="en-US" w:eastAsia="zh-CN" w:bidi="ar-SA"/>
        </w:rPr>
        <w:t>2.适用性</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2.1 </w:t>
      </w:r>
      <w:r>
        <w:rPr>
          <w:rFonts w:hint="eastAsia" w:ascii="宋体" w:hAnsi="宋体" w:eastAsia="宋体" w:cs="宋体"/>
          <w:color w:val="auto"/>
          <w:kern w:val="2"/>
          <w:sz w:val="21"/>
          <w:szCs w:val="20"/>
          <w:highlight w:val="none"/>
          <w:lang w:val="en-US" w:eastAsia="zh-CN" w:bidi="ar-SA"/>
        </w:rPr>
        <w:t>本通用条款适用于本合同其他部分未有规定或没有被专用合同</w:t>
      </w:r>
      <w:bookmarkStart w:id="874" w:name="_Hlt491512199"/>
      <w:bookmarkEnd w:id="874"/>
      <w:r>
        <w:rPr>
          <w:rFonts w:hint="eastAsia" w:ascii="宋体" w:hAnsi="宋体" w:eastAsia="宋体" w:cs="宋体"/>
          <w:color w:val="auto"/>
          <w:kern w:val="2"/>
          <w:sz w:val="21"/>
          <w:szCs w:val="20"/>
          <w:highlight w:val="none"/>
          <w:lang w:val="en-US" w:eastAsia="zh-CN" w:bidi="ar-SA"/>
        </w:rPr>
        <w:t>条款所取代的范围。</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2.2 </w:t>
      </w:r>
      <w:r>
        <w:rPr>
          <w:rFonts w:hint="eastAsia" w:ascii="宋体" w:hAnsi="宋体" w:eastAsia="宋体" w:cs="宋体"/>
          <w:color w:val="auto"/>
          <w:kern w:val="2"/>
          <w:sz w:val="21"/>
          <w:szCs w:val="20"/>
          <w:highlight w:val="none"/>
          <w:lang w:val="en-US" w:eastAsia="zh-CN" w:bidi="ar-SA"/>
        </w:rPr>
        <w:t>在通用条款独立于专用条款而单独使用的情况下，通用条款中任何对专用条款之援引都将被解释为是对双方约定的任何相关的具体条款之援引。一旦通用条款与专用条款抵触，则以专用条款为准。</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875" w:name="_Toc306006736"/>
      <w:bookmarkStart w:id="876" w:name="_Toc319313620"/>
      <w:bookmarkStart w:id="877" w:name="_Toc14163"/>
      <w:bookmarkStart w:id="878" w:name="_Toc321906019"/>
      <w:bookmarkStart w:id="879" w:name="_Toc16626"/>
      <w:bookmarkStart w:id="880" w:name="_Toc101000500"/>
      <w:bookmarkStart w:id="881" w:name="_Toc306006954"/>
      <w:bookmarkStart w:id="882" w:name="_Toc319320623"/>
      <w:bookmarkStart w:id="883" w:name="_Toc306091572"/>
      <w:bookmarkStart w:id="884" w:name="_Toc306007642"/>
      <w:bookmarkStart w:id="885" w:name="_Toc101002712"/>
      <w:bookmarkStart w:id="886" w:name="_Toc306007423"/>
      <w:bookmarkStart w:id="887" w:name="_Toc309026449"/>
      <w:bookmarkStart w:id="888" w:name="_Toc319311183"/>
      <w:bookmarkStart w:id="889" w:name="_Toc13156"/>
      <w:bookmarkStart w:id="890" w:name="_Toc101000458"/>
      <w:bookmarkStart w:id="891" w:name="_Toc319311357"/>
      <w:bookmarkStart w:id="892" w:name="_Toc318208931"/>
      <w:bookmarkStart w:id="893" w:name="_Toc18939"/>
      <w:bookmarkStart w:id="894" w:name="_Toc309026843"/>
      <w:bookmarkStart w:id="895" w:name="_Toc306007199"/>
      <w:bookmarkStart w:id="896" w:name="_Toc319312308"/>
      <w:bookmarkStart w:id="897" w:name="_Toc9280"/>
      <w:bookmarkStart w:id="898" w:name="_Toc98142460"/>
      <w:r>
        <w:rPr>
          <w:rFonts w:hint="eastAsia" w:ascii="宋体" w:hAnsi="宋体" w:cs="Times New Roman" w:eastAsiaTheme="minorEastAsia"/>
          <w:b/>
          <w:color w:val="auto"/>
          <w:kern w:val="2"/>
          <w:sz w:val="32"/>
          <w:szCs w:val="22"/>
          <w:highlight w:val="none"/>
          <w:lang w:val="en-US" w:eastAsia="zh-CN" w:bidi="ar-SA"/>
        </w:rPr>
        <w:t>3.受托方的义务</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3.1 </w:t>
      </w:r>
      <w:r>
        <w:rPr>
          <w:rFonts w:hint="eastAsia" w:ascii="宋体" w:hAnsi="宋体" w:eastAsia="宋体" w:cs="宋体"/>
          <w:color w:val="auto"/>
          <w:kern w:val="2"/>
          <w:sz w:val="21"/>
          <w:szCs w:val="20"/>
          <w:highlight w:val="none"/>
          <w:lang w:val="en-US" w:eastAsia="zh-CN" w:bidi="ar-SA"/>
        </w:rPr>
        <w:t>保证具有并保持提供本合同项下服务所必须具备的资质和资源。</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3.2 </w:t>
      </w:r>
      <w:r>
        <w:rPr>
          <w:rFonts w:hint="eastAsia" w:ascii="宋体" w:hAnsi="宋体" w:eastAsia="宋体" w:cs="宋体"/>
          <w:color w:val="auto"/>
          <w:kern w:val="2"/>
          <w:sz w:val="21"/>
          <w:szCs w:val="20"/>
          <w:highlight w:val="none"/>
          <w:lang w:val="en-US" w:eastAsia="zh-CN" w:bidi="ar-SA"/>
        </w:rPr>
        <w:t>及时向委托方书面报送机构组织框图及委派的项目经理及其机构人员名单、集成服务计划，完成合同约定的集成服务工作。</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3.3 </w:t>
      </w:r>
      <w:r>
        <w:rPr>
          <w:rFonts w:hint="eastAsia" w:ascii="宋体" w:hAnsi="宋体" w:eastAsia="宋体" w:cs="宋体"/>
          <w:color w:val="auto"/>
          <w:kern w:val="2"/>
          <w:sz w:val="21"/>
          <w:szCs w:val="20"/>
          <w:highlight w:val="none"/>
          <w:lang w:val="en-US" w:eastAsia="zh-CN" w:bidi="ar-SA"/>
        </w:rPr>
        <w:t>在项目涉及的所有专业领域，以与其水平相适应的最优的知识和能力履行本合同；保证其人员应用其全部技能、克勤克勉执行合同，且其人员具有有效履行其被授予职责的能力。</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3.4 </w:t>
      </w:r>
      <w:r>
        <w:rPr>
          <w:rFonts w:hint="eastAsia" w:ascii="宋体" w:hAnsi="宋体" w:eastAsia="宋体" w:cs="宋体"/>
          <w:color w:val="auto"/>
          <w:kern w:val="2"/>
          <w:sz w:val="21"/>
          <w:szCs w:val="20"/>
          <w:highlight w:val="none"/>
          <w:lang w:val="en-US" w:eastAsia="zh-CN" w:bidi="ar-SA"/>
        </w:rPr>
        <w:t>受托方将对其参与服务合同的所有人员业务范围内的工作全面负责。</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3.5 </w:t>
      </w:r>
      <w:r>
        <w:rPr>
          <w:rFonts w:hint="eastAsia" w:ascii="宋体" w:hAnsi="宋体" w:eastAsia="宋体" w:cs="宋体"/>
          <w:color w:val="auto"/>
          <w:kern w:val="2"/>
          <w:sz w:val="21"/>
          <w:szCs w:val="20"/>
          <w:highlight w:val="none"/>
          <w:lang w:val="en-US" w:eastAsia="zh-CN" w:bidi="ar-SA"/>
        </w:rPr>
        <w:t>受托方人员在本合同项目中，对项目质量投资与进度进行控制工作，办理合同规定的各项手续。受托方人员在办理各种手续时，不得扣压和延误。对项目质量问题处理，如果委托方有明确处理意见，受托方人员应立即办理手续。</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3.6 </w:t>
      </w:r>
      <w:r>
        <w:rPr>
          <w:rFonts w:hint="eastAsia" w:ascii="宋体" w:hAnsi="宋体" w:eastAsia="宋体" w:cs="宋体"/>
          <w:color w:val="auto"/>
          <w:kern w:val="2"/>
          <w:sz w:val="21"/>
          <w:szCs w:val="20"/>
          <w:highlight w:val="none"/>
          <w:lang w:val="en-US" w:eastAsia="zh-CN" w:bidi="ar-SA"/>
        </w:rPr>
        <w:t>按合同规定的范围、进度和标准履行合同。帮助委托方实现合同预定的目标，公正地维护各方的合法权益，协助委托方与项目有关的外部协调。</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3.7 </w:t>
      </w:r>
      <w:r>
        <w:rPr>
          <w:rFonts w:hint="eastAsia" w:ascii="宋体" w:hAnsi="宋体" w:eastAsia="宋体" w:cs="宋体"/>
          <w:color w:val="auto"/>
          <w:kern w:val="2"/>
          <w:sz w:val="21"/>
          <w:szCs w:val="20"/>
          <w:highlight w:val="none"/>
          <w:lang w:val="en-US" w:eastAsia="zh-CN" w:bidi="ar-SA"/>
        </w:rPr>
        <w:t>保证其根据本合同进行的设计符合设计规范、工作原理及合同的有关规范、规定。</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3.8 </w:t>
      </w:r>
      <w:r>
        <w:rPr>
          <w:rFonts w:hint="eastAsia" w:ascii="宋体" w:hAnsi="宋体" w:eastAsia="宋体" w:cs="宋体"/>
          <w:color w:val="auto"/>
          <w:kern w:val="2"/>
          <w:sz w:val="21"/>
          <w:szCs w:val="20"/>
          <w:highlight w:val="none"/>
          <w:lang w:val="en-US" w:eastAsia="zh-CN" w:bidi="ar-SA"/>
        </w:rPr>
        <w:t>保证委托方使用其在本合同项下提供的所有技术文件、资料、图纸不会造成对任何第三方知识产权的侵害。</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3.9 </w:t>
      </w:r>
      <w:r>
        <w:rPr>
          <w:rFonts w:hint="eastAsia" w:ascii="宋体" w:hAnsi="宋体" w:eastAsia="宋体" w:cs="宋体"/>
          <w:color w:val="auto"/>
          <w:kern w:val="2"/>
          <w:sz w:val="21"/>
          <w:szCs w:val="20"/>
          <w:highlight w:val="none"/>
          <w:lang w:val="en-US" w:eastAsia="zh-CN" w:bidi="ar-SA"/>
        </w:rPr>
        <w:t>在本合同期内或合同终止后，未征得有关方同意，不得泄露与本项目、本合同业务活动有关的保密资料。</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899" w:name="_Toc306006737"/>
      <w:bookmarkStart w:id="900" w:name="_Toc17071"/>
      <w:bookmarkStart w:id="901" w:name="_Toc306091573"/>
      <w:bookmarkStart w:id="902" w:name="_Toc101000459"/>
      <w:bookmarkStart w:id="903" w:name="_Toc319312309"/>
      <w:bookmarkStart w:id="904" w:name="_Toc319313621"/>
      <w:bookmarkStart w:id="905" w:name="_Toc309026450"/>
      <w:bookmarkStart w:id="906" w:name="_Toc319311358"/>
      <w:bookmarkStart w:id="907" w:name="_Toc319311184"/>
      <w:bookmarkStart w:id="908" w:name="_Toc309026844"/>
      <w:bookmarkStart w:id="909" w:name="_Toc306006955"/>
      <w:bookmarkStart w:id="910" w:name="_Toc306007200"/>
      <w:bookmarkStart w:id="911" w:name="_Toc306007424"/>
      <w:bookmarkStart w:id="912" w:name="_Toc26665"/>
      <w:bookmarkStart w:id="913" w:name="_Toc16767"/>
      <w:bookmarkStart w:id="914" w:name="_Toc27985"/>
      <w:bookmarkStart w:id="915" w:name="_Toc306007643"/>
      <w:bookmarkStart w:id="916" w:name="_Toc101000501"/>
      <w:bookmarkStart w:id="917" w:name="_Toc319320624"/>
      <w:bookmarkStart w:id="918" w:name="_Toc321906020"/>
      <w:bookmarkStart w:id="919" w:name="_Toc318208932"/>
      <w:bookmarkStart w:id="920" w:name="_Toc98142461"/>
      <w:bookmarkStart w:id="921" w:name="_Toc101002713"/>
      <w:r>
        <w:rPr>
          <w:rFonts w:hint="eastAsia" w:ascii="宋体" w:hAnsi="宋体" w:cs="Times New Roman" w:eastAsiaTheme="minorEastAsia"/>
          <w:b/>
          <w:color w:val="auto"/>
          <w:kern w:val="2"/>
          <w:sz w:val="32"/>
          <w:szCs w:val="22"/>
          <w:highlight w:val="none"/>
          <w:lang w:val="en-US" w:eastAsia="zh-CN" w:bidi="ar-SA"/>
        </w:rPr>
        <w:t>4.委托方的义务</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4.1 </w:t>
      </w:r>
      <w:r>
        <w:rPr>
          <w:rFonts w:hint="eastAsia" w:ascii="宋体" w:hAnsi="宋体" w:eastAsia="宋体" w:cs="宋体"/>
          <w:color w:val="auto"/>
          <w:kern w:val="2"/>
          <w:sz w:val="21"/>
          <w:szCs w:val="20"/>
          <w:highlight w:val="none"/>
          <w:lang w:val="en-US" w:eastAsia="zh-CN" w:bidi="ar-SA"/>
        </w:rPr>
        <w:t>负责项目建设外部关系的协调，为集成服务工作提供外部条件。</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4.2 </w:t>
      </w:r>
      <w:r>
        <w:rPr>
          <w:rFonts w:hint="eastAsia" w:ascii="宋体" w:hAnsi="宋体" w:eastAsia="宋体" w:cs="宋体"/>
          <w:color w:val="auto"/>
          <w:kern w:val="2"/>
          <w:sz w:val="21"/>
          <w:szCs w:val="20"/>
          <w:highlight w:val="none"/>
          <w:lang w:val="en-US" w:eastAsia="zh-CN" w:bidi="ar-SA"/>
        </w:rPr>
        <w:t>在双方约定的时间内免费向受托方提供与项目有关的履行合同所需要的项目资料（</w:t>
      </w:r>
      <w:r>
        <w:rPr>
          <w:rFonts w:ascii="宋体" w:hAnsi="宋体" w:eastAsia="宋体" w:cs="宋体"/>
          <w:color w:val="auto"/>
          <w:kern w:val="2"/>
          <w:sz w:val="21"/>
          <w:szCs w:val="20"/>
          <w:highlight w:val="none"/>
          <w:lang w:val="en-US" w:eastAsia="zh-CN" w:bidi="ar-SA"/>
        </w:rPr>
        <w:t>1套）。</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4.3 </w:t>
      </w:r>
      <w:r>
        <w:rPr>
          <w:rFonts w:hint="eastAsia" w:ascii="宋体" w:hAnsi="宋体" w:eastAsia="宋体" w:cs="宋体"/>
          <w:color w:val="auto"/>
          <w:kern w:val="2"/>
          <w:sz w:val="21"/>
          <w:szCs w:val="20"/>
          <w:highlight w:val="none"/>
          <w:lang w:val="en-US" w:eastAsia="zh-CN" w:bidi="ar-SA"/>
        </w:rPr>
        <w:t>在约定的时间内就受托方书面提交并要求作出决定的一切事宜作出书面决定。</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4.4 </w:t>
      </w:r>
      <w:r>
        <w:rPr>
          <w:rFonts w:hint="eastAsia" w:ascii="宋体" w:hAnsi="宋体" w:eastAsia="宋体" w:cs="宋体"/>
          <w:color w:val="auto"/>
          <w:kern w:val="2"/>
          <w:sz w:val="21"/>
          <w:szCs w:val="20"/>
          <w:highlight w:val="none"/>
          <w:lang w:val="en-US" w:eastAsia="zh-CN" w:bidi="ar-SA"/>
        </w:rPr>
        <w:t>委托方必须指定授权代表和专人负责与受托方的联络和协调，如更换代表或变更授权时，必须及时书面通知受托方。</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4.5 </w:t>
      </w:r>
      <w:r>
        <w:rPr>
          <w:rFonts w:hint="eastAsia" w:ascii="宋体" w:hAnsi="宋体" w:eastAsia="宋体" w:cs="宋体"/>
          <w:color w:val="auto"/>
          <w:kern w:val="2"/>
          <w:sz w:val="21"/>
          <w:szCs w:val="20"/>
          <w:highlight w:val="none"/>
          <w:lang w:val="en-US" w:eastAsia="zh-CN" w:bidi="ar-SA"/>
        </w:rPr>
        <w:t>委托方应及时书面通知项目有关各方委托方将授予受托方的权力，以及受托方管理机构及主要成员的职能分工，保证供货商服从并执行受托方根据按合同规定发出的指令。</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4.6 </w:t>
      </w:r>
      <w:r>
        <w:rPr>
          <w:rFonts w:hint="eastAsia" w:ascii="宋体" w:hAnsi="宋体" w:eastAsia="宋体" w:cs="宋体"/>
          <w:color w:val="auto"/>
          <w:kern w:val="2"/>
          <w:sz w:val="21"/>
          <w:szCs w:val="20"/>
          <w:highlight w:val="none"/>
          <w:lang w:val="en-US" w:eastAsia="zh-CN" w:bidi="ar-SA"/>
        </w:rPr>
        <w:t>为受托方提供如下协助：</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 </w:t>
      </w:r>
      <w:r>
        <w:rPr>
          <w:rFonts w:hint="eastAsia" w:ascii="宋体" w:hAnsi="宋体" w:eastAsia="宋体" w:cs="宋体"/>
          <w:color w:val="auto"/>
          <w:kern w:val="2"/>
          <w:sz w:val="21"/>
          <w:szCs w:val="20"/>
          <w:highlight w:val="none"/>
          <w:lang w:val="en-US" w:eastAsia="zh-CN" w:bidi="ar-SA"/>
        </w:rPr>
        <w:t>为受托方人员提供必要的与项目有关的准入许可，以便其履行合同项下的义务；</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 </w:t>
      </w:r>
      <w:r>
        <w:rPr>
          <w:rFonts w:hint="eastAsia" w:ascii="宋体" w:hAnsi="宋体" w:eastAsia="宋体" w:cs="宋体"/>
          <w:color w:val="auto"/>
          <w:kern w:val="2"/>
          <w:sz w:val="21"/>
          <w:szCs w:val="20"/>
          <w:highlight w:val="none"/>
          <w:lang w:val="en-US" w:eastAsia="zh-CN" w:bidi="ar-SA"/>
        </w:rPr>
        <w:t>为受托方提供履行合同所必需的本项目使用的原材料、构配件、设备等生产厂家名录；</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3） </w:t>
      </w:r>
      <w:r>
        <w:rPr>
          <w:rFonts w:hint="eastAsia" w:ascii="宋体" w:hAnsi="宋体" w:eastAsia="宋体" w:cs="宋体"/>
          <w:color w:val="auto"/>
          <w:kern w:val="2"/>
          <w:sz w:val="21"/>
          <w:szCs w:val="20"/>
          <w:highlight w:val="none"/>
          <w:lang w:val="en-US" w:eastAsia="zh-CN" w:bidi="ar-SA"/>
        </w:rPr>
        <w:t>提供与本项目有关的协作单位、配合单位及有关人员的名单；</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4.7 </w:t>
      </w:r>
      <w:r>
        <w:rPr>
          <w:rFonts w:hint="eastAsia" w:ascii="宋体" w:hAnsi="宋体" w:eastAsia="宋体" w:cs="宋体"/>
          <w:color w:val="auto"/>
          <w:kern w:val="2"/>
          <w:sz w:val="21"/>
          <w:szCs w:val="20"/>
          <w:highlight w:val="none"/>
          <w:lang w:val="en-US" w:eastAsia="zh-CN" w:bidi="ar-SA"/>
        </w:rPr>
        <w:t>本项目实施过程，不免费向受托方提供职员和服务人员。</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922" w:name="_Toc98142462"/>
      <w:bookmarkStart w:id="923" w:name="_Toc24645"/>
      <w:bookmarkStart w:id="924" w:name="_Toc319313622"/>
      <w:bookmarkStart w:id="925" w:name="_Toc306006738"/>
      <w:bookmarkStart w:id="926" w:name="_Toc110"/>
      <w:bookmarkStart w:id="927" w:name="_Toc306007201"/>
      <w:bookmarkStart w:id="928" w:name="_Toc306091574"/>
      <w:bookmarkStart w:id="929" w:name="_Toc319312310"/>
      <w:bookmarkStart w:id="930" w:name="_Toc318208933"/>
      <w:bookmarkStart w:id="931" w:name="_Toc306007644"/>
      <w:bookmarkStart w:id="932" w:name="_Toc319320625"/>
      <w:bookmarkStart w:id="933" w:name="_Toc18267"/>
      <w:bookmarkStart w:id="934" w:name="_Toc101000460"/>
      <w:bookmarkStart w:id="935" w:name="_Toc309026451"/>
      <w:bookmarkStart w:id="936" w:name="_Toc309026845"/>
      <w:bookmarkStart w:id="937" w:name="_Toc306007425"/>
      <w:bookmarkStart w:id="938" w:name="_Toc321906021"/>
      <w:bookmarkStart w:id="939" w:name="_Toc306006956"/>
      <w:bookmarkStart w:id="940" w:name="_Toc15821"/>
      <w:bookmarkStart w:id="941" w:name="_Toc319311185"/>
      <w:bookmarkStart w:id="942" w:name="_Toc101000502"/>
      <w:bookmarkStart w:id="943" w:name="_Toc319311359"/>
      <w:bookmarkStart w:id="944" w:name="_Toc17341"/>
      <w:bookmarkStart w:id="945" w:name="_Toc101002714"/>
      <w:r>
        <w:rPr>
          <w:rFonts w:hint="eastAsia" w:ascii="宋体" w:hAnsi="宋体" w:cs="Times New Roman" w:eastAsiaTheme="minorEastAsia"/>
          <w:b/>
          <w:color w:val="auto"/>
          <w:kern w:val="2"/>
          <w:sz w:val="32"/>
          <w:szCs w:val="22"/>
          <w:highlight w:val="none"/>
          <w:lang w:val="en-US" w:eastAsia="zh-CN" w:bidi="ar-SA"/>
        </w:rPr>
        <w:t>5.受托方的责任</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5.1 受托方的责任期自合同生效日始至集成服务最终验收、服务结束时止，在项目实施过程中，如果因项目建设进度的推迟或延误而超过计划日期，受托方的责任期也应相应延长。</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受托方在责任期内，必须保证按合同规定的范围、进度和标准履行合同中约定的义务。如有违反则应当承担违约责任，赔偿给委托方造成的经济损失。</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5.2 </w:t>
      </w:r>
      <w:r>
        <w:rPr>
          <w:rFonts w:hint="eastAsia" w:ascii="宋体" w:hAnsi="宋体" w:eastAsia="宋体" w:cs="宋体"/>
          <w:color w:val="auto"/>
          <w:kern w:val="2"/>
          <w:sz w:val="21"/>
          <w:szCs w:val="20"/>
          <w:highlight w:val="none"/>
          <w:lang w:val="en-US" w:eastAsia="zh-CN" w:bidi="ar-SA"/>
        </w:rPr>
        <w:t>因不可抗力导致合同不能全部或部分履行，受托方不承担责任。</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5.3 </w:t>
      </w:r>
      <w:r>
        <w:rPr>
          <w:rFonts w:hint="eastAsia" w:ascii="宋体" w:hAnsi="宋体" w:eastAsia="宋体" w:cs="宋体"/>
          <w:color w:val="auto"/>
          <w:kern w:val="2"/>
          <w:sz w:val="21"/>
          <w:szCs w:val="20"/>
          <w:highlight w:val="none"/>
          <w:lang w:val="en-US" w:eastAsia="zh-CN" w:bidi="ar-SA"/>
        </w:rPr>
        <w:t>受托方如果向委托方提出的赔偿要求不能成立，则应当补偿由该索赔所引起的委托方的各种直接费用的支出。</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946" w:name="_Toc9266"/>
      <w:bookmarkStart w:id="947" w:name="_Toc1757"/>
      <w:bookmarkStart w:id="948" w:name="_Toc321906022"/>
      <w:bookmarkStart w:id="949" w:name="_Toc98142463"/>
      <w:bookmarkStart w:id="950" w:name="_Toc319313623"/>
      <w:bookmarkStart w:id="951" w:name="_Toc28004"/>
      <w:bookmarkStart w:id="952" w:name="_Toc319320626"/>
      <w:bookmarkStart w:id="953" w:name="_Toc319311360"/>
      <w:bookmarkStart w:id="954" w:name="_Toc29914"/>
      <w:bookmarkStart w:id="955" w:name="_Toc306007645"/>
      <w:bookmarkStart w:id="956" w:name="_Toc309026452"/>
      <w:bookmarkStart w:id="957" w:name="_Toc8329"/>
      <w:bookmarkStart w:id="958" w:name="_Toc319312311"/>
      <w:bookmarkStart w:id="959" w:name="_Toc309026846"/>
      <w:bookmarkStart w:id="960" w:name="_Toc306006957"/>
      <w:bookmarkStart w:id="961" w:name="_Toc101002715"/>
      <w:bookmarkStart w:id="962" w:name="_Toc306006739"/>
      <w:bookmarkStart w:id="963" w:name="_Toc101000503"/>
      <w:bookmarkStart w:id="964" w:name="_Toc101000461"/>
      <w:bookmarkStart w:id="965" w:name="_Toc318208934"/>
      <w:bookmarkStart w:id="966" w:name="_Toc319311186"/>
      <w:bookmarkStart w:id="967" w:name="_Toc306007426"/>
      <w:bookmarkStart w:id="968" w:name="_Toc306007202"/>
      <w:bookmarkStart w:id="969" w:name="_Toc306091575"/>
      <w:r>
        <w:rPr>
          <w:rFonts w:hint="eastAsia" w:ascii="宋体" w:hAnsi="宋体" w:cs="Times New Roman" w:eastAsiaTheme="minorEastAsia"/>
          <w:b/>
          <w:color w:val="auto"/>
          <w:kern w:val="2"/>
          <w:sz w:val="32"/>
          <w:szCs w:val="22"/>
          <w:highlight w:val="none"/>
          <w:lang w:val="en-US" w:eastAsia="zh-CN" w:bidi="ar-SA"/>
        </w:rPr>
        <w:t>6.委托方的责任</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6.1 </w:t>
      </w:r>
      <w:r>
        <w:rPr>
          <w:rFonts w:hint="eastAsia" w:ascii="宋体" w:hAnsi="宋体" w:eastAsia="宋体" w:cs="宋体"/>
          <w:color w:val="auto"/>
          <w:kern w:val="2"/>
          <w:sz w:val="21"/>
          <w:szCs w:val="20"/>
          <w:highlight w:val="none"/>
          <w:lang w:val="en-US" w:eastAsia="zh-CN" w:bidi="ar-SA"/>
        </w:rPr>
        <w:t>委托方应当履行合同约定的义务，如有违反则应当承担违约责任，赔偿给受托方造成的经济损失。</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6.2 </w:t>
      </w:r>
      <w:r>
        <w:rPr>
          <w:rFonts w:hint="eastAsia" w:ascii="宋体" w:hAnsi="宋体" w:eastAsia="宋体" w:cs="宋体"/>
          <w:color w:val="auto"/>
          <w:kern w:val="2"/>
          <w:sz w:val="21"/>
          <w:szCs w:val="20"/>
          <w:highlight w:val="none"/>
          <w:lang w:val="en-US" w:eastAsia="zh-CN" w:bidi="ar-SA"/>
        </w:rPr>
        <w:t>委托方如果向受托方提出的赔偿要求不能成立，则应当补偿由该索赔所引起的受托方的各种直接费用支出。</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970" w:name="_Toc306007646"/>
      <w:bookmarkStart w:id="971" w:name="_Toc319311361"/>
      <w:bookmarkStart w:id="972" w:name="_Toc23137"/>
      <w:bookmarkStart w:id="973" w:name="_Toc29507"/>
      <w:bookmarkStart w:id="974" w:name="_Toc101000504"/>
      <w:bookmarkStart w:id="975" w:name="_Toc318208935"/>
      <w:bookmarkStart w:id="976" w:name="_Toc306007203"/>
      <w:bookmarkStart w:id="977" w:name="_Toc101002716"/>
      <w:bookmarkStart w:id="978" w:name="_Toc9998"/>
      <w:bookmarkStart w:id="979" w:name="_Toc306006740"/>
      <w:bookmarkStart w:id="980" w:name="_Toc319311187"/>
      <w:bookmarkStart w:id="981" w:name="_Toc321906023"/>
      <w:bookmarkStart w:id="982" w:name="_Toc319312312"/>
      <w:bookmarkStart w:id="983" w:name="_Toc319313624"/>
      <w:bookmarkStart w:id="984" w:name="_Toc32046"/>
      <w:bookmarkStart w:id="985" w:name="_Toc101000462"/>
      <w:bookmarkStart w:id="986" w:name="_Toc98142464"/>
      <w:bookmarkStart w:id="987" w:name="_Toc306007427"/>
      <w:bookmarkStart w:id="988" w:name="_Toc309026847"/>
      <w:bookmarkStart w:id="989" w:name="_Toc309026453"/>
      <w:bookmarkStart w:id="990" w:name="_Toc306091576"/>
      <w:bookmarkStart w:id="991" w:name="_Toc4981"/>
      <w:bookmarkStart w:id="992" w:name="_Toc306006958"/>
      <w:bookmarkStart w:id="993" w:name="_Toc319320627"/>
      <w:r>
        <w:rPr>
          <w:rFonts w:hint="eastAsia" w:ascii="宋体" w:hAnsi="宋体" w:cs="Times New Roman" w:eastAsiaTheme="minorEastAsia"/>
          <w:b/>
          <w:color w:val="auto"/>
          <w:kern w:val="2"/>
          <w:sz w:val="32"/>
          <w:szCs w:val="22"/>
          <w:highlight w:val="none"/>
          <w:lang w:val="en-US" w:eastAsia="zh-CN" w:bidi="ar-SA"/>
        </w:rPr>
        <w:t>7.标准</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bookmarkStart w:id="994" w:name="_Hlt509112380"/>
      <w:bookmarkEnd w:id="994"/>
      <w:bookmarkStart w:id="995" w:name="_Hlt509112442"/>
      <w:bookmarkEnd w:id="995"/>
      <w:r>
        <w:rPr>
          <w:rFonts w:ascii="宋体" w:hAnsi="宋体" w:eastAsia="宋体" w:cs="宋体"/>
          <w:color w:val="auto"/>
          <w:kern w:val="2"/>
          <w:sz w:val="21"/>
          <w:szCs w:val="20"/>
          <w:highlight w:val="none"/>
          <w:lang w:val="en-US" w:eastAsia="zh-CN" w:bidi="ar-SA"/>
        </w:rPr>
        <w:t xml:space="preserve">7.1 </w:t>
      </w:r>
      <w:r>
        <w:rPr>
          <w:rFonts w:hint="eastAsia" w:ascii="宋体" w:hAnsi="宋体" w:eastAsia="宋体" w:cs="宋体"/>
          <w:color w:val="auto"/>
          <w:kern w:val="2"/>
          <w:sz w:val="21"/>
          <w:szCs w:val="20"/>
          <w:highlight w:val="none"/>
          <w:lang w:val="en-US" w:eastAsia="zh-CN" w:bidi="ar-SA"/>
        </w:rPr>
        <w:t>服务应符合专用条款中所述的标准：如果没有提及适用标准，则应符合中华人民共和国国家标准或行业标准；这些标准必须是有关机构发布的最新版本的标准。</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7.2 </w:t>
      </w:r>
      <w:r>
        <w:rPr>
          <w:rFonts w:hint="eastAsia" w:ascii="宋体" w:hAnsi="宋体" w:eastAsia="宋体" w:cs="宋体"/>
          <w:color w:val="auto"/>
          <w:kern w:val="2"/>
          <w:sz w:val="21"/>
          <w:szCs w:val="20"/>
          <w:highlight w:val="none"/>
          <w:lang w:val="en-US" w:eastAsia="zh-CN" w:bidi="ar-SA"/>
        </w:rPr>
        <w:t>如果委托方要求，受托方应向委托方提供有关标准的文本（中文或英文）。</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7.3 </w:t>
      </w:r>
      <w:r>
        <w:rPr>
          <w:rFonts w:hint="eastAsia" w:ascii="宋体" w:hAnsi="宋体" w:eastAsia="宋体" w:cs="宋体"/>
          <w:color w:val="auto"/>
          <w:kern w:val="2"/>
          <w:sz w:val="21"/>
          <w:szCs w:val="20"/>
          <w:highlight w:val="none"/>
          <w:lang w:val="en-US" w:eastAsia="zh-CN" w:bidi="ar-SA"/>
        </w:rPr>
        <w:t>除非专用条款中另有规定，计量单位均应采用公制。</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996" w:name="_Toc101002717"/>
      <w:bookmarkStart w:id="997" w:name="_Toc101000463"/>
      <w:bookmarkStart w:id="998" w:name="_Toc318208936"/>
      <w:bookmarkStart w:id="999" w:name="_Toc306007647"/>
      <w:bookmarkStart w:id="1000" w:name="_Toc306007428"/>
      <w:bookmarkStart w:id="1001" w:name="_Toc309026454"/>
      <w:bookmarkStart w:id="1002" w:name="_Toc8513"/>
      <w:bookmarkStart w:id="1003" w:name="_Toc306006959"/>
      <w:bookmarkStart w:id="1004" w:name="_Toc321906024"/>
      <w:bookmarkStart w:id="1005" w:name="_Toc309026848"/>
      <w:bookmarkStart w:id="1006" w:name="_Toc306006741"/>
      <w:bookmarkStart w:id="1007" w:name="_Toc319311362"/>
      <w:bookmarkStart w:id="1008" w:name="_Toc319312313"/>
      <w:bookmarkStart w:id="1009" w:name="_Toc30951"/>
      <w:bookmarkStart w:id="1010" w:name="_Toc319320628"/>
      <w:bookmarkStart w:id="1011" w:name="_Toc98142465"/>
      <w:bookmarkStart w:id="1012" w:name="_Toc319313625"/>
      <w:bookmarkStart w:id="1013" w:name="_Toc19594"/>
      <w:bookmarkStart w:id="1014" w:name="_Toc306007204"/>
      <w:bookmarkStart w:id="1015" w:name="_Toc101000505"/>
      <w:bookmarkStart w:id="1016" w:name="_Toc16286"/>
      <w:bookmarkStart w:id="1017" w:name="_Toc20804"/>
      <w:bookmarkStart w:id="1018" w:name="_Toc306091577"/>
      <w:bookmarkStart w:id="1019" w:name="_Toc319311188"/>
      <w:r>
        <w:rPr>
          <w:rFonts w:hint="eastAsia" w:ascii="宋体" w:hAnsi="宋体" w:cs="Times New Roman" w:eastAsiaTheme="minorEastAsia"/>
          <w:b/>
          <w:color w:val="auto"/>
          <w:kern w:val="2"/>
          <w:sz w:val="32"/>
          <w:szCs w:val="22"/>
          <w:highlight w:val="none"/>
          <w:lang w:val="en-US" w:eastAsia="zh-CN" w:bidi="ar-SA"/>
        </w:rPr>
        <w:t>8.技术文件</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8.1 </w:t>
      </w:r>
      <w:r>
        <w:rPr>
          <w:rFonts w:hint="eastAsia" w:ascii="宋体" w:hAnsi="宋体" w:eastAsia="宋体" w:cs="宋体"/>
          <w:color w:val="auto"/>
          <w:kern w:val="2"/>
          <w:sz w:val="21"/>
          <w:szCs w:val="20"/>
          <w:highlight w:val="none"/>
          <w:lang w:val="en-US" w:eastAsia="zh-CN" w:bidi="ar-SA"/>
        </w:rPr>
        <w:t>在执行服务过程中所编纂或准备的报告、全部有关资料以及其它辅助记录或材料将都是委托方拥有全部权益的财产，没有委托方事先书面同意，受托方不得将这部分财产以及由委托方提供的有关合同或任何合同条文、规格、计划、图纸、模型、样品或资料提供给受托方雇用于履行本合同以外的任何其他人。即使向本合同的雇员提供，也应注意保密并限于履行合同必须的范围。</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8.2 受托方保证不将委托方及系统设备供货商提交的资料转让给任何第三方，除非征得委托方的同意由第三方介入项目的设计、安装和运行，并将有关资料仅用于这些目的。</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8.3 </w:t>
      </w:r>
      <w:r>
        <w:rPr>
          <w:rFonts w:hint="eastAsia" w:ascii="宋体" w:hAnsi="宋体" w:eastAsia="宋体" w:cs="宋体"/>
          <w:color w:val="auto"/>
          <w:kern w:val="2"/>
          <w:sz w:val="21"/>
          <w:szCs w:val="20"/>
          <w:highlight w:val="none"/>
          <w:lang w:val="en-US" w:eastAsia="zh-CN" w:bidi="ar-SA"/>
        </w:rPr>
        <w:t>没有委托方事先书面同意，除了履行本合同之外，受托方不应使用本通用条款第</w:t>
      </w:r>
      <w:r>
        <w:rPr>
          <w:rFonts w:ascii="宋体" w:hAnsi="宋体" w:eastAsia="宋体" w:cs="宋体"/>
          <w:color w:val="auto"/>
          <w:kern w:val="2"/>
          <w:sz w:val="21"/>
          <w:szCs w:val="20"/>
          <w:highlight w:val="none"/>
          <w:lang w:val="en-US" w:eastAsia="zh-CN" w:bidi="ar-SA"/>
        </w:rPr>
        <w:t>8.1条所列举的任何文件和资料。</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8.4 </w:t>
      </w:r>
      <w:r>
        <w:rPr>
          <w:rFonts w:hint="eastAsia" w:ascii="宋体" w:hAnsi="宋体" w:eastAsia="宋体" w:cs="宋体"/>
          <w:color w:val="auto"/>
          <w:kern w:val="2"/>
          <w:sz w:val="21"/>
          <w:szCs w:val="20"/>
          <w:highlight w:val="none"/>
          <w:lang w:val="en-US" w:eastAsia="zh-CN" w:bidi="ar-SA"/>
        </w:rPr>
        <w:t>除了合同本身以外，本通用条款第</w:t>
      </w:r>
      <w:r>
        <w:rPr>
          <w:rFonts w:ascii="宋体" w:hAnsi="宋体" w:eastAsia="宋体" w:cs="宋体"/>
          <w:color w:val="auto"/>
          <w:kern w:val="2"/>
          <w:sz w:val="21"/>
          <w:szCs w:val="20"/>
          <w:highlight w:val="none"/>
          <w:lang w:val="en-US" w:eastAsia="zh-CN" w:bidi="ar-SA"/>
        </w:rPr>
        <w:t>8.1条所列举的任何文件是委托方的财产。如果委托方有要求，受托方在完成合同后应将这些文件（包括但不限于全部拷贝）还给委托方。</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8.5 </w:t>
      </w:r>
      <w:r>
        <w:rPr>
          <w:rFonts w:hint="eastAsia" w:ascii="宋体" w:hAnsi="宋体" w:eastAsia="宋体" w:cs="宋体"/>
          <w:color w:val="auto"/>
          <w:kern w:val="2"/>
          <w:sz w:val="21"/>
          <w:szCs w:val="20"/>
          <w:highlight w:val="none"/>
          <w:lang w:val="en-US" w:eastAsia="zh-CN" w:bidi="ar-SA"/>
        </w:rPr>
        <w:t>受托方应根据合同规定要求向委托方提供所有技术文件。如果工程必需但合同又未作规定的要受托方才能提供的技术文件，受托方应及时向委托方提供。</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8.6 </w:t>
      </w:r>
      <w:r>
        <w:rPr>
          <w:rFonts w:hint="eastAsia" w:ascii="宋体" w:hAnsi="宋体" w:eastAsia="宋体" w:cs="宋体"/>
          <w:color w:val="auto"/>
          <w:kern w:val="2"/>
          <w:sz w:val="21"/>
          <w:szCs w:val="20"/>
          <w:highlight w:val="none"/>
          <w:lang w:val="en-US" w:eastAsia="zh-CN" w:bidi="ar-SA"/>
        </w:rPr>
        <w:t>上述技术文件应编辑正确，组织合理，内容充实，容易理解。</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8.7 </w:t>
      </w:r>
      <w:r>
        <w:rPr>
          <w:rFonts w:hint="eastAsia" w:ascii="宋体" w:hAnsi="宋体" w:eastAsia="宋体" w:cs="宋体"/>
          <w:color w:val="auto"/>
          <w:kern w:val="2"/>
          <w:sz w:val="21"/>
          <w:szCs w:val="20"/>
          <w:highlight w:val="none"/>
          <w:lang w:val="en-US" w:eastAsia="zh-CN" w:bidi="ar-SA"/>
        </w:rPr>
        <w:t>技术文件均应提交委托方确认。</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8.8 </w:t>
      </w:r>
      <w:r>
        <w:rPr>
          <w:rFonts w:hint="eastAsia" w:ascii="宋体" w:hAnsi="宋体" w:eastAsia="宋体" w:cs="宋体"/>
          <w:color w:val="auto"/>
          <w:kern w:val="2"/>
          <w:sz w:val="21"/>
          <w:szCs w:val="20"/>
          <w:highlight w:val="none"/>
          <w:lang w:val="en-US" w:eastAsia="zh-CN" w:bidi="ar-SA"/>
        </w:rPr>
        <w:t>受托方应承担委托方按照技术文件的指导进行工作导致损失的责任。</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8.9 </w:t>
      </w:r>
      <w:r>
        <w:rPr>
          <w:rFonts w:hint="eastAsia" w:ascii="宋体" w:hAnsi="宋体" w:eastAsia="宋体" w:cs="宋体"/>
          <w:color w:val="auto"/>
          <w:kern w:val="2"/>
          <w:sz w:val="21"/>
          <w:szCs w:val="20"/>
          <w:highlight w:val="none"/>
          <w:lang w:val="en-US" w:eastAsia="zh-CN" w:bidi="ar-SA"/>
        </w:rPr>
        <w:t>受托方应按照委托方要求提供上述技术文件</w:t>
      </w:r>
      <w:r>
        <w:rPr>
          <w:rFonts w:ascii="宋体" w:hAnsi="宋体" w:eastAsia="宋体" w:cs="宋体"/>
          <w:color w:val="auto"/>
          <w:kern w:val="2"/>
          <w:sz w:val="21"/>
          <w:szCs w:val="20"/>
          <w:highlight w:val="none"/>
          <w:lang w:val="en-US" w:eastAsia="zh-CN" w:bidi="ar-SA"/>
        </w:rPr>
        <w:t>10套及其电子文件5套给委托方。</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8.10 </w:t>
      </w:r>
      <w:r>
        <w:rPr>
          <w:rFonts w:hint="eastAsia" w:ascii="宋体" w:hAnsi="宋体" w:eastAsia="宋体" w:cs="宋体"/>
          <w:color w:val="auto"/>
          <w:kern w:val="2"/>
          <w:sz w:val="21"/>
          <w:szCs w:val="20"/>
          <w:highlight w:val="none"/>
          <w:lang w:val="en-US" w:eastAsia="zh-CN" w:bidi="ar-SA"/>
        </w:rPr>
        <w:t>技术文件的全部费用已包含在合同价中。</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020" w:name="_Toc306007648"/>
      <w:bookmarkStart w:id="1021" w:name="_Toc306006960"/>
      <w:bookmarkStart w:id="1022" w:name="_Toc306006742"/>
      <w:bookmarkStart w:id="1023" w:name="_Toc101002718"/>
      <w:bookmarkStart w:id="1024" w:name="_Toc319312314"/>
      <w:bookmarkStart w:id="1025" w:name="_Toc319313626"/>
      <w:bookmarkStart w:id="1026" w:name="_Toc101000506"/>
      <w:bookmarkStart w:id="1027" w:name="_Toc318208937"/>
      <w:bookmarkStart w:id="1028" w:name="_Toc306007429"/>
      <w:bookmarkStart w:id="1029" w:name="_Toc23634"/>
      <w:bookmarkStart w:id="1030" w:name="_Toc101000464"/>
      <w:bookmarkStart w:id="1031" w:name="_Toc98142466"/>
      <w:bookmarkStart w:id="1032" w:name="_Toc319311363"/>
      <w:bookmarkStart w:id="1033" w:name="_Toc5831"/>
      <w:bookmarkStart w:id="1034" w:name="_Toc319320629"/>
      <w:bookmarkStart w:id="1035" w:name="_Toc309026455"/>
      <w:bookmarkStart w:id="1036" w:name="_Toc306091578"/>
      <w:bookmarkStart w:id="1037" w:name="_Toc9360"/>
      <w:bookmarkStart w:id="1038" w:name="_Toc319311189"/>
      <w:bookmarkStart w:id="1039" w:name="_Toc306007205"/>
      <w:bookmarkStart w:id="1040" w:name="_Toc321906025"/>
      <w:bookmarkStart w:id="1041" w:name="_Toc309026849"/>
      <w:bookmarkStart w:id="1042" w:name="_Toc3477"/>
      <w:r>
        <w:rPr>
          <w:rFonts w:hint="eastAsia" w:ascii="宋体" w:hAnsi="宋体" w:cs="Times New Roman" w:eastAsiaTheme="minorEastAsia"/>
          <w:b/>
          <w:color w:val="auto"/>
          <w:kern w:val="2"/>
          <w:sz w:val="32"/>
          <w:szCs w:val="22"/>
          <w:highlight w:val="none"/>
          <w:lang w:val="en-US" w:eastAsia="zh-CN" w:bidi="ar-SA"/>
        </w:rPr>
        <w:t>9.知识产权</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9.1 </w:t>
      </w:r>
      <w:r>
        <w:rPr>
          <w:rFonts w:hint="eastAsia" w:ascii="宋体" w:hAnsi="宋体" w:eastAsia="宋体" w:cs="宋体"/>
          <w:color w:val="auto"/>
          <w:kern w:val="2"/>
          <w:sz w:val="21"/>
          <w:szCs w:val="20"/>
          <w:highlight w:val="none"/>
          <w:lang w:val="en-US" w:eastAsia="zh-CN" w:bidi="ar-SA"/>
        </w:rPr>
        <w:t>受托方保证：委托方在中华人民共和国使用服务或其任何一部分时，免受第三方提出侵犯其任何知识产权但不限于专利、注册的设计、版权、商标或商品名称、工业设计权等权利的起诉及索赔。若委托方受到此类索赔或起诉，则责任由受托方承担。</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9.2 </w:t>
      </w:r>
      <w:r>
        <w:rPr>
          <w:rFonts w:hint="eastAsia" w:ascii="宋体" w:hAnsi="宋体" w:eastAsia="宋体" w:cs="宋体"/>
          <w:color w:val="auto"/>
          <w:kern w:val="2"/>
          <w:sz w:val="21"/>
          <w:szCs w:val="20"/>
          <w:highlight w:val="none"/>
          <w:lang w:val="en-US" w:eastAsia="zh-CN" w:bidi="ar-SA"/>
        </w:rPr>
        <w:t>受托方为本合同项下提供的软件、技术资料的使用权永久归委托方所有。</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043" w:name="_Toc309026850"/>
      <w:bookmarkStart w:id="1044" w:name="_Toc319313627"/>
      <w:bookmarkStart w:id="1045" w:name="_Toc319320630"/>
      <w:bookmarkStart w:id="1046" w:name="_Toc306006743"/>
      <w:bookmarkStart w:id="1047" w:name="_Toc319311364"/>
      <w:bookmarkStart w:id="1048" w:name="_Toc306007206"/>
      <w:bookmarkStart w:id="1049" w:name="_Toc31628"/>
      <w:bookmarkStart w:id="1050" w:name="_Toc101000465"/>
      <w:bookmarkStart w:id="1051" w:name="_Toc306007649"/>
      <w:bookmarkStart w:id="1052" w:name="_Toc321906026"/>
      <w:bookmarkStart w:id="1053" w:name="_Toc306091579"/>
      <w:bookmarkStart w:id="1054" w:name="_Toc101000507"/>
      <w:bookmarkStart w:id="1055" w:name="_Toc22578"/>
      <w:bookmarkStart w:id="1056" w:name="_Toc309026456"/>
      <w:bookmarkStart w:id="1057" w:name="_Toc319311190"/>
      <w:bookmarkStart w:id="1058" w:name="_Toc9748"/>
      <w:bookmarkStart w:id="1059" w:name="_Toc4455"/>
      <w:bookmarkStart w:id="1060" w:name="_Toc21654"/>
      <w:bookmarkStart w:id="1061" w:name="_Toc306006961"/>
      <w:bookmarkStart w:id="1062" w:name="_Toc101002719"/>
      <w:bookmarkStart w:id="1063" w:name="_Toc318208938"/>
      <w:bookmarkStart w:id="1064" w:name="_Toc306007430"/>
      <w:bookmarkStart w:id="1065" w:name="_Toc98142467"/>
      <w:bookmarkStart w:id="1066" w:name="_Toc319312315"/>
      <w:r>
        <w:rPr>
          <w:rFonts w:hint="eastAsia" w:ascii="宋体" w:hAnsi="宋体" w:cs="Times New Roman" w:eastAsiaTheme="minorEastAsia"/>
          <w:b/>
          <w:color w:val="auto"/>
          <w:kern w:val="2"/>
          <w:sz w:val="32"/>
          <w:szCs w:val="22"/>
          <w:highlight w:val="none"/>
          <w:lang w:val="en-US" w:eastAsia="zh-CN" w:bidi="ar-SA"/>
        </w:rPr>
        <w:t>10.履约保证金</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bookmarkStart w:id="1067" w:name="_Hlt509131490"/>
      <w:bookmarkEnd w:id="1067"/>
      <w:r>
        <w:rPr>
          <w:rFonts w:ascii="宋体" w:hAnsi="宋体" w:eastAsia="宋体" w:cs="宋体"/>
          <w:color w:val="auto"/>
          <w:kern w:val="2"/>
          <w:sz w:val="21"/>
          <w:szCs w:val="20"/>
          <w:highlight w:val="none"/>
          <w:lang w:val="en-US" w:eastAsia="zh-CN" w:bidi="ar-SA"/>
        </w:rPr>
        <w:t>10.1 受托方应在收到中标通知书后十五（15）天内，向委托方提交专用条款规定金额的履约保证金。如履约保证金的提交时间晚于合同生效后六十（60）天，受托方向委托方支付违约金，每周违约金为合同总价的0.5％，本条规定的违约金最高不应超过专用条款第9条所述合同总价的5%。</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10.2 在受托方不能履行其在本合同项下任何一项义务的情况下，造成违约责任，委托方有权用履约保证金的资金补偿其任何直接损失。</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10.3 履约保证的有效期到所有设备均通过预验收并结算完成为止。如果验收时间的延长引起预验收时间顺延，受托方有义务将履约保证有效期顺延；在此情况下，</w:t>
      </w:r>
      <w:r>
        <w:rPr>
          <w:rFonts w:hint="eastAsia" w:ascii="宋体" w:hAnsi="宋体" w:eastAsia="宋体" w:cs="宋体"/>
          <w:color w:val="auto"/>
          <w:kern w:val="2"/>
          <w:sz w:val="21"/>
          <w:szCs w:val="20"/>
          <w:highlight w:val="none"/>
          <w:lang w:val="en-US" w:eastAsia="zh-CN" w:bidi="ar-SA"/>
        </w:rPr>
        <w:t>受托方</w:t>
      </w:r>
      <w:r>
        <w:rPr>
          <w:rFonts w:ascii="宋体" w:hAnsi="宋体" w:eastAsia="宋体" w:cs="宋体"/>
          <w:color w:val="auto"/>
          <w:kern w:val="2"/>
          <w:sz w:val="21"/>
          <w:szCs w:val="20"/>
          <w:highlight w:val="none"/>
          <w:lang w:val="en-US" w:eastAsia="zh-CN" w:bidi="ar-SA"/>
        </w:rPr>
        <w:t>应在保函到期日的一个月以前延长保函的有效期，否则将被视为违约。</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10.4 </w:t>
      </w:r>
      <w:r>
        <w:rPr>
          <w:rFonts w:hint="eastAsia" w:ascii="宋体" w:hAnsi="宋体" w:eastAsia="宋体" w:cs="宋体"/>
          <w:color w:val="auto"/>
          <w:kern w:val="2"/>
          <w:sz w:val="21"/>
          <w:szCs w:val="20"/>
          <w:highlight w:val="none"/>
          <w:lang w:val="en-US" w:eastAsia="zh-CN" w:bidi="ar-SA"/>
        </w:rPr>
        <w:t>履约保证金应用本合同货币，或委托方可以接受的一种可自由兑换的货币采用下述方式之一提交：</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（a）</w:t>
      </w:r>
      <w:r>
        <w:rPr>
          <w:rFonts w:hint="eastAsia" w:ascii="宋体" w:hAnsi="宋体" w:eastAsia="宋体" w:cs="宋体"/>
          <w:color w:val="auto"/>
          <w:kern w:val="2"/>
          <w:sz w:val="21"/>
          <w:szCs w:val="20"/>
          <w:highlight w:val="none"/>
          <w:lang w:val="en-US" w:eastAsia="zh-CN" w:bidi="ar-SA"/>
        </w:rPr>
        <w:t>由委托方接受的委托方国内或国外的一家信誉好的银行用合同附录提供的格式，或其他委托方接受的格式提交的银行保函或不可撤销的信用证；或</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（b）</w:t>
      </w:r>
      <w:r>
        <w:rPr>
          <w:rFonts w:hint="eastAsia" w:ascii="宋体" w:hAnsi="宋体" w:eastAsia="宋体" w:cs="宋体"/>
          <w:color w:val="auto"/>
          <w:kern w:val="2"/>
          <w:sz w:val="21"/>
          <w:szCs w:val="20"/>
          <w:highlight w:val="none"/>
          <w:lang w:val="en-US" w:eastAsia="zh-CN" w:bidi="ar-SA"/>
        </w:rPr>
        <w:t>银行本票或保付汇票。</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10.5 </w:t>
      </w:r>
      <w:r>
        <w:rPr>
          <w:rFonts w:hint="eastAsia" w:ascii="宋体" w:hAnsi="宋体" w:eastAsia="宋体" w:cs="宋体"/>
          <w:color w:val="auto"/>
          <w:kern w:val="2"/>
          <w:sz w:val="21"/>
          <w:szCs w:val="20"/>
          <w:highlight w:val="none"/>
          <w:lang w:val="en-US" w:eastAsia="zh-CN" w:bidi="ar-SA"/>
        </w:rPr>
        <w:t>除非专用条款另有规定，在受托方没有违约且完成其合同义务包括任何保证义务后三十（</w:t>
      </w:r>
      <w:r>
        <w:rPr>
          <w:rFonts w:ascii="宋体" w:hAnsi="宋体" w:eastAsia="宋体" w:cs="宋体"/>
          <w:color w:val="auto"/>
          <w:kern w:val="2"/>
          <w:sz w:val="21"/>
          <w:szCs w:val="20"/>
          <w:highlight w:val="none"/>
          <w:lang w:val="en-US" w:eastAsia="zh-CN" w:bidi="ar-SA"/>
        </w:rPr>
        <w:t>30</w:t>
      </w:r>
      <w:r>
        <w:rPr>
          <w:rFonts w:hint="eastAsia" w:ascii="宋体" w:hAnsi="宋体" w:eastAsia="宋体" w:cs="宋体"/>
          <w:color w:val="auto"/>
          <w:kern w:val="2"/>
          <w:sz w:val="21"/>
          <w:szCs w:val="20"/>
          <w:highlight w:val="none"/>
          <w:lang w:val="en-US" w:eastAsia="zh-CN" w:bidi="ar-SA"/>
        </w:rPr>
        <w:t>）天内，委托方将把履约保证金无息退还受托方。</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068" w:name="_Toc306091580"/>
      <w:bookmarkStart w:id="1069" w:name="_Toc319312316"/>
      <w:bookmarkStart w:id="1070" w:name="_Toc309026851"/>
      <w:bookmarkStart w:id="1071" w:name="_Toc319313628"/>
      <w:bookmarkStart w:id="1072" w:name="_Toc98142468"/>
      <w:bookmarkStart w:id="1073" w:name="_Toc101000466"/>
      <w:bookmarkStart w:id="1074" w:name="_Toc319311191"/>
      <w:bookmarkStart w:id="1075" w:name="_Toc2955"/>
      <w:bookmarkStart w:id="1076" w:name="_Toc319320631"/>
      <w:bookmarkStart w:id="1077" w:name="_Toc318208939"/>
      <w:bookmarkStart w:id="1078" w:name="_Toc319311365"/>
      <w:bookmarkStart w:id="1079" w:name="_Toc29103"/>
      <w:bookmarkStart w:id="1080" w:name="_Toc101000508"/>
      <w:bookmarkStart w:id="1081" w:name="_Toc306007207"/>
      <w:bookmarkStart w:id="1082" w:name="_Toc306006962"/>
      <w:bookmarkStart w:id="1083" w:name="_Toc306007431"/>
      <w:bookmarkStart w:id="1084" w:name="_Toc309026457"/>
      <w:bookmarkStart w:id="1085" w:name="_Toc321906027"/>
      <w:bookmarkStart w:id="1086" w:name="_Toc101002720"/>
      <w:bookmarkStart w:id="1087" w:name="_Toc20140"/>
      <w:bookmarkStart w:id="1088" w:name="_Toc306007650"/>
      <w:bookmarkStart w:id="1089" w:name="_Toc3589"/>
      <w:bookmarkStart w:id="1090" w:name="_Toc306006744"/>
      <w:r>
        <w:rPr>
          <w:rFonts w:hint="eastAsia" w:ascii="宋体" w:hAnsi="宋体" w:cs="Times New Roman" w:eastAsiaTheme="minorEastAsia"/>
          <w:b/>
          <w:color w:val="auto"/>
          <w:kern w:val="2"/>
          <w:sz w:val="32"/>
          <w:szCs w:val="22"/>
          <w:highlight w:val="none"/>
          <w:lang w:val="en-US" w:eastAsia="zh-CN" w:bidi="ar-SA"/>
        </w:rPr>
        <w:t>11.保险</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11.1 受托方的保险</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11.1.1 受托方应为其管理机构和人员投保人身险、财产险、第三方责任险以及其认为必要且充分的其他险别，并处理与之有关的所有保险索赔。如受托方自备交通工具，受托方必须办理有关车辆综合险、乘客险，并处理有关的保险索赔。</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11.1.2 所有由受托方办理的保险，受托方负责投保、索赔及其他一切有关费用。</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11.1.3 受托方不负责系统设备和项目的保险。</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11.1.4 受托方必须按委托方要求提交有关保险证明。</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11.2 委托方的保险</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11.2.1 委托方负责项目的保险，并处理有关的索赔。</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11.2.2 委托方不负责任何与受托方管理机构和人员或其自备交通工具有关的保险。</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091" w:name="_Toc318208940"/>
      <w:bookmarkStart w:id="1092" w:name="_Toc319320632"/>
      <w:bookmarkStart w:id="1093" w:name="_Toc306007432"/>
      <w:bookmarkStart w:id="1094" w:name="_Toc306091581"/>
      <w:bookmarkStart w:id="1095" w:name="_Toc309026852"/>
      <w:bookmarkStart w:id="1096" w:name="_Toc321906028"/>
      <w:bookmarkStart w:id="1097" w:name="_Toc309026458"/>
      <w:bookmarkStart w:id="1098" w:name="_Toc15584"/>
      <w:bookmarkStart w:id="1099" w:name="_Toc7716"/>
      <w:bookmarkStart w:id="1100" w:name="_Toc101000509"/>
      <w:bookmarkStart w:id="1101" w:name="_Toc12119"/>
      <w:bookmarkStart w:id="1102" w:name="_Toc101002721"/>
      <w:bookmarkStart w:id="1103" w:name="_Toc319311192"/>
      <w:bookmarkStart w:id="1104" w:name="_Toc319312317"/>
      <w:bookmarkStart w:id="1105" w:name="_Toc101000467"/>
      <w:bookmarkStart w:id="1106" w:name="_Toc98142469"/>
      <w:bookmarkStart w:id="1107" w:name="_Toc319313629"/>
      <w:bookmarkStart w:id="1108" w:name="_Toc306007651"/>
      <w:bookmarkStart w:id="1109" w:name="_Toc306006745"/>
      <w:bookmarkStart w:id="1110" w:name="_Toc306006963"/>
      <w:bookmarkStart w:id="1111" w:name="_Toc14430"/>
      <w:bookmarkStart w:id="1112" w:name="_Toc319311366"/>
      <w:bookmarkStart w:id="1113" w:name="_Toc306007208"/>
      <w:bookmarkStart w:id="1114" w:name="_Toc581"/>
      <w:r>
        <w:rPr>
          <w:rFonts w:hint="eastAsia" w:ascii="宋体" w:hAnsi="宋体" w:cs="Times New Roman" w:eastAsiaTheme="minorEastAsia"/>
          <w:b/>
          <w:color w:val="auto"/>
          <w:kern w:val="2"/>
          <w:sz w:val="32"/>
          <w:szCs w:val="22"/>
          <w:highlight w:val="none"/>
          <w:lang w:val="en-US" w:eastAsia="zh-CN" w:bidi="ar-SA"/>
        </w:rPr>
        <w:t>12.保证</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12.1 受托方保证将利用其专门的技术完成他在本合同项下的义务，并依据专用条款所规定的或在中华人民共和国另外普通适用于合同所要求服务类型，提供最高职业、技术和质量标准的服务。</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12.2 受托方将认真负责履行其义务并将时时刻刻为委托方的利益而工作。为了达到这些目的，经委托方的同意，受托方保证提供具有充分素质和经验的人员并为圆满完成服务提供所需的人数。</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12.3 </w:t>
      </w:r>
      <w:r>
        <w:rPr>
          <w:rFonts w:hint="eastAsia" w:ascii="宋体" w:hAnsi="宋体" w:eastAsia="宋体" w:cs="宋体"/>
          <w:color w:val="auto"/>
          <w:kern w:val="2"/>
          <w:sz w:val="21"/>
          <w:szCs w:val="20"/>
          <w:highlight w:val="none"/>
          <w:lang w:val="en-US" w:eastAsia="zh-CN" w:bidi="ar-SA"/>
        </w:rPr>
        <w:t>受托方的集成服务质保期与系统供应商的质量保证期一致，且质保期不低于两年。在质量保证期内受托方应留守一定人员。</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115" w:name="_Toc101002722"/>
      <w:bookmarkStart w:id="1116" w:name="_Toc98142470"/>
      <w:bookmarkStart w:id="1117" w:name="_Toc319311367"/>
      <w:bookmarkStart w:id="1118" w:name="_Toc26042"/>
      <w:bookmarkStart w:id="1119" w:name="_Toc101000510"/>
      <w:bookmarkStart w:id="1120" w:name="_Toc319312318"/>
      <w:bookmarkStart w:id="1121" w:name="_Toc306007209"/>
      <w:bookmarkStart w:id="1122" w:name="_Toc13518"/>
      <w:bookmarkStart w:id="1123" w:name="_Toc11248"/>
      <w:bookmarkStart w:id="1124" w:name="_Toc318208941"/>
      <w:bookmarkStart w:id="1125" w:name="_Toc319320633"/>
      <w:bookmarkStart w:id="1126" w:name="_Toc319313630"/>
      <w:bookmarkStart w:id="1127" w:name="_Toc306007433"/>
      <w:bookmarkStart w:id="1128" w:name="_Toc20233"/>
      <w:bookmarkStart w:id="1129" w:name="_Toc3889"/>
      <w:bookmarkStart w:id="1130" w:name="_Toc309026853"/>
      <w:bookmarkStart w:id="1131" w:name="_Toc306091582"/>
      <w:bookmarkStart w:id="1132" w:name="_Toc321906029"/>
      <w:bookmarkStart w:id="1133" w:name="_Toc319311193"/>
      <w:bookmarkStart w:id="1134" w:name="_Toc306006746"/>
      <w:bookmarkStart w:id="1135" w:name="_Toc309026459"/>
      <w:bookmarkStart w:id="1136" w:name="_Toc306007652"/>
      <w:bookmarkStart w:id="1137" w:name="_Toc306006964"/>
      <w:bookmarkStart w:id="1138" w:name="_Toc101000468"/>
      <w:r>
        <w:rPr>
          <w:rFonts w:hint="eastAsia" w:ascii="宋体" w:hAnsi="宋体" w:cs="Times New Roman" w:eastAsiaTheme="minorEastAsia"/>
          <w:b/>
          <w:color w:val="auto"/>
          <w:kern w:val="2"/>
          <w:sz w:val="32"/>
          <w:szCs w:val="22"/>
          <w:highlight w:val="none"/>
          <w:lang w:val="en-US" w:eastAsia="zh-CN" w:bidi="ar-SA"/>
        </w:rPr>
        <w:t>13.付款</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13.1 本合同给受托方付款的方法和条件在专用条款中规定。</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13.2 受托方应书面向委托方提出付款要求，并附上对已履行的服务的发票，以及合同规定的其他义务已经履行的证明。</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13.3 本合同对受托方支付的货币在专用条款中规定。</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13.4 如果委托方对受托方提交的支付文件提出异议，应当书面向受托方发出异议的通知，但委托方不得拖延其他无异议的支付。</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139" w:name="_Toc319312319"/>
      <w:bookmarkStart w:id="1140" w:name="_Toc306007434"/>
      <w:bookmarkStart w:id="1141" w:name="_Toc101002723"/>
      <w:bookmarkStart w:id="1142" w:name="_Toc101000511"/>
      <w:bookmarkStart w:id="1143" w:name="_Toc318208942"/>
      <w:bookmarkStart w:id="1144" w:name="_Toc30017"/>
      <w:bookmarkStart w:id="1145" w:name="_Toc319320634"/>
      <w:bookmarkStart w:id="1146" w:name="_Toc319313631"/>
      <w:bookmarkStart w:id="1147" w:name="_Toc306006965"/>
      <w:bookmarkStart w:id="1148" w:name="_Toc9051"/>
      <w:bookmarkStart w:id="1149" w:name="_Toc306091583"/>
      <w:bookmarkStart w:id="1150" w:name="_Toc319311368"/>
      <w:bookmarkStart w:id="1151" w:name="_Toc101000469"/>
      <w:bookmarkStart w:id="1152" w:name="_Toc2742"/>
      <w:bookmarkStart w:id="1153" w:name="_Toc306007210"/>
      <w:bookmarkStart w:id="1154" w:name="_Toc306007653"/>
      <w:bookmarkStart w:id="1155" w:name="_Toc306006747"/>
      <w:bookmarkStart w:id="1156" w:name="_Toc319311194"/>
      <w:bookmarkStart w:id="1157" w:name="_Toc321906030"/>
      <w:bookmarkStart w:id="1158" w:name="_Toc98142471"/>
      <w:bookmarkStart w:id="1159" w:name="_Toc10158"/>
      <w:bookmarkStart w:id="1160" w:name="_Toc309026854"/>
      <w:bookmarkStart w:id="1161" w:name="_Toc309026460"/>
      <w:bookmarkStart w:id="1162" w:name="_Toc4237"/>
      <w:r>
        <w:rPr>
          <w:rFonts w:hint="eastAsia" w:ascii="宋体" w:hAnsi="宋体" w:cs="Times New Roman" w:eastAsiaTheme="minorEastAsia"/>
          <w:b/>
          <w:color w:val="auto"/>
          <w:kern w:val="2"/>
          <w:sz w:val="32"/>
          <w:szCs w:val="22"/>
          <w:highlight w:val="none"/>
          <w:lang w:val="en-US" w:eastAsia="zh-CN" w:bidi="ar-SA"/>
        </w:rPr>
        <w:t>14.价格</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14.1 本合同价格见专用条款第9条的规定。</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14.2 </w:t>
      </w:r>
      <w:r>
        <w:rPr>
          <w:rFonts w:hint="eastAsia" w:ascii="宋体" w:hAnsi="宋体" w:eastAsia="宋体" w:cs="宋体"/>
          <w:color w:val="auto"/>
          <w:kern w:val="2"/>
          <w:sz w:val="21"/>
          <w:szCs w:val="20"/>
          <w:highlight w:val="none"/>
          <w:lang w:val="en-US" w:eastAsia="zh-CN" w:bidi="ar-SA"/>
        </w:rPr>
        <w:t>受托方履行合同所必须的所有费用，包括但不限于办公、交通、人员、差旅、文件、其他管理费用等均已全部包括在合同价格内。本合同项下不另计受托方人员的加班费，有关费用已包含在合同价格中。</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163" w:name="_Toc101002724"/>
      <w:bookmarkStart w:id="1164" w:name="_Toc306091584"/>
      <w:bookmarkStart w:id="1165" w:name="_Toc321906031"/>
      <w:bookmarkStart w:id="1166" w:name="_Toc306007211"/>
      <w:bookmarkStart w:id="1167" w:name="_Toc306007654"/>
      <w:bookmarkStart w:id="1168" w:name="_Toc306006748"/>
      <w:bookmarkStart w:id="1169" w:name="_Toc319311369"/>
      <w:bookmarkStart w:id="1170" w:name="_Toc319311195"/>
      <w:bookmarkStart w:id="1171" w:name="_Toc101000470"/>
      <w:bookmarkStart w:id="1172" w:name="_Toc309026855"/>
      <w:bookmarkStart w:id="1173" w:name="_Toc28906"/>
      <w:bookmarkStart w:id="1174" w:name="_Toc319313632"/>
      <w:bookmarkStart w:id="1175" w:name="_Toc318208943"/>
      <w:bookmarkStart w:id="1176" w:name="_Toc319320635"/>
      <w:bookmarkStart w:id="1177" w:name="_Toc319312320"/>
      <w:bookmarkStart w:id="1178" w:name="_Toc98142472"/>
      <w:bookmarkStart w:id="1179" w:name="_Toc101000512"/>
      <w:bookmarkStart w:id="1180" w:name="_Toc32541"/>
      <w:bookmarkStart w:id="1181" w:name="_Toc309026461"/>
      <w:bookmarkStart w:id="1182" w:name="_Toc306007435"/>
      <w:bookmarkStart w:id="1183" w:name="_Toc12974"/>
      <w:bookmarkStart w:id="1184" w:name="_Toc306006966"/>
      <w:bookmarkStart w:id="1185" w:name="_Toc963"/>
      <w:r>
        <w:rPr>
          <w:rFonts w:hint="eastAsia" w:ascii="宋体" w:hAnsi="宋体" w:cs="Times New Roman" w:eastAsiaTheme="minorEastAsia"/>
          <w:b/>
          <w:color w:val="auto"/>
          <w:kern w:val="2"/>
          <w:sz w:val="32"/>
          <w:szCs w:val="22"/>
          <w:highlight w:val="none"/>
          <w:lang w:val="en-US" w:eastAsia="zh-CN" w:bidi="ar-SA"/>
        </w:rPr>
        <w:t>15.项目变更</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15.1 项目变更是指在项目实施过程中任何因由委托方、受托方、供货商原因引起的与合同不符的任何变化，包括但不限于重大返工、重做设计。</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15.2 任何项目变更指令必须以书面形式作出。</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15.3 受托方发出的项目变更指令必须在合同授权范围内做出。任何重大项目变更指令均须由委托方确认。</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15.4 委托方可以根据项目实际需要进行项目变更，受托方必须执行，受托方不得提出增加合同价格。</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15.5 任何受托方系统内外部接口设计失误、指导错误、严重渎职或其他工作失误引起项目变更，受托方必须按专用条款规定承担由此引起的责任和费用。</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186" w:name="_Toc306006749"/>
      <w:bookmarkStart w:id="1187" w:name="_Toc319311370"/>
      <w:bookmarkStart w:id="1188" w:name="_Toc321906032"/>
      <w:bookmarkStart w:id="1189" w:name="_Toc9982"/>
      <w:bookmarkStart w:id="1190" w:name="_Toc306007212"/>
      <w:bookmarkStart w:id="1191" w:name="_Toc29509"/>
      <w:bookmarkStart w:id="1192" w:name="_Toc22809"/>
      <w:bookmarkStart w:id="1193" w:name="_Toc101000471"/>
      <w:bookmarkStart w:id="1194" w:name="_Toc306007655"/>
      <w:bookmarkStart w:id="1195" w:name="_Toc319320636"/>
      <w:bookmarkStart w:id="1196" w:name="_Toc319311196"/>
      <w:bookmarkStart w:id="1197" w:name="_Toc101000513"/>
      <w:bookmarkStart w:id="1198" w:name="_Toc98142473"/>
      <w:bookmarkStart w:id="1199" w:name="_Toc319312321"/>
      <w:bookmarkStart w:id="1200" w:name="_Toc309026462"/>
      <w:bookmarkStart w:id="1201" w:name="_Toc319313633"/>
      <w:bookmarkStart w:id="1202" w:name="_Toc306007436"/>
      <w:bookmarkStart w:id="1203" w:name="_Toc14227"/>
      <w:bookmarkStart w:id="1204" w:name="_Toc101002725"/>
      <w:bookmarkStart w:id="1205" w:name="_Toc309026856"/>
      <w:bookmarkStart w:id="1206" w:name="_Toc318208944"/>
      <w:bookmarkStart w:id="1207" w:name="_Toc306091585"/>
      <w:bookmarkStart w:id="1208" w:name="_Toc306006967"/>
      <w:bookmarkStart w:id="1209" w:name="_Toc3298"/>
      <w:r>
        <w:rPr>
          <w:rFonts w:hint="eastAsia" w:ascii="宋体" w:hAnsi="宋体" w:cs="Times New Roman" w:eastAsiaTheme="minorEastAsia"/>
          <w:b/>
          <w:color w:val="auto"/>
          <w:kern w:val="2"/>
          <w:sz w:val="32"/>
          <w:szCs w:val="22"/>
          <w:highlight w:val="none"/>
          <w:lang w:val="en-US" w:eastAsia="zh-CN" w:bidi="ar-SA"/>
        </w:rPr>
        <w:t>16.合同修改</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16.1 除了通用条款第15条的规定外，任何对合同条件的变更或修改均需双方签订书面的修改书。</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16.2 经双方协商一致，可以以书面协议修改本合同的任何部分。任何修改合同的书面协议或任何会议纪要、备忘录或其他书面文件转为合同修改时，应编号并标有本合同号及“合同修改书第――号”字样。</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210" w:name="_Toc98142474"/>
      <w:bookmarkStart w:id="1211" w:name="_Toc306007437"/>
      <w:bookmarkStart w:id="1212" w:name="_Toc321906033"/>
      <w:bookmarkStart w:id="1213" w:name="_Toc433"/>
      <w:bookmarkStart w:id="1214" w:name="_Toc6366"/>
      <w:bookmarkStart w:id="1215" w:name="_Toc306006968"/>
      <w:bookmarkStart w:id="1216" w:name="_Toc319311371"/>
      <w:bookmarkStart w:id="1217" w:name="_Toc306007213"/>
      <w:bookmarkStart w:id="1218" w:name="_Toc306006750"/>
      <w:bookmarkStart w:id="1219" w:name="_Toc309026857"/>
      <w:bookmarkStart w:id="1220" w:name="_Toc101002726"/>
      <w:bookmarkStart w:id="1221" w:name="_Toc319311197"/>
      <w:bookmarkStart w:id="1222" w:name="_Toc309026463"/>
      <w:bookmarkStart w:id="1223" w:name="_Toc19926"/>
      <w:bookmarkStart w:id="1224" w:name="_Toc319320637"/>
      <w:bookmarkStart w:id="1225" w:name="_Toc101000472"/>
      <w:bookmarkStart w:id="1226" w:name="_Toc306091586"/>
      <w:bookmarkStart w:id="1227" w:name="_Toc306007656"/>
      <w:bookmarkStart w:id="1228" w:name="_Toc319313634"/>
      <w:bookmarkStart w:id="1229" w:name="_Toc101000514"/>
      <w:bookmarkStart w:id="1230" w:name="_Toc4011"/>
      <w:bookmarkStart w:id="1231" w:name="_Toc319312322"/>
      <w:bookmarkStart w:id="1232" w:name="_Toc318208945"/>
      <w:r>
        <w:rPr>
          <w:rFonts w:hint="eastAsia" w:ascii="宋体" w:hAnsi="宋体" w:cs="Times New Roman" w:eastAsiaTheme="minorEastAsia"/>
          <w:b/>
          <w:color w:val="auto"/>
          <w:kern w:val="2"/>
          <w:sz w:val="32"/>
          <w:szCs w:val="22"/>
          <w:highlight w:val="none"/>
          <w:lang w:val="en-US" w:eastAsia="zh-CN" w:bidi="ar-SA"/>
        </w:rPr>
        <w:t>17.转让</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bookmarkStart w:id="1233" w:name="_Toc101000515"/>
      <w:bookmarkStart w:id="1234" w:name="_Toc101002727"/>
      <w:bookmarkStart w:id="1235" w:name="_Toc101000473"/>
      <w:r>
        <w:rPr>
          <w:rFonts w:ascii="宋体" w:hAnsi="宋体" w:eastAsia="宋体" w:cs="宋体"/>
          <w:color w:val="auto"/>
          <w:kern w:val="2"/>
          <w:sz w:val="21"/>
          <w:szCs w:val="20"/>
          <w:highlight w:val="none"/>
          <w:lang w:val="en-US" w:eastAsia="zh-CN" w:bidi="ar-SA"/>
        </w:rPr>
        <w:t xml:space="preserve">17.1 </w:t>
      </w:r>
      <w:r>
        <w:rPr>
          <w:rFonts w:hint="eastAsia" w:ascii="宋体" w:hAnsi="宋体" w:eastAsia="宋体" w:cs="宋体"/>
          <w:color w:val="auto"/>
          <w:kern w:val="2"/>
          <w:sz w:val="21"/>
          <w:szCs w:val="20"/>
          <w:highlight w:val="none"/>
          <w:lang w:val="en-US" w:eastAsia="zh-CN" w:bidi="ar-SA"/>
        </w:rPr>
        <w:t>除委托方事先书面同意外，受托方不得部分转让或全部转让其应履行的合同义务。</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236" w:name="_Toc318208946"/>
      <w:bookmarkStart w:id="1237" w:name="_Toc306007657"/>
      <w:bookmarkStart w:id="1238" w:name="_Toc16635"/>
      <w:bookmarkStart w:id="1239" w:name="_Toc13473"/>
      <w:bookmarkStart w:id="1240" w:name="_Toc309026858"/>
      <w:bookmarkStart w:id="1241" w:name="_Toc321906034"/>
      <w:bookmarkStart w:id="1242" w:name="_Toc306007438"/>
      <w:bookmarkStart w:id="1243" w:name="_Toc306006969"/>
      <w:bookmarkStart w:id="1244" w:name="_Toc98142475"/>
      <w:bookmarkStart w:id="1245" w:name="_Toc306007214"/>
      <w:bookmarkStart w:id="1246" w:name="_Toc306006751"/>
      <w:bookmarkStart w:id="1247" w:name="_Toc306091587"/>
      <w:bookmarkStart w:id="1248" w:name="_Toc319320638"/>
      <w:bookmarkStart w:id="1249" w:name="_Toc319311198"/>
      <w:bookmarkStart w:id="1250" w:name="_Toc10555"/>
      <w:bookmarkStart w:id="1251" w:name="_Toc319312323"/>
      <w:bookmarkStart w:id="1252" w:name="_Toc319311372"/>
      <w:bookmarkStart w:id="1253" w:name="_Toc319313635"/>
      <w:bookmarkStart w:id="1254" w:name="_Toc17330"/>
      <w:bookmarkStart w:id="1255" w:name="_Toc16999"/>
      <w:bookmarkStart w:id="1256" w:name="_Toc309026464"/>
      <w:r>
        <w:rPr>
          <w:rFonts w:hint="eastAsia" w:ascii="宋体" w:hAnsi="宋体" w:cs="Times New Roman" w:eastAsiaTheme="minorEastAsia"/>
          <w:b/>
          <w:color w:val="auto"/>
          <w:kern w:val="2"/>
          <w:sz w:val="32"/>
          <w:szCs w:val="22"/>
          <w:highlight w:val="none"/>
          <w:lang w:val="en-US" w:eastAsia="zh-CN" w:bidi="ar-SA"/>
        </w:rPr>
        <w:t>18.受托方履约的延误</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18.1 </w:t>
      </w:r>
      <w:r>
        <w:rPr>
          <w:rFonts w:hint="eastAsia" w:ascii="宋体" w:hAnsi="宋体" w:eastAsia="宋体" w:cs="宋体"/>
          <w:color w:val="auto"/>
          <w:kern w:val="2"/>
          <w:sz w:val="21"/>
          <w:szCs w:val="20"/>
          <w:highlight w:val="none"/>
          <w:lang w:val="en-US" w:eastAsia="zh-CN" w:bidi="ar-SA"/>
        </w:rPr>
        <w:t>受托方应按照专用条款中委托方规定的时间安排提供服务。</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18.2 </w:t>
      </w:r>
      <w:r>
        <w:rPr>
          <w:rFonts w:hint="eastAsia" w:ascii="宋体" w:hAnsi="宋体" w:eastAsia="宋体" w:cs="宋体"/>
          <w:color w:val="auto"/>
          <w:kern w:val="2"/>
          <w:sz w:val="21"/>
          <w:szCs w:val="20"/>
          <w:highlight w:val="none"/>
          <w:lang w:val="en-US" w:eastAsia="zh-CN" w:bidi="ar-SA"/>
        </w:rPr>
        <w:t>在履行合同过程中，如果受托方遇到妨碍按时提供服务的情况时，应及时以书面形式将拖延的事实，可能拖延的时间和原因通知委托方。委托方在收到受托方通知后，应尽快对情况进行评价，并确定是否酌情延长服务时间以及是否收取误期赔偿费。延期应通过修改合同的方式由委托方、受托方双方认可。</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18.3 </w:t>
      </w:r>
      <w:r>
        <w:rPr>
          <w:rFonts w:hint="eastAsia" w:ascii="宋体" w:hAnsi="宋体" w:eastAsia="宋体" w:cs="宋体"/>
          <w:color w:val="auto"/>
          <w:kern w:val="2"/>
          <w:sz w:val="21"/>
          <w:szCs w:val="20"/>
          <w:highlight w:val="none"/>
          <w:lang w:val="en-US" w:eastAsia="zh-CN" w:bidi="ar-SA"/>
        </w:rPr>
        <w:t>除了通用条款第</w:t>
      </w:r>
      <w:r>
        <w:rPr>
          <w:rFonts w:ascii="宋体" w:hAnsi="宋体" w:eastAsia="宋体" w:cs="宋体"/>
          <w:color w:val="auto"/>
          <w:kern w:val="2"/>
          <w:sz w:val="21"/>
          <w:szCs w:val="20"/>
          <w:highlight w:val="none"/>
          <w:lang w:val="en-US" w:eastAsia="zh-CN" w:bidi="ar-SA"/>
        </w:rPr>
        <w:t>21条的情况外，除非延期是根据通用条款第18.2条的规定取得同意而不收取误期赔偿费之外，受托方延期提供服务，将按通用条款第19条的规定被收取误期赔偿费。</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257" w:name="_Toc32076"/>
      <w:bookmarkStart w:id="1258" w:name="_Toc306091588"/>
      <w:bookmarkStart w:id="1259" w:name="_Toc24371"/>
      <w:bookmarkStart w:id="1260" w:name="_Toc306006752"/>
      <w:bookmarkStart w:id="1261" w:name="_Toc24534"/>
      <w:bookmarkStart w:id="1262" w:name="_Toc101002728"/>
      <w:bookmarkStart w:id="1263" w:name="_Toc319313636"/>
      <w:bookmarkStart w:id="1264" w:name="_Toc22451"/>
      <w:bookmarkStart w:id="1265" w:name="_Toc306007439"/>
      <w:bookmarkStart w:id="1266" w:name="_Toc306006970"/>
      <w:bookmarkStart w:id="1267" w:name="_Toc309026859"/>
      <w:bookmarkStart w:id="1268" w:name="_Toc306007658"/>
      <w:bookmarkStart w:id="1269" w:name="_Toc319320639"/>
      <w:bookmarkStart w:id="1270" w:name="_Toc319311373"/>
      <w:bookmarkStart w:id="1271" w:name="_Toc319312324"/>
      <w:bookmarkStart w:id="1272" w:name="_Toc101000474"/>
      <w:bookmarkStart w:id="1273" w:name="_Toc318208947"/>
      <w:bookmarkStart w:id="1274" w:name="_Toc19735"/>
      <w:bookmarkStart w:id="1275" w:name="_Toc101000516"/>
      <w:bookmarkStart w:id="1276" w:name="_Toc309026465"/>
      <w:bookmarkStart w:id="1277" w:name="_Toc321906035"/>
      <w:bookmarkStart w:id="1278" w:name="_Toc306007215"/>
      <w:bookmarkStart w:id="1279" w:name="_Toc319311199"/>
      <w:bookmarkStart w:id="1280" w:name="_Toc98142476"/>
      <w:r>
        <w:rPr>
          <w:rFonts w:hint="eastAsia" w:ascii="宋体" w:hAnsi="宋体" w:cs="Times New Roman" w:eastAsiaTheme="minorEastAsia"/>
          <w:b/>
          <w:color w:val="auto"/>
          <w:kern w:val="2"/>
          <w:sz w:val="32"/>
          <w:szCs w:val="22"/>
          <w:highlight w:val="none"/>
          <w:lang w:val="en-US" w:eastAsia="zh-CN" w:bidi="ar-SA"/>
        </w:rPr>
        <w:t>19.误期赔偿费</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19.1 </w:t>
      </w:r>
      <w:r>
        <w:rPr>
          <w:rFonts w:hint="eastAsia" w:ascii="宋体" w:hAnsi="宋体" w:eastAsia="宋体" w:cs="宋体"/>
          <w:color w:val="auto"/>
          <w:kern w:val="2"/>
          <w:sz w:val="21"/>
          <w:szCs w:val="20"/>
          <w:highlight w:val="none"/>
          <w:lang w:val="en-US" w:eastAsia="zh-CN" w:bidi="ar-SA"/>
        </w:rPr>
        <w:t>除通用条款第</w:t>
      </w:r>
      <w:r>
        <w:rPr>
          <w:rFonts w:ascii="宋体" w:hAnsi="宋体" w:eastAsia="宋体" w:cs="宋体"/>
          <w:color w:val="auto"/>
          <w:kern w:val="2"/>
          <w:sz w:val="21"/>
          <w:szCs w:val="20"/>
          <w:highlight w:val="none"/>
          <w:lang w:val="en-US" w:eastAsia="zh-CN" w:bidi="ar-SA"/>
        </w:rPr>
        <w:t>21条规定的情况外，如果受托方没有按照合同规定的时间提供服务，委托方应在不影响合同项下的其他补救措施的情况下，从合同价中扣除误期赔偿费。每延误七（7）天的赔偿费按合同总价的百分之零点二（0.2%）计收，直至提供服务为止。误期赔偿费的最高限额为合同价的百分之十（10%）。一旦达到误期赔偿费的最高限额，委托方除了从合同价中扣除最高限额的赔偿外并有权根据通用条款第20条的规定终止合同。</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281" w:name="_Toc15216"/>
      <w:bookmarkStart w:id="1282" w:name="_Toc309026860"/>
      <w:bookmarkStart w:id="1283" w:name="_Toc321906036"/>
      <w:bookmarkStart w:id="1284" w:name="_Toc306007659"/>
      <w:bookmarkStart w:id="1285" w:name="_Toc309026466"/>
      <w:bookmarkStart w:id="1286" w:name="_Toc306006971"/>
      <w:bookmarkStart w:id="1287" w:name="_Toc16589"/>
      <w:bookmarkStart w:id="1288" w:name="_Toc306091589"/>
      <w:bookmarkStart w:id="1289" w:name="_Toc319311374"/>
      <w:bookmarkStart w:id="1290" w:name="_Toc101000517"/>
      <w:bookmarkStart w:id="1291" w:name="_Toc306007216"/>
      <w:bookmarkStart w:id="1292" w:name="_Toc306006753"/>
      <w:bookmarkStart w:id="1293" w:name="_Toc306007440"/>
      <w:bookmarkStart w:id="1294" w:name="_Toc101000475"/>
      <w:bookmarkStart w:id="1295" w:name="_Toc8173"/>
      <w:bookmarkStart w:id="1296" w:name="_Toc319313637"/>
      <w:bookmarkStart w:id="1297" w:name="_Toc318208948"/>
      <w:bookmarkStart w:id="1298" w:name="_Toc4239"/>
      <w:bookmarkStart w:id="1299" w:name="_Toc101002729"/>
      <w:bookmarkStart w:id="1300" w:name="_Toc319320640"/>
      <w:bookmarkStart w:id="1301" w:name="_Toc319312325"/>
      <w:bookmarkStart w:id="1302" w:name="_Toc319311200"/>
      <w:bookmarkStart w:id="1303" w:name="_Toc98142477"/>
      <w:bookmarkStart w:id="1304" w:name="_Toc2190"/>
      <w:r>
        <w:rPr>
          <w:rFonts w:hint="eastAsia" w:ascii="宋体" w:hAnsi="宋体" w:cs="Times New Roman" w:eastAsiaTheme="minorEastAsia"/>
          <w:b/>
          <w:color w:val="auto"/>
          <w:kern w:val="2"/>
          <w:sz w:val="32"/>
          <w:szCs w:val="22"/>
          <w:highlight w:val="none"/>
          <w:lang w:val="en-US" w:eastAsia="zh-CN" w:bidi="ar-SA"/>
        </w:rPr>
        <w:t>20.违约终止合同</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20.1 在委托方对受托方违约而采取的任何补救措施不受影响的情况下，委托方可向受托方发出书面违约通知书，提出终止部分或全部合同：</w:t>
      </w:r>
    </w:p>
    <w:p>
      <w:pPr>
        <w:tabs>
          <w:tab w:val="left" w:pos="1440"/>
        </w:tabs>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）如果受托方未能在合同规定的期限或委托方根据通用条款第</w:t>
      </w:r>
      <w:r>
        <w:rPr>
          <w:rFonts w:ascii="宋体" w:hAnsi="宋体" w:eastAsia="宋体" w:cs="宋体"/>
          <w:color w:val="auto"/>
          <w:highlight w:val="none"/>
        </w:rPr>
        <w:t>18条的规定同意延长的期限内未能履行合同规定的任何义务。</w:t>
      </w:r>
    </w:p>
    <w:p>
      <w:pPr>
        <w:tabs>
          <w:tab w:val="left" w:pos="1440"/>
        </w:tabs>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2）如果委托方认为受托方在本合同的竞争和实施过程中有腐败和欺诈行为。</w:t>
      </w:r>
    </w:p>
    <w:p>
      <w:pPr>
        <w:tabs>
          <w:tab w:val="left" w:pos="1440"/>
        </w:tabs>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为此目的，定义下述条件：</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（i）“</w:t>
      </w:r>
      <w:r>
        <w:rPr>
          <w:rFonts w:hint="eastAsia" w:ascii="宋体" w:hAnsi="宋体" w:eastAsia="宋体" w:cs="宋体"/>
          <w:color w:val="auto"/>
          <w:highlight w:val="none"/>
        </w:rPr>
        <w:t>腐败行为”是指提供、给予、接受或索取任何价值的东西，以影响有关人员在采购过程</w:t>
      </w:r>
      <w:r>
        <w:rPr>
          <w:rFonts w:ascii="宋体" w:hAnsi="宋体" w:eastAsia="宋体" w:cs="宋体"/>
          <w:color w:val="auto"/>
          <w:highlight w:val="none"/>
        </w:rPr>
        <w:t xml:space="preserve">  </w:t>
      </w:r>
      <w:r>
        <w:rPr>
          <w:rFonts w:hint="eastAsia" w:ascii="宋体" w:hAnsi="宋体" w:eastAsia="宋体" w:cs="宋体"/>
          <w:color w:val="auto"/>
          <w:highlight w:val="none"/>
        </w:rPr>
        <w:t>或合同实施过程中的行为在与执行合同有关的任何事情上的行为。</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（ii）“</w:t>
      </w:r>
      <w:r>
        <w:rPr>
          <w:rFonts w:hint="eastAsia" w:ascii="宋体" w:hAnsi="宋体" w:eastAsia="宋体" w:cs="宋体"/>
          <w:color w:val="auto"/>
          <w:highlight w:val="none"/>
        </w:rPr>
        <w:t>欺诈行为”是指掩盖事实真相，以不正当的手段影响合同的执行，从而对委托方造成损害，而且包括与其它方面进行勾结，以图获得不公平的好处，进而剥夺委托方的正当执行合同的权益。</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20.2 如果委托方根据上述第20.1</w:t>
      </w:r>
      <w:r>
        <w:rPr>
          <w:rFonts w:hint="eastAsia" w:ascii="宋体" w:hAnsi="宋体" w:eastAsia="宋体" w:cs="宋体"/>
          <w:color w:val="auto"/>
          <w:kern w:val="2"/>
          <w:sz w:val="21"/>
          <w:szCs w:val="20"/>
          <w:highlight w:val="none"/>
          <w:lang w:val="en-US" w:eastAsia="zh-CN" w:bidi="ar-SA"/>
        </w:rPr>
        <w:t>条的规定，终止了全部或部分合同，委托方可以依其认为适当的条件和方法采取补救措施，由此而引起额外增加的费用，由受托方负责。</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305" w:name="_Toc98142478"/>
      <w:bookmarkStart w:id="1306" w:name="_Toc101002730"/>
      <w:bookmarkStart w:id="1307" w:name="_Toc306006972"/>
      <w:bookmarkStart w:id="1308" w:name="_Toc319311201"/>
      <w:bookmarkStart w:id="1309" w:name="_Toc10820"/>
      <w:bookmarkStart w:id="1310" w:name="_Toc309026861"/>
      <w:bookmarkStart w:id="1311" w:name="_Toc321906037"/>
      <w:bookmarkStart w:id="1312" w:name="_Toc318208949"/>
      <w:bookmarkStart w:id="1313" w:name="_Toc306091590"/>
      <w:bookmarkStart w:id="1314" w:name="_Toc319312326"/>
      <w:bookmarkStart w:id="1315" w:name="_Toc306007441"/>
      <w:bookmarkStart w:id="1316" w:name="_Toc319320641"/>
      <w:bookmarkStart w:id="1317" w:name="_Toc101000476"/>
      <w:bookmarkStart w:id="1318" w:name="_Toc8964"/>
      <w:bookmarkStart w:id="1319" w:name="_Toc319313638"/>
      <w:bookmarkStart w:id="1320" w:name="_Toc101000518"/>
      <w:bookmarkStart w:id="1321" w:name="_Toc306007660"/>
      <w:bookmarkStart w:id="1322" w:name="_Toc306006754"/>
      <w:bookmarkStart w:id="1323" w:name="_Toc11360"/>
      <w:bookmarkStart w:id="1324" w:name="_Toc309026467"/>
      <w:bookmarkStart w:id="1325" w:name="_Toc319311375"/>
      <w:bookmarkStart w:id="1326" w:name="_Toc14086"/>
      <w:bookmarkStart w:id="1327" w:name="_Toc306007217"/>
      <w:bookmarkStart w:id="1328" w:name="_Toc13468"/>
      <w:r>
        <w:rPr>
          <w:rFonts w:hint="eastAsia" w:ascii="宋体" w:hAnsi="宋体" w:cs="Times New Roman" w:eastAsiaTheme="minorEastAsia"/>
          <w:b/>
          <w:color w:val="auto"/>
          <w:kern w:val="2"/>
          <w:sz w:val="32"/>
          <w:szCs w:val="22"/>
          <w:highlight w:val="none"/>
          <w:lang w:val="en-US" w:eastAsia="zh-CN" w:bidi="ar-SA"/>
        </w:rPr>
        <w:t>21.不可抗力</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21.1 本条所述的“不可抗力”系指那些双方无法控制，不可预见的，并且它的发生及其后果是无法避免和无法克服的事件，但不包括双方的违约或疏忽。不可抗力包括但不限于：战争或革命、地震、洪水、防疫限制和禁运。</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21.2 若发生不可抗力使合同执行受阻，则合同执行时间根据受影响的时间相应延长，但合同价格不得调整。</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21.3 受阻方应在不可抗力事件发生后十四（14）</w:t>
      </w:r>
      <w:r>
        <w:rPr>
          <w:rFonts w:hint="eastAsia" w:ascii="宋体" w:hAnsi="宋体" w:eastAsia="宋体" w:cs="宋体"/>
          <w:color w:val="auto"/>
          <w:kern w:val="2"/>
          <w:sz w:val="21"/>
          <w:szCs w:val="20"/>
          <w:highlight w:val="none"/>
          <w:lang w:val="en-US" w:eastAsia="zh-CN" w:bidi="ar-SA"/>
        </w:rPr>
        <w:t>天内，以书面形式将不可抗力的情况和原因通知另一方，并附上由有关当局出具的证明。同样，在情况恢复正常后，尽快通知另一方。不可抗力结束后，受托方应及时履行合同，否则视为违约。</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21.4 任何因不可抗力所导致延误履行合同或不能履行合同，受阻方将不因此而构成违约。</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21.5 受阻方应及时采取一切合理措施以减少或消除不可抗力事件的影响。</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21.6 不论发生何种不可抗力事件，其影响仅限于项目受阻部分，其他未受影响的部分应照常进行。</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21.7 </w:t>
      </w:r>
      <w:r>
        <w:rPr>
          <w:rFonts w:hint="eastAsia" w:ascii="宋体" w:hAnsi="宋体" w:eastAsia="宋体" w:cs="宋体"/>
          <w:color w:val="auto"/>
          <w:kern w:val="2"/>
          <w:sz w:val="21"/>
          <w:szCs w:val="20"/>
          <w:highlight w:val="none"/>
          <w:lang w:val="en-US" w:eastAsia="zh-CN" w:bidi="ar-SA"/>
        </w:rPr>
        <w:t>如因任何一方自身原因延迟履行义务后发生不可抗力的，不能免除责任。</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329" w:name="_Toc306091591"/>
      <w:bookmarkStart w:id="1330" w:name="_Toc319320642"/>
      <w:bookmarkStart w:id="1331" w:name="_Toc321906038"/>
      <w:bookmarkStart w:id="1332" w:name="_Toc306007661"/>
      <w:bookmarkStart w:id="1333" w:name="_Toc306006973"/>
      <w:bookmarkStart w:id="1334" w:name="_Toc319311376"/>
      <w:bookmarkStart w:id="1335" w:name="_Toc319313639"/>
      <w:bookmarkStart w:id="1336" w:name="_Toc19807"/>
      <w:bookmarkStart w:id="1337" w:name="_Toc319312327"/>
      <w:bookmarkStart w:id="1338" w:name="_Toc101002731"/>
      <w:bookmarkStart w:id="1339" w:name="_Toc306007442"/>
      <w:bookmarkStart w:id="1340" w:name="_Toc306007218"/>
      <w:bookmarkStart w:id="1341" w:name="_Toc98142479"/>
      <w:bookmarkStart w:id="1342" w:name="_Toc306006755"/>
      <w:bookmarkStart w:id="1343" w:name="_Toc4350"/>
      <w:bookmarkStart w:id="1344" w:name="_Toc309026862"/>
      <w:bookmarkStart w:id="1345" w:name="_Toc101000519"/>
      <w:bookmarkStart w:id="1346" w:name="_Toc101000477"/>
      <w:bookmarkStart w:id="1347" w:name="_Toc319311202"/>
      <w:bookmarkStart w:id="1348" w:name="_Toc3441"/>
      <w:bookmarkStart w:id="1349" w:name="_Toc318208950"/>
      <w:bookmarkStart w:id="1350" w:name="_Toc309026468"/>
      <w:bookmarkStart w:id="1351" w:name="_Toc28342"/>
      <w:bookmarkStart w:id="1352" w:name="_Toc14524"/>
      <w:r>
        <w:rPr>
          <w:rFonts w:hint="eastAsia" w:ascii="宋体" w:hAnsi="宋体" w:cs="Times New Roman" w:eastAsiaTheme="minorEastAsia"/>
          <w:b/>
          <w:color w:val="auto"/>
          <w:kern w:val="2"/>
          <w:sz w:val="32"/>
          <w:szCs w:val="22"/>
          <w:highlight w:val="none"/>
          <w:lang w:val="en-US" w:eastAsia="zh-CN" w:bidi="ar-SA"/>
        </w:rPr>
        <w:t>22.因破产而终止合同</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22.1 </w:t>
      </w:r>
      <w:r>
        <w:rPr>
          <w:rFonts w:hint="eastAsia" w:ascii="宋体" w:hAnsi="宋体" w:eastAsia="宋体" w:cs="宋体"/>
          <w:color w:val="auto"/>
          <w:kern w:val="2"/>
          <w:sz w:val="21"/>
          <w:szCs w:val="20"/>
          <w:highlight w:val="none"/>
          <w:lang w:val="en-US" w:eastAsia="zh-CN" w:bidi="ar-SA"/>
        </w:rPr>
        <w:t>如果受托方破产或无清偿能力，委托方可在任何时候以书面形式通知受托方，提出终止合同而不给受托方补偿。该终止合同将不损害或影响委托方已经采取或将要采取的任何行动或补救措施的权利。</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353" w:name="_Toc319313640"/>
      <w:bookmarkStart w:id="1354" w:name="_Toc309026469"/>
      <w:bookmarkStart w:id="1355" w:name="_Toc306007219"/>
      <w:bookmarkStart w:id="1356" w:name="_Toc15385"/>
      <w:bookmarkStart w:id="1357" w:name="_Toc98142480"/>
      <w:bookmarkStart w:id="1358" w:name="_Toc101000478"/>
      <w:bookmarkStart w:id="1359" w:name="_Toc319312328"/>
      <w:bookmarkStart w:id="1360" w:name="_Toc318208951"/>
      <w:bookmarkStart w:id="1361" w:name="_Toc306007443"/>
      <w:bookmarkStart w:id="1362" w:name="_Toc309026863"/>
      <w:bookmarkStart w:id="1363" w:name="_Toc319311377"/>
      <w:bookmarkStart w:id="1364" w:name="_Toc7403"/>
      <w:bookmarkStart w:id="1365" w:name="_Toc3408"/>
      <w:bookmarkStart w:id="1366" w:name="_Toc306091592"/>
      <w:bookmarkStart w:id="1367" w:name="_Toc319320643"/>
      <w:bookmarkStart w:id="1368" w:name="_Toc321906039"/>
      <w:bookmarkStart w:id="1369" w:name="_Toc306006974"/>
      <w:bookmarkStart w:id="1370" w:name="_Toc306007662"/>
      <w:bookmarkStart w:id="1371" w:name="_Toc101000520"/>
      <w:bookmarkStart w:id="1372" w:name="_Toc16413"/>
      <w:bookmarkStart w:id="1373" w:name="_Toc101002732"/>
      <w:bookmarkStart w:id="1374" w:name="_Toc7836"/>
      <w:bookmarkStart w:id="1375" w:name="_Toc306006756"/>
      <w:bookmarkStart w:id="1376" w:name="_Toc319311203"/>
      <w:r>
        <w:rPr>
          <w:rFonts w:hint="eastAsia" w:ascii="宋体" w:hAnsi="宋体" w:cs="Times New Roman" w:eastAsiaTheme="minorEastAsia"/>
          <w:b/>
          <w:color w:val="auto"/>
          <w:kern w:val="2"/>
          <w:sz w:val="32"/>
          <w:szCs w:val="22"/>
          <w:highlight w:val="none"/>
          <w:lang w:val="en-US" w:eastAsia="zh-CN" w:bidi="ar-SA"/>
        </w:rPr>
        <w:t>23.因委托方的便利而终止合同</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23.1 委托方可在任何时候出于自身的便利向受托方发出书面通知全部或部分终止合同，终止通知应明确该终止合同是出于委托方的便利，合同终止的程度，以及终止的生效日期。</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23.2 对受托方在收到终止通知后三十（30）</w:t>
      </w:r>
      <w:r>
        <w:rPr>
          <w:rFonts w:hint="eastAsia" w:ascii="宋体" w:hAnsi="宋体" w:eastAsia="宋体" w:cs="宋体"/>
          <w:color w:val="auto"/>
          <w:kern w:val="2"/>
          <w:sz w:val="21"/>
          <w:szCs w:val="20"/>
          <w:highlight w:val="none"/>
          <w:lang w:val="en-US" w:eastAsia="zh-CN" w:bidi="ar-SA"/>
        </w:rPr>
        <w:t>天内委托方应按双方商定的金额向受托方支付部分完成的服务的费用。</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377" w:name="_Toc319311378"/>
      <w:bookmarkStart w:id="1378" w:name="_Toc3121"/>
      <w:bookmarkStart w:id="1379" w:name="_Toc321906040"/>
      <w:bookmarkStart w:id="1380" w:name="_Toc98142481"/>
      <w:bookmarkStart w:id="1381" w:name="_Toc319313641"/>
      <w:bookmarkStart w:id="1382" w:name="_Toc306091593"/>
      <w:bookmarkStart w:id="1383" w:name="_Toc306007220"/>
      <w:bookmarkStart w:id="1384" w:name="_Toc309026470"/>
      <w:bookmarkStart w:id="1385" w:name="_Toc101002733"/>
      <w:bookmarkStart w:id="1386" w:name="_Toc29618"/>
      <w:bookmarkStart w:id="1387" w:name="_Toc306007663"/>
      <w:bookmarkStart w:id="1388" w:name="_Toc318208952"/>
      <w:bookmarkStart w:id="1389" w:name="_Toc309026864"/>
      <w:bookmarkStart w:id="1390" w:name="_Toc12558"/>
      <w:bookmarkStart w:id="1391" w:name="_Toc14446"/>
      <w:bookmarkStart w:id="1392" w:name="_Toc319311204"/>
      <w:bookmarkStart w:id="1393" w:name="_Toc306006975"/>
      <w:bookmarkStart w:id="1394" w:name="_Toc101000521"/>
      <w:bookmarkStart w:id="1395" w:name="_Toc319312329"/>
      <w:bookmarkStart w:id="1396" w:name="_Toc29238"/>
      <w:bookmarkStart w:id="1397" w:name="_Toc319320644"/>
      <w:bookmarkStart w:id="1398" w:name="_Toc101000479"/>
      <w:bookmarkStart w:id="1399" w:name="_Toc306007444"/>
      <w:bookmarkStart w:id="1400" w:name="_Toc306006757"/>
      <w:r>
        <w:rPr>
          <w:rFonts w:hint="eastAsia" w:ascii="宋体" w:hAnsi="宋体" w:cs="Times New Roman" w:eastAsiaTheme="minorEastAsia"/>
          <w:b/>
          <w:color w:val="auto"/>
          <w:kern w:val="2"/>
          <w:sz w:val="32"/>
          <w:szCs w:val="22"/>
          <w:highlight w:val="none"/>
          <w:lang w:val="en-US" w:eastAsia="zh-CN" w:bidi="ar-SA"/>
        </w:rPr>
        <w:t>24.争端的解决</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24.1 委托方、受托方应通过直接的协商，友好解决在执行本合同中所发生的或与本合同有关的一切争端。</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24.2 如从该协商开始后三十（30）</w:t>
      </w:r>
      <w:r>
        <w:rPr>
          <w:rFonts w:hint="eastAsia" w:ascii="宋体" w:hAnsi="宋体" w:eastAsia="宋体" w:cs="宋体"/>
          <w:color w:val="auto"/>
          <w:kern w:val="2"/>
          <w:sz w:val="21"/>
          <w:szCs w:val="20"/>
          <w:highlight w:val="none"/>
          <w:lang w:val="en-US" w:eastAsia="zh-CN" w:bidi="ar-SA"/>
        </w:rPr>
        <w:t>天内委托方和受托方仍不能友好解决合同争端，合同双方的任一方可向有管辖权的法院提出诉讼。</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24.3 </w:t>
      </w:r>
      <w:r>
        <w:rPr>
          <w:rFonts w:hint="eastAsia" w:ascii="宋体" w:hAnsi="宋体" w:eastAsia="宋体" w:cs="宋体"/>
          <w:color w:val="auto"/>
          <w:kern w:val="2"/>
          <w:sz w:val="21"/>
          <w:szCs w:val="20"/>
          <w:highlight w:val="none"/>
          <w:lang w:val="en-US" w:eastAsia="zh-CN" w:bidi="ar-SA"/>
        </w:rPr>
        <w:t>诉讼发生的费用除法院另有判决外均应由败诉方负担。</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24.4 </w:t>
      </w:r>
      <w:r>
        <w:rPr>
          <w:rFonts w:hint="eastAsia" w:ascii="宋体" w:hAnsi="宋体" w:eastAsia="宋体" w:cs="宋体"/>
          <w:color w:val="auto"/>
          <w:kern w:val="2"/>
          <w:sz w:val="21"/>
          <w:szCs w:val="20"/>
          <w:highlight w:val="none"/>
          <w:lang w:val="en-US" w:eastAsia="zh-CN" w:bidi="ar-SA"/>
        </w:rPr>
        <w:t>法院的审理不影响本合同的履行，除非法院已作出明确的判决或裁定。</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401" w:name="_Toc306007445"/>
      <w:bookmarkStart w:id="1402" w:name="_Toc101000522"/>
      <w:bookmarkStart w:id="1403" w:name="_Toc321906041"/>
      <w:bookmarkStart w:id="1404" w:name="_Toc306007221"/>
      <w:bookmarkStart w:id="1405" w:name="_Toc319312330"/>
      <w:bookmarkStart w:id="1406" w:name="_Toc306006976"/>
      <w:bookmarkStart w:id="1407" w:name="_Toc258"/>
      <w:bookmarkStart w:id="1408" w:name="_Toc306091594"/>
      <w:bookmarkStart w:id="1409" w:name="_Toc306006758"/>
      <w:bookmarkStart w:id="1410" w:name="_Toc306007664"/>
      <w:bookmarkStart w:id="1411" w:name="_Toc2720"/>
      <w:bookmarkStart w:id="1412" w:name="_Toc1803"/>
      <w:bookmarkStart w:id="1413" w:name="_Toc101002734"/>
      <w:bookmarkStart w:id="1414" w:name="_Toc101000480"/>
      <w:bookmarkStart w:id="1415" w:name="_Toc98142482"/>
      <w:bookmarkStart w:id="1416" w:name="_Toc319313642"/>
      <w:bookmarkStart w:id="1417" w:name="_Toc9283"/>
      <w:bookmarkStart w:id="1418" w:name="_Toc319320645"/>
      <w:bookmarkStart w:id="1419" w:name="_Toc111"/>
      <w:bookmarkStart w:id="1420" w:name="_Toc319311205"/>
      <w:bookmarkStart w:id="1421" w:name="_Toc309026865"/>
      <w:bookmarkStart w:id="1422" w:name="_Toc319311379"/>
      <w:bookmarkStart w:id="1423" w:name="_Toc318208953"/>
      <w:bookmarkStart w:id="1424" w:name="_Toc309026471"/>
      <w:r>
        <w:rPr>
          <w:rFonts w:hint="eastAsia" w:ascii="宋体" w:hAnsi="宋体" w:cs="Times New Roman" w:eastAsiaTheme="minorEastAsia"/>
          <w:b/>
          <w:color w:val="auto"/>
          <w:kern w:val="2"/>
          <w:sz w:val="32"/>
          <w:szCs w:val="22"/>
          <w:highlight w:val="none"/>
          <w:lang w:val="en-US" w:eastAsia="zh-CN" w:bidi="ar-SA"/>
        </w:rPr>
        <w:t>25.合同语言</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25.1 本合同应用专用条款中规定的语言书写，除通用条款第26条的规定之外，用规定语言书写的合同版本应为主导版本。双方交换的与合同有关的信件和其他文件应用主导语言书写。</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425" w:name="_Toc319311380"/>
      <w:bookmarkStart w:id="1426" w:name="_Toc319311206"/>
      <w:bookmarkStart w:id="1427" w:name="_Toc18236"/>
      <w:bookmarkStart w:id="1428" w:name="_Toc318208954"/>
      <w:bookmarkStart w:id="1429" w:name="_Toc31360"/>
      <w:bookmarkStart w:id="1430" w:name="_Toc321906042"/>
      <w:bookmarkStart w:id="1431" w:name="_Toc309026866"/>
      <w:bookmarkStart w:id="1432" w:name="_Toc319312331"/>
      <w:bookmarkStart w:id="1433" w:name="_Toc101000481"/>
      <w:bookmarkStart w:id="1434" w:name="_Toc9914"/>
      <w:bookmarkStart w:id="1435" w:name="_Toc101002735"/>
      <w:bookmarkStart w:id="1436" w:name="_Toc306007665"/>
      <w:bookmarkStart w:id="1437" w:name="_Toc319320646"/>
      <w:bookmarkStart w:id="1438" w:name="_Toc306007446"/>
      <w:bookmarkStart w:id="1439" w:name="_Toc306006977"/>
      <w:bookmarkStart w:id="1440" w:name="_Toc98142483"/>
      <w:bookmarkStart w:id="1441" w:name="_Toc306091595"/>
      <w:bookmarkStart w:id="1442" w:name="_Toc309026472"/>
      <w:bookmarkStart w:id="1443" w:name="_Toc306007222"/>
      <w:bookmarkStart w:id="1444" w:name="_Toc31461"/>
      <w:bookmarkStart w:id="1445" w:name="_Toc14568"/>
      <w:bookmarkStart w:id="1446" w:name="_Toc306006759"/>
      <w:bookmarkStart w:id="1447" w:name="_Toc101000523"/>
      <w:bookmarkStart w:id="1448" w:name="_Toc319313643"/>
      <w:r>
        <w:rPr>
          <w:rFonts w:hint="eastAsia" w:ascii="宋体" w:hAnsi="宋体" w:cs="Times New Roman" w:eastAsiaTheme="minorEastAsia"/>
          <w:b/>
          <w:color w:val="auto"/>
          <w:kern w:val="2"/>
          <w:sz w:val="32"/>
          <w:szCs w:val="22"/>
          <w:highlight w:val="none"/>
          <w:lang w:val="en-US" w:eastAsia="zh-CN" w:bidi="ar-SA"/>
        </w:rPr>
        <w:t>26.适用法律</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26.1 </w:t>
      </w:r>
      <w:r>
        <w:rPr>
          <w:rFonts w:hint="eastAsia" w:ascii="宋体" w:hAnsi="宋体" w:eastAsia="宋体" w:cs="宋体"/>
          <w:color w:val="auto"/>
          <w:kern w:val="2"/>
          <w:sz w:val="21"/>
          <w:szCs w:val="20"/>
          <w:highlight w:val="none"/>
          <w:lang w:val="en-US" w:eastAsia="zh-CN" w:bidi="ar-SA"/>
        </w:rPr>
        <w:t>本合同适用中华人民共和国现行法律、法规及最高人民法院的司法解释。</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449" w:name="_Toc319311207"/>
      <w:bookmarkStart w:id="1450" w:name="_Toc318208955"/>
      <w:bookmarkStart w:id="1451" w:name="_Toc11606"/>
      <w:bookmarkStart w:id="1452" w:name="_Toc319320647"/>
      <w:bookmarkStart w:id="1453" w:name="_Toc309026867"/>
      <w:bookmarkStart w:id="1454" w:name="_Toc101000482"/>
      <w:bookmarkStart w:id="1455" w:name="_Toc306006978"/>
      <w:bookmarkStart w:id="1456" w:name="_Toc319312332"/>
      <w:bookmarkStart w:id="1457" w:name="_Toc321906043"/>
      <w:bookmarkStart w:id="1458" w:name="_Toc101002736"/>
      <w:bookmarkStart w:id="1459" w:name="_Toc319313644"/>
      <w:bookmarkStart w:id="1460" w:name="_Toc306007447"/>
      <w:bookmarkStart w:id="1461" w:name="_Toc306007223"/>
      <w:bookmarkStart w:id="1462" w:name="_Toc306006760"/>
      <w:bookmarkStart w:id="1463" w:name="_Toc306091596"/>
      <w:bookmarkStart w:id="1464" w:name="_Toc319311381"/>
      <w:bookmarkStart w:id="1465" w:name="_Toc28614"/>
      <w:bookmarkStart w:id="1466" w:name="_Toc13412"/>
      <w:bookmarkStart w:id="1467" w:name="_Toc306007666"/>
      <w:bookmarkStart w:id="1468" w:name="_Toc101000524"/>
      <w:bookmarkStart w:id="1469" w:name="_Toc26037"/>
      <w:bookmarkStart w:id="1470" w:name="_Toc98142484"/>
      <w:bookmarkStart w:id="1471" w:name="_Toc2627"/>
      <w:bookmarkStart w:id="1472" w:name="_Toc309026473"/>
      <w:r>
        <w:rPr>
          <w:rFonts w:hint="eastAsia" w:ascii="宋体" w:hAnsi="宋体" w:cs="Times New Roman" w:eastAsiaTheme="minorEastAsia"/>
          <w:b/>
          <w:color w:val="auto"/>
          <w:kern w:val="2"/>
          <w:sz w:val="32"/>
          <w:szCs w:val="22"/>
          <w:highlight w:val="none"/>
          <w:lang w:val="en-US" w:eastAsia="zh-CN" w:bidi="ar-SA"/>
        </w:rPr>
        <w:t>27.通知</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27.1 </w:t>
      </w:r>
      <w:r>
        <w:rPr>
          <w:rFonts w:hint="eastAsia" w:ascii="宋体" w:hAnsi="宋体" w:eastAsia="宋体" w:cs="宋体"/>
          <w:color w:val="auto"/>
          <w:kern w:val="2"/>
          <w:sz w:val="21"/>
          <w:szCs w:val="20"/>
          <w:highlight w:val="none"/>
          <w:lang w:val="en-US" w:eastAsia="zh-CN" w:bidi="ar-SA"/>
        </w:rPr>
        <w:t>本合同一方给对方的通知应用书面形式或电报、电传或传真送到合同中规定的对方的地址，电报、电传或传真要经书面确认。</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27.2 </w:t>
      </w:r>
      <w:r>
        <w:rPr>
          <w:rFonts w:hint="eastAsia" w:ascii="宋体" w:hAnsi="宋体" w:eastAsia="宋体" w:cs="宋体"/>
          <w:color w:val="auto"/>
          <w:kern w:val="2"/>
          <w:sz w:val="21"/>
          <w:szCs w:val="20"/>
          <w:highlight w:val="none"/>
          <w:lang w:val="en-US" w:eastAsia="zh-CN" w:bidi="ar-SA"/>
        </w:rPr>
        <w:t>通知以送到日期或通知书的生效日期为生效日期，两者中以晚的一个日期为准。</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473" w:name="_Toc306007667"/>
      <w:bookmarkStart w:id="1474" w:name="_Toc28153"/>
      <w:bookmarkStart w:id="1475" w:name="_Toc309026474"/>
      <w:bookmarkStart w:id="1476" w:name="_Toc319311382"/>
      <w:bookmarkStart w:id="1477" w:name="_Toc318208956"/>
      <w:bookmarkStart w:id="1478" w:name="_Toc309026868"/>
      <w:bookmarkStart w:id="1479" w:name="_Toc319311208"/>
      <w:bookmarkStart w:id="1480" w:name="_Toc306007448"/>
      <w:bookmarkStart w:id="1481" w:name="_Toc319313645"/>
      <w:bookmarkStart w:id="1482" w:name="_Toc306007224"/>
      <w:bookmarkStart w:id="1483" w:name="_Toc319312333"/>
      <w:bookmarkStart w:id="1484" w:name="_Toc4139"/>
      <w:bookmarkStart w:id="1485" w:name="_Toc306006979"/>
      <w:bookmarkStart w:id="1486" w:name="_Toc321906044"/>
      <w:bookmarkStart w:id="1487" w:name="_Toc101000483"/>
      <w:bookmarkStart w:id="1488" w:name="_Toc101000525"/>
      <w:bookmarkStart w:id="1489" w:name="_Toc101002737"/>
      <w:bookmarkStart w:id="1490" w:name="_Toc98142485"/>
      <w:bookmarkStart w:id="1491" w:name="_Toc24909"/>
      <w:bookmarkStart w:id="1492" w:name="_Toc319320648"/>
      <w:bookmarkStart w:id="1493" w:name="_Toc306006761"/>
      <w:bookmarkStart w:id="1494" w:name="_Toc306091597"/>
      <w:bookmarkStart w:id="1495" w:name="_Toc15593"/>
      <w:bookmarkStart w:id="1496" w:name="_Toc17374"/>
      <w:r>
        <w:rPr>
          <w:rFonts w:hint="eastAsia" w:ascii="宋体" w:hAnsi="宋体" w:cs="Times New Roman" w:eastAsiaTheme="minorEastAsia"/>
          <w:b/>
          <w:color w:val="auto"/>
          <w:kern w:val="2"/>
          <w:sz w:val="32"/>
          <w:szCs w:val="22"/>
          <w:highlight w:val="none"/>
          <w:lang w:val="en-US" w:eastAsia="zh-CN" w:bidi="ar-SA"/>
        </w:rPr>
        <w:t>28.税项</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28.1 根据中华人民共和国现行税法，由中国各级政府向受托方及其人员征收的与执行本合同有关的一切税费均由受托方负担，并已包含在合同价中。</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28.2 所有在中国境外和香港、澳门及台湾地区发生的与执行本合同有关的一切税费均由受托方负责。</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28.3 根据中华人民共和国现行税法，由中国政府向委托方征收的一切税费均由委托方负担。</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497" w:name="_Toc306006980"/>
      <w:bookmarkStart w:id="1498" w:name="_Toc306007225"/>
      <w:bookmarkStart w:id="1499" w:name="_Toc319313646"/>
      <w:bookmarkStart w:id="1500" w:name="_Toc101000484"/>
      <w:bookmarkStart w:id="1501" w:name="_Toc318208957"/>
      <w:bookmarkStart w:id="1502" w:name="_Toc321906045"/>
      <w:bookmarkStart w:id="1503" w:name="_Toc319311209"/>
      <w:bookmarkStart w:id="1504" w:name="_Toc309026475"/>
      <w:bookmarkStart w:id="1505" w:name="_Toc1559"/>
      <w:bookmarkStart w:id="1506" w:name="_Toc101002738"/>
      <w:bookmarkStart w:id="1507" w:name="_Toc306007668"/>
      <w:bookmarkStart w:id="1508" w:name="_Toc101000526"/>
      <w:bookmarkStart w:id="1509" w:name="_Toc306006762"/>
      <w:bookmarkStart w:id="1510" w:name="_Toc309026869"/>
      <w:bookmarkStart w:id="1511" w:name="_Toc98142486"/>
      <w:bookmarkStart w:id="1512" w:name="_Toc319312334"/>
      <w:bookmarkStart w:id="1513" w:name="_Toc306007449"/>
      <w:bookmarkStart w:id="1514" w:name="_Toc319320649"/>
      <w:bookmarkStart w:id="1515" w:name="_Toc17384"/>
      <w:bookmarkStart w:id="1516" w:name="_Toc4924"/>
      <w:bookmarkStart w:id="1517" w:name="_Toc306091598"/>
      <w:bookmarkStart w:id="1518" w:name="_Toc20460"/>
      <w:bookmarkStart w:id="1519" w:name="_Toc19925"/>
      <w:bookmarkStart w:id="1520" w:name="_Toc319311383"/>
      <w:r>
        <w:rPr>
          <w:rFonts w:hint="eastAsia" w:ascii="宋体" w:hAnsi="宋体" w:cs="Times New Roman" w:eastAsiaTheme="minorEastAsia"/>
          <w:b/>
          <w:color w:val="auto"/>
          <w:kern w:val="2"/>
          <w:sz w:val="32"/>
          <w:szCs w:val="22"/>
          <w:highlight w:val="none"/>
          <w:lang w:val="en-US" w:eastAsia="zh-CN" w:bidi="ar-SA"/>
        </w:rPr>
        <w:t>29.合同生效及其他</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29.1 </w:t>
      </w:r>
      <w:r>
        <w:rPr>
          <w:rFonts w:hint="eastAsia" w:ascii="宋体" w:hAnsi="宋体" w:eastAsia="宋体" w:cs="宋体"/>
          <w:color w:val="auto"/>
          <w:kern w:val="2"/>
          <w:sz w:val="21"/>
          <w:szCs w:val="20"/>
          <w:highlight w:val="none"/>
          <w:lang w:val="en-US" w:eastAsia="zh-CN" w:bidi="ar-SA"/>
        </w:rPr>
        <w:t>本合同生效条件：</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合同双方法定代表人或其委托代理人签字，合同签字日期以最后一个签字日为准；</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满足上述条件后，本合同生效。</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29.2 </w:t>
      </w:r>
      <w:r>
        <w:rPr>
          <w:rFonts w:hint="eastAsia" w:ascii="宋体" w:hAnsi="宋体" w:eastAsia="宋体" w:cs="宋体"/>
          <w:color w:val="auto"/>
          <w:kern w:val="2"/>
          <w:sz w:val="21"/>
          <w:szCs w:val="20"/>
          <w:highlight w:val="none"/>
          <w:lang w:val="en-US" w:eastAsia="zh-CN" w:bidi="ar-SA"/>
        </w:rPr>
        <w:t>合同生效期</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合同生效日为通用条款第</w:t>
      </w:r>
      <w:r>
        <w:rPr>
          <w:rFonts w:ascii="宋体" w:hAnsi="宋体" w:eastAsia="宋体" w:cs="宋体"/>
          <w:color w:val="auto"/>
          <w:kern w:val="2"/>
          <w:sz w:val="21"/>
          <w:szCs w:val="20"/>
          <w:highlight w:val="none"/>
          <w:lang w:val="en-US" w:eastAsia="zh-CN" w:bidi="ar-SA"/>
        </w:rPr>
        <w:t>29.1条所述条件中迟发生的日期。</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29.3 </w:t>
      </w:r>
      <w:r>
        <w:rPr>
          <w:rFonts w:hint="eastAsia" w:ascii="宋体" w:hAnsi="宋体" w:eastAsia="宋体" w:cs="宋体"/>
          <w:color w:val="auto"/>
          <w:kern w:val="2"/>
          <w:sz w:val="21"/>
          <w:szCs w:val="20"/>
          <w:highlight w:val="none"/>
          <w:lang w:val="en-US" w:eastAsia="zh-CN" w:bidi="ar-SA"/>
        </w:rPr>
        <w:t>合同签约地</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本合同签约地为中华人民共和国东莞市。</w:t>
      </w:r>
    </w:p>
    <w:p>
      <w:pPr>
        <w:spacing w:line="360" w:lineRule="auto"/>
        <w:ind w:left="840" w:hanging="840"/>
        <w:rPr>
          <w:rFonts w:ascii="宋体" w:hAnsi="宋体" w:eastAsia="宋体" w:cs="宋体"/>
          <w:color w:val="auto"/>
          <w:highlight w:val="none"/>
        </w:rPr>
      </w:pPr>
    </w:p>
    <w:p>
      <w:pPr>
        <w:snapToGrid w:val="0"/>
        <w:spacing w:line="360" w:lineRule="auto"/>
        <w:ind w:left="816" w:hanging="816"/>
        <w:jc w:val="center"/>
        <w:rPr>
          <w:rFonts w:ascii="宋体" w:hAnsi="宋体" w:eastAsia="宋体" w:cs="宋体"/>
          <w:b/>
          <w:color w:val="auto"/>
          <w:sz w:val="36"/>
          <w:highlight w:val="none"/>
        </w:rPr>
      </w:pPr>
      <w:r>
        <w:rPr>
          <w:rFonts w:ascii="宋体" w:hAnsi="宋体" w:eastAsia="宋体" w:cs="宋体"/>
          <w:b/>
          <w:color w:val="auto"/>
          <w:highlight w:val="none"/>
        </w:rPr>
        <w:br w:type="page"/>
      </w:r>
    </w:p>
    <w:p>
      <w:pPr>
        <w:snapToGrid w:val="0"/>
        <w:spacing w:line="360" w:lineRule="auto"/>
        <w:ind w:left="816" w:hanging="816"/>
        <w:jc w:val="center"/>
        <w:rPr>
          <w:rFonts w:ascii="宋体" w:hAnsi="宋体" w:eastAsia="宋体" w:cs="宋体"/>
          <w:b/>
          <w:color w:val="auto"/>
          <w:sz w:val="36"/>
          <w:highlight w:val="none"/>
        </w:rPr>
      </w:pPr>
    </w:p>
    <w:p>
      <w:pPr>
        <w:snapToGrid w:val="0"/>
        <w:spacing w:line="360" w:lineRule="auto"/>
        <w:ind w:left="816" w:hanging="816"/>
        <w:jc w:val="center"/>
        <w:rPr>
          <w:rFonts w:ascii="宋体" w:hAnsi="宋体" w:eastAsia="宋体" w:cs="宋体"/>
          <w:b/>
          <w:color w:val="auto"/>
          <w:sz w:val="36"/>
          <w:highlight w:val="none"/>
        </w:rPr>
      </w:pPr>
    </w:p>
    <w:p>
      <w:pPr>
        <w:snapToGrid w:val="0"/>
        <w:spacing w:line="360" w:lineRule="auto"/>
        <w:ind w:left="816" w:hanging="816"/>
        <w:jc w:val="center"/>
        <w:rPr>
          <w:rFonts w:ascii="宋体" w:hAnsi="宋体" w:eastAsia="宋体" w:cs="宋体"/>
          <w:b/>
          <w:color w:val="auto"/>
          <w:sz w:val="36"/>
          <w:highlight w:val="none"/>
        </w:rPr>
      </w:pPr>
    </w:p>
    <w:p>
      <w:pPr>
        <w:snapToGrid w:val="0"/>
        <w:spacing w:line="360" w:lineRule="auto"/>
        <w:ind w:left="816" w:hanging="816"/>
        <w:jc w:val="center"/>
        <w:rPr>
          <w:rFonts w:ascii="宋体" w:hAnsi="宋体" w:eastAsia="宋体" w:cs="宋体"/>
          <w:b/>
          <w:color w:val="auto"/>
          <w:sz w:val="36"/>
          <w:highlight w:val="none"/>
        </w:rPr>
      </w:pPr>
    </w:p>
    <w:p>
      <w:pPr>
        <w:snapToGrid w:val="0"/>
        <w:spacing w:line="360" w:lineRule="auto"/>
        <w:ind w:left="816" w:hanging="816"/>
        <w:jc w:val="center"/>
        <w:rPr>
          <w:rFonts w:ascii="宋体" w:hAnsi="宋体" w:eastAsia="宋体" w:cs="宋体"/>
          <w:b/>
          <w:color w:val="auto"/>
          <w:sz w:val="36"/>
          <w:highlight w:val="none"/>
        </w:rPr>
      </w:pPr>
    </w:p>
    <w:p>
      <w:pPr>
        <w:snapToGrid w:val="0"/>
        <w:spacing w:line="360" w:lineRule="auto"/>
        <w:ind w:left="816" w:hanging="816"/>
        <w:jc w:val="center"/>
        <w:rPr>
          <w:rFonts w:ascii="宋体" w:hAnsi="宋体" w:eastAsia="宋体" w:cs="宋体"/>
          <w:b/>
          <w:color w:val="auto"/>
          <w:sz w:val="36"/>
          <w:highlight w:val="none"/>
        </w:rPr>
      </w:pPr>
    </w:p>
    <w:p>
      <w:pPr>
        <w:snapToGrid w:val="0"/>
        <w:spacing w:line="360" w:lineRule="auto"/>
        <w:ind w:left="816" w:hanging="816"/>
        <w:jc w:val="center"/>
        <w:rPr>
          <w:rFonts w:ascii="宋体" w:hAnsi="宋体" w:eastAsia="宋体" w:cs="宋体"/>
          <w:b/>
          <w:color w:val="auto"/>
          <w:sz w:val="36"/>
          <w:highlight w:val="none"/>
        </w:rPr>
      </w:pPr>
    </w:p>
    <w:p>
      <w:pPr>
        <w:keepNext/>
        <w:keepLines/>
        <w:widowControl w:val="0"/>
        <w:bidi w:val="0"/>
        <w:spacing w:before="260" w:after="260" w:line="416" w:lineRule="auto"/>
        <w:jc w:val="center"/>
        <w:outlineLvl w:val="2"/>
        <w:rPr>
          <w:rFonts w:ascii="Arial" w:hAnsi="Arial" w:eastAsia="黑体" w:cs="Times New Roman"/>
          <w:b/>
          <w:bCs/>
          <w:color w:val="auto"/>
          <w:kern w:val="2"/>
          <w:sz w:val="32"/>
          <w:szCs w:val="32"/>
          <w:highlight w:val="none"/>
          <w:lang w:val="en-US" w:eastAsia="zh-CN" w:bidi="ar-SA"/>
        </w:rPr>
      </w:pPr>
      <w:bookmarkStart w:id="1521" w:name="_Hlt509131479"/>
      <w:bookmarkEnd w:id="1521"/>
      <w:bookmarkStart w:id="1522" w:name="_Toc321906046"/>
      <w:bookmarkStart w:id="1523" w:name="_Toc319311384"/>
      <w:bookmarkStart w:id="1524" w:name="_Toc318208958"/>
      <w:bookmarkStart w:id="1525" w:name="_Toc240949688"/>
      <w:bookmarkStart w:id="1526" w:name="_Toc11979"/>
      <w:bookmarkStart w:id="1527" w:name="_Toc319313647"/>
      <w:bookmarkStart w:id="1528" w:name="_Toc306007669"/>
      <w:bookmarkStart w:id="1529" w:name="_Toc306005078"/>
      <w:bookmarkStart w:id="1530" w:name="_Toc306006981"/>
      <w:bookmarkStart w:id="1531" w:name="_Toc305942089"/>
      <w:bookmarkStart w:id="1532" w:name="_Toc306006284"/>
      <w:bookmarkStart w:id="1533" w:name="_Toc319311210"/>
      <w:bookmarkStart w:id="1534" w:name="_Toc306091599"/>
      <w:bookmarkStart w:id="1535" w:name="_Toc319320650"/>
      <w:bookmarkStart w:id="1536" w:name="_Toc309026476"/>
      <w:bookmarkStart w:id="1537" w:name="_Toc20083"/>
      <w:bookmarkStart w:id="1538" w:name="_Toc306004642"/>
      <w:bookmarkStart w:id="1539" w:name="_Toc306006763"/>
      <w:bookmarkStart w:id="1540" w:name="_Toc319312335"/>
      <w:bookmarkStart w:id="1541" w:name="_Toc484946948"/>
      <w:bookmarkStart w:id="1542" w:name="_Toc22023"/>
      <w:bookmarkStart w:id="1543" w:name="_Toc306007450"/>
      <w:bookmarkStart w:id="1544" w:name="_Toc98142487"/>
      <w:bookmarkStart w:id="1545" w:name="_Toc32457"/>
      <w:bookmarkStart w:id="1546" w:name="_Toc309026870"/>
      <w:bookmarkStart w:id="1547" w:name="_Toc306007226"/>
      <w:bookmarkStart w:id="1548" w:name="_Toc306091415"/>
      <w:bookmarkStart w:id="1549" w:name="_Toc23442"/>
      <w:bookmarkStart w:id="1550" w:name="_Toc19709"/>
      <w:r>
        <w:rPr>
          <w:rFonts w:hint="eastAsia" w:ascii="Arial" w:hAnsi="Arial" w:eastAsia="黑体" w:cs="Times New Roman"/>
          <w:b/>
          <w:bCs/>
          <w:color w:val="auto"/>
          <w:kern w:val="2"/>
          <w:sz w:val="32"/>
          <w:szCs w:val="32"/>
          <w:highlight w:val="none"/>
          <w:lang w:val="en-US" w:eastAsia="zh-CN" w:bidi="ar-SA"/>
        </w:rPr>
        <w:t>（二）专用合同条款</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pPr>
        <w:widowControl w:val="0"/>
        <w:spacing w:before="0" w:beforeLines="0" w:line="360" w:lineRule="exact"/>
        <w:ind w:left="0" w:firstLine="723" w:firstLineChars="200"/>
        <w:jc w:val="both"/>
        <w:rPr>
          <w:rFonts w:ascii="宋体" w:hAnsi="宋体" w:eastAsia="宋体" w:cs="宋体"/>
          <w:b/>
          <w:color w:val="auto"/>
          <w:kern w:val="2"/>
          <w:sz w:val="36"/>
          <w:szCs w:val="20"/>
          <w:highlight w:val="none"/>
          <w:lang w:val="en-US" w:eastAsia="zh-CN" w:bidi="ar-SA"/>
        </w:rPr>
      </w:pPr>
      <w:r>
        <w:rPr>
          <w:rFonts w:ascii="宋体" w:hAnsi="宋体" w:eastAsia="宋体" w:cs="宋体"/>
          <w:b/>
          <w:color w:val="auto"/>
          <w:kern w:val="2"/>
          <w:sz w:val="36"/>
          <w:szCs w:val="20"/>
          <w:highlight w:val="none"/>
          <w:lang w:val="en-US" w:eastAsia="zh-CN" w:bidi="ar-SA"/>
        </w:rPr>
        <w:br w:type="page"/>
      </w:r>
      <w:bookmarkStart w:id="1551" w:name="_Hlt10571389"/>
      <w:bookmarkEnd w:id="1551"/>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下列专用合同条款是对通用合同条款的补充和修订。如果专用合同条款与通用合同条款有矛盾的话，下述规定将取代通用合同条款的规定。相应的通用合同条款和新的专用合同条款的编号在括号中说明。</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552" w:name="_Toc319312336"/>
      <w:bookmarkStart w:id="1553" w:name="_Toc309026477"/>
      <w:bookmarkStart w:id="1554" w:name="_Toc319313648"/>
      <w:bookmarkStart w:id="1555" w:name="_Toc306091600"/>
      <w:bookmarkStart w:id="1556" w:name="_Toc101002762"/>
      <w:bookmarkStart w:id="1557" w:name="_Toc309026871"/>
      <w:bookmarkStart w:id="1558" w:name="_Toc32604"/>
      <w:bookmarkStart w:id="1559" w:name="_Toc9354"/>
      <w:bookmarkStart w:id="1560" w:name="_Toc306006982"/>
      <w:bookmarkStart w:id="1561" w:name="_Toc306006764"/>
      <w:bookmarkStart w:id="1562" w:name="_Toc306007670"/>
      <w:bookmarkStart w:id="1563" w:name="_Toc306007451"/>
      <w:bookmarkStart w:id="1564" w:name="_Toc318208959"/>
      <w:bookmarkStart w:id="1565" w:name="_Toc20012"/>
      <w:bookmarkStart w:id="1566" w:name="_Toc321906047"/>
      <w:bookmarkStart w:id="1567" w:name="_Toc319320651"/>
      <w:bookmarkStart w:id="1568" w:name="_Toc306007227"/>
      <w:bookmarkStart w:id="1569" w:name="_Toc16437"/>
      <w:bookmarkStart w:id="1570" w:name="_Toc319311385"/>
      <w:bookmarkStart w:id="1571" w:name="_Toc319311211"/>
      <w:bookmarkStart w:id="1572" w:name="_Toc27390746"/>
      <w:bookmarkStart w:id="1573" w:name="_Toc98142488"/>
      <w:bookmarkStart w:id="1574" w:name="_Toc22330"/>
      <w:r>
        <w:rPr>
          <w:rFonts w:hint="eastAsia" w:ascii="宋体" w:hAnsi="宋体" w:cs="Times New Roman" w:eastAsiaTheme="minorEastAsia"/>
          <w:b/>
          <w:color w:val="auto"/>
          <w:kern w:val="2"/>
          <w:sz w:val="32"/>
          <w:szCs w:val="22"/>
          <w:highlight w:val="none"/>
          <w:lang w:val="en-US" w:eastAsia="zh-CN" w:bidi="ar-SA"/>
        </w:rPr>
        <w:t>1.定义（通</w:t>
      </w:r>
      <w:bookmarkStart w:id="1575" w:name="_Hlt10531900"/>
      <w:bookmarkEnd w:id="1575"/>
      <w:r>
        <w:rPr>
          <w:rFonts w:hint="eastAsia" w:ascii="宋体" w:hAnsi="宋体" w:cs="Times New Roman" w:eastAsiaTheme="minorEastAsia"/>
          <w:b/>
          <w:color w:val="auto"/>
          <w:kern w:val="2"/>
          <w:sz w:val="32"/>
          <w:szCs w:val="22"/>
          <w:highlight w:val="none"/>
          <w:lang w:val="en-US" w:eastAsia="zh-CN" w:bidi="ar-SA"/>
        </w:rPr>
        <w:t>用条款第</w:t>
      </w:r>
      <w:r>
        <w:rPr>
          <w:rFonts w:ascii="宋体" w:hAnsi="宋体" w:cs="Times New Roman" w:eastAsiaTheme="minorEastAsia"/>
          <w:b/>
          <w:color w:val="auto"/>
          <w:kern w:val="2"/>
          <w:sz w:val="32"/>
          <w:szCs w:val="22"/>
          <w:highlight w:val="none"/>
          <w:lang w:val="en-US" w:eastAsia="zh-CN" w:bidi="ar-SA"/>
        </w:rPr>
        <w:t>1</w:t>
      </w:r>
      <w:r>
        <w:rPr>
          <w:rFonts w:hint="eastAsia" w:ascii="宋体" w:hAnsi="宋体" w:cs="Times New Roman" w:eastAsiaTheme="minorEastAsia"/>
          <w:b/>
          <w:color w:val="auto"/>
          <w:kern w:val="2"/>
          <w:sz w:val="32"/>
          <w:szCs w:val="22"/>
          <w:highlight w:val="none"/>
          <w:lang w:val="en-US" w:eastAsia="zh-CN" w:bidi="ar-SA"/>
        </w:rPr>
        <w:t>条）</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通用条款第</w:t>
      </w:r>
      <w:r>
        <w:rPr>
          <w:rFonts w:ascii="宋体" w:hAnsi="宋体" w:eastAsia="宋体" w:cs="宋体"/>
          <w:color w:val="auto"/>
          <w:kern w:val="2"/>
          <w:sz w:val="21"/>
          <w:szCs w:val="20"/>
          <w:highlight w:val="none"/>
          <w:lang w:val="en-US" w:eastAsia="zh-CN" w:bidi="ar-SA"/>
        </w:rPr>
        <w:t>1条中的（11）、（12）、（15）、（16）、（17）被取代为：</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w:t>
      </w:r>
      <w:r>
        <w:rPr>
          <w:rFonts w:ascii="宋体" w:hAnsi="宋体" w:eastAsia="宋体" w:cs="宋体"/>
          <w:color w:val="auto"/>
          <w:kern w:val="2"/>
          <w:sz w:val="21"/>
          <w:szCs w:val="20"/>
          <w:highlight w:val="none"/>
          <w:lang w:val="en-US" w:eastAsia="zh-CN" w:bidi="ar-SA"/>
        </w:rPr>
        <w:t>11）“委托方”为</w:t>
      </w:r>
      <w:r>
        <w:rPr>
          <w:rFonts w:hint="eastAsia" w:ascii="宋体" w:hAnsi="宋体" w:eastAsia="宋体" w:cs="宋体"/>
          <w:color w:val="auto"/>
          <w:kern w:val="2"/>
          <w:sz w:val="21"/>
          <w:szCs w:val="20"/>
          <w:highlight w:val="none"/>
          <w:lang w:val="en-US" w:eastAsia="zh-CN" w:bidi="ar-SA"/>
        </w:rPr>
        <w:t>东莞市轨道交通有限公司</w:t>
      </w:r>
      <w:r>
        <w:rPr>
          <w:rFonts w:ascii="宋体" w:hAnsi="宋体" w:eastAsia="宋体" w:cs="宋体"/>
          <w:color w:val="auto"/>
          <w:kern w:val="2"/>
          <w:sz w:val="21"/>
          <w:szCs w:val="20"/>
          <w:highlight w:val="none"/>
          <w:lang w:val="en-US" w:eastAsia="zh-CN" w:bidi="ar-SA"/>
        </w:rPr>
        <w:t>。</w:t>
      </w:r>
    </w:p>
    <w:p>
      <w:pPr>
        <w:widowControl w:val="0"/>
        <w:spacing w:before="0" w:beforeLines="0" w:line="360" w:lineRule="exact"/>
        <w:ind w:lef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w:t>
      </w:r>
      <w:r>
        <w:rPr>
          <w:rFonts w:ascii="宋体" w:hAnsi="宋体" w:eastAsia="宋体" w:cs="宋体"/>
          <w:color w:val="auto"/>
          <w:kern w:val="2"/>
          <w:sz w:val="21"/>
          <w:szCs w:val="20"/>
          <w:highlight w:val="none"/>
          <w:lang w:val="en-US" w:eastAsia="zh-CN" w:bidi="ar-SA"/>
        </w:rPr>
        <w:t>12）“受托方”为</w:t>
      </w:r>
      <w:r>
        <w:rPr>
          <w:rFonts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w:t>
      </w:r>
    </w:p>
    <w:p>
      <w:pPr>
        <w:widowControl w:val="0"/>
        <w:spacing w:before="0" w:beforeLines="0" w:line="360" w:lineRule="exact"/>
        <w:ind w:lef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（15）“供货商”是指委托方通过公开招标选定的东莞市城市轨道交通2号线三期强弱电系统及车站设备等的设备供应商。</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（16）“项目”是指东莞市城市轨道交通2号线三期强弱电系统</w:t>
      </w:r>
      <w:r>
        <w:rPr>
          <w:rFonts w:hint="eastAsia" w:ascii="宋体" w:hAnsi="宋体" w:cs="宋体"/>
          <w:color w:val="auto"/>
          <w:kern w:val="2"/>
          <w:sz w:val="21"/>
          <w:szCs w:val="20"/>
          <w:highlight w:val="none"/>
          <w:lang w:val="en-US" w:eastAsia="zh-CN" w:bidi="ar-SA"/>
        </w:rPr>
        <w:t>和车站设备集成服务</w:t>
      </w:r>
      <w:r>
        <w:rPr>
          <w:rFonts w:hint="eastAsia" w:ascii="宋体" w:hAnsi="宋体" w:eastAsia="宋体" w:cs="宋体"/>
          <w:color w:val="auto"/>
          <w:kern w:val="2"/>
          <w:sz w:val="21"/>
          <w:szCs w:val="20"/>
          <w:highlight w:val="none"/>
          <w:lang w:val="en-US" w:eastAsia="zh-CN" w:bidi="ar-SA"/>
        </w:rPr>
        <w:t>（2532标）项目有关的各方全部设备、材料、技术文件及服务所构成的整体。</w:t>
      </w:r>
    </w:p>
    <w:p>
      <w:pPr>
        <w:widowControl w:val="0"/>
        <w:spacing w:before="0" w:beforeLines="0" w:line="360" w:lineRule="exact"/>
        <w:ind w:left="0" w:firstLine="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在通用条款第</w:t>
      </w:r>
      <w:r>
        <w:rPr>
          <w:rFonts w:ascii="宋体" w:hAnsi="宋体" w:eastAsia="宋体" w:cs="宋体"/>
          <w:color w:val="auto"/>
          <w:kern w:val="2"/>
          <w:sz w:val="21"/>
          <w:szCs w:val="20"/>
          <w:highlight w:val="none"/>
          <w:lang w:val="en-US" w:eastAsia="zh-CN" w:bidi="ar-SA"/>
        </w:rPr>
        <w:t>1</w:t>
      </w:r>
      <w:r>
        <w:rPr>
          <w:rFonts w:hint="eastAsia" w:ascii="宋体" w:hAnsi="宋体" w:eastAsia="宋体" w:cs="宋体"/>
          <w:color w:val="auto"/>
          <w:kern w:val="2"/>
          <w:sz w:val="21"/>
          <w:szCs w:val="20"/>
          <w:highlight w:val="none"/>
          <w:lang w:val="en-US" w:eastAsia="zh-CN" w:bidi="ar-SA"/>
        </w:rPr>
        <w:t>条中增加下列定义：</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23）“现场”为东莞市城市轨道交通</w:t>
      </w:r>
      <w:r>
        <w:rPr>
          <w:rFonts w:hint="eastAsia" w:ascii="宋体" w:hAnsi="宋体" w:eastAsia="宋体" w:cs="宋体"/>
          <w:color w:val="auto"/>
          <w:highlight w:val="none"/>
          <w:lang w:val="en-US" w:eastAsia="zh-CN"/>
        </w:rPr>
        <w:t>2</w:t>
      </w:r>
      <w:r>
        <w:rPr>
          <w:rFonts w:ascii="宋体" w:hAnsi="宋体" w:eastAsia="宋体" w:cs="宋体"/>
          <w:color w:val="auto"/>
          <w:highlight w:val="none"/>
        </w:rPr>
        <w:t>号线</w:t>
      </w:r>
      <w:r>
        <w:rPr>
          <w:rFonts w:hint="eastAsia" w:ascii="宋体" w:hAnsi="宋体" w:eastAsia="宋体" w:cs="宋体"/>
          <w:color w:val="auto"/>
          <w:highlight w:val="none"/>
          <w:lang w:val="en-US" w:eastAsia="zh-CN"/>
        </w:rPr>
        <w:t>三</w:t>
      </w:r>
      <w:r>
        <w:rPr>
          <w:rFonts w:ascii="宋体" w:hAnsi="宋体" w:eastAsia="宋体" w:cs="宋体"/>
          <w:color w:val="auto"/>
          <w:highlight w:val="none"/>
        </w:rPr>
        <w:t>期工程沿线、车站、</w:t>
      </w:r>
      <w:r>
        <w:rPr>
          <w:rFonts w:hint="eastAsia" w:ascii="宋体" w:hAnsi="宋体" w:eastAsia="宋体" w:cs="宋体"/>
          <w:color w:val="auto"/>
          <w:highlight w:val="none"/>
          <w:lang w:val="en-US" w:eastAsia="zh-CN"/>
        </w:rPr>
        <w:t>停车场</w:t>
      </w:r>
      <w:r>
        <w:rPr>
          <w:rFonts w:ascii="宋体" w:hAnsi="宋体" w:eastAsia="宋体" w:cs="宋体"/>
          <w:color w:val="auto"/>
          <w:highlight w:val="none"/>
        </w:rPr>
        <w:t>、主变电所、安装基地、控制中心以及相关系统安装场地，即东莞市城市轨道交通</w:t>
      </w:r>
      <w:r>
        <w:rPr>
          <w:rFonts w:hint="eastAsia" w:ascii="宋体" w:hAnsi="宋体" w:eastAsia="宋体" w:cs="宋体"/>
          <w:color w:val="auto"/>
          <w:highlight w:val="none"/>
          <w:lang w:val="en-US" w:eastAsia="zh-CN"/>
        </w:rPr>
        <w:t>2</w:t>
      </w:r>
      <w:r>
        <w:rPr>
          <w:rFonts w:ascii="宋体" w:hAnsi="宋体" w:eastAsia="宋体" w:cs="宋体"/>
          <w:color w:val="auto"/>
          <w:highlight w:val="none"/>
        </w:rPr>
        <w:t>号线</w:t>
      </w:r>
      <w:r>
        <w:rPr>
          <w:rFonts w:hint="eastAsia" w:ascii="宋体" w:hAnsi="宋体" w:eastAsia="宋体" w:cs="宋体"/>
          <w:color w:val="auto"/>
          <w:highlight w:val="none"/>
          <w:lang w:val="en-US" w:eastAsia="zh-CN"/>
        </w:rPr>
        <w:t>三</w:t>
      </w:r>
      <w:r>
        <w:rPr>
          <w:rFonts w:ascii="宋体" w:hAnsi="宋体" w:eastAsia="宋体" w:cs="宋体"/>
          <w:color w:val="auto"/>
          <w:highlight w:val="none"/>
        </w:rPr>
        <w:t>期工程工地。</w:t>
      </w:r>
    </w:p>
    <w:p>
      <w:pPr>
        <w:widowControl w:val="0"/>
        <w:spacing w:before="0" w:beforeLines="0" w:line="360" w:lineRule="exact"/>
        <w:ind w:left="0" w:firstLine="420" w:firstLineChars="200"/>
        <w:jc w:val="both"/>
        <w:rPr>
          <w:rFonts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w:t>
      </w:r>
      <w:r>
        <w:rPr>
          <w:rFonts w:ascii="宋体" w:hAnsi="宋体" w:eastAsia="宋体" w:cs="宋体"/>
          <w:color w:val="auto"/>
          <w:kern w:val="2"/>
          <w:sz w:val="21"/>
          <w:szCs w:val="20"/>
          <w:highlight w:val="none"/>
          <w:lang w:val="en-US" w:eastAsia="zh-CN" w:bidi="ar-SA"/>
        </w:rPr>
        <w:t>24）“三方”是指委托方、受托方、供货商。</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576" w:name="_Toc309026872"/>
      <w:bookmarkStart w:id="1577" w:name="_Toc309026478"/>
      <w:bookmarkStart w:id="1578" w:name="_Toc12642"/>
      <w:bookmarkStart w:id="1579" w:name="_Toc306006983"/>
      <w:bookmarkStart w:id="1580" w:name="_Toc28775"/>
      <w:bookmarkStart w:id="1581" w:name="_Toc306007452"/>
      <w:bookmarkStart w:id="1582" w:name="_Toc321906048"/>
      <w:bookmarkStart w:id="1583" w:name="_Toc306007671"/>
      <w:bookmarkStart w:id="1584" w:name="_Toc319311386"/>
      <w:bookmarkStart w:id="1585" w:name="_Toc318208960"/>
      <w:bookmarkStart w:id="1586" w:name="_Toc319312337"/>
      <w:bookmarkStart w:id="1587" w:name="_Toc319313649"/>
      <w:bookmarkStart w:id="1588" w:name="_Toc319311212"/>
      <w:bookmarkStart w:id="1589" w:name="_Toc306006765"/>
      <w:bookmarkStart w:id="1590" w:name="_Toc306007228"/>
      <w:bookmarkStart w:id="1591" w:name="_Toc306091601"/>
      <w:bookmarkStart w:id="1592" w:name="_Toc23128"/>
      <w:bookmarkStart w:id="1593" w:name="_Toc319320652"/>
      <w:bookmarkStart w:id="1594" w:name="_Toc98142489"/>
      <w:bookmarkStart w:id="1595" w:name="_Toc20974"/>
      <w:bookmarkStart w:id="1596" w:name="_Toc101002763"/>
      <w:bookmarkStart w:id="1597" w:name="_Toc27390747"/>
      <w:bookmarkStart w:id="1598" w:name="_Toc5978"/>
      <w:r>
        <w:rPr>
          <w:rFonts w:hint="eastAsia" w:ascii="宋体" w:hAnsi="宋体" w:cs="Times New Roman" w:eastAsiaTheme="minorEastAsia"/>
          <w:b/>
          <w:color w:val="auto"/>
          <w:kern w:val="2"/>
          <w:sz w:val="32"/>
          <w:szCs w:val="22"/>
          <w:highlight w:val="none"/>
          <w:lang w:val="en-US" w:eastAsia="zh-CN" w:bidi="ar-SA"/>
        </w:rPr>
        <w:t>2.合同标的（新增专用条款第2条）</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pPr>
        <w:spacing w:line="360" w:lineRule="exact"/>
        <w:rPr>
          <w:rFonts w:ascii="宋体" w:hAnsi="宋体" w:eastAsia="宋体" w:cs="宋体"/>
          <w:color w:val="auto"/>
          <w:highlight w:val="none"/>
        </w:rPr>
      </w:pPr>
      <w:r>
        <w:rPr>
          <w:rFonts w:ascii="宋体" w:hAnsi="宋体" w:eastAsia="宋体" w:cs="宋体"/>
          <w:color w:val="auto"/>
          <w:highlight w:val="none"/>
        </w:rPr>
        <w:t>2.1 委托方委托受托方，受托方接受委托方委托，进行</w:t>
      </w:r>
      <w:r>
        <w:rPr>
          <w:rFonts w:hint="eastAsia" w:ascii="宋体" w:hAnsi="宋体" w:eastAsia="宋体" w:cs="宋体"/>
          <w:color w:val="auto"/>
          <w:highlight w:val="none"/>
        </w:rPr>
        <w:t>东莞市城市轨道交通2号线三期强弱电系统</w:t>
      </w:r>
      <w:r>
        <w:rPr>
          <w:rFonts w:hint="eastAsia" w:ascii="宋体" w:hAnsi="宋体" w:cs="宋体"/>
          <w:color w:val="auto"/>
          <w:highlight w:val="none"/>
          <w:lang w:eastAsia="zh-CN"/>
        </w:rPr>
        <w:t>和车站设备集成服务</w:t>
      </w:r>
      <w:r>
        <w:rPr>
          <w:rFonts w:hint="eastAsia" w:ascii="宋体" w:hAnsi="宋体" w:eastAsia="宋体" w:cs="宋体"/>
          <w:color w:val="auto"/>
          <w:highlight w:val="none"/>
        </w:rPr>
        <w:t>，并直接对委托方负责。受托方必须将委托方的利益放在首位并为委托方争取最大利益，以使项目顺利进行。</w:t>
      </w:r>
    </w:p>
    <w:p>
      <w:pPr>
        <w:spacing w:line="360" w:lineRule="exact"/>
        <w:rPr>
          <w:rFonts w:ascii="宋体" w:hAnsi="宋体" w:eastAsia="宋体" w:cs="宋体"/>
          <w:color w:val="auto"/>
          <w:highlight w:val="none"/>
        </w:rPr>
      </w:pPr>
      <w:r>
        <w:rPr>
          <w:rFonts w:ascii="宋体" w:hAnsi="宋体" w:eastAsia="宋体" w:cs="宋体"/>
          <w:color w:val="auto"/>
          <w:highlight w:val="none"/>
        </w:rPr>
        <w:t>2.2 受托方必须在合同生效日后三十（30</w:t>
      </w:r>
      <w:r>
        <w:rPr>
          <w:rFonts w:hint="eastAsia" w:ascii="宋体" w:hAnsi="宋体" w:eastAsia="宋体" w:cs="宋体"/>
          <w:color w:val="auto"/>
          <w:highlight w:val="none"/>
        </w:rPr>
        <w:t>）天内或双方另外约定的时间开始履行合同，直至委托方对项目管理最终验收完成、服务结束。如工期调整或拖延，服务期限也应相应调整或顺延。</w:t>
      </w:r>
    </w:p>
    <w:p>
      <w:pPr>
        <w:spacing w:line="360" w:lineRule="exact"/>
        <w:rPr>
          <w:rFonts w:ascii="宋体" w:hAnsi="宋体" w:eastAsia="宋体" w:cs="宋体"/>
          <w:color w:val="auto"/>
          <w:highlight w:val="none"/>
        </w:rPr>
      </w:pPr>
      <w:r>
        <w:rPr>
          <w:rFonts w:ascii="宋体" w:hAnsi="宋体" w:eastAsia="宋体" w:cs="宋体"/>
          <w:color w:val="auto"/>
          <w:highlight w:val="none"/>
        </w:rPr>
        <w:t>2.3 受托方负责在</w:t>
      </w:r>
      <w:r>
        <w:rPr>
          <w:rFonts w:hint="eastAsia" w:ascii="宋体" w:hAnsi="宋体" w:eastAsia="宋体" w:cs="宋体"/>
          <w:color w:val="auto"/>
          <w:highlight w:val="none"/>
        </w:rPr>
        <w:t>东莞市城市轨道交通2号线三期强弱电系统及车站设备等的项目实施过程中，代表委托方进行集成服务工作并实现下列管理目标，包括但不限于：</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2.3.1 </w:t>
      </w:r>
      <w:r>
        <w:rPr>
          <w:rFonts w:hint="eastAsia" w:ascii="宋体" w:hAnsi="宋体" w:eastAsia="宋体" w:cs="宋体"/>
          <w:color w:val="auto"/>
          <w:highlight w:val="none"/>
        </w:rPr>
        <w:t>受托方集成服务完成后必须使东莞市城市轨道交通2号线三期强弱电系统及车站设备完全满足委托方提出的技术规格要求。</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2.3.2 受托方必须按附件1、附件2提出的工期总目标及分段目标的时间（除非另有约定），并按本专用条款第2.3.1条要求完成集成服务。</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2.3.3 </w:t>
      </w:r>
      <w:r>
        <w:rPr>
          <w:rFonts w:hint="eastAsia" w:ascii="宋体" w:hAnsi="宋体" w:eastAsia="宋体" w:cs="宋体"/>
          <w:color w:val="auto"/>
          <w:highlight w:val="none"/>
        </w:rPr>
        <w:t>受托方在充分了解项目工程概况及系统要求的前提下，完成委托方在附件</w:t>
      </w:r>
      <w:r>
        <w:rPr>
          <w:rFonts w:ascii="宋体" w:hAnsi="宋体" w:eastAsia="宋体" w:cs="宋体"/>
          <w:color w:val="auto"/>
          <w:highlight w:val="none"/>
        </w:rPr>
        <w:t>1提出的服务范围、服务责任和服务要求。</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2.3.4 </w:t>
      </w:r>
      <w:r>
        <w:rPr>
          <w:rFonts w:hint="eastAsia" w:ascii="宋体" w:hAnsi="宋体" w:eastAsia="宋体" w:cs="宋体"/>
          <w:color w:val="auto"/>
          <w:highlight w:val="none"/>
        </w:rPr>
        <w:t>受托方与项目施工单位、供货商的关系详见附件</w:t>
      </w:r>
      <w:r>
        <w:rPr>
          <w:rFonts w:ascii="宋体" w:hAnsi="宋体" w:eastAsia="宋体" w:cs="宋体"/>
          <w:color w:val="auto"/>
          <w:highlight w:val="none"/>
        </w:rPr>
        <w:t>1《服务关系》并接受在该关系的前提下进行集成服务。</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2.3.5 </w:t>
      </w:r>
      <w:r>
        <w:rPr>
          <w:rFonts w:hint="eastAsia" w:ascii="宋体" w:hAnsi="宋体" w:eastAsia="宋体" w:cs="宋体"/>
          <w:color w:val="auto"/>
          <w:highlight w:val="none"/>
        </w:rPr>
        <w:t>受托方应根据附件</w:t>
      </w:r>
      <w:r>
        <w:rPr>
          <w:rFonts w:ascii="宋体" w:hAnsi="宋体" w:eastAsia="宋体" w:cs="宋体"/>
          <w:color w:val="auto"/>
          <w:highlight w:val="none"/>
        </w:rPr>
        <w:t>1和附件2的要求负责</w:t>
      </w:r>
      <w:r>
        <w:rPr>
          <w:rFonts w:hint="eastAsia" w:ascii="宋体" w:hAnsi="宋体" w:eastAsia="宋体" w:cs="宋体"/>
          <w:color w:val="auto"/>
          <w:highlight w:val="none"/>
          <w:lang w:val="en-US" w:eastAsia="zh-CN"/>
        </w:rPr>
        <w:t>强弱电系统和车站</w:t>
      </w:r>
      <w:r>
        <w:rPr>
          <w:rFonts w:ascii="宋体" w:hAnsi="宋体" w:eastAsia="宋体" w:cs="宋体"/>
          <w:color w:val="auto"/>
          <w:highlight w:val="none"/>
        </w:rPr>
        <w:t>设备系统的技术集成，包括系统内外部的所有接口设计，保证所有系统所有接口正确无误、有机组合、功能完整。</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2.3.6 </w:t>
      </w:r>
      <w:r>
        <w:rPr>
          <w:rFonts w:hint="eastAsia" w:ascii="宋体" w:hAnsi="宋体" w:eastAsia="宋体" w:cs="宋体"/>
          <w:color w:val="auto"/>
          <w:highlight w:val="none"/>
        </w:rPr>
        <w:t>受托方应根据附件</w:t>
      </w:r>
      <w:r>
        <w:rPr>
          <w:rFonts w:ascii="宋体" w:hAnsi="宋体" w:eastAsia="宋体" w:cs="宋体"/>
          <w:color w:val="auto"/>
          <w:highlight w:val="none"/>
        </w:rPr>
        <w:t>1和附件2的要求对所有供货商进行监督、管理和协调，使所有供货商相互密切配合并有序地开展工作，以保证系统设备调试及系统联调成功。</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2.3.7 </w:t>
      </w:r>
      <w:r>
        <w:rPr>
          <w:rFonts w:hint="eastAsia" w:ascii="宋体" w:hAnsi="宋体" w:eastAsia="宋体" w:cs="宋体"/>
          <w:color w:val="auto"/>
          <w:highlight w:val="none"/>
        </w:rPr>
        <w:t>受托方应履行合同规定的其他义务，包括但不限于成本控制、索赔管理、图纸文件管理、仓储和到货的管理等。</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2.3.8 </w:t>
      </w:r>
      <w:r>
        <w:rPr>
          <w:rFonts w:hint="eastAsia" w:ascii="宋体" w:hAnsi="宋体" w:eastAsia="宋体" w:cs="宋体"/>
          <w:color w:val="auto"/>
          <w:highlight w:val="none"/>
        </w:rPr>
        <w:t>受托方的具体职责详见附件</w:t>
      </w:r>
      <w:r>
        <w:rPr>
          <w:rFonts w:ascii="宋体" w:hAnsi="宋体" w:eastAsia="宋体" w:cs="宋体"/>
          <w:color w:val="auto"/>
          <w:highlight w:val="none"/>
        </w:rPr>
        <w:t>1。</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2.3.9 </w:t>
      </w:r>
      <w:r>
        <w:rPr>
          <w:rFonts w:hint="eastAsia" w:ascii="宋体" w:hAnsi="宋体" w:eastAsia="宋体" w:cs="宋体"/>
          <w:color w:val="auto"/>
          <w:highlight w:val="none"/>
        </w:rPr>
        <w:t>受托方的集成服务细则详见附件</w:t>
      </w:r>
      <w:r>
        <w:rPr>
          <w:rFonts w:ascii="宋体" w:hAnsi="宋体" w:eastAsia="宋体" w:cs="宋体"/>
          <w:color w:val="auto"/>
          <w:highlight w:val="none"/>
        </w:rPr>
        <w:t>2。</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2.3.10 </w:t>
      </w:r>
      <w:r>
        <w:rPr>
          <w:rFonts w:hint="eastAsia" w:ascii="宋体" w:hAnsi="宋体" w:eastAsia="宋体" w:cs="宋体"/>
          <w:color w:val="auto"/>
          <w:highlight w:val="none"/>
        </w:rPr>
        <w:t>受托方的集成服务组织机构详见附件</w:t>
      </w:r>
      <w:r>
        <w:rPr>
          <w:rFonts w:ascii="宋体" w:hAnsi="宋体" w:eastAsia="宋体" w:cs="宋体"/>
          <w:color w:val="auto"/>
          <w:highlight w:val="none"/>
        </w:rPr>
        <w:t>3。</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2.3.11 </w:t>
      </w:r>
      <w:r>
        <w:rPr>
          <w:rFonts w:hint="eastAsia" w:ascii="宋体" w:hAnsi="宋体" w:eastAsia="宋体" w:cs="宋体"/>
          <w:color w:val="auto"/>
          <w:highlight w:val="none"/>
        </w:rPr>
        <w:t>委托方必须按附件</w:t>
      </w:r>
      <w:r>
        <w:rPr>
          <w:rFonts w:ascii="宋体" w:hAnsi="宋体" w:eastAsia="宋体" w:cs="宋体"/>
          <w:color w:val="auto"/>
          <w:highlight w:val="none"/>
        </w:rPr>
        <w:t>4要求的配合内容为受托方的集成服务提供配合。</w:t>
      </w:r>
    </w:p>
    <w:p>
      <w:pPr>
        <w:spacing w:line="360" w:lineRule="exact"/>
        <w:rPr>
          <w:rFonts w:ascii="宋体" w:hAnsi="宋体" w:eastAsia="宋体" w:cs="宋体"/>
          <w:color w:val="auto"/>
          <w:highlight w:val="none"/>
        </w:rPr>
      </w:pPr>
      <w:r>
        <w:rPr>
          <w:rFonts w:ascii="宋体" w:hAnsi="宋体" w:eastAsia="宋体" w:cs="宋体"/>
          <w:color w:val="auto"/>
          <w:highlight w:val="none"/>
        </w:rPr>
        <w:t>2.4 受托方必须按专用条款第7条的规定为项目设立专门的集成服务机构，以实施其合同项下的义务，受托方设立的集成服务机构在本合同的有效期内必须接受和服从委托方项目管理机构的领导，受托方对提供本服务的人员应经常进行检查、指导、管理及后方支持，并且对他们完成的服务承担责任。</w:t>
      </w:r>
    </w:p>
    <w:p>
      <w:pPr>
        <w:spacing w:line="360" w:lineRule="exact"/>
        <w:rPr>
          <w:rFonts w:ascii="宋体" w:hAnsi="宋体" w:eastAsia="宋体" w:cs="宋体"/>
          <w:color w:val="auto"/>
          <w:highlight w:val="none"/>
        </w:rPr>
      </w:pPr>
      <w:r>
        <w:rPr>
          <w:rFonts w:ascii="宋体" w:hAnsi="宋体" w:eastAsia="宋体" w:cs="宋体"/>
          <w:color w:val="auto"/>
          <w:highlight w:val="none"/>
        </w:rPr>
        <w:t>2.5 资料深度：项目开始阶段委托方所提供资料及项目介绍属方案和初步设计阶段，具体项目实施时项目内容、项目规模、工期等均会有变化。</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599" w:name="_Toc101002764"/>
      <w:bookmarkStart w:id="1600" w:name="_Toc306007229"/>
      <w:bookmarkStart w:id="1601" w:name="_Toc306007453"/>
      <w:bookmarkStart w:id="1602" w:name="_Toc27390748"/>
      <w:bookmarkStart w:id="1603" w:name="_Toc319313650"/>
      <w:bookmarkStart w:id="1604" w:name="_Toc28513"/>
      <w:bookmarkStart w:id="1605" w:name="_Toc306006766"/>
      <w:bookmarkStart w:id="1606" w:name="_Toc321906049"/>
      <w:bookmarkStart w:id="1607" w:name="_Toc319312338"/>
      <w:bookmarkStart w:id="1608" w:name="_Toc6905"/>
      <w:bookmarkStart w:id="1609" w:name="_Toc309026873"/>
      <w:bookmarkStart w:id="1610" w:name="_Toc319311213"/>
      <w:bookmarkStart w:id="1611" w:name="_Toc319311387"/>
      <w:bookmarkStart w:id="1612" w:name="_Toc309026479"/>
      <w:bookmarkStart w:id="1613" w:name="_Toc20517"/>
      <w:bookmarkStart w:id="1614" w:name="_Toc306006984"/>
      <w:bookmarkStart w:id="1615" w:name="_Toc306007672"/>
      <w:bookmarkStart w:id="1616" w:name="_Toc306091602"/>
      <w:bookmarkStart w:id="1617" w:name="_Toc32767"/>
      <w:bookmarkStart w:id="1618" w:name="_Toc17272"/>
      <w:bookmarkStart w:id="1619" w:name="_Toc98142490"/>
      <w:bookmarkStart w:id="1620" w:name="_Toc319320653"/>
      <w:bookmarkStart w:id="1621" w:name="_Toc318208961"/>
      <w:r>
        <w:rPr>
          <w:rFonts w:hint="eastAsia" w:ascii="宋体" w:hAnsi="宋体" w:cs="Times New Roman" w:eastAsiaTheme="minorEastAsia"/>
          <w:b/>
          <w:color w:val="auto"/>
          <w:kern w:val="2"/>
          <w:sz w:val="32"/>
          <w:szCs w:val="22"/>
          <w:highlight w:val="none"/>
          <w:lang w:val="en-US" w:eastAsia="zh-CN" w:bidi="ar-SA"/>
        </w:rPr>
        <w:t>3.受托方权力（新增专用条款第3条）</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3.1 </w:t>
      </w:r>
      <w:r>
        <w:rPr>
          <w:rFonts w:hint="eastAsia" w:ascii="宋体" w:hAnsi="宋体" w:eastAsia="宋体" w:cs="宋体"/>
          <w:color w:val="auto"/>
          <w:highlight w:val="none"/>
        </w:rPr>
        <w:t>受托方在与委托方签订的服务合同授权范围内行使合同规定的权力，履行相应的职责。</w:t>
      </w:r>
    </w:p>
    <w:p>
      <w:pPr>
        <w:spacing w:line="360" w:lineRule="exact"/>
        <w:rPr>
          <w:rFonts w:ascii="宋体" w:hAnsi="宋体" w:eastAsia="宋体" w:cs="宋体"/>
          <w:color w:val="auto"/>
          <w:highlight w:val="none"/>
        </w:rPr>
      </w:pPr>
      <w:r>
        <w:rPr>
          <w:rFonts w:ascii="宋体" w:hAnsi="宋体" w:eastAsia="宋体" w:cs="宋体"/>
          <w:color w:val="auto"/>
          <w:highlight w:val="none"/>
        </w:rPr>
        <w:t>3.2 集成服务有关事项包括项目规模、设计标准、规划设计、生产工艺设计和使用功能要求，向委托方的建议权；</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3.3 </w:t>
      </w:r>
      <w:r>
        <w:rPr>
          <w:rFonts w:hint="eastAsia" w:ascii="宋体" w:hAnsi="宋体" w:eastAsia="宋体" w:cs="宋体"/>
          <w:color w:val="auto"/>
          <w:highlight w:val="none"/>
        </w:rPr>
        <w:t>本项目设计和其他专业设计中的技术问题，按照安全和优化的原则，向委托方的建议权，其建议应有技术经济比较。</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3.4 </w:t>
      </w:r>
      <w:r>
        <w:rPr>
          <w:rFonts w:hint="eastAsia" w:ascii="宋体" w:hAnsi="宋体" w:eastAsia="宋体" w:cs="宋体"/>
          <w:color w:val="auto"/>
          <w:highlight w:val="none"/>
        </w:rPr>
        <w:t>项目施工组织设计和技术方案，按照保质量、保工期和降低成本的原则，自主向供应商提出建议，凡涉及项目变更的，均应事前与委托方商定。并按有关规定办理变更手续；</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3.5 </w:t>
      </w:r>
      <w:r>
        <w:rPr>
          <w:rFonts w:hint="eastAsia" w:ascii="宋体" w:hAnsi="宋体" w:eastAsia="宋体" w:cs="宋体"/>
          <w:color w:val="auto"/>
          <w:highlight w:val="none"/>
        </w:rPr>
        <w:t>在任何情况下（包括合同另有规定的情况），凡涉及项目变更、项目增减、议价、索赔、处理事故、改变工期、改变技术标准、改变重大实施方案等及一切有关费用的问题，均需与委托方共同商定，报委托方批准。</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3.6 </w:t>
      </w:r>
      <w:r>
        <w:rPr>
          <w:rFonts w:hint="eastAsia" w:ascii="宋体" w:hAnsi="宋体" w:eastAsia="宋体" w:cs="宋体"/>
          <w:color w:val="auto"/>
          <w:highlight w:val="none"/>
        </w:rPr>
        <w:t>集成服务有关的协作单位的组织协调的主持权，重要协调事项应当事先向委托方报告；</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3.7 </w:t>
      </w:r>
      <w:r>
        <w:rPr>
          <w:rFonts w:hint="eastAsia" w:ascii="宋体" w:hAnsi="宋体" w:eastAsia="宋体" w:cs="宋体"/>
          <w:color w:val="auto"/>
          <w:highlight w:val="none"/>
        </w:rPr>
        <w:t>受托人和供货商之间的关系是管理与被管理的关系，供货商将按合同规定接受受托人在项目实施全过程中的监督和管理。</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3.8 </w:t>
      </w:r>
      <w:r>
        <w:rPr>
          <w:rFonts w:hint="eastAsia" w:ascii="宋体" w:hAnsi="宋体" w:eastAsia="宋体" w:cs="宋体"/>
          <w:color w:val="auto"/>
          <w:highlight w:val="none"/>
          <w:lang w:val="en-US" w:eastAsia="zh-CN"/>
        </w:rPr>
        <w:t>强弱电系统和</w:t>
      </w:r>
      <w:r>
        <w:rPr>
          <w:rFonts w:hint="eastAsia" w:ascii="宋体" w:hAnsi="宋体" w:eastAsia="宋体" w:cs="宋体"/>
          <w:color w:val="auto"/>
          <w:highlight w:val="none"/>
        </w:rPr>
        <w:t>车站设备供货商的组织、检查、协调的项目管理权。重要事项应事先向委托方报告。</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3.9 </w:t>
      </w:r>
      <w:r>
        <w:rPr>
          <w:rFonts w:hint="eastAsia" w:ascii="宋体" w:hAnsi="宋体" w:eastAsia="宋体" w:cs="宋体"/>
          <w:color w:val="auto"/>
          <w:highlight w:val="none"/>
        </w:rPr>
        <w:t>对设备供货商付款的审核和签字权，设计变更和合同变更的审查权。</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3.10 </w:t>
      </w:r>
      <w:r>
        <w:rPr>
          <w:rFonts w:hint="eastAsia" w:ascii="宋体" w:hAnsi="宋体" w:eastAsia="宋体" w:cs="宋体"/>
          <w:color w:val="auto"/>
          <w:highlight w:val="none"/>
        </w:rPr>
        <w:t>系统设备上使用的材料和质量检验权。对于不符合设计要求及国家质量标准的材料设备，有权通知供货商停止使用；不符合规范和质量标准的工序，有权通知供货商整改、返工；但应当事先书面向委托方报告，如在紧急情况下未能事先报告时，则应在</w:t>
      </w:r>
      <w:r>
        <w:rPr>
          <w:rFonts w:ascii="宋体" w:hAnsi="宋体" w:eastAsia="宋体" w:cs="宋体"/>
          <w:color w:val="auto"/>
          <w:highlight w:val="none"/>
        </w:rPr>
        <w:t>24</w:t>
      </w:r>
      <w:r>
        <w:rPr>
          <w:rFonts w:hint="eastAsia" w:ascii="宋体" w:hAnsi="宋体" w:eastAsia="宋体" w:cs="宋体"/>
          <w:color w:val="auto"/>
          <w:highlight w:val="none"/>
        </w:rPr>
        <w:t>小时内向委托方作出书面报告。</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3.11 </w:t>
      </w:r>
      <w:r>
        <w:rPr>
          <w:rFonts w:hint="eastAsia" w:ascii="宋体" w:hAnsi="宋体" w:eastAsia="宋体" w:cs="宋体"/>
          <w:color w:val="auto"/>
          <w:highlight w:val="none"/>
        </w:rPr>
        <w:t>项目进度的检查、监督权，包括对供货商供货合同进度的检查、监督权。</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3.12 </w:t>
      </w:r>
      <w:r>
        <w:rPr>
          <w:rFonts w:hint="eastAsia" w:ascii="宋体" w:hAnsi="宋体" w:eastAsia="宋体" w:cs="宋体"/>
          <w:color w:val="auto"/>
          <w:highlight w:val="none"/>
        </w:rPr>
        <w:t>受托方负责审查设备供货商对设备供货合同规定责任义务提出的变更。如果由此影响了费用，或质量、进度，则这种变更须经委托方事先批准。在项目实施过程中如发现供货商人员工作不力，受托方可提出更换有关人员的建议。</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3.13 </w:t>
      </w:r>
      <w:r>
        <w:rPr>
          <w:rFonts w:hint="eastAsia" w:ascii="宋体" w:hAnsi="宋体" w:eastAsia="宋体" w:cs="宋体"/>
          <w:color w:val="auto"/>
          <w:highlight w:val="none"/>
        </w:rPr>
        <w:t>供货商付款单据的审查权。未经受托方确认的付款单据，委托方有权拒绝支付。</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3.14 </w:t>
      </w:r>
      <w:r>
        <w:rPr>
          <w:rFonts w:hint="eastAsia" w:ascii="宋体" w:hAnsi="宋体" w:eastAsia="宋体" w:cs="宋体"/>
          <w:color w:val="auto"/>
          <w:highlight w:val="none"/>
        </w:rPr>
        <w:t>项目质量事故的调查权和处理建议权。出现质量事故时，受托方应组织有关各方召开质量听证会，结合现场调查的结果，提出调查报告和处理建议。</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3.15 </w:t>
      </w:r>
      <w:r>
        <w:rPr>
          <w:rFonts w:hint="eastAsia" w:ascii="宋体" w:hAnsi="宋体" w:eastAsia="宋体" w:cs="宋体"/>
          <w:color w:val="auto"/>
          <w:highlight w:val="none"/>
        </w:rPr>
        <w:t>受托方在集成服务过程中，如果有必要的话，可向委托方申请授予以上未提及的权力，并征得委托方的批准方能行使。</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622" w:name="_Toc11774"/>
      <w:bookmarkStart w:id="1623" w:name="_Toc319313651"/>
      <w:bookmarkStart w:id="1624" w:name="_Toc306007673"/>
      <w:bookmarkStart w:id="1625" w:name="_Toc306091603"/>
      <w:bookmarkStart w:id="1626" w:name="_Toc309026480"/>
      <w:bookmarkStart w:id="1627" w:name="_Toc306007230"/>
      <w:bookmarkStart w:id="1628" w:name="_Toc318208962"/>
      <w:bookmarkStart w:id="1629" w:name="_Toc1155"/>
      <w:bookmarkStart w:id="1630" w:name="_Toc319320654"/>
      <w:bookmarkStart w:id="1631" w:name="_Toc309026874"/>
      <w:bookmarkStart w:id="1632" w:name="_Toc98142491"/>
      <w:bookmarkStart w:id="1633" w:name="_Toc101002765"/>
      <w:bookmarkStart w:id="1634" w:name="_Toc306006767"/>
      <w:bookmarkStart w:id="1635" w:name="_Toc319311214"/>
      <w:bookmarkStart w:id="1636" w:name="_Toc18188"/>
      <w:bookmarkStart w:id="1637" w:name="_Toc306006985"/>
      <w:bookmarkStart w:id="1638" w:name="_Toc32727"/>
      <w:bookmarkStart w:id="1639" w:name="_Toc306007454"/>
      <w:bookmarkStart w:id="1640" w:name="_Toc319311388"/>
      <w:bookmarkStart w:id="1641" w:name="_Toc27390749"/>
      <w:bookmarkStart w:id="1642" w:name="_Toc319312339"/>
      <w:bookmarkStart w:id="1643" w:name="_Toc29772"/>
      <w:bookmarkStart w:id="1644" w:name="_Toc321906050"/>
      <w:r>
        <w:rPr>
          <w:rFonts w:hint="eastAsia" w:ascii="宋体" w:hAnsi="宋体" w:cs="Times New Roman" w:eastAsiaTheme="minorEastAsia"/>
          <w:b/>
          <w:color w:val="auto"/>
          <w:kern w:val="2"/>
          <w:sz w:val="32"/>
          <w:szCs w:val="22"/>
          <w:highlight w:val="none"/>
          <w:lang w:val="en-US" w:eastAsia="zh-CN" w:bidi="ar-SA"/>
        </w:rPr>
        <w:t>4.委托方权力（新增专用条款第4条）</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pPr>
        <w:spacing w:line="360" w:lineRule="exact"/>
        <w:rPr>
          <w:rFonts w:ascii="宋体" w:hAnsi="宋体" w:eastAsia="宋体" w:cs="宋体"/>
          <w:color w:val="auto"/>
          <w:highlight w:val="none"/>
        </w:rPr>
      </w:pPr>
      <w:r>
        <w:rPr>
          <w:rFonts w:ascii="宋体" w:hAnsi="宋体" w:eastAsia="宋体" w:cs="宋体"/>
          <w:color w:val="auto"/>
          <w:highlight w:val="none"/>
        </w:rPr>
        <w:t>4.1 委托方有选定供货商以及与其订立合同的签订权。</w:t>
      </w:r>
    </w:p>
    <w:p>
      <w:pPr>
        <w:spacing w:line="360" w:lineRule="exact"/>
        <w:rPr>
          <w:rFonts w:ascii="宋体" w:hAnsi="宋体" w:eastAsia="宋体" w:cs="宋体"/>
          <w:color w:val="auto"/>
          <w:highlight w:val="none"/>
        </w:rPr>
      </w:pPr>
      <w:r>
        <w:rPr>
          <w:rFonts w:ascii="宋体" w:hAnsi="宋体" w:eastAsia="宋体" w:cs="宋体"/>
          <w:color w:val="auto"/>
          <w:highlight w:val="none"/>
        </w:rPr>
        <w:t>4.2 委托方有对设计标准、规划设计、生产工艺设计和设计使用功能要求的认定权，以及对设计变更的审批权。</w:t>
      </w:r>
    </w:p>
    <w:p>
      <w:pPr>
        <w:spacing w:line="360" w:lineRule="exact"/>
        <w:rPr>
          <w:rFonts w:ascii="宋体" w:hAnsi="宋体" w:eastAsia="宋体" w:cs="宋体"/>
          <w:color w:val="auto"/>
          <w:highlight w:val="none"/>
        </w:rPr>
      </w:pPr>
      <w:r>
        <w:rPr>
          <w:rFonts w:ascii="宋体" w:hAnsi="宋体" w:eastAsia="宋体" w:cs="宋体"/>
          <w:color w:val="auto"/>
          <w:highlight w:val="none"/>
        </w:rPr>
        <w:t>4.3 委托方有权否定任何在受托方做出损害委托方利益的决定和行为，并有权向受托方索赔。</w:t>
      </w:r>
    </w:p>
    <w:p>
      <w:pPr>
        <w:spacing w:line="360" w:lineRule="exact"/>
        <w:rPr>
          <w:rFonts w:ascii="宋体" w:hAnsi="宋体" w:eastAsia="宋体" w:cs="宋体"/>
          <w:color w:val="auto"/>
          <w:highlight w:val="none"/>
        </w:rPr>
      </w:pPr>
      <w:r>
        <w:rPr>
          <w:rFonts w:ascii="宋体" w:hAnsi="宋体" w:eastAsia="宋体" w:cs="宋体"/>
          <w:color w:val="auto"/>
          <w:highlight w:val="none"/>
        </w:rPr>
        <w:t>4.4 受托方调整其管理机构或调换其人员时须经委托方同意。</w:t>
      </w:r>
    </w:p>
    <w:p>
      <w:pPr>
        <w:spacing w:line="360" w:lineRule="exact"/>
        <w:rPr>
          <w:rFonts w:ascii="宋体" w:hAnsi="宋体" w:eastAsia="宋体" w:cs="宋体"/>
          <w:color w:val="auto"/>
          <w:highlight w:val="none"/>
        </w:rPr>
      </w:pPr>
      <w:r>
        <w:rPr>
          <w:rFonts w:ascii="宋体" w:hAnsi="宋体" w:eastAsia="宋体" w:cs="宋体"/>
          <w:color w:val="auto"/>
          <w:highlight w:val="none"/>
        </w:rPr>
        <w:t>4.5 委托方有权要求受托方提交工作报告及合同规定的专项报告。</w:t>
      </w:r>
    </w:p>
    <w:p>
      <w:pPr>
        <w:spacing w:line="360" w:lineRule="exact"/>
        <w:rPr>
          <w:rFonts w:ascii="宋体" w:hAnsi="宋体" w:eastAsia="宋体" w:cs="宋体"/>
          <w:color w:val="auto"/>
          <w:highlight w:val="none"/>
        </w:rPr>
      </w:pPr>
      <w:r>
        <w:rPr>
          <w:rFonts w:ascii="宋体" w:hAnsi="宋体" w:eastAsia="宋体" w:cs="宋体"/>
          <w:color w:val="auto"/>
          <w:highlight w:val="none"/>
        </w:rPr>
        <w:t>4.6 委托方有权要求受托方更换不称职的人员，直到终止合同。</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4.7 </w:t>
      </w:r>
      <w:r>
        <w:rPr>
          <w:rFonts w:hint="eastAsia" w:ascii="宋体" w:hAnsi="宋体" w:eastAsia="宋体" w:cs="宋体"/>
          <w:color w:val="auto"/>
          <w:highlight w:val="none"/>
        </w:rPr>
        <w:t>委托方有权不接受受托方的意见或建议，但必须给出书面理由。如受托方的意见与委托方有分歧，以委方的最终意见为准，受托方必须执行。委托方对其最终意见的执行结果负责。</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645" w:name="_Toc306006768"/>
      <w:bookmarkStart w:id="1646" w:name="_Toc319311215"/>
      <w:bookmarkStart w:id="1647" w:name="_Toc27390750"/>
      <w:bookmarkStart w:id="1648" w:name="_Toc98142492"/>
      <w:bookmarkStart w:id="1649" w:name="_Toc15037"/>
      <w:bookmarkStart w:id="1650" w:name="_Toc306007674"/>
      <w:bookmarkStart w:id="1651" w:name="_Toc23262"/>
      <w:bookmarkStart w:id="1652" w:name="_Toc30335"/>
      <w:bookmarkStart w:id="1653" w:name="_Toc306007455"/>
      <w:bookmarkStart w:id="1654" w:name="_Toc101002766"/>
      <w:bookmarkStart w:id="1655" w:name="_Toc306006986"/>
      <w:bookmarkStart w:id="1656" w:name="_Toc19939"/>
      <w:bookmarkStart w:id="1657" w:name="_Toc321906051"/>
      <w:bookmarkStart w:id="1658" w:name="_Toc12809"/>
      <w:bookmarkStart w:id="1659" w:name="_Toc309026875"/>
      <w:bookmarkStart w:id="1660" w:name="_Toc319311389"/>
      <w:bookmarkStart w:id="1661" w:name="_Toc309026481"/>
      <w:bookmarkStart w:id="1662" w:name="_Toc319313652"/>
      <w:bookmarkStart w:id="1663" w:name="_Toc319320655"/>
      <w:bookmarkStart w:id="1664" w:name="_Toc319312340"/>
      <w:bookmarkStart w:id="1665" w:name="_Toc306091604"/>
      <w:bookmarkStart w:id="1666" w:name="_Toc318208963"/>
      <w:bookmarkStart w:id="1667" w:name="_Toc306007231"/>
      <w:r>
        <w:rPr>
          <w:rFonts w:hint="eastAsia" w:ascii="宋体" w:hAnsi="宋体" w:cs="Times New Roman" w:eastAsiaTheme="minorEastAsia"/>
          <w:b/>
          <w:color w:val="auto"/>
          <w:kern w:val="2"/>
          <w:sz w:val="32"/>
          <w:szCs w:val="22"/>
          <w:highlight w:val="none"/>
          <w:lang w:val="en-US" w:eastAsia="zh-CN" w:bidi="ar-SA"/>
        </w:rPr>
        <w:t>5.受托方责任（通用条款第5条）</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pPr>
        <w:spacing w:line="360" w:lineRule="exact"/>
        <w:rPr>
          <w:rFonts w:ascii="宋体" w:hAnsi="宋体" w:eastAsia="宋体" w:cs="宋体"/>
          <w:color w:val="auto"/>
          <w:highlight w:val="none"/>
        </w:rPr>
      </w:pPr>
      <w:r>
        <w:rPr>
          <w:rFonts w:hint="eastAsia" w:ascii="宋体" w:hAnsi="宋体" w:eastAsia="宋体" w:cs="宋体"/>
          <w:color w:val="auto"/>
          <w:highlight w:val="none"/>
        </w:rPr>
        <w:t>在通用条款第</w:t>
      </w:r>
      <w:r>
        <w:rPr>
          <w:rFonts w:ascii="宋体" w:hAnsi="宋体" w:eastAsia="宋体" w:cs="宋体"/>
          <w:color w:val="auto"/>
          <w:highlight w:val="none"/>
        </w:rPr>
        <w:t>5条中增加下列内容：</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5.4 </w:t>
      </w:r>
      <w:r>
        <w:rPr>
          <w:rFonts w:hint="eastAsia" w:ascii="宋体" w:hAnsi="宋体" w:eastAsia="宋体" w:cs="宋体"/>
          <w:color w:val="auto"/>
          <w:highlight w:val="none"/>
        </w:rPr>
        <w:t>所有受托方必须参加的任务，受托方不得缺席。</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5.5 </w:t>
      </w:r>
      <w:r>
        <w:rPr>
          <w:rFonts w:hint="eastAsia" w:ascii="宋体" w:hAnsi="宋体" w:eastAsia="宋体" w:cs="宋体"/>
          <w:color w:val="auto"/>
          <w:highlight w:val="none"/>
        </w:rPr>
        <w:t>参与本项目设备采购招标的有关工作。</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5.6 </w:t>
      </w:r>
      <w:r>
        <w:rPr>
          <w:rFonts w:hint="eastAsia" w:ascii="宋体" w:hAnsi="宋体" w:eastAsia="宋体" w:cs="宋体"/>
          <w:color w:val="auto"/>
          <w:highlight w:val="none"/>
        </w:rPr>
        <w:t>受托方必须对东莞市城市轨道交通2号线三期强弱电系统及车站设备</w:t>
      </w:r>
      <w:r>
        <w:rPr>
          <w:rFonts w:ascii="宋体" w:hAnsi="宋体" w:eastAsia="宋体" w:cs="宋体"/>
          <w:color w:val="auto"/>
          <w:highlight w:val="none"/>
        </w:rPr>
        <w:t>等内外部所有接口管理负责。如受托方接口管理中存在错误或遗漏，委托方对此的任何审批或确认并不解除受托方的责任，除非该错误或遗漏是由于委托方提供的资料有误或不精确引起的。</w:t>
      </w:r>
    </w:p>
    <w:p>
      <w:pPr>
        <w:spacing w:line="360" w:lineRule="exact"/>
        <w:rPr>
          <w:rFonts w:ascii="宋体" w:hAnsi="宋体" w:eastAsia="宋体" w:cs="宋体"/>
          <w:color w:val="auto"/>
          <w:highlight w:val="none"/>
        </w:rPr>
      </w:pPr>
      <w:r>
        <w:rPr>
          <w:rFonts w:ascii="宋体" w:hAnsi="宋体" w:eastAsia="宋体" w:cs="宋体"/>
          <w:color w:val="auto"/>
          <w:highlight w:val="none"/>
        </w:rPr>
        <w:t>5.7</w:t>
      </w:r>
      <w:r>
        <w:rPr>
          <w:rFonts w:ascii="宋体" w:hAnsi="宋体" w:eastAsia="宋体" w:cs="宋体"/>
          <w:color w:val="auto"/>
          <w:highlight w:val="none"/>
        </w:rPr>
        <w:tab/>
      </w:r>
      <w:r>
        <w:rPr>
          <w:rFonts w:hint="eastAsia" w:ascii="宋体" w:hAnsi="宋体" w:eastAsia="宋体" w:cs="宋体"/>
          <w:color w:val="auto"/>
          <w:highlight w:val="none"/>
        </w:rPr>
        <w:t>集成商对设备供货商提供的进度计划的修正计划，必须在收到后</w:t>
      </w:r>
      <w:r>
        <w:rPr>
          <w:rFonts w:ascii="宋体" w:hAnsi="宋体" w:eastAsia="宋体" w:cs="宋体"/>
          <w:color w:val="auto"/>
          <w:highlight w:val="none"/>
        </w:rPr>
        <w:t>3个工作日内统筹考虑，提出意见给委托方确认，并在收到委托方的返回确认后3个工作日内返回给设备供货商。</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5.8 </w:t>
      </w:r>
      <w:r>
        <w:rPr>
          <w:rFonts w:hint="eastAsia" w:ascii="宋体" w:hAnsi="宋体" w:eastAsia="宋体" w:cs="宋体"/>
          <w:color w:val="auto"/>
          <w:highlight w:val="none"/>
        </w:rPr>
        <w:t>受托方应自备本合同项下必要的人员、办公、通讯、交通等设施、设备</w:t>
      </w:r>
      <w:r>
        <w:rPr>
          <w:rFonts w:ascii="宋体" w:hAnsi="宋体" w:eastAsia="宋体" w:cs="宋体"/>
          <w:color w:val="auto"/>
          <w:highlight w:val="none"/>
        </w:rPr>
        <w:t>，</w:t>
      </w:r>
      <w:r>
        <w:rPr>
          <w:rFonts w:hint="eastAsia" w:ascii="宋体" w:hAnsi="宋体" w:eastAsia="宋体" w:cs="宋体"/>
          <w:color w:val="auto"/>
          <w:highlight w:val="none"/>
        </w:rPr>
        <w:t>以及履行本合同所需的所有特殊仪器、工具，并负担所有有关的费用。</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5.9 </w:t>
      </w:r>
      <w:r>
        <w:rPr>
          <w:rFonts w:hint="eastAsia" w:ascii="宋体" w:hAnsi="宋体" w:eastAsia="宋体" w:cs="宋体"/>
          <w:color w:val="auto"/>
          <w:highlight w:val="none"/>
        </w:rPr>
        <w:t>受托方应承担本合同规定范围内因其错误或疏漏以及严重渎职造成的后果。</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5.10 </w:t>
      </w:r>
      <w:r>
        <w:rPr>
          <w:rFonts w:hint="eastAsia" w:ascii="宋体" w:hAnsi="宋体" w:eastAsia="宋体" w:cs="宋体"/>
          <w:color w:val="auto"/>
          <w:highlight w:val="none"/>
        </w:rPr>
        <w:t>在项目实施过程中，设备供货商对委托方的任何意见和要求（包括索赔要求），均须首先向受托方提出，由受托方研究处理意见，在授权范围内独立处理或报委托方处理。当其双方的争议由政府建设行政主管部门或仲裁机关进行调解和仲裁时，受托方应提供佐证的事实材料。</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5.11 </w:t>
      </w:r>
      <w:r>
        <w:rPr>
          <w:rFonts w:hint="eastAsia" w:ascii="宋体" w:hAnsi="宋体" w:eastAsia="宋体" w:cs="宋体"/>
          <w:color w:val="auto"/>
          <w:highlight w:val="none"/>
        </w:rPr>
        <w:t>集成服务最终验收前，受托方必须将完整的项目档案移交给委托方，并制作集成服务最终总结报告交委托方签字确认。</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5.12 </w:t>
      </w:r>
      <w:r>
        <w:rPr>
          <w:rFonts w:hint="eastAsia" w:ascii="宋体" w:hAnsi="宋体" w:eastAsia="宋体" w:cs="宋体"/>
          <w:color w:val="auto"/>
          <w:highlight w:val="none"/>
        </w:rPr>
        <w:t>受托方所承担的关于工作失误的责任仅限于本合同规定的范围。受托方承担的责任在委托方批准受托方的集成服务最终总结报告、服务结束后终止。</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5.13 </w:t>
      </w:r>
      <w:r>
        <w:rPr>
          <w:rFonts w:hint="eastAsia" w:ascii="宋体" w:hAnsi="宋体" w:eastAsia="宋体" w:cs="宋体"/>
          <w:color w:val="auto"/>
          <w:highlight w:val="none"/>
        </w:rPr>
        <w:t>有关服务的详细描述和责任以及主要工作要求和工作程序见附件</w:t>
      </w:r>
      <w:r>
        <w:rPr>
          <w:rFonts w:ascii="宋体" w:hAnsi="宋体" w:eastAsia="宋体" w:cs="宋体"/>
          <w:color w:val="auto"/>
          <w:highlight w:val="none"/>
        </w:rPr>
        <w:t>1、附件2的规定。</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668" w:name="_Toc319312341"/>
      <w:bookmarkStart w:id="1669" w:name="_Toc306006769"/>
      <w:bookmarkStart w:id="1670" w:name="_Toc319320656"/>
      <w:bookmarkStart w:id="1671" w:name="_Toc306006987"/>
      <w:bookmarkStart w:id="1672" w:name="_Toc306007456"/>
      <w:bookmarkStart w:id="1673" w:name="_Toc16925"/>
      <w:bookmarkStart w:id="1674" w:name="_Toc18327"/>
      <w:bookmarkStart w:id="1675" w:name="_Toc309026876"/>
      <w:bookmarkStart w:id="1676" w:name="_Toc318208964"/>
      <w:bookmarkStart w:id="1677" w:name="_Toc25481"/>
      <w:bookmarkStart w:id="1678" w:name="_Toc101002767"/>
      <w:bookmarkStart w:id="1679" w:name="_Toc10536"/>
      <w:bookmarkStart w:id="1680" w:name="_Toc98142493"/>
      <w:bookmarkStart w:id="1681" w:name="_Toc306007232"/>
      <w:bookmarkStart w:id="1682" w:name="_Toc27390751"/>
      <w:bookmarkStart w:id="1683" w:name="_Toc319311216"/>
      <w:bookmarkStart w:id="1684" w:name="_Toc306091605"/>
      <w:bookmarkStart w:id="1685" w:name="_Toc309026482"/>
      <w:bookmarkStart w:id="1686" w:name="_Toc319311390"/>
      <w:bookmarkStart w:id="1687" w:name="_Toc10842"/>
      <w:bookmarkStart w:id="1688" w:name="_Toc321906052"/>
      <w:bookmarkStart w:id="1689" w:name="_Toc319313653"/>
      <w:bookmarkStart w:id="1690" w:name="_Toc306007675"/>
      <w:r>
        <w:rPr>
          <w:rFonts w:hint="eastAsia" w:ascii="宋体" w:hAnsi="宋体" w:cs="Times New Roman" w:eastAsiaTheme="minorEastAsia"/>
          <w:b/>
          <w:color w:val="auto"/>
          <w:kern w:val="2"/>
          <w:sz w:val="32"/>
          <w:szCs w:val="22"/>
          <w:highlight w:val="none"/>
          <w:lang w:val="en-US" w:eastAsia="zh-CN" w:bidi="ar-SA"/>
        </w:rPr>
        <w:t>6.集成服务内容（新增专用条款第6条）</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pPr>
        <w:spacing w:line="360" w:lineRule="exact"/>
        <w:rPr>
          <w:rFonts w:ascii="宋体" w:hAnsi="宋体" w:eastAsia="宋体" w:cs="宋体"/>
          <w:color w:val="auto"/>
          <w:highlight w:val="none"/>
        </w:rPr>
      </w:pPr>
      <w:r>
        <w:rPr>
          <w:rFonts w:ascii="宋体" w:hAnsi="宋体" w:eastAsia="宋体" w:cs="宋体"/>
          <w:color w:val="auto"/>
          <w:highlight w:val="none"/>
        </w:rPr>
        <w:t>6.1 受托方应尽一切努力，高效又经济地按照本合同的要求及行业通常接受的技术和惯例履行服务，并遵守正确的管理和项目惯例，使用适当的先进技术和安全有效的设备、仪器、材料和方法。就与合同中服务有关的事宜，受托方始终作为委托方的忠实顾问。在与供货商的交往中始终支持和维护委托方的合法利益，力争使其服务的水平达到国内先进水平。其集成服务的内容包括但不限于：</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 编制服务规划和实施方案细则；</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 组织集成服务人员熟悉合同文件，了解设备制造和施工现场；</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6.1.3 参与设计联络工作，审查供货商提交的产品设计；</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6.1.4 督促和检查供货商建立质量保证体系及安全方案；</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6.1.5 组织主持召开设计联络会议和常规联络会议；</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6.1.6 审核供货商授权的项目代表的资质，以及其它负责本项目的主要技术、管理人员的资质；</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6.1.7 建立本集成服务的工作体系，按照规定的程序开展集成服务工作；</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6.1.8 审查供货商拟用于本项目的原始材料、成套设备的品质以及工艺试验和标准试验；</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6.1.9 审查供货商拟用于本项目的机械装备的性能与数量是否满足技术规范规定的项目质量标准的要求；</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6.1.10 审查供货商实施本项目的施工方案及主要方法或工艺；</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6.1.11 协助委托方审查分包合同和分包人的资质，控制外购成品件或半成品件的质量；</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6.1.12 会同委托方审批供货商提交的总体进度计划，检查和督促供货商实施进度计划，核批供货商的修正计划；</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6.1.13 要求供货商按照合同条件、技术规范和集成服务程序进行施工，通过监造、旁站、巡视、检测、试验和整体验收等手段全面监督、检查和控制项目实施的质量；</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6.1.14 签发中间检验证书；</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6.1.15 调查、处理项目质量缺陷和事故，出现重大质量事故时，督促供货商按规定整改直至发布停工令；</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6.1.16 对已完成质量合格的项目按合同进行准确的计量支付审批，并建立台帐；</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6.1.17 办理项目支付凭证手续，会同委托方审核后签发；</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6.1.18 办理变更手续，会同委托方审核后发布变更令；</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6.1.19 受理合同索赔，协助委托方根据合同规定进行评估和处理；</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6.1.20 根据合同规定处理违约事件，协调争端，在仲裁或诉讼过程中作证；</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6.1.21 编制集成服务工作月报、季报和年报；</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6.1.22 对供货商的预验收申请进行评估，会同委托方组织对拟提交预验收的项目进行检查和验收；</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6.1.23 在委托方和受托人集成服务人员确认预验收和预验收资料符合合同要求后签发预验收证书；</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6.1.24 督促、检查供货商按委托方的要求编制项目完工文件；</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6.1.25 编制受托方方面的集成服务完工文件；</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6.1.26 监督供货商认真执行缺陷责任期的工作计划，检查和验收剩余项目，对已通过预验收项目中出现的缺陷、故障调查其原因并确定相应责任；</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6.1.27 在委托方和受托方集成服务人员确认最终验收和最终验收资料符合合同要求后，签发项目最终验收证书；</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6.1.28 办理最终支付证书手续，会同委托方审核后签发；</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6.1.29 配合委托方的项目竣工验收和项目移交工作；</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6.1.30 协助委托方对供货商的设计进行管理，含设计变更审查、投资分析等。</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691" w:name="_Toc2015"/>
      <w:bookmarkStart w:id="1692" w:name="_Toc12633"/>
      <w:bookmarkStart w:id="1693" w:name="_Toc309026877"/>
      <w:bookmarkStart w:id="1694" w:name="_Toc306091606"/>
      <w:bookmarkStart w:id="1695" w:name="_Toc98142494"/>
      <w:bookmarkStart w:id="1696" w:name="_Toc306006770"/>
      <w:bookmarkStart w:id="1697" w:name="_Toc319311391"/>
      <w:bookmarkStart w:id="1698" w:name="_Toc306007676"/>
      <w:bookmarkStart w:id="1699" w:name="_Toc306006988"/>
      <w:bookmarkStart w:id="1700" w:name="_Toc319311217"/>
      <w:bookmarkStart w:id="1701" w:name="_Toc318208965"/>
      <w:bookmarkStart w:id="1702" w:name="_Toc319313654"/>
      <w:bookmarkStart w:id="1703" w:name="_Toc306007457"/>
      <w:bookmarkStart w:id="1704" w:name="_Toc101002768"/>
      <w:bookmarkStart w:id="1705" w:name="_Toc23039"/>
      <w:bookmarkStart w:id="1706" w:name="_Toc309026483"/>
      <w:bookmarkStart w:id="1707" w:name="_Toc27390752"/>
      <w:bookmarkStart w:id="1708" w:name="_Toc9989"/>
      <w:bookmarkStart w:id="1709" w:name="_Toc319312342"/>
      <w:bookmarkStart w:id="1710" w:name="_Toc321906053"/>
      <w:bookmarkStart w:id="1711" w:name="_Toc306007233"/>
      <w:bookmarkStart w:id="1712" w:name="_Toc319320657"/>
      <w:bookmarkStart w:id="1713" w:name="_Toc23228"/>
      <w:r>
        <w:rPr>
          <w:rFonts w:hint="eastAsia" w:ascii="宋体" w:hAnsi="宋体" w:cs="Times New Roman" w:eastAsiaTheme="minorEastAsia"/>
          <w:b/>
          <w:color w:val="auto"/>
          <w:kern w:val="2"/>
          <w:sz w:val="32"/>
          <w:szCs w:val="22"/>
          <w:highlight w:val="none"/>
          <w:lang w:val="en-US" w:eastAsia="zh-CN" w:bidi="ar-SA"/>
        </w:rPr>
        <w:t>7.机构和人员（新增专用条款第7条）</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pPr>
        <w:spacing w:line="360" w:lineRule="exact"/>
        <w:rPr>
          <w:rFonts w:ascii="宋体" w:hAnsi="宋体" w:eastAsia="宋体" w:cs="宋体"/>
          <w:color w:val="auto"/>
          <w:highlight w:val="none"/>
        </w:rPr>
      </w:pPr>
      <w:bookmarkStart w:id="1714" w:name="_Hlt20709206"/>
      <w:bookmarkEnd w:id="1714"/>
      <w:r>
        <w:rPr>
          <w:rFonts w:ascii="宋体" w:hAnsi="宋体" w:eastAsia="宋体" w:cs="宋体"/>
          <w:color w:val="auto"/>
          <w:highlight w:val="none"/>
        </w:rPr>
        <w:t xml:space="preserve">7.1 </w:t>
      </w:r>
      <w:r>
        <w:rPr>
          <w:rFonts w:hint="eastAsia" w:ascii="宋体" w:hAnsi="宋体" w:eastAsia="宋体" w:cs="宋体"/>
          <w:color w:val="auto"/>
          <w:highlight w:val="none"/>
        </w:rPr>
        <w:t>机构</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7.1.1 合同生效日起三十（30</w:t>
      </w:r>
      <w:r>
        <w:rPr>
          <w:rFonts w:hint="eastAsia" w:ascii="宋体" w:hAnsi="宋体" w:eastAsia="宋体" w:cs="宋体"/>
          <w:color w:val="auto"/>
          <w:highlight w:val="none"/>
        </w:rPr>
        <w:t>）天内，受托方应设立专门的服务结构（下称“服务机构”），包括在东莞设立专门的机构，以实施本合同项下的集成服务，并在机构内部设立不同的完整的职能部门，规定相应的职权范围，保证服务机构组织结构清晰、功能健全、运作良好有效，以使集成服务有序、高效地进行。详见附件</w:t>
      </w:r>
      <w:r>
        <w:rPr>
          <w:rFonts w:ascii="宋体" w:hAnsi="宋体" w:eastAsia="宋体" w:cs="宋体"/>
          <w:color w:val="auto"/>
          <w:highlight w:val="none"/>
        </w:rPr>
        <w:t>3规定。</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7.1.2 受托方服务机构应一直存在直至服务结束，不论实际结束时间是否延后。如因受托方原因导致服务结束时间延后，受托方必须负担延长服务机构期限的所有费用。</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7.2 机构人员 </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7.2.1 受托方必须将投标文件承诺的项目经理(即项目负责人)派驻服务机构。项目经理(即项目负责人)是受托方的全权代表，并与委托方授权代表建立固定工作联系。本项目中，项目经理在合同期内不得更换。</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7.2.2 受托方应为服务机构配备充足的合格胜任的人员，其人员必须具备附件3规定的资格。</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7.2.3 所有服务机构人员安排必须由委托方确认。所有人员上岗前，需将满足以上要求的所有材料报业主。当业主认为有无法胜任工作的人员时，有权要求马上更换。集成服务商主动提出的的人员更换，必须首先经过业主的批准，新更换的人员须按照“人员履历表”的格式要求填写个人情况并报业主批准后方可上岗。业主有权拒绝未经报备的人员，参与合同的项目执行。所有更换的人员，资历条件不得低于原来的人员。</w:t>
      </w:r>
    </w:p>
    <w:p>
      <w:pPr>
        <w:spacing w:line="360" w:lineRule="exact"/>
        <w:rPr>
          <w:rFonts w:ascii="宋体" w:hAnsi="宋体" w:eastAsia="宋体" w:cs="宋体"/>
          <w:color w:val="auto"/>
          <w:highlight w:val="none"/>
        </w:rPr>
      </w:pPr>
      <w:r>
        <w:rPr>
          <w:rFonts w:ascii="宋体" w:hAnsi="宋体" w:eastAsia="宋体" w:cs="宋体"/>
          <w:color w:val="auto"/>
          <w:highlight w:val="none"/>
        </w:rPr>
        <w:t>7.3 服务机构和人员的变更</w:t>
      </w:r>
    </w:p>
    <w:p>
      <w:pPr>
        <w:spacing w:line="400" w:lineRule="exact"/>
        <w:rPr>
          <w:rFonts w:hint="eastAsia" w:ascii="Times New Roman" w:hAnsi="Times New Roman" w:eastAsia="宋体" w:cs="宋体"/>
          <w:color w:val="auto"/>
          <w:highlight w:val="none"/>
          <w:lang w:val="en-US" w:eastAsia="zh-CN"/>
        </w:rPr>
      </w:pPr>
      <w:r>
        <w:rPr>
          <w:rFonts w:ascii="宋体" w:hAnsi="宋体" w:eastAsia="宋体" w:cs="宋体"/>
          <w:color w:val="auto"/>
          <w:highlight w:val="none"/>
        </w:rPr>
        <w:t>7.3.1本项目中，项目经理、</w:t>
      </w:r>
      <w:r>
        <w:rPr>
          <w:rFonts w:hint="eastAsia" w:ascii="宋体" w:hAnsi="宋体" w:eastAsia="宋体" w:cs="宋体"/>
          <w:color w:val="auto"/>
          <w:highlight w:val="none"/>
          <w:lang w:val="en-US" w:eastAsia="zh-CN"/>
        </w:rPr>
        <w:t>系统负责任人</w:t>
      </w:r>
      <w:r>
        <w:rPr>
          <w:rFonts w:ascii="宋体" w:hAnsi="宋体" w:eastAsia="宋体" w:cs="宋体"/>
          <w:color w:val="auto"/>
          <w:highlight w:val="none"/>
        </w:rPr>
        <w:t>在合同期内不得更换，由于集成服务商原因更换项目经理、</w:t>
      </w:r>
      <w:r>
        <w:rPr>
          <w:rFonts w:hint="eastAsia" w:ascii="宋体" w:hAnsi="宋体" w:eastAsia="宋体" w:cs="宋体"/>
          <w:color w:val="auto"/>
          <w:highlight w:val="none"/>
          <w:lang w:val="en-US" w:eastAsia="zh-CN"/>
        </w:rPr>
        <w:t>系统负责人</w:t>
      </w:r>
      <w:r>
        <w:rPr>
          <w:rFonts w:ascii="宋体" w:hAnsi="宋体" w:eastAsia="宋体" w:cs="宋体"/>
          <w:color w:val="auto"/>
          <w:highlight w:val="none"/>
        </w:rPr>
        <w:t>，将对集成服务商进行相应的</w:t>
      </w:r>
      <w:r>
        <w:rPr>
          <w:rFonts w:hint="eastAsia" w:ascii="宋体" w:hAnsi="宋体" w:cs="宋体"/>
          <w:color w:val="auto"/>
          <w:highlight w:val="none"/>
          <w:lang w:val="en-US" w:eastAsia="zh-CN"/>
        </w:rPr>
        <w:t>违约</w:t>
      </w:r>
      <w:r>
        <w:rPr>
          <w:rFonts w:ascii="宋体" w:hAnsi="宋体" w:eastAsia="宋体" w:cs="宋体"/>
          <w:color w:val="auto"/>
          <w:highlight w:val="none"/>
        </w:rPr>
        <w:t>处理：</w:t>
      </w:r>
      <w:r>
        <w:rPr>
          <w:rFonts w:hint="eastAsia" w:ascii="Times New Roman" w:hAnsi="Times New Roman" w:eastAsia="宋体" w:cs="宋体"/>
          <w:color w:val="auto"/>
          <w:highlight w:val="none"/>
        </w:rPr>
        <w:t>项目经理更换按</w:t>
      </w:r>
      <w:r>
        <w:rPr>
          <w:rFonts w:hint="eastAsia" w:ascii="Times New Roman" w:hAnsi="Times New Roman" w:eastAsia="宋体" w:cs="宋体"/>
          <w:color w:val="auto"/>
          <w:highlight w:val="none"/>
          <w:lang w:val="en-US" w:eastAsia="zh-CN"/>
        </w:rPr>
        <w:t>20万元/人.次</w:t>
      </w:r>
      <w:r>
        <w:rPr>
          <w:rFonts w:ascii="Times New Roman" w:hAnsi="Times New Roman" w:eastAsia="宋体" w:cs="宋体"/>
          <w:color w:val="auto"/>
          <w:highlight w:val="none"/>
        </w:rPr>
        <w:t>处罚，</w:t>
      </w:r>
      <w:r>
        <w:rPr>
          <w:rFonts w:hint="eastAsia" w:ascii="Times New Roman" w:hAnsi="Times New Roman" w:eastAsia="宋体" w:cs="宋体"/>
          <w:color w:val="auto"/>
          <w:highlight w:val="none"/>
          <w:lang w:val="en-US" w:eastAsia="zh-CN"/>
        </w:rPr>
        <w:t>系统负责人按</w:t>
      </w:r>
      <w:r>
        <w:rPr>
          <w:rFonts w:ascii="Times New Roman" w:hAnsi="Times New Roman" w:eastAsia="宋体" w:cs="宋体"/>
          <w:color w:val="auto"/>
          <w:highlight w:val="none"/>
        </w:rPr>
        <w:t>10</w:t>
      </w:r>
      <w:r>
        <w:rPr>
          <w:rFonts w:hint="eastAsia" w:ascii="Times New Roman" w:hAnsi="Times New Roman" w:eastAsia="宋体" w:cs="宋体"/>
          <w:color w:val="auto"/>
          <w:highlight w:val="none"/>
          <w:lang w:val="en-US" w:eastAsia="zh-CN"/>
        </w:rPr>
        <w:t>万元/人.次</w:t>
      </w:r>
      <w:r>
        <w:rPr>
          <w:rFonts w:ascii="Times New Roman" w:hAnsi="Times New Roman" w:eastAsia="宋体" w:cs="宋体"/>
          <w:color w:val="auto"/>
          <w:highlight w:val="none"/>
        </w:rPr>
        <w:t>处罚。服务过程中，项目经理、</w:t>
      </w:r>
      <w:r>
        <w:rPr>
          <w:rFonts w:hint="eastAsia" w:ascii="Times New Roman" w:hAnsi="Times New Roman" w:eastAsia="宋体" w:cs="宋体"/>
          <w:color w:val="auto"/>
          <w:highlight w:val="none"/>
          <w:lang w:val="en-US" w:eastAsia="zh-CN"/>
        </w:rPr>
        <w:t>系统负责人</w:t>
      </w:r>
      <w:r>
        <w:rPr>
          <w:rFonts w:ascii="Times New Roman" w:hAnsi="Times New Roman" w:eastAsia="宋体" w:cs="宋体"/>
          <w:color w:val="auto"/>
          <w:highlight w:val="none"/>
        </w:rPr>
        <w:t>擅自离岗累计30天或以上，</w:t>
      </w:r>
      <w:r>
        <w:rPr>
          <w:rFonts w:hint="eastAsia" w:ascii="Times New Roman" w:hAnsi="Times New Roman" w:eastAsia="宋体" w:cs="宋体"/>
          <w:color w:val="auto"/>
          <w:highlight w:val="none"/>
          <w:lang w:val="en-US" w:eastAsia="zh-CN"/>
        </w:rPr>
        <w:t>视为擅自更换。上述人员因疾病或意外事故导致不能履行职责的，需提供国家三级甲等以上医院出具医学证明文件（包括不限于：住院记录，病例，检验报告等）并经委托人书面同意办理更换手续后，可不扣违约金。</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7.3.2本项目中，技术工程师的更换，须满足以下原则：</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ascii="宋体" w:hAnsi="宋体" w:eastAsia="宋体" w:cs="宋体"/>
          <w:color w:val="auto"/>
          <w:highlight w:val="none"/>
        </w:rPr>
        <w:t>1）因死亡、重大疾病等客观原因导致不能履行职责的，需提供国家三级甲等以上医院出具医学证明文件，可更换相应的技术工程师，不</w:t>
      </w:r>
      <w:r>
        <w:rPr>
          <w:rFonts w:hint="eastAsia" w:ascii="宋体" w:hAnsi="宋体" w:cs="宋体"/>
          <w:color w:val="auto"/>
          <w:highlight w:val="none"/>
          <w:lang w:val="en-US" w:eastAsia="zh-CN"/>
        </w:rPr>
        <w:t>算违约</w:t>
      </w:r>
      <w:r>
        <w:rPr>
          <w:rFonts w:ascii="宋体" w:hAnsi="宋体" w:eastAsia="宋体" w:cs="宋体"/>
          <w:color w:val="auto"/>
          <w:highlight w:val="none"/>
        </w:rPr>
        <w:t>；</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ascii="宋体" w:hAnsi="宋体" w:eastAsia="宋体" w:cs="宋体"/>
          <w:color w:val="auto"/>
          <w:highlight w:val="none"/>
        </w:rPr>
        <w:t>2）因集成服务商自身原因提出更换技术工程师的，自合同签订起更换的前3名不</w:t>
      </w:r>
      <w:r>
        <w:rPr>
          <w:rFonts w:hint="eastAsia" w:ascii="宋体" w:hAnsi="宋体" w:cs="宋体"/>
          <w:color w:val="auto"/>
          <w:highlight w:val="none"/>
          <w:lang w:val="en-US" w:eastAsia="zh-CN"/>
        </w:rPr>
        <w:t>算违约</w:t>
      </w:r>
      <w:r>
        <w:rPr>
          <w:rFonts w:ascii="宋体" w:hAnsi="宋体" w:eastAsia="宋体" w:cs="宋体"/>
          <w:color w:val="auto"/>
          <w:highlight w:val="none"/>
        </w:rPr>
        <w:t>；超过3名的每次更换按以下原则</w:t>
      </w:r>
      <w:r>
        <w:rPr>
          <w:rFonts w:hint="eastAsia" w:ascii="宋体" w:hAnsi="宋体" w:cs="宋体"/>
          <w:color w:val="auto"/>
          <w:highlight w:val="none"/>
          <w:lang w:val="en-US" w:eastAsia="zh-CN"/>
        </w:rPr>
        <w:t>支付违约金</w:t>
      </w:r>
      <w:r>
        <w:rPr>
          <w:rFonts w:ascii="宋体" w:hAnsi="宋体" w:eastAsia="宋体" w:cs="宋体"/>
          <w:color w:val="auto"/>
          <w:highlight w:val="none"/>
        </w:rPr>
        <w:t>：</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罚款额</w:t>
      </w:r>
      <w:r>
        <w:rPr>
          <w:rFonts w:ascii="宋体" w:hAnsi="宋体" w:eastAsia="宋体" w:cs="宋体"/>
          <w:color w:val="auto"/>
          <w:highlight w:val="none"/>
        </w:rPr>
        <w:t>=5万元×（被更换人员服务年限系数+更换人员资历系数）</w:t>
      </w:r>
    </w:p>
    <w:tbl>
      <w:tblPr>
        <w:tblStyle w:val="14"/>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700"/>
        <w:gridCol w:w="232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9" w:type="dxa"/>
            <w:shd w:val="clear" w:color="auto" w:fill="auto"/>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被更换人员服务年限</w:t>
            </w:r>
          </w:p>
        </w:tc>
        <w:tc>
          <w:tcPr>
            <w:tcW w:w="1700" w:type="dxa"/>
            <w:shd w:val="clear" w:color="auto" w:fill="auto"/>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系数</w:t>
            </w:r>
          </w:p>
        </w:tc>
        <w:tc>
          <w:tcPr>
            <w:tcW w:w="2322" w:type="dxa"/>
            <w:shd w:val="clear" w:color="auto" w:fill="auto"/>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更换人员资历</w:t>
            </w:r>
          </w:p>
        </w:tc>
        <w:tc>
          <w:tcPr>
            <w:tcW w:w="1648" w:type="dxa"/>
            <w:shd w:val="clear" w:color="auto" w:fill="auto"/>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shd w:val="clear" w:color="auto" w:fill="auto"/>
            <w:vAlign w:val="top"/>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12个月</w:t>
            </w:r>
          </w:p>
        </w:tc>
        <w:tc>
          <w:tcPr>
            <w:tcW w:w="1700" w:type="dxa"/>
            <w:shd w:val="clear" w:color="auto" w:fill="auto"/>
            <w:vAlign w:val="top"/>
          </w:tcPr>
          <w:p>
            <w:pPr>
              <w:spacing w:line="360" w:lineRule="auto"/>
              <w:rPr>
                <w:rFonts w:ascii="宋体" w:hAnsi="宋体" w:eastAsia="宋体" w:cs="宋体"/>
                <w:color w:val="auto"/>
                <w:highlight w:val="none"/>
              </w:rPr>
            </w:pPr>
            <w:r>
              <w:rPr>
                <w:rFonts w:ascii="宋体" w:hAnsi="宋体" w:eastAsia="宋体" w:cs="宋体"/>
                <w:color w:val="auto"/>
                <w:highlight w:val="none"/>
              </w:rPr>
              <w:t>2</w:t>
            </w:r>
          </w:p>
        </w:tc>
        <w:tc>
          <w:tcPr>
            <w:tcW w:w="2322" w:type="dxa"/>
            <w:shd w:val="clear" w:color="auto" w:fill="auto"/>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低于被更换人员</w:t>
            </w:r>
          </w:p>
        </w:tc>
        <w:tc>
          <w:tcPr>
            <w:tcW w:w="1648" w:type="dxa"/>
            <w:shd w:val="clear" w:color="auto" w:fill="auto"/>
          </w:tcPr>
          <w:p>
            <w:pPr>
              <w:spacing w:line="360" w:lineRule="auto"/>
              <w:rPr>
                <w:rFonts w:ascii="宋体" w:hAnsi="宋体" w:eastAsia="宋体" w:cs="宋体"/>
                <w:color w:val="auto"/>
                <w:highlight w:val="none"/>
              </w:rPr>
            </w:pPr>
            <w:r>
              <w:rPr>
                <w:rFonts w:ascii="宋体" w:hAnsi="宋体" w:eastAsia="宋体" w:cs="宋体"/>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shd w:val="clear" w:color="auto" w:fill="auto"/>
            <w:vAlign w:val="top"/>
          </w:tcPr>
          <w:p>
            <w:pPr>
              <w:spacing w:line="360" w:lineRule="auto"/>
              <w:rPr>
                <w:rFonts w:ascii="宋体" w:hAnsi="宋体" w:eastAsia="宋体" w:cs="宋体"/>
                <w:color w:val="auto"/>
                <w:highlight w:val="none"/>
              </w:rPr>
            </w:pPr>
            <w:r>
              <w:rPr>
                <w:rFonts w:hint="eastAsia" w:ascii="宋体" w:hAnsi="宋体" w:eastAsia="宋体" w:cs="宋体"/>
                <w:color w:val="auto"/>
                <w:highlight w:val="none"/>
                <w:lang w:val="en-US" w:eastAsia="zh-CN"/>
              </w:rPr>
              <w:t>12</w:t>
            </w:r>
            <w:r>
              <w:rPr>
                <w:rFonts w:ascii="宋体" w:hAnsi="宋体" w:eastAsia="宋体" w:cs="宋体"/>
                <w:color w:val="auto"/>
                <w:highlight w:val="none"/>
              </w:rPr>
              <w:t>个月—24个月</w:t>
            </w:r>
          </w:p>
        </w:tc>
        <w:tc>
          <w:tcPr>
            <w:tcW w:w="1700" w:type="dxa"/>
            <w:shd w:val="clear" w:color="auto" w:fill="auto"/>
            <w:vAlign w:val="top"/>
          </w:tcPr>
          <w:p>
            <w:pPr>
              <w:spacing w:line="360" w:lineRule="auto"/>
              <w:rPr>
                <w:rFonts w:ascii="宋体" w:hAnsi="宋体" w:eastAsia="宋体" w:cs="宋体"/>
                <w:color w:val="auto"/>
                <w:highlight w:val="none"/>
              </w:rPr>
            </w:pPr>
            <w:r>
              <w:rPr>
                <w:rFonts w:ascii="宋体" w:hAnsi="宋体" w:eastAsia="宋体" w:cs="宋体"/>
                <w:color w:val="auto"/>
                <w:highlight w:val="none"/>
              </w:rPr>
              <w:t>1</w:t>
            </w:r>
          </w:p>
        </w:tc>
        <w:tc>
          <w:tcPr>
            <w:tcW w:w="2322" w:type="dxa"/>
            <w:shd w:val="clear" w:color="auto" w:fill="auto"/>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相当于被更换人员</w:t>
            </w:r>
          </w:p>
        </w:tc>
        <w:tc>
          <w:tcPr>
            <w:tcW w:w="1648" w:type="dxa"/>
            <w:shd w:val="clear" w:color="auto" w:fill="auto"/>
          </w:tcPr>
          <w:p>
            <w:pPr>
              <w:spacing w:line="360" w:lineRule="auto"/>
              <w:rPr>
                <w:rFonts w:ascii="宋体" w:hAnsi="宋体" w:eastAsia="宋体" w:cs="宋体"/>
                <w:color w:val="auto"/>
                <w:highlight w:val="none"/>
              </w:rPr>
            </w:pPr>
            <w:r>
              <w:rPr>
                <w:rFonts w:ascii="宋体" w:hAnsi="宋体" w:eastAsia="宋体" w:cs="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shd w:val="clear" w:color="auto" w:fill="auto"/>
            <w:vAlign w:val="top"/>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24个月</w:t>
            </w:r>
          </w:p>
        </w:tc>
        <w:tc>
          <w:tcPr>
            <w:tcW w:w="1700" w:type="dxa"/>
            <w:shd w:val="clear" w:color="auto" w:fill="auto"/>
            <w:vAlign w:val="top"/>
          </w:tcPr>
          <w:p>
            <w:pPr>
              <w:spacing w:line="360" w:lineRule="auto"/>
              <w:rPr>
                <w:rFonts w:ascii="宋体" w:hAnsi="宋体" w:eastAsia="宋体" w:cs="宋体"/>
                <w:color w:val="auto"/>
                <w:highlight w:val="none"/>
              </w:rPr>
            </w:pPr>
            <w:r>
              <w:rPr>
                <w:rFonts w:ascii="宋体" w:hAnsi="宋体" w:eastAsia="宋体" w:cs="宋体"/>
                <w:color w:val="auto"/>
                <w:highlight w:val="none"/>
              </w:rPr>
              <w:t>0</w:t>
            </w:r>
          </w:p>
        </w:tc>
        <w:tc>
          <w:tcPr>
            <w:tcW w:w="2322" w:type="dxa"/>
            <w:shd w:val="clear" w:color="auto" w:fill="auto"/>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优于被更换人员</w:t>
            </w:r>
          </w:p>
        </w:tc>
        <w:tc>
          <w:tcPr>
            <w:tcW w:w="1648" w:type="dxa"/>
            <w:shd w:val="clear" w:color="auto" w:fill="auto"/>
          </w:tcPr>
          <w:p>
            <w:pPr>
              <w:spacing w:line="360" w:lineRule="auto"/>
              <w:rPr>
                <w:rFonts w:ascii="宋体" w:hAnsi="宋体" w:eastAsia="宋体" w:cs="宋体"/>
                <w:color w:val="auto"/>
                <w:highlight w:val="none"/>
              </w:rPr>
            </w:pPr>
            <w:r>
              <w:rPr>
                <w:rFonts w:ascii="宋体" w:hAnsi="宋体" w:eastAsia="宋体" w:cs="宋体"/>
                <w:color w:val="auto"/>
                <w:highlight w:val="none"/>
              </w:rPr>
              <w:t>0</w:t>
            </w:r>
          </w:p>
        </w:tc>
      </w:tr>
    </w:tbl>
    <w:p>
      <w:pPr>
        <w:numPr>
          <w:ilvl w:val="0"/>
          <w:numId w:val="0"/>
        </w:num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ascii="宋体" w:hAnsi="宋体" w:eastAsia="宋体" w:cs="宋体"/>
          <w:color w:val="auto"/>
          <w:highlight w:val="none"/>
        </w:rPr>
        <w:t>因无法胜任工作或违法违规，被业主要求更换的，按每人</w:t>
      </w:r>
      <w:r>
        <w:rPr>
          <w:rFonts w:hint="eastAsia" w:ascii="宋体" w:hAnsi="宋体" w:eastAsia="宋体" w:cs="宋体"/>
          <w:color w:val="auto"/>
          <w:highlight w:val="none"/>
          <w:lang w:val="en-US" w:eastAsia="zh-CN"/>
        </w:rPr>
        <w:t>5</w:t>
      </w:r>
      <w:r>
        <w:rPr>
          <w:rFonts w:ascii="宋体" w:hAnsi="宋体" w:eastAsia="宋体" w:cs="宋体"/>
          <w:color w:val="auto"/>
          <w:highlight w:val="none"/>
        </w:rPr>
        <w:t>万元</w:t>
      </w:r>
      <w:r>
        <w:rPr>
          <w:rFonts w:hint="eastAsia" w:ascii="宋体" w:hAnsi="宋体" w:eastAsia="宋体" w:cs="宋体"/>
          <w:color w:val="auto"/>
          <w:highlight w:val="none"/>
          <w:lang w:val="en-US" w:eastAsia="zh-CN"/>
        </w:rPr>
        <w:t>/次</w:t>
      </w:r>
      <w:r>
        <w:rPr>
          <w:rFonts w:ascii="宋体" w:hAnsi="宋体" w:eastAsia="宋体" w:cs="宋体"/>
          <w:color w:val="auto"/>
          <w:highlight w:val="none"/>
        </w:rPr>
        <w:t>处罚。</w:t>
      </w:r>
    </w:p>
    <w:p>
      <w:pPr>
        <w:numPr>
          <w:ilvl w:val="0"/>
          <w:numId w:val="0"/>
        </w:num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（4）合同执行时，经业主检查集成服务人员投入不满足投标承诺时，</w:t>
      </w:r>
      <w:r>
        <w:rPr>
          <w:rFonts w:ascii="宋体" w:hAnsi="宋体" w:eastAsia="宋体" w:cs="宋体"/>
          <w:color w:val="auto"/>
          <w:highlight w:val="none"/>
        </w:rPr>
        <w:t>按每人</w:t>
      </w:r>
      <w:r>
        <w:rPr>
          <w:rFonts w:hint="eastAsia" w:ascii="宋体" w:hAnsi="宋体" w:eastAsia="宋体" w:cs="宋体"/>
          <w:color w:val="auto"/>
          <w:highlight w:val="none"/>
          <w:lang w:val="en-US" w:eastAsia="zh-CN"/>
        </w:rPr>
        <w:t>1</w:t>
      </w:r>
      <w:r>
        <w:rPr>
          <w:rFonts w:ascii="宋体" w:hAnsi="宋体" w:eastAsia="宋体" w:cs="宋体"/>
          <w:color w:val="auto"/>
          <w:highlight w:val="none"/>
        </w:rPr>
        <w:t>万元</w:t>
      </w:r>
      <w:r>
        <w:rPr>
          <w:rFonts w:hint="eastAsia" w:ascii="宋体" w:hAnsi="宋体" w:eastAsia="宋体" w:cs="宋体"/>
          <w:color w:val="auto"/>
          <w:highlight w:val="none"/>
          <w:lang w:val="en-US" w:eastAsia="zh-CN"/>
        </w:rPr>
        <w:t>/次</w:t>
      </w:r>
      <w:r>
        <w:rPr>
          <w:rFonts w:ascii="宋体" w:hAnsi="宋体" w:eastAsia="宋体" w:cs="宋体"/>
          <w:color w:val="auto"/>
          <w:highlight w:val="none"/>
        </w:rPr>
        <w:t>处罚</w:t>
      </w:r>
      <w:r>
        <w:rPr>
          <w:rFonts w:hint="eastAsia" w:ascii="宋体" w:hAnsi="宋体" w:eastAsia="宋体" w:cs="宋体"/>
          <w:color w:val="auto"/>
          <w:highlight w:val="none"/>
          <w:lang w:eastAsia="zh-CN"/>
        </w:rPr>
        <w:t>。</w:t>
      </w:r>
    </w:p>
    <w:p>
      <w:pPr>
        <w:spacing w:line="360" w:lineRule="exact"/>
        <w:rPr>
          <w:rFonts w:ascii="宋体" w:hAnsi="宋体" w:eastAsia="宋体" w:cs="宋体"/>
          <w:color w:val="auto"/>
          <w:highlight w:val="none"/>
        </w:rPr>
      </w:pPr>
      <w:r>
        <w:rPr>
          <w:rFonts w:ascii="宋体" w:hAnsi="宋体" w:eastAsia="宋体" w:cs="宋体"/>
          <w:color w:val="auto"/>
          <w:highlight w:val="none"/>
        </w:rPr>
        <w:t>7.4 服务机构和人员的费用</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所有费用均已包含在合同价格中，委托方不须承担任何费用，除非合同另有规定。</w:t>
      </w:r>
    </w:p>
    <w:p>
      <w:pPr>
        <w:spacing w:line="360" w:lineRule="exact"/>
        <w:rPr>
          <w:rFonts w:ascii="宋体" w:hAnsi="宋体" w:eastAsia="宋体" w:cs="宋体"/>
          <w:color w:val="auto"/>
          <w:highlight w:val="none"/>
        </w:rPr>
      </w:pPr>
      <w:r>
        <w:rPr>
          <w:rFonts w:ascii="宋体" w:hAnsi="宋体" w:eastAsia="宋体" w:cs="宋体"/>
          <w:color w:val="auto"/>
          <w:highlight w:val="none"/>
        </w:rPr>
        <w:t>7.5 服务机构及人员的管理</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7.5.1 </w:t>
      </w:r>
      <w:r>
        <w:rPr>
          <w:rFonts w:hint="eastAsia" w:ascii="宋体" w:hAnsi="宋体" w:eastAsia="宋体" w:cs="宋体"/>
          <w:color w:val="auto"/>
          <w:highlight w:val="none"/>
        </w:rPr>
        <w:t>受托方必须保证按双方协商确定的人员名单到岗，并应：</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）不得随意更换项目服务人员，若需要更换时，必须事前提出同等或资质更高的人员报委托方批准；</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）接受委托方提出的人员更换，并在接到通知的一个月内选派资格和经验为委托方接受的人员替换。由于更换人员引起的费用由受托方承担；</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）受托方应保证相应的集成服务人员从事要求的项目收尾、项目整改、项目结算缺陷责任期服务工作。</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7.5.2 </w:t>
      </w:r>
      <w:r>
        <w:rPr>
          <w:rFonts w:hint="eastAsia" w:ascii="宋体" w:hAnsi="宋体" w:eastAsia="宋体" w:cs="宋体"/>
          <w:color w:val="auto"/>
          <w:highlight w:val="none"/>
        </w:rPr>
        <w:t>委托方应对其集成服务人员的人身安全负全部责任。</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7.5.3 </w:t>
      </w:r>
      <w:r>
        <w:rPr>
          <w:rFonts w:hint="eastAsia" w:ascii="宋体" w:hAnsi="宋体" w:eastAsia="宋体" w:cs="宋体"/>
          <w:color w:val="auto"/>
          <w:highlight w:val="none"/>
        </w:rPr>
        <w:t>受托方应自备本合同项下必要的人员、办公、通讯、交通等设施、设备，并负担所有有关的费用。受托方应自备履行本合同所需的所有特殊仪器、工具，并负担所有有关费用。</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7.5.4 </w:t>
      </w:r>
      <w:r>
        <w:rPr>
          <w:rFonts w:hint="eastAsia" w:ascii="宋体" w:hAnsi="宋体" w:eastAsia="宋体" w:cs="宋体"/>
          <w:color w:val="auto"/>
          <w:highlight w:val="none"/>
        </w:rPr>
        <w:t>受托方集成服务人员在服务期间只能获得协议书中规定的报酬和奖励，此外不得索要额外的报酬，不得从供货商处获得任何奖金、加班费、实物，不得参与供货商的经济活动。</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715" w:name="_Toc306007677"/>
      <w:bookmarkStart w:id="1716" w:name="_Toc98142495"/>
      <w:bookmarkStart w:id="1717" w:name="_Toc318208966"/>
      <w:bookmarkStart w:id="1718" w:name="_Toc306007234"/>
      <w:bookmarkStart w:id="1719" w:name="_Toc309026484"/>
      <w:bookmarkStart w:id="1720" w:name="_Toc17484"/>
      <w:bookmarkStart w:id="1721" w:name="_Toc27390753"/>
      <w:bookmarkStart w:id="1722" w:name="_Toc319313655"/>
      <w:bookmarkStart w:id="1723" w:name="_Toc321906054"/>
      <w:bookmarkStart w:id="1724" w:name="_Toc306091607"/>
      <w:bookmarkStart w:id="1725" w:name="_Toc101002769"/>
      <w:bookmarkStart w:id="1726" w:name="_Toc17228"/>
      <w:bookmarkStart w:id="1727" w:name="_Toc309026878"/>
      <w:bookmarkStart w:id="1728" w:name="_Toc306007458"/>
      <w:bookmarkStart w:id="1729" w:name="_Toc319311392"/>
      <w:bookmarkStart w:id="1730" w:name="_Toc19468"/>
      <w:bookmarkStart w:id="1731" w:name="_Toc319312343"/>
      <w:bookmarkStart w:id="1732" w:name="_Toc319320658"/>
      <w:bookmarkStart w:id="1733" w:name="_Toc4759"/>
      <w:bookmarkStart w:id="1734" w:name="_Toc306006771"/>
      <w:bookmarkStart w:id="1735" w:name="_Toc17364"/>
      <w:bookmarkStart w:id="1736" w:name="_Toc319311218"/>
      <w:bookmarkStart w:id="1737" w:name="_Toc306006989"/>
      <w:r>
        <w:rPr>
          <w:rFonts w:hint="eastAsia" w:ascii="宋体" w:hAnsi="宋体" w:cs="Times New Roman" w:eastAsiaTheme="minorEastAsia"/>
          <w:b/>
          <w:color w:val="auto"/>
          <w:kern w:val="2"/>
          <w:sz w:val="32"/>
          <w:szCs w:val="22"/>
          <w:highlight w:val="none"/>
          <w:lang w:val="en-US" w:eastAsia="zh-CN" w:bidi="ar-SA"/>
        </w:rPr>
        <w:t>8.履约保证金（通用条款第10条）</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通用条款第10条修改为</w:t>
      </w:r>
    </w:p>
    <w:p>
      <w:pPr>
        <w:spacing w:line="360" w:lineRule="exact"/>
        <w:ind w:firstLine="420" w:firstLineChars="200"/>
        <w:rPr>
          <w:rFonts w:hint="eastAsia" w:ascii="宋体" w:hAnsi="宋体" w:eastAsia="宋体" w:cs="宋体"/>
          <w:color w:val="auto"/>
          <w:highlight w:val="none"/>
        </w:rPr>
      </w:pPr>
      <w:bookmarkStart w:id="1738" w:name="_Toc472424806"/>
      <w:bookmarkStart w:id="1739" w:name="_Toc472424731"/>
      <w:bookmarkStart w:id="1740" w:name="_Toc472424656"/>
      <w:bookmarkStart w:id="1741" w:name="_Toc472424882"/>
      <w:bookmarkStart w:id="1742" w:name="_Toc472424253"/>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受托方</w:t>
      </w:r>
      <w:r>
        <w:rPr>
          <w:rFonts w:hint="eastAsia" w:ascii="宋体" w:hAnsi="宋体" w:eastAsia="宋体" w:cs="宋体"/>
          <w:color w:val="auto"/>
          <w:highlight w:val="none"/>
        </w:rPr>
        <w:t>应在收到中标通知书后的14天内，为其恰当地履行合同向</w:t>
      </w:r>
      <w:r>
        <w:rPr>
          <w:rFonts w:hint="eastAsia" w:ascii="宋体" w:hAnsi="宋体" w:eastAsia="宋体" w:cs="宋体"/>
          <w:color w:val="auto"/>
          <w:highlight w:val="none"/>
          <w:lang w:val="en-US" w:eastAsia="zh-CN"/>
        </w:rPr>
        <w:t>委托方</w:t>
      </w:r>
      <w:r>
        <w:rPr>
          <w:rFonts w:hint="eastAsia" w:ascii="宋体" w:hAnsi="宋体" w:eastAsia="宋体" w:cs="宋体"/>
          <w:color w:val="auto"/>
          <w:highlight w:val="none"/>
        </w:rPr>
        <w:t>提供履约保证金，如果履约保证金以银行保函形式提供，按招标文件附上的格式，由</w:t>
      </w:r>
      <w:r>
        <w:rPr>
          <w:rFonts w:hint="eastAsia" w:ascii="宋体" w:hAnsi="宋体" w:eastAsia="宋体" w:cs="宋体"/>
          <w:color w:val="auto"/>
          <w:highlight w:val="none"/>
          <w:lang w:val="en-US" w:eastAsia="zh-CN"/>
        </w:rPr>
        <w:t>委托方</w:t>
      </w:r>
      <w:r>
        <w:rPr>
          <w:rFonts w:hint="eastAsia" w:ascii="宋体" w:hAnsi="宋体" w:eastAsia="宋体" w:cs="宋体"/>
          <w:color w:val="auto"/>
          <w:highlight w:val="none"/>
        </w:rPr>
        <w:t>可接受的银行开具，按</w:t>
      </w:r>
      <w:r>
        <w:rPr>
          <w:rFonts w:hint="eastAsia" w:ascii="宋体" w:hAnsi="宋体" w:eastAsia="宋体" w:cs="宋体"/>
          <w:color w:val="auto"/>
          <w:highlight w:val="none"/>
          <w:lang w:val="en-US" w:eastAsia="zh-CN"/>
        </w:rPr>
        <w:t>合同价</w:t>
      </w:r>
      <w:r>
        <w:rPr>
          <w:rFonts w:hint="eastAsia" w:ascii="宋体" w:hAnsi="宋体" w:eastAsia="宋体" w:cs="宋体"/>
          <w:color w:val="auto"/>
          <w:highlight w:val="none"/>
        </w:rPr>
        <w:t>的10％开具履约保函或支付履约保证金。</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.2 履约保函应为国有商业银行或股份制商业银行的支行或其他以上级别银行出具的无条件不可撤销的履约保函；保函应为见索即付保函；非东莞市行政区域内的银行出具的履约保函应经担保银行所在地公证机关公证并出具公证书。执行本款时所发生的费用由</w:t>
      </w:r>
      <w:r>
        <w:rPr>
          <w:rFonts w:hint="eastAsia" w:ascii="宋体" w:hAnsi="宋体" w:eastAsia="宋体" w:cs="宋体"/>
          <w:color w:val="auto"/>
          <w:highlight w:val="none"/>
          <w:lang w:val="en-US" w:eastAsia="zh-CN"/>
        </w:rPr>
        <w:t>集成服务单位</w:t>
      </w:r>
      <w:r>
        <w:rPr>
          <w:rFonts w:hint="eastAsia" w:ascii="宋体" w:hAnsi="宋体" w:eastAsia="宋体" w:cs="宋体"/>
          <w:color w:val="auto"/>
          <w:highlight w:val="none"/>
        </w:rPr>
        <w:t>承担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履约保证金应从乙方银行账户转出。</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履约保证金汇入以下专用账户：</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账户名称：东莞市财政国库支付中心（工程履约保证金专户）</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开户行：东莞银行中心区政和支行</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账号：590000110368368</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.3履约担保从合同签订到结算后28天内保持有效。如果</w:t>
      </w:r>
      <w:r>
        <w:rPr>
          <w:rFonts w:hint="eastAsia" w:ascii="宋体" w:hAnsi="宋体" w:eastAsia="宋体" w:cs="宋体"/>
          <w:color w:val="auto"/>
          <w:highlight w:val="none"/>
          <w:lang w:val="en-US" w:eastAsia="zh-CN"/>
        </w:rPr>
        <w:t>受托方</w:t>
      </w:r>
      <w:r>
        <w:rPr>
          <w:rFonts w:hint="eastAsia" w:ascii="宋体" w:hAnsi="宋体" w:eastAsia="宋体" w:cs="宋体"/>
          <w:color w:val="auto"/>
          <w:highlight w:val="none"/>
        </w:rPr>
        <w:t>提交的履约保函的有效期届满时间先于合同文件要求的，</w:t>
      </w:r>
      <w:r>
        <w:rPr>
          <w:rFonts w:hint="eastAsia" w:ascii="宋体" w:hAnsi="宋体" w:eastAsia="宋体" w:cs="宋体"/>
          <w:color w:val="auto"/>
          <w:highlight w:val="none"/>
          <w:lang w:val="en-US" w:eastAsia="zh-CN"/>
        </w:rPr>
        <w:t>受托方</w:t>
      </w:r>
      <w:r>
        <w:rPr>
          <w:rFonts w:hint="eastAsia" w:ascii="宋体" w:hAnsi="宋体" w:eastAsia="宋体" w:cs="宋体"/>
          <w:color w:val="auto"/>
          <w:highlight w:val="none"/>
        </w:rPr>
        <w:t>应在原保函到期前15天，无条件办理保函续期手续，否则视为</w:t>
      </w:r>
      <w:r>
        <w:rPr>
          <w:rFonts w:hint="eastAsia" w:ascii="宋体" w:hAnsi="宋体" w:eastAsia="宋体" w:cs="宋体"/>
          <w:color w:val="auto"/>
          <w:highlight w:val="none"/>
          <w:lang w:val="en-US" w:eastAsia="zh-CN"/>
        </w:rPr>
        <w:t>受托方</w:t>
      </w:r>
      <w:r>
        <w:rPr>
          <w:rFonts w:hint="eastAsia" w:ascii="宋体" w:hAnsi="宋体" w:eastAsia="宋体" w:cs="宋体"/>
          <w:color w:val="auto"/>
          <w:highlight w:val="none"/>
        </w:rPr>
        <w:t>违约，</w:t>
      </w:r>
      <w:r>
        <w:rPr>
          <w:rFonts w:hint="eastAsia" w:ascii="宋体" w:hAnsi="宋体" w:eastAsia="宋体" w:cs="宋体"/>
          <w:color w:val="auto"/>
          <w:highlight w:val="none"/>
          <w:lang w:val="en-US" w:eastAsia="zh-CN"/>
        </w:rPr>
        <w:t>委托方</w:t>
      </w:r>
      <w:r>
        <w:rPr>
          <w:rFonts w:hint="eastAsia" w:ascii="宋体" w:hAnsi="宋体" w:eastAsia="宋体" w:cs="宋体"/>
          <w:color w:val="auto"/>
          <w:highlight w:val="none"/>
        </w:rPr>
        <w:t>可在保函到期前将保函金额转为现金存入履约保证金专户。</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.4履约担保有效期满后，履约担保将在28天内退还乙</w:t>
      </w:r>
      <w:r>
        <w:rPr>
          <w:rFonts w:hint="eastAsia" w:ascii="宋体" w:hAnsi="宋体" w:eastAsia="宋体" w:cs="宋体"/>
          <w:color w:val="auto"/>
          <w:highlight w:val="none"/>
          <w:lang w:val="en-US" w:eastAsia="zh-CN"/>
        </w:rPr>
        <w:t>方</w:t>
      </w:r>
      <w:r>
        <w:rPr>
          <w:rFonts w:hint="eastAsia" w:ascii="宋体" w:hAnsi="宋体" w:eastAsia="宋体" w:cs="宋体"/>
          <w:color w:val="auto"/>
          <w:highlight w:val="none"/>
        </w:rPr>
        <w:t>。履约保函及公证书、承诺函格式应采用合同附件中提供格式，如使用其他格式的履约保函，须事先经</w:t>
      </w:r>
      <w:r>
        <w:rPr>
          <w:rFonts w:hint="eastAsia" w:ascii="宋体" w:hAnsi="宋体" w:eastAsia="宋体" w:cs="宋体"/>
          <w:color w:val="auto"/>
          <w:highlight w:val="none"/>
          <w:lang w:val="en-US" w:eastAsia="zh-CN"/>
        </w:rPr>
        <w:t>委托人</w:t>
      </w:r>
      <w:r>
        <w:rPr>
          <w:rFonts w:hint="eastAsia" w:ascii="宋体" w:hAnsi="宋体" w:eastAsia="宋体" w:cs="宋体"/>
          <w:color w:val="auto"/>
          <w:highlight w:val="none"/>
        </w:rPr>
        <w:t>的同意。</w:t>
      </w:r>
    </w:p>
    <w:bookmarkEnd w:id="1738"/>
    <w:bookmarkEnd w:id="1739"/>
    <w:bookmarkEnd w:id="1740"/>
    <w:bookmarkEnd w:id="1741"/>
    <w:bookmarkEnd w:id="1742"/>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743" w:name="_Toc319313656"/>
      <w:bookmarkStart w:id="1744" w:name="_Toc101002770"/>
      <w:bookmarkStart w:id="1745" w:name="_Toc306006772"/>
      <w:bookmarkStart w:id="1746" w:name="_Toc321906055"/>
      <w:bookmarkStart w:id="1747" w:name="_Toc27390754"/>
      <w:bookmarkStart w:id="1748" w:name="_Toc19672"/>
      <w:bookmarkStart w:id="1749" w:name="_Toc319312344"/>
      <w:bookmarkStart w:id="1750" w:name="_Toc309026485"/>
      <w:bookmarkStart w:id="1751" w:name="_Toc306091608"/>
      <w:bookmarkStart w:id="1752" w:name="_Toc319320659"/>
      <w:bookmarkStart w:id="1753" w:name="_Toc306006990"/>
      <w:bookmarkStart w:id="1754" w:name="_Toc13062"/>
      <w:bookmarkStart w:id="1755" w:name="_Toc306007235"/>
      <w:bookmarkStart w:id="1756" w:name="_Toc319311393"/>
      <w:bookmarkStart w:id="1757" w:name="_Toc11858"/>
      <w:bookmarkStart w:id="1758" w:name="_Toc306007459"/>
      <w:bookmarkStart w:id="1759" w:name="_Toc319311219"/>
      <w:bookmarkStart w:id="1760" w:name="_Toc309026879"/>
      <w:bookmarkStart w:id="1761" w:name="_Toc28244"/>
      <w:bookmarkStart w:id="1762" w:name="_Toc306007678"/>
      <w:bookmarkStart w:id="1763" w:name="_Toc318208967"/>
      <w:bookmarkStart w:id="1764" w:name="_Toc98142496"/>
      <w:r>
        <w:rPr>
          <w:rFonts w:hint="eastAsia" w:ascii="宋体" w:hAnsi="宋体" w:cs="Times New Roman" w:eastAsiaTheme="minorEastAsia"/>
          <w:b/>
          <w:color w:val="auto"/>
          <w:kern w:val="2"/>
          <w:sz w:val="32"/>
          <w:szCs w:val="22"/>
          <w:highlight w:val="none"/>
          <w:lang w:val="en-US" w:eastAsia="zh-CN" w:bidi="ar-SA"/>
        </w:rPr>
        <w:t>9.价格（通用条款第14条）</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pPr>
        <w:spacing w:line="360" w:lineRule="exact"/>
        <w:rPr>
          <w:rFonts w:ascii="宋体" w:hAnsi="宋体" w:eastAsia="宋体" w:cs="宋体"/>
          <w:color w:val="auto"/>
          <w:highlight w:val="none"/>
        </w:rPr>
      </w:pPr>
      <w:r>
        <w:rPr>
          <w:rFonts w:hint="eastAsia" w:ascii="宋体" w:hAnsi="宋体" w:eastAsia="宋体" w:cs="宋体"/>
          <w:color w:val="auto"/>
          <w:highlight w:val="none"/>
        </w:rPr>
        <w:t>在通用条款第</w:t>
      </w:r>
      <w:r>
        <w:rPr>
          <w:rFonts w:ascii="宋体" w:hAnsi="宋体" w:eastAsia="宋体" w:cs="宋体"/>
          <w:color w:val="auto"/>
          <w:highlight w:val="none"/>
        </w:rPr>
        <w:t>14条中增加下列内容：</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14.3 </w:t>
      </w:r>
      <w:r>
        <w:rPr>
          <w:rFonts w:hint="eastAsia" w:ascii="宋体" w:hAnsi="宋体" w:eastAsia="宋体" w:cs="宋体"/>
          <w:color w:val="auto"/>
          <w:highlight w:val="none"/>
        </w:rPr>
        <w:t>合同总价</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本合同项下委托方向受托方支付的合同总价为人民币</w:t>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hint="eastAsia" w:ascii="宋体" w:hAnsi="宋体" w:eastAsia="宋体" w:cs="宋体"/>
          <w:color w:val="auto"/>
          <w:highlight w:val="none"/>
        </w:rPr>
        <w:t>元，其中不含增值税价</w:t>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hint="eastAsia" w:ascii="宋体" w:hAnsi="宋体" w:eastAsia="宋体" w:cs="宋体"/>
          <w:color w:val="auto"/>
          <w:highlight w:val="none"/>
        </w:rPr>
        <w:t>元，增值税</w:t>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ascii="宋体" w:hAnsi="宋体" w:eastAsia="宋体" w:cs="宋体"/>
          <w:color w:val="auto"/>
          <w:highlight w:val="none"/>
          <w:u w:val="single"/>
        </w:rPr>
        <w:tab/>
      </w:r>
      <w:r>
        <w:rPr>
          <w:rFonts w:hint="eastAsia" w:ascii="宋体" w:hAnsi="宋体" w:eastAsia="宋体" w:cs="宋体"/>
          <w:color w:val="auto"/>
          <w:highlight w:val="none"/>
        </w:rPr>
        <w:t>元，增值税率为</w:t>
      </w:r>
      <w:r>
        <w:rPr>
          <w:rFonts w:ascii="宋体" w:hAnsi="宋体" w:eastAsia="宋体" w:cs="宋体"/>
          <w:color w:val="auto"/>
          <w:highlight w:val="none"/>
          <w:u w:val="single"/>
        </w:rPr>
        <w:tab/>
      </w:r>
      <w:r>
        <w:rPr>
          <w:rFonts w:ascii="宋体" w:hAnsi="宋体" w:eastAsia="宋体" w:cs="宋体"/>
          <w:color w:val="auto"/>
          <w:highlight w:val="none"/>
          <w:u w:val="single"/>
        </w:rPr>
        <w:t xml:space="preserve"> </w:t>
      </w:r>
      <w:r>
        <w:rPr>
          <w:rFonts w:ascii="宋体" w:hAnsi="宋体" w:eastAsia="宋体" w:cs="宋体"/>
          <w:color w:val="auto"/>
          <w:highlight w:val="none"/>
        </w:rPr>
        <w:t>%。</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14.4 </w:t>
      </w:r>
      <w:r>
        <w:rPr>
          <w:rFonts w:hint="eastAsia" w:ascii="宋体" w:hAnsi="宋体" w:eastAsia="宋体" w:cs="宋体"/>
          <w:color w:val="auto"/>
          <w:highlight w:val="none"/>
        </w:rPr>
        <w:t>价格说明</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14.4.1 </w:t>
      </w:r>
      <w:r>
        <w:rPr>
          <w:rFonts w:hint="eastAsia" w:ascii="宋体" w:hAnsi="宋体" w:eastAsia="宋体" w:cs="宋体"/>
          <w:color w:val="auto"/>
          <w:highlight w:val="none"/>
        </w:rPr>
        <w:t>价格分项详见第四章价格清单。</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14.4.2 </w:t>
      </w:r>
      <w:r>
        <w:rPr>
          <w:rFonts w:hint="eastAsia" w:ascii="宋体" w:hAnsi="宋体" w:eastAsia="宋体" w:cs="宋体"/>
          <w:color w:val="auto"/>
          <w:highlight w:val="none"/>
        </w:rPr>
        <w:t>合同价格为包干价，包括了受托方履行合同所必须的所有费用，费用组成如下：</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1）集成服务人员服务费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人员服务费包括集成服务人员工资、医疗费、保险费、劳保装备费、福利费、差旅费、探亲费、集成服务人员现场补贴费，项目执行过程中集成服务商参与设计联络及专题会议、考察、监造、验收等全部工作的所有费用，以及集成服务单位的利润、管理费、税金等项目费用。</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2）集成服务设施、设备与服务费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集成服务设施、设备与服务费包括驻地设施、设备耐耗品的使用折旧费，以及相应的保养、维护、修理、校验等服务费，易耗材料费、服务人员的工资等。</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2.1）交通费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包括交通车辆及燃油费、司机的出差补助、食宿费。</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2.2）办公及生活用房费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包括集成服务单位在履行集成服务合同期间的办公室、会议室、住房、餐厅、厨房的租赁费和维护消耗费等。</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2.3）特殊办公设备费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特殊办公设备费包括特殊办公用品的修理维护费、折旧费、服务费。</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2.4）一般办公设备和用品费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一般办公设备和用品费包括易耗用品费以及耐用设施的修理维护费、折旧费、服务费等。</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2.5）专用检测、测量及摄影设备费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专用检测、测量及摄影设备费包括检测、测量设备的折旧费、维护费、检测校验费等。</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2.6）集成服务生活设施费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集成服务生活设施费包括设施用品费、水电煤气费、电话费、膳食费等。</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2.7）服务人员费</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服务人员费指勤杂人员（包括但不限于司机文员）工资等。</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3）其他费用</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其他费用指集成服务单位为履行本集成服务合同所有工作内容需自行填报的未在项目集成服务费报价表中单独体现的各类费用，包括但不限于工程结算配合费、专家咨询费、教育培训交流费、集成服务风险费、</w:t>
      </w:r>
      <w:r>
        <w:rPr>
          <w:rFonts w:ascii="宋体" w:hAnsi="宋体" w:eastAsia="宋体" w:cs="宋体"/>
          <w:color w:val="auto"/>
          <w:highlight w:val="none"/>
        </w:rPr>
        <w:t>BIM工作费、企业管理费、利润、税金等集成服务单位履行合同所需的各类费用。</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14.4.3</w:t>
      </w:r>
      <w:r>
        <w:rPr>
          <w:rFonts w:hint="eastAsia" w:ascii="宋体" w:hAnsi="宋体" w:eastAsia="宋体" w:cs="宋体"/>
          <w:color w:val="auto"/>
          <w:highlight w:val="none"/>
        </w:rPr>
        <w:t>绩效考核</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业主根据相关集成服务单位考核管理办法每季度对集成服务单位的集成服务体系、集成服务工作质量、质量控制、进度控制、投资控制、安全控制、信访和集成服务设备设施、资料控制等方面进行日常考核。对于日常考核合格的集成服务单位，业主将按合同支付绩效考核</w:t>
      </w:r>
      <w:r>
        <w:rPr>
          <w:rFonts w:hint="eastAsia" w:ascii="宋体" w:hAnsi="宋体" w:eastAsia="宋体" w:cs="宋体"/>
          <w:color w:val="auto"/>
          <w:highlight w:val="none"/>
          <w:lang w:val="en-US" w:eastAsia="zh-CN"/>
        </w:rPr>
        <w:t>费</w:t>
      </w:r>
      <w:r>
        <w:rPr>
          <w:rFonts w:ascii="宋体" w:hAnsi="宋体" w:eastAsia="宋体" w:cs="宋体"/>
          <w:color w:val="auto"/>
          <w:highlight w:val="none"/>
        </w:rPr>
        <w:t>。业主定期将检查结果进行通报；对发现因集成服务工作不到位、隐瞒虚假等行为而出现的设备、材料问题，业主将书面发文集成服务单位进行整改。</w:t>
      </w:r>
    </w:p>
    <w:p>
      <w:pPr>
        <w:spacing w:line="360" w:lineRule="exact"/>
        <w:ind w:firstLine="420" w:firstLineChars="200"/>
        <w:rPr>
          <w:rFonts w:hint="eastAsia" w:ascii="宋体" w:hAnsi="宋体" w:eastAsia="宋体" w:cs="宋体"/>
          <w:color w:val="auto"/>
          <w:highlight w:val="none"/>
        </w:rPr>
      </w:pPr>
      <w:r>
        <w:rPr>
          <w:rFonts w:ascii="宋体" w:hAnsi="宋体" w:eastAsia="宋体" w:cs="宋体"/>
          <w:color w:val="auto"/>
          <w:highlight w:val="none"/>
        </w:rPr>
        <w:t>2）绩效考核按合同总价的10%计提，</w:t>
      </w:r>
      <w:r>
        <w:rPr>
          <w:rFonts w:hint="eastAsia" w:ascii="宋体" w:hAnsi="宋体" w:eastAsia="宋体" w:cs="宋体"/>
          <w:color w:val="auto"/>
          <w:highlight w:val="none"/>
          <w:lang w:val="en-US" w:eastAsia="zh-CN"/>
        </w:rPr>
        <w:t>按进度</w:t>
      </w:r>
      <w:r>
        <w:rPr>
          <w:rFonts w:hint="eastAsia" w:ascii="宋体" w:hAnsi="宋体" w:eastAsia="宋体" w:cs="宋体"/>
          <w:color w:val="auto"/>
          <w:highlight w:val="none"/>
        </w:rPr>
        <w:t>进行支付。</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14.4.4 业主有权根据现场的实际情况调整工期，但合同价格不作调整。</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765" w:name="_Toc3446"/>
      <w:bookmarkStart w:id="1766" w:name="_Toc319320660"/>
      <w:bookmarkStart w:id="1767" w:name="_Toc98142497"/>
      <w:bookmarkStart w:id="1768" w:name="_Toc27390755"/>
      <w:bookmarkStart w:id="1769" w:name="_Toc32639"/>
      <w:bookmarkStart w:id="1770" w:name="_Toc309026486"/>
      <w:bookmarkStart w:id="1771" w:name="_Toc19409"/>
      <w:bookmarkStart w:id="1772" w:name="_Toc309026880"/>
      <w:bookmarkStart w:id="1773" w:name="_Toc306007460"/>
      <w:bookmarkStart w:id="1774" w:name="_Toc306006991"/>
      <w:bookmarkStart w:id="1775" w:name="_Toc319313657"/>
      <w:bookmarkStart w:id="1776" w:name="_Toc306007679"/>
      <w:bookmarkStart w:id="1777" w:name="_Toc8186"/>
      <w:bookmarkStart w:id="1778" w:name="_Toc319311220"/>
      <w:bookmarkStart w:id="1779" w:name="_Toc321906056"/>
      <w:bookmarkStart w:id="1780" w:name="_Toc306091609"/>
      <w:bookmarkStart w:id="1781" w:name="_Toc20641"/>
      <w:bookmarkStart w:id="1782" w:name="_Toc319312345"/>
      <w:bookmarkStart w:id="1783" w:name="_Toc306007236"/>
      <w:bookmarkStart w:id="1784" w:name="_Toc319311394"/>
      <w:bookmarkStart w:id="1785" w:name="_Toc101002771"/>
      <w:bookmarkStart w:id="1786" w:name="_Toc318208968"/>
      <w:bookmarkStart w:id="1787" w:name="_Toc306006773"/>
      <w:r>
        <w:rPr>
          <w:rFonts w:hint="eastAsia" w:ascii="宋体" w:hAnsi="宋体" w:cs="Times New Roman" w:eastAsiaTheme="minorEastAsia"/>
          <w:b/>
          <w:color w:val="auto"/>
          <w:kern w:val="2"/>
          <w:sz w:val="32"/>
          <w:szCs w:val="22"/>
          <w:highlight w:val="none"/>
          <w:lang w:val="en-US" w:eastAsia="zh-CN" w:bidi="ar-SA"/>
        </w:rPr>
        <w:t>10.付款与单据（通用条款第13条）</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pPr>
        <w:spacing w:line="360" w:lineRule="exact"/>
        <w:rPr>
          <w:rFonts w:ascii="宋体" w:hAnsi="宋体" w:eastAsia="宋体" w:cs="宋体"/>
          <w:color w:val="auto"/>
          <w:highlight w:val="none"/>
        </w:rPr>
      </w:pPr>
      <w:r>
        <w:rPr>
          <w:rFonts w:hint="eastAsia" w:ascii="宋体" w:hAnsi="宋体" w:eastAsia="宋体" w:cs="宋体"/>
          <w:color w:val="auto"/>
          <w:highlight w:val="none"/>
        </w:rPr>
        <w:t>通用条款第</w:t>
      </w:r>
      <w:r>
        <w:rPr>
          <w:rFonts w:ascii="宋体" w:hAnsi="宋体" w:eastAsia="宋体" w:cs="宋体"/>
          <w:color w:val="auto"/>
          <w:highlight w:val="none"/>
        </w:rPr>
        <w:t>13条增加：</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13.6 </w:t>
      </w:r>
      <w:r>
        <w:rPr>
          <w:rFonts w:hint="eastAsia" w:ascii="宋体" w:hAnsi="宋体" w:eastAsia="宋体" w:cs="宋体"/>
          <w:color w:val="auto"/>
          <w:highlight w:val="none"/>
        </w:rPr>
        <w:t>支付方式</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本合同项下所有付款均以电汇支付到受托方指定的帐号。</w:t>
      </w:r>
      <w:r>
        <w:rPr>
          <w:rFonts w:hint="eastAsia" w:ascii="宋体" w:hAnsi="宋体" w:eastAsia="宋体" w:cs="宋体"/>
          <w:color w:val="auto"/>
          <w:highlight w:val="none"/>
          <w:lang w:val="en-US" w:eastAsia="zh-CN"/>
        </w:rPr>
        <w:t>受托方</w:t>
      </w:r>
      <w:r>
        <w:rPr>
          <w:rFonts w:hint="eastAsia" w:ascii="宋体" w:hAnsi="宋体" w:eastAsia="宋体" w:cs="宋体"/>
          <w:color w:val="auto"/>
          <w:highlight w:val="none"/>
        </w:rPr>
        <w:t>在递交支付申请前</w:t>
      </w:r>
      <w:r>
        <w:rPr>
          <w:rFonts w:ascii="宋体" w:hAnsi="宋体" w:eastAsia="宋体" w:cs="宋体"/>
          <w:color w:val="auto"/>
          <w:highlight w:val="none"/>
        </w:rPr>
        <w:t>30天向</w:t>
      </w:r>
      <w:r>
        <w:rPr>
          <w:rFonts w:hint="eastAsia" w:ascii="宋体" w:hAnsi="宋体" w:eastAsia="宋体" w:cs="宋体"/>
          <w:color w:val="auto"/>
          <w:highlight w:val="none"/>
          <w:lang w:val="en-US" w:eastAsia="zh-CN"/>
        </w:rPr>
        <w:t>委托方</w:t>
      </w:r>
      <w:r>
        <w:rPr>
          <w:rFonts w:ascii="宋体" w:hAnsi="宋体" w:eastAsia="宋体" w:cs="宋体"/>
          <w:color w:val="auto"/>
          <w:highlight w:val="none"/>
        </w:rPr>
        <w:t>提交支付计划。</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13.7 </w:t>
      </w:r>
      <w:r>
        <w:rPr>
          <w:rFonts w:hint="eastAsia" w:ascii="宋体" w:hAnsi="宋体" w:eastAsia="宋体" w:cs="宋体"/>
          <w:color w:val="auto"/>
          <w:highlight w:val="none"/>
        </w:rPr>
        <w:t>支付货币</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本合同项下所有付款均采用合同货币即人民币付款。</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13.8 </w:t>
      </w:r>
      <w:r>
        <w:rPr>
          <w:rFonts w:hint="eastAsia" w:ascii="宋体" w:hAnsi="宋体" w:eastAsia="宋体" w:cs="宋体"/>
          <w:color w:val="auto"/>
          <w:highlight w:val="none"/>
        </w:rPr>
        <w:t>预付款</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13.8.1 </w:t>
      </w:r>
      <w:r>
        <w:rPr>
          <w:rFonts w:hint="eastAsia" w:ascii="宋体" w:hAnsi="宋体" w:eastAsia="宋体" w:cs="宋体"/>
          <w:color w:val="auto"/>
          <w:highlight w:val="none"/>
        </w:rPr>
        <w:t>预付款为专用条款第</w:t>
      </w:r>
      <w:r>
        <w:rPr>
          <w:rFonts w:ascii="宋体" w:hAnsi="宋体" w:eastAsia="宋体" w:cs="宋体"/>
          <w:color w:val="auto"/>
          <w:highlight w:val="none"/>
        </w:rPr>
        <w:t>9条规定合同总价的百分之十（10</w:t>
      </w:r>
      <w:r>
        <w:rPr>
          <w:rFonts w:hint="eastAsia" w:ascii="宋体" w:hAnsi="宋体" w:eastAsia="宋体" w:cs="宋体"/>
          <w:color w:val="auto"/>
          <w:highlight w:val="none"/>
        </w:rPr>
        <w:t>％），即人民币</w:t>
      </w:r>
      <w:r>
        <w:rPr>
          <w:rFonts w:ascii="宋体" w:hAnsi="宋体" w:eastAsia="宋体" w:cs="宋体"/>
          <w:color w:val="auto"/>
          <w:highlight w:val="none"/>
        </w:rPr>
        <w:t>__________</w:t>
      </w:r>
      <w:r>
        <w:rPr>
          <w:rFonts w:hint="eastAsia" w:ascii="宋体" w:hAnsi="宋体" w:eastAsia="宋体" w:cs="宋体"/>
          <w:color w:val="auto"/>
          <w:highlight w:val="none"/>
        </w:rPr>
        <w:t>元。</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13.8.2 </w:t>
      </w:r>
      <w:r>
        <w:rPr>
          <w:rFonts w:hint="eastAsia" w:ascii="宋体" w:hAnsi="宋体" w:eastAsia="宋体" w:cs="宋体"/>
          <w:color w:val="auto"/>
          <w:highlight w:val="none"/>
        </w:rPr>
        <w:t>合同生效后，受托方必须向委托方提交以下支付文件：</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）支付请求正本一份，副本二份；</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）受托方开给委托方的履约保函正本一份；</w:t>
      </w:r>
      <w:r>
        <w:rPr>
          <w:rFonts w:ascii="宋体" w:hAnsi="宋体" w:eastAsia="宋体" w:cs="宋体"/>
          <w:color w:val="auto"/>
          <w:highlight w:val="none"/>
        </w:rPr>
        <w:t xml:space="preserve"> </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ascii="宋体" w:hAnsi="宋体" w:eastAsia="宋体" w:cs="宋体"/>
          <w:color w:val="auto"/>
          <w:highlight w:val="none"/>
        </w:rPr>
        <w:t>）按本次支付金额百分之一百（100%）出具的增值税专用发票原件。</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13.8.3 </w:t>
      </w:r>
      <w:r>
        <w:rPr>
          <w:rFonts w:hint="eastAsia" w:ascii="宋体" w:hAnsi="宋体" w:eastAsia="宋体" w:cs="宋体"/>
          <w:color w:val="auto"/>
          <w:highlight w:val="none"/>
        </w:rPr>
        <w:t>委托方收到受托方提交完整、无误的付款</w:t>
      </w:r>
      <w:r>
        <w:rPr>
          <w:rFonts w:hint="eastAsia" w:ascii="宋体" w:hAnsi="宋体" w:eastAsia="宋体" w:cs="宋体"/>
          <w:color w:val="auto"/>
          <w:highlight w:val="none"/>
          <w:lang w:val="en-US" w:eastAsia="zh-CN"/>
        </w:rPr>
        <w:t>申请资料后</w:t>
      </w:r>
      <w:r>
        <w:rPr>
          <w:rFonts w:hint="eastAsia" w:ascii="宋体" w:hAnsi="宋体" w:eastAsia="宋体" w:cs="宋体"/>
          <w:color w:val="auto"/>
          <w:highlight w:val="none"/>
        </w:rPr>
        <w:t>，向受托方支付预付款。</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13.9 </w:t>
      </w:r>
      <w:r>
        <w:rPr>
          <w:rFonts w:hint="eastAsia" w:ascii="宋体" w:hAnsi="宋体" w:eastAsia="宋体" w:cs="宋体"/>
          <w:color w:val="auto"/>
          <w:highlight w:val="none"/>
        </w:rPr>
        <w:t>进度付款</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13.9.1 </w:t>
      </w:r>
      <w:r>
        <w:rPr>
          <w:rFonts w:hint="eastAsia" w:ascii="宋体" w:hAnsi="宋体" w:eastAsia="宋体" w:cs="宋体"/>
          <w:color w:val="auto"/>
          <w:highlight w:val="none"/>
        </w:rPr>
        <w:t>进度付款至合同总价的百分之</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6</w:t>
      </w:r>
      <w:r>
        <w:rPr>
          <w:rFonts w:ascii="宋体" w:hAnsi="宋体" w:eastAsia="宋体" w:cs="宋体"/>
          <w:color w:val="auto"/>
          <w:highlight w:val="none"/>
        </w:rPr>
        <w:t>0％），即人民币__________元。共分为下述五（5）个阶段支付：</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1）设备设计联络（</w:t>
      </w:r>
      <w:r>
        <w:rPr>
          <w:rFonts w:hint="eastAsia" w:ascii="宋体" w:hAnsi="宋体" w:eastAsia="宋体" w:cs="宋体"/>
          <w:color w:val="auto"/>
          <w:highlight w:val="none"/>
          <w:lang w:val="en-US" w:eastAsia="zh-CN"/>
        </w:rPr>
        <w:t>强电系统、弱电系统和车站设备</w:t>
      </w:r>
      <w:r>
        <w:rPr>
          <w:rFonts w:ascii="宋体" w:hAnsi="宋体" w:eastAsia="宋体" w:cs="宋体"/>
          <w:color w:val="auto"/>
          <w:highlight w:val="none"/>
        </w:rPr>
        <w:t>）完成后：支付合同总价的百分之十五（15％），按合同总价的百分之三(3%)抵扣预付款，即支付合同价的百分之十二（12%），人民币__________元。</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2）设备样机验收（</w:t>
      </w:r>
      <w:r>
        <w:rPr>
          <w:rFonts w:hint="eastAsia" w:ascii="宋体" w:hAnsi="宋体" w:eastAsia="宋体" w:cs="宋体"/>
          <w:color w:val="auto"/>
          <w:highlight w:val="none"/>
          <w:lang w:val="en-US" w:eastAsia="zh-CN"/>
        </w:rPr>
        <w:t>强电系统、弱电系统和车站设备</w:t>
      </w:r>
      <w:r>
        <w:rPr>
          <w:rFonts w:ascii="宋体" w:hAnsi="宋体" w:eastAsia="宋体" w:cs="宋体"/>
          <w:color w:val="auto"/>
          <w:highlight w:val="none"/>
        </w:rPr>
        <w:t>）完成后：支付合同总价的百分之十五（15％），按合同总价的百分之三(3%)抵扣预付款，即支付合同价的百分之十二（12%），人民币__________元。</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3）第一批设备交货（</w:t>
      </w:r>
      <w:r>
        <w:rPr>
          <w:rFonts w:hint="eastAsia" w:ascii="宋体" w:hAnsi="宋体" w:eastAsia="宋体" w:cs="宋体"/>
          <w:color w:val="auto"/>
          <w:highlight w:val="none"/>
          <w:lang w:val="en-US" w:eastAsia="zh-CN"/>
        </w:rPr>
        <w:t>强电系统、弱电系统和车站设备</w:t>
      </w:r>
      <w:r>
        <w:rPr>
          <w:rFonts w:ascii="宋体" w:hAnsi="宋体" w:eastAsia="宋体" w:cs="宋体"/>
          <w:color w:val="auto"/>
          <w:highlight w:val="none"/>
        </w:rPr>
        <w:t>）后：支付合同总价的百分之十（1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％），按合同总价的百分之四</w:t>
      </w:r>
      <w:r>
        <w:rPr>
          <w:rFonts w:ascii="宋体" w:hAnsi="宋体" w:eastAsia="宋体" w:cs="宋体"/>
          <w:color w:val="auto"/>
          <w:highlight w:val="none"/>
        </w:rPr>
        <w:t>(4%)抵扣预付款，即支付合同价的百分之</w:t>
      </w:r>
      <w:r>
        <w:rPr>
          <w:rFonts w:hint="eastAsia" w:ascii="宋体" w:hAnsi="宋体" w:eastAsia="宋体" w:cs="宋体"/>
          <w:color w:val="auto"/>
          <w:highlight w:val="none"/>
          <w:lang w:val="en-US" w:eastAsia="zh-CN"/>
        </w:rPr>
        <w:t>六</w:t>
      </w:r>
      <w:r>
        <w:rPr>
          <w:rFonts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ascii="宋体" w:hAnsi="宋体" w:eastAsia="宋体" w:cs="宋体"/>
          <w:color w:val="auto"/>
          <w:highlight w:val="none"/>
        </w:rPr>
        <w:t>%），人民币__________元。</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4）设备全部交货后：支付合同总价的百分之十（1</w:t>
      </w:r>
      <w:r>
        <w:rPr>
          <w:rFonts w:hint="eastAsia" w:ascii="宋体" w:hAnsi="宋体" w:eastAsia="宋体" w:cs="宋体"/>
          <w:color w:val="auto"/>
          <w:highlight w:val="none"/>
          <w:lang w:val="en-US" w:eastAsia="zh-CN"/>
        </w:rPr>
        <w:t>0</w:t>
      </w:r>
      <w:r>
        <w:rPr>
          <w:rFonts w:ascii="宋体" w:hAnsi="宋体" w:eastAsia="宋体" w:cs="宋体"/>
          <w:color w:val="auto"/>
          <w:highlight w:val="none"/>
        </w:rPr>
        <w:t>％），人民币__________元。</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5）</w:t>
      </w:r>
      <w:r>
        <w:rPr>
          <w:rFonts w:hint="eastAsia" w:ascii="宋体" w:hAnsi="宋体" w:eastAsia="宋体" w:cs="宋体"/>
          <w:color w:val="auto"/>
          <w:highlight w:val="none"/>
          <w:lang w:val="en-US" w:eastAsia="zh-CN"/>
        </w:rPr>
        <w:t>综合</w:t>
      </w:r>
      <w:r>
        <w:rPr>
          <w:rFonts w:ascii="宋体" w:hAnsi="宋体" w:eastAsia="宋体" w:cs="宋体"/>
          <w:color w:val="auto"/>
          <w:highlight w:val="none"/>
        </w:rPr>
        <w:t>联调完成后：支付合同总价的百分之十（10</w:t>
      </w:r>
      <w:r>
        <w:rPr>
          <w:rFonts w:hint="eastAsia" w:ascii="宋体" w:hAnsi="宋体" w:eastAsia="宋体" w:cs="宋体"/>
          <w:color w:val="auto"/>
          <w:highlight w:val="none"/>
        </w:rPr>
        <w:t>％），人民币</w:t>
      </w:r>
      <w:r>
        <w:rPr>
          <w:rFonts w:ascii="宋体" w:hAnsi="宋体" w:eastAsia="宋体" w:cs="宋体"/>
          <w:color w:val="auto"/>
          <w:highlight w:val="none"/>
        </w:rPr>
        <w:t>__________元。</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13.9.2 为获得进度款支付，受托方必须事先提交每个阶段的工作总结报告，说明本阶段完成的工作，并设委托方批注、确认栏。报告必须经委托方确认。</w:t>
      </w:r>
      <w:r>
        <w:rPr>
          <w:rFonts w:hint="eastAsia" w:ascii="宋体" w:hAnsi="宋体" w:eastAsia="宋体" w:cs="宋体"/>
          <w:color w:val="auto"/>
          <w:highlight w:val="none"/>
          <w:lang w:val="en-US" w:eastAsia="zh-CN"/>
        </w:rPr>
        <w:t>委托方</w:t>
      </w:r>
      <w:r>
        <w:rPr>
          <w:rFonts w:ascii="宋体" w:hAnsi="宋体" w:eastAsia="宋体" w:cs="宋体"/>
          <w:color w:val="auto"/>
          <w:highlight w:val="none"/>
        </w:rPr>
        <w:t>有权根据工程具体实施进度对付款节点进行调整。</w:t>
      </w:r>
    </w:p>
    <w:p>
      <w:pPr>
        <w:spacing w:line="360" w:lineRule="exact"/>
        <w:ind w:firstLine="420" w:firstLineChars="200"/>
        <w:rPr>
          <w:rFonts w:ascii="宋体" w:hAnsi="宋体" w:eastAsia="宋体" w:cs="宋体"/>
          <w:color w:val="auto"/>
          <w:highlight w:val="none"/>
        </w:rPr>
      </w:pPr>
      <w:bookmarkStart w:id="1788" w:name="_Toc309026882"/>
      <w:bookmarkStart w:id="1789" w:name="_Toc306003185"/>
      <w:bookmarkStart w:id="1790" w:name="_Toc305942091"/>
      <w:bookmarkStart w:id="1791" w:name="_Toc305941654"/>
      <w:bookmarkStart w:id="1792" w:name="_Toc309026488"/>
      <w:bookmarkStart w:id="1793" w:name="_Toc309025655"/>
      <w:r>
        <w:rPr>
          <w:rFonts w:ascii="宋体" w:hAnsi="宋体" w:eastAsia="宋体" w:cs="宋体"/>
          <w:color w:val="auto"/>
          <w:highlight w:val="none"/>
        </w:rPr>
        <w:t>13.9.3 受托方必须向委托方提交的支付文件必须包括：</w:t>
      </w:r>
      <w:bookmarkEnd w:id="1788"/>
      <w:bookmarkEnd w:id="1789"/>
      <w:bookmarkEnd w:id="1790"/>
      <w:bookmarkEnd w:id="1791"/>
      <w:bookmarkEnd w:id="1792"/>
      <w:bookmarkEnd w:id="1793"/>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）支付请求正本一份，副本二份；</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）按本次</w:t>
      </w:r>
      <w:r>
        <w:rPr>
          <w:rFonts w:hint="eastAsia" w:ascii="宋体" w:hAnsi="宋体" w:eastAsia="宋体" w:cs="宋体"/>
          <w:color w:val="auto"/>
          <w:highlight w:val="none"/>
          <w:lang w:val="en-US" w:eastAsia="zh-CN"/>
        </w:rPr>
        <w:t>支付</w:t>
      </w:r>
      <w:r>
        <w:rPr>
          <w:rFonts w:hint="eastAsia" w:ascii="宋体" w:hAnsi="宋体" w:eastAsia="宋体" w:cs="宋体"/>
          <w:color w:val="auto"/>
          <w:highlight w:val="none"/>
        </w:rPr>
        <w:t>金额百分之一百（</w:t>
      </w:r>
      <w:r>
        <w:rPr>
          <w:rFonts w:ascii="宋体" w:hAnsi="宋体" w:eastAsia="宋体" w:cs="宋体"/>
          <w:color w:val="auto"/>
          <w:highlight w:val="none"/>
        </w:rPr>
        <w:t>100%）出具的增值税专用发票原件；</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3）已由委托方签字确认的阶段总结报告。</w:t>
      </w:r>
    </w:p>
    <w:p>
      <w:pPr>
        <w:spacing w:line="360" w:lineRule="exact"/>
        <w:ind w:firstLine="420" w:firstLineChars="200"/>
        <w:rPr>
          <w:rFonts w:hint="default" w:ascii="宋体" w:hAnsi="宋体" w:eastAsia="宋体" w:cs="宋体"/>
          <w:color w:val="auto"/>
          <w:highlight w:val="none"/>
          <w:lang w:val="en-US"/>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绩效考核文件。</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13.9.4 委托方收到受托方提交完整、无误的付款单之日起四十（40</w:t>
      </w:r>
      <w:r>
        <w:rPr>
          <w:rFonts w:hint="eastAsia" w:ascii="宋体" w:hAnsi="宋体" w:eastAsia="宋体" w:cs="宋体"/>
          <w:color w:val="auto"/>
          <w:highlight w:val="none"/>
        </w:rPr>
        <w:t>）个工作日内，向受托方支付。</w:t>
      </w:r>
    </w:p>
    <w:p>
      <w:pPr>
        <w:spacing w:line="360" w:lineRule="exact"/>
        <w:rPr>
          <w:rFonts w:hint="eastAsia" w:ascii="宋体" w:hAnsi="宋体" w:eastAsia="宋体" w:cs="宋体"/>
          <w:color w:val="auto"/>
          <w:highlight w:val="none"/>
          <w:lang w:eastAsia="zh-CN"/>
        </w:rPr>
      </w:pPr>
      <w:r>
        <w:rPr>
          <w:rFonts w:ascii="宋体" w:hAnsi="宋体" w:eastAsia="宋体" w:cs="宋体"/>
          <w:color w:val="auto"/>
          <w:highlight w:val="none"/>
        </w:rPr>
        <w:t xml:space="preserve">13.10 </w:t>
      </w:r>
      <w:r>
        <w:rPr>
          <w:rFonts w:hint="eastAsia" w:ascii="宋体" w:hAnsi="宋体" w:eastAsia="宋体" w:cs="宋体"/>
          <w:color w:val="auto"/>
          <w:highlight w:val="none"/>
        </w:rPr>
        <w:t>绩效考核费用</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13.10.1 绩效考核将由业主通过对项目集成服务机构运做质量及所有集成服务人员综合考核（具体的考核管理办法业主将在集成服务合同履行前正式发文明确考核管理办法），按</w:t>
      </w:r>
      <w:r>
        <w:rPr>
          <w:rFonts w:hint="eastAsia" w:ascii="宋体" w:hAnsi="宋体" w:eastAsia="宋体" w:cs="宋体"/>
          <w:color w:val="auto"/>
          <w:highlight w:val="none"/>
          <w:lang w:val="en-US" w:eastAsia="zh-CN"/>
        </w:rPr>
        <w:t>进度</w:t>
      </w:r>
      <w:r>
        <w:rPr>
          <w:rFonts w:ascii="宋体" w:hAnsi="宋体" w:eastAsia="宋体" w:cs="宋体"/>
          <w:color w:val="auto"/>
          <w:highlight w:val="none"/>
        </w:rPr>
        <w:t>进行评分</w:t>
      </w:r>
      <w:r>
        <w:rPr>
          <w:rFonts w:hint="eastAsia" w:ascii="宋体" w:hAnsi="宋体" w:eastAsia="宋体" w:cs="宋体"/>
          <w:color w:val="auto"/>
          <w:highlight w:val="none"/>
        </w:rPr>
        <w:t>。</w:t>
      </w:r>
      <w:r>
        <w:rPr>
          <w:rFonts w:ascii="宋体" w:hAnsi="宋体" w:eastAsia="宋体" w:cs="宋体"/>
          <w:color w:val="auto"/>
          <w:highlight w:val="none"/>
        </w:rPr>
        <w:t>如考核评比，得分在〔100～</w:t>
      </w:r>
      <w:r>
        <w:rPr>
          <w:rFonts w:hint="eastAsia" w:ascii="宋体" w:hAnsi="宋体" w:eastAsia="宋体" w:cs="宋体"/>
          <w:color w:val="auto"/>
          <w:highlight w:val="none"/>
          <w:lang w:val="en-US" w:eastAsia="zh-CN"/>
        </w:rPr>
        <w:t>90</w:t>
      </w:r>
      <w:r>
        <w:rPr>
          <w:rFonts w:ascii="宋体" w:hAnsi="宋体" w:eastAsia="宋体" w:cs="宋体"/>
          <w:color w:val="auto"/>
          <w:highlight w:val="none"/>
        </w:rPr>
        <w:t>〕，支付当季绩效考核费用的100%；得分在（</w:t>
      </w:r>
      <w:r>
        <w:rPr>
          <w:rFonts w:hint="eastAsia" w:ascii="宋体" w:hAnsi="宋体" w:eastAsia="宋体" w:cs="宋体"/>
          <w:color w:val="auto"/>
          <w:highlight w:val="none"/>
          <w:lang w:val="en-US" w:eastAsia="zh-CN"/>
        </w:rPr>
        <w:t>90</w:t>
      </w:r>
      <w:r>
        <w:rPr>
          <w:rFonts w:ascii="宋体" w:hAnsi="宋体" w:eastAsia="宋体" w:cs="宋体"/>
          <w:color w:val="auto"/>
          <w:highlight w:val="none"/>
        </w:rPr>
        <w:t>～</w:t>
      </w:r>
      <w:r>
        <w:rPr>
          <w:rFonts w:hint="eastAsia" w:ascii="宋体" w:hAnsi="宋体" w:eastAsia="宋体" w:cs="宋体"/>
          <w:color w:val="auto"/>
          <w:highlight w:val="none"/>
          <w:lang w:val="en-US" w:eastAsia="zh-CN"/>
        </w:rPr>
        <w:t>80</w:t>
      </w:r>
      <w:r>
        <w:rPr>
          <w:rFonts w:ascii="宋体" w:hAnsi="宋体" w:eastAsia="宋体" w:cs="宋体"/>
          <w:color w:val="auto"/>
          <w:highlight w:val="none"/>
        </w:rPr>
        <w:t>〕，支付当季绩效考核费用的</w:t>
      </w:r>
      <w:r>
        <w:rPr>
          <w:rFonts w:hint="eastAsia" w:ascii="宋体" w:hAnsi="宋体" w:eastAsia="宋体" w:cs="宋体"/>
          <w:color w:val="auto"/>
          <w:highlight w:val="none"/>
          <w:lang w:val="en-US" w:eastAsia="zh-CN"/>
        </w:rPr>
        <w:t>75</w:t>
      </w:r>
      <w:r>
        <w:rPr>
          <w:rFonts w:ascii="宋体" w:hAnsi="宋体" w:eastAsia="宋体" w:cs="宋体"/>
          <w:color w:val="auto"/>
          <w:highlight w:val="none"/>
        </w:rPr>
        <w:t>%；得分在(</w:t>
      </w:r>
      <w:r>
        <w:rPr>
          <w:rFonts w:hint="eastAsia" w:ascii="宋体" w:hAnsi="宋体" w:eastAsia="宋体" w:cs="宋体"/>
          <w:color w:val="auto"/>
          <w:highlight w:val="none"/>
          <w:lang w:val="en-US" w:eastAsia="zh-CN"/>
        </w:rPr>
        <w:t>80</w:t>
      </w:r>
      <w:r>
        <w:rPr>
          <w:rFonts w:ascii="宋体" w:hAnsi="宋体" w:eastAsia="宋体" w:cs="宋体"/>
          <w:color w:val="auto"/>
          <w:highlight w:val="none"/>
        </w:rPr>
        <w:t>～</w:t>
      </w:r>
      <w:r>
        <w:rPr>
          <w:rFonts w:hint="eastAsia" w:ascii="宋体" w:hAnsi="宋体" w:eastAsia="宋体" w:cs="宋体"/>
          <w:color w:val="auto"/>
          <w:highlight w:val="none"/>
          <w:lang w:val="en-US" w:eastAsia="zh-CN"/>
        </w:rPr>
        <w:t>70</w:t>
      </w:r>
      <w:r>
        <w:rPr>
          <w:rFonts w:ascii="宋体" w:hAnsi="宋体" w:eastAsia="宋体" w:cs="宋体"/>
          <w:color w:val="auto"/>
          <w:highlight w:val="none"/>
        </w:rPr>
        <w:t>〕，支付当季绩效考核费用的</w:t>
      </w:r>
      <w:r>
        <w:rPr>
          <w:rFonts w:hint="eastAsia" w:ascii="宋体" w:hAnsi="宋体" w:eastAsia="宋体" w:cs="宋体"/>
          <w:color w:val="auto"/>
          <w:highlight w:val="none"/>
          <w:lang w:val="en-US" w:eastAsia="zh-CN"/>
        </w:rPr>
        <w:t>50</w:t>
      </w:r>
      <w:r>
        <w:rPr>
          <w:rFonts w:ascii="宋体" w:hAnsi="宋体" w:eastAsia="宋体" w:cs="宋体"/>
          <w:color w:val="auto"/>
          <w:highlight w:val="none"/>
        </w:rPr>
        <w:t>%；得分在</w:t>
      </w:r>
      <w:r>
        <w:rPr>
          <w:rFonts w:hint="eastAsia" w:ascii="宋体" w:hAnsi="宋体" w:eastAsia="宋体" w:cs="宋体"/>
          <w:color w:val="auto"/>
          <w:highlight w:val="none"/>
          <w:lang w:val="en-US" w:eastAsia="zh-CN"/>
        </w:rPr>
        <w:t>70</w:t>
      </w:r>
      <w:r>
        <w:rPr>
          <w:rFonts w:ascii="宋体" w:hAnsi="宋体" w:eastAsia="宋体" w:cs="宋体"/>
          <w:color w:val="auto"/>
          <w:highlight w:val="none"/>
        </w:rPr>
        <w:t>分以下为不合格，当季度绩效考核费用为0，扣除的绩效考核费用</w:t>
      </w:r>
      <w:r>
        <w:rPr>
          <w:rFonts w:hint="eastAsia" w:ascii="宋体" w:hAnsi="宋体" w:eastAsia="宋体" w:cs="宋体"/>
          <w:color w:val="auto"/>
          <w:highlight w:val="none"/>
          <w:lang w:val="en-US" w:eastAsia="zh-CN"/>
        </w:rPr>
        <w:t>由受托方直接交东莞市财政局</w:t>
      </w:r>
      <w:r>
        <w:rPr>
          <w:rFonts w:ascii="宋体" w:hAnsi="宋体" w:eastAsia="宋体" w:cs="宋体"/>
          <w:color w:val="auto"/>
          <w:highlight w:val="none"/>
        </w:rPr>
        <w:t>。</w:t>
      </w:r>
    </w:p>
    <w:p>
      <w:pPr>
        <w:spacing w:line="360" w:lineRule="exact"/>
        <w:ind w:firstLine="420" w:firstLineChars="200"/>
        <w:jc w:val="left"/>
        <w:rPr>
          <w:rFonts w:ascii="宋体" w:hAnsi="宋体" w:eastAsia="宋体" w:cs="宋体"/>
          <w:color w:val="auto"/>
          <w:highlight w:val="none"/>
        </w:rPr>
      </w:pPr>
      <w:r>
        <w:rPr>
          <w:rFonts w:ascii="宋体" w:hAnsi="宋体" w:eastAsia="宋体" w:cs="宋体"/>
          <w:color w:val="auto"/>
          <w:highlight w:val="none"/>
        </w:rPr>
        <w:t xml:space="preserve">13.10.2  </w:t>
      </w:r>
      <w:r>
        <w:rPr>
          <w:rFonts w:hint="eastAsia" w:ascii="宋体" w:hAnsi="宋体" w:eastAsia="宋体" w:cs="宋体"/>
          <w:color w:val="auto"/>
          <w:highlight w:val="none"/>
        </w:rPr>
        <w:t>绩效考核总费用为合同价的</w:t>
      </w:r>
      <w:r>
        <w:rPr>
          <w:rFonts w:hint="eastAsia" w:ascii="宋体" w:hAnsi="宋体" w:eastAsia="宋体" w:cs="宋体"/>
          <w:color w:val="auto"/>
          <w:highlight w:val="none"/>
          <w:lang w:val="en-US" w:eastAsia="zh-CN"/>
        </w:rPr>
        <w:t>20</w:t>
      </w:r>
      <w:r>
        <w:rPr>
          <w:rFonts w:ascii="宋体" w:hAnsi="宋体" w:eastAsia="宋体" w:cs="宋体"/>
          <w:color w:val="auto"/>
          <w:highlight w:val="none"/>
        </w:rPr>
        <w:t>%，共分为</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期进行</w:t>
      </w:r>
      <w:r>
        <w:rPr>
          <w:rFonts w:hint="eastAsia" w:ascii="宋体" w:hAnsi="宋体" w:cs="宋体"/>
          <w:color w:val="auto"/>
          <w:highlight w:val="none"/>
          <w:lang w:val="en-US" w:eastAsia="zh-CN"/>
        </w:rPr>
        <w:t>平均</w:t>
      </w:r>
      <w:r>
        <w:rPr>
          <w:rFonts w:hint="eastAsia" w:ascii="宋体" w:hAnsi="宋体" w:eastAsia="宋体" w:cs="宋体"/>
          <w:color w:val="auto"/>
          <w:highlight w:val="none"/>
        </w:rPr>
        <w:t>支付</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第一期完成设备设计联络、第二期完成设备样机验收、第三期完成第一批设备交货、第四期完成设备全部交货、第五期完成综合联调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13.10.3 受托方必须向委托方提交的支付文件必须包括：</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）支付请求正本一份，副本二份；</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）按本次支付金额百分之一百（</w:t>
      </w:r>
      <w:r>
        <w:rPr>
          <w:rFonts w:ascii="宋体" w:hAnsi="宋体" w:eastAsia="宋体" w:cs="宋体"/>
          <w:color w:val="auto"/>
          <w:highlight w:val="none"/>
        </w:rPr>
        <w:t>100%）出具的增值税专用发票原件；</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3）业主下发的季度考核评分。</w:t>
      </w:r>
    </w:p>
    <w:p>
      <w:pPr>
        <w:spacing w:line="340" w:lineRule="exact"/>
        <w:rPr>
          <w:rFonts w:ascii="宋体" w:hAnsi="宋体" w:eastAsia="宋体" w:cs="宋体"/>
          <w:color w:val="auto"/>
          <w:highlight w:val="none"/>
        </w:rPr>
      </w:pPr>
      <w:r>
        <w:rPr>
          <w:rFonts w:ascii="宋体" w:hAnsi="宋体" w:eastAsia="宋体" w:cs="宋体"/>
          <w:color w:val="auto"/>
          <w:highlight w:val="none"/>
        </w:rPr>
        <w:t>13.11 验收款</w:t>
      </w:r>
    </w:p>
    <w:p>
      <w:pPr>
        <w:spacing w:line="34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13.11.1 </w:t>
      </w:r>
      <w:r>
        <w:rPr>
          <w:rFonts w:hint="eastAsia" w:ascii="宋体" w:hAnsi="宋体" w:eastAsia="宋体" w:cs="宋体"/>
          <w:color w:val="auto"/>
          <w:highlight w:val="none"/>
        </w:rPr>
        <w:t>结算完成后付款</w:t>
      </w:r>
    </w:p>
    <w:p>
      <w:pPr>
        <w:spacing w:line="3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大联调试运行成功，完成预验收，并与政府相关部门办理完结算后付至本合同结算金额的</w:t>
      </w:r>
      <w:r>
        <w:rPr>
          <w:rFonts w:ascii="宋体" w:hAnsi="宋体" w:eastAsia="宋体" w:cs="宋体"/>
          <w:color w:val="auto"/>
          <w:highlight w:val="none"/>
        </w:rPr>
        <w:t>95%。须提供如下资料：</w:t>
      </w:r>
    </w:p>
    <w:p>
      <w:pPr>
        <w:spacing w:line="3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 xml:space="preserve">1) </w:t>
      </w:r>
      <w:r>
        <w:rPr>
          <w:rFonts w:hint="eastAsia" w:ascii="宋体" w:hAnsi="宋体" w:eastAsia="宋体" w:cs="宋体"/>
          <w:color w:val="auto"/>
          <w:highlight w:val="none"/>
        </w:rPr>
        <w:t>按本次支付金额加质保金金额出具的增值税专用发票原件（即发票累计金额至结算金额）；</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 xml:space="preserve">2) </w:t>
      </w:r>
      <w:r>
        <w:rPr>
          <w:rFonts w:hint="eastAsia" w:ascii="宋体" w:hAnsi="宋体" w:eastAsia="宋体" w:cs="宋体"/>
          <w:color w:val="auto"/>
          <w:highlight w:val="none"/>
        </w:rPr>
        <w:t>支付请求正本一份，副本二份；</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 xml:space="preserve">3) </w:t>
      </w:r>
      <w:r>
        <w:rPr>
          <w:rFonts w:hint="eastAsia" w:ascii="宋体" w:hAnsi="宋体" w:eastAsia="宋体" w:cs="宋体"/>
          <w:color w:val="auto"/>
          <w:highlight w:val="none"/>
        </w:rPr>
        <w:t>结算资料。</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13.11.2 </w:t>
      </w:r>
      <w:r>
        <w:rPr>
          <w:rFonts w:hint="eastAsia" w:ascii="宋体" w:hAnsi="宋体" w:eastAsia="宋体" w:cs="宋体"/>
          <w:color w:val="auto"/>
          <w:highlight w:val="none"/>
        </w:rPr>
        <w:t>质保期满后付款</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支付质保金即本合同结算金额的</w:t>
      </w:r>
      <w:r>
        <w:rPr>
          <w:rFonts w:ascii="宋体" w:hAnsi="宋体" w:eastAsia="宋体" w:cs="宋体"/>
          <w:color w:val="auto"/>
          <w:highlight w:val="none"/>
        </w:rPr>
        <w:t>5%，凭以下单据于质保期满后支付：</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1）按本次支付金额百分之一百（100%）出具的增值税专用发票原件。</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2）支付请求正本一份，副本二份；</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3）经委托方确认的集成服务最终总结报告正本二份；</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 xml:space="preserve">4） </w:t>
      </w:r>
      <w:r>
        <w:rPr>
          <w:rFonts w:hint="eastAsia" w:ascii="宋体" w:hAnsi="宋体" w:eastAsia="宋体" w:cs="宋体"/>
          <w:color w:val="auto"/>
          <w:highlight w:val="none"/>
        </w:rPr>
        <w:t>委托方签署的项目档案移交确认书正本一份，副本二份；</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5）其他资料。</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13.11.3 </w:t>
      </w:r>
      <w:r>
        <w:rPr>
          <w:rFonts w:hint="eastAsia" w:ascii="宋体" w:hAnsi="宋体" w:eastAsia="宋体" w:cs="宋体"/>
          <w:color w:val="auto"/>
          <w:highlight w:val="none"/>
        </w:rPr>
        <w:t>委托方收到受托方提交完整、无误的付款单之日起四十（</w:t>
      </w:r>
      <w:r>
        <w:rPr>
          <w:rFonts w:ascii="宋体" w:hAnsi="宋体" w:eastAsia="宋体" w:cs="宋体"/>
          <w:color w:val="auto"/>
          <w:highlight w:val="none"/>
        </w:rPr>
        <w:t>40</w:t>
      </w:r>
      <w:r>
        <w:rPr>
          <w:rFonts w:hint="eastAsia" w:ascii="宋体" w:hAnsi="宋体" w:eastAsia="宋体" w:cs="宋体"/>
          <w:color w:val="auto"/>
          <w:highlight w:val="none"/>
        </w:rPr>
        <w:t>）个工作日内，向受托方支付。</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13.11.4 </w:t>
      </w:r>
      <w:r>
        <w:rPr>
          <w:rFonts w:hint="eastAsia" w:ascii="宋体" w:hAnsi="宋体" w:eastAsia="宋体" w:cs="宋体"/>
          <w:color w:val="auto"/>
          <w:highlight w:val="none"/>
        </w:rPr>
        <w:t>如委托方未按上述规定按时付款，适用本合同的有关规定。</w:t>
      </w:r>
    </w:p>
    <w:p>
      <w:pPr>
        <w:spacing w:line="360" w:lineRule="exact"/>
        <w:rPr>
          <w:rFonts w:ascii="宋体" w:hAnsi="宋体" w:eastAsia="宋体" w:cs="宋体"/>
          <w:color w:val="auto"/>
          <w:highlight w:val="none"/>
        </w:rPr>
      </w:pPr>
      <w:r>
        <w:rPr>
          <w:rFonts w:ascii="宋体" w:hAnsi="宋体" w:eastAsia="宋体" w:cs="宋体"/>
          <w:color w:val="auto"/>
          <w:highlight w:val="none"/>
        </w:rPr>
        <w:t>13.12 合同项下委托方应得的担保或相似的可追偿的金额应划到委托方开户银行帐号上。同时委托方有权从专用条款第10条支付款中扣除任何赔偿的相应金额。</w:t>
      </w:r>
    </w:p>
    <w:p>
      <w:pPr>
        <w:spacing w:line="360" w:lineRule="exact"/>
        <w:rPr>
          <w:rFonts w:ascii="宋体" w:hAnsi="宋体" w:eastAsia="宋体" w:cs="宋体"/>
          <w:color w:val="auto"/>
          <w:highlight w:val="none"/>
        </w:rPr>
      </w:pPr>
      <w:r>
        <w:rPr>
          <w:rFonts w:ascii="宋体" w:hAnsi="宋体" w:eastAsia="宋体" w:cs="宋体"/>
          <w:color w:val="auto"/>
          <w:highlight w:val="none"/>
        </w:rPr>
        <w:t>13.13 银行费用</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在委托方银行发生的费用由委托方承担，在受托方银行发生的费用由受托方承担。</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13.14 </w:t>
      </w:r>
      <w:r>
        <w:rPr>
          <w:rFonts w:hint="eastAsia" w:ascii="宋体" w:hAnsi="宋体" w:eastAsia="宋体" w:cs="宋体"/>
          <w:color w:val="auto"/>
          <w:highlight w:val="none"/>
          <w:lang w:val="en-US" w:eastAsia="zh-CN"/>
        </w:rPr>
        <w:t>受托方</w:t>
      </w:r>
      <w:r>
        <w:rPr>
          <w:rFonts w:ascii="宋体" w:hAnsi="宋体" w:eastAsia="宋体" w:cs="宋体"/>
          <w:color w:val="auto"/>
          <w:highlight w:val="none"/>
        </w:rPr>
        <w:t>理解本合同的资金来源为政府资金，款项的拨付须经有关部门批准，若</w:t>
      </w:r>
      <w:r>
        <w:rPr>
          <w:rFonts w:hint="eastAsia" w:ascii="宋体" w:hAnsi="宋体" w:eastAsia="宋体" w:cs="宋体"/>
          <w:color w:val="auto"/>
          <w:highlight w:val="none"/>
          <w:lang w:val="en-US" w:eastAsia="zh-CN"/>
        </w:rPr>
        <w:t>委托方</w:t>
      </w:r>
      <w:r>
        <w:rPr>
          <w:rFonts w:ascii="宋体" w:hAnsi="宋体" w:eastAsia="宋体" w:cs="宋体"/>
          <w:color w:val="auto"/>
          <w:highlight w:val="none"/>
        </w:rPr>
        <w:t>付款</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含预付款</w:t>
      </w:r>
      <w:r>
        <w:rPr>
          <w:rFonts w:hint="eastAsia" w:ascii="宋体" w:hAnsi="宋体" w:eastAsia="宋体" w:cs="宋体"/>
          <w:color w:val="auto"/>
          <w:highlight w:val="none"/>
          <w:lang w:eastAsia="zh-CN"/>
        </w:rPr>
        <w:t>）</w:t>
      </w:r>
      <w:r>
        <w:rPr>
          <w:rFonts w:ascii="宋体" w:hAnsi="宋体" w:eastAsia="宋体" w:cs="宋体"/>
          <w:color w:val="auto"/>
          <w:highlight w:val="none"/>
        </w:rPr>
        <w:t>时间迟于上述约定期限，</w:t>
      </w:r>
      <w:r>
        <w:rPr>
          <w:rFonts w:hint="eastAsia" w:ascii="宋体" w:hAnsi="宋体" w:eastAsia="宋体" w:cs="宋体"/>
          <w:color w:val="auto"/>
          <w:highlight w:val="none"/>
          <w:lang w:val="en-US" w:eastAsia="zh-CN"/>
        </w:rPr>
        <w:t>经双方协商后可以延期支付，受托方</w:t>
      </w:r>
      <w:r>
        <w:rPr>
          <w:rFonts w:ascii="宋体" w:hAnsi="宋体" w:eastAsia="宋体" w:cs="宋体"/>
          <w:color w:val="auto"/>
          <w:highlight w:val="none"/>
        </w:rPr>
        <w:t>不得以款项迟支付而停止或拒绝履行原合同。</w:t>
      </w:r>
    </w:p>
    <w:p>
      <w:pPr>
        <w:spacing w:line="360" w:lineRule="exact"/>
        <w:rPr>
          <w:rFonts w:ascii="宋体" w:hAnsi="宋体" w:eastAsia="宋体" w:cs="宋体"/>
          <w:color w:val="auto"/>
          <w:highlight w:val="none"/>
        </w:rPr>
      </w:pPr>
      <w:r>
        <w:rPr>
          <w:rFonts w:ascii="宋体" w:hAnsi="宋体" w:eastAsia="宋体" w:cs="宋体"/>
          <w:color w:val="auto"/>
          <w:highlight w:val="none"/>
        </w:rPr>
        <w:t>13.15</w:t>
      </w:r>
      <w:r>
        <w:rPr>
          <w:rFonts w:hint="eastAsia" w:ascii="宋体" w:hAnsi="宋体" w:eastAsia="宋体" w:cs="宋体"/>
          <w:color w:val="auto"/>
          <w:highlight w:val="none"/>
        </w:rPr>
        <w:t>合同涉税条款</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（1）甲方付款时，乙方需提供按照中国税法法律规定的开票时间、税率（或征收率）开具税务机关监制的增值税专用发票，开票的付款方名称、业务内容、数量、单价等必须与合同约定一致。开票信息如下：</w:t>
      </w:r>
    </w:p>
    <w:p>
      <w:pPr>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公司名称：东莞轨道交通二号线三期投资有限公司</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纳税识别号：91441900MA5585P15X</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地址、电话：</w:t>
      </w:r>
      <w:r>
        <w:rPr>
          <w:rFonts w:hint="eastAsia" w:ascii="宋体" w:hAnsi="宋体" w:eastAsia="宋体" w:cs="宋体"/>
          <w:color w:val="auto"/>
          <w:highlight w:val="none"/>
          <w:lang w:val="en-US" w:eastAsia="zh-CN"/>
        </w:rPr>
        <w:t>广东省东莞市南城街道东莞大道南城段116号轨道交通大厦2号楼4201室</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0769-22083255</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开户行及帐号：广发银行股份有限公司东城支行</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955088022304240013</w:t>
      </w:r>
      <w:r>
        <w:rPr>
          <w:rFonts w:hint="eastAsia" w:ascii="宋体" w:hAnsi="宋体" w:eastAsia="宋体" w:cs="宋体"/>
          <w:color w:val="auto"/>
          <w:highlight w:val="none"/>
          <w:lang w:val="en-US" w:eastAsia="zh-CN"/>
        </w:rPr>
        <w:t>6</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（2）由于乙方提供的增值税发票不符合税法法规规定或者开票有误的，甲方将拒收并要求重开。</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（3）乙方提供的增值税专用发票时应书面签收，由于乙方未及时提交增值税专用发票，导致甲方未在税法法规规定的认证期内认证进项税额的，甲方将退票。</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（4）如果发生按照税务规定应开具红字发票的情形，乙方将在双方确认后30日内向甲方开具符合税务规定的红字发票，开票后10日内送达甲方签收。</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如甲方发生被税务机关稽查、调查、质询等税务检查事项需乙方配合的，乙方应按照甲方要求予以配合。如乙方发生被税务机关稽查、调查、质询等税务检查事项涉及甲方业务的，应在知悉后3日内书面通知甲方。</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乙方应提供真实、有效合格的增值税专用发票，如乙方提供虚假、虚开或不合格的增值税专用发票，甲方有权拒收或退回，乙方应负责无偿更换，并自行承担相应法律责任。由此造成甲方无法及时认证、抵扣税款等情形的，乙方需向甲方承担赔偿责任，包括但不限于税款、滞纳金、罚款等其他损失。</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关稽查、调查、质询等税务检查事项涉及甲方业务的，应在知悉后3日内书面通知甲方。</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794" w:name="_Hlt508075747"/>
      <w:bookmarkEnd w:id="1794"/>
      <w:bookmarkStart w:id="1795" w:name="_Hlt509114311"/>
      <w:bookmarkEnd w:id="1795"/>
      <w:bookmarkStart w:id="1796" w:name="_Toc306007461"/>
      <w:bookmarkStart w:id="1797" w:name="_Toc27390756"/>
      <w:bookmarkStart w:id="1798" w:name="_Toc318208970"/>
      <w:bookmarkStart w:id="1799" w:name="_Toc319311395"/>
      <w:bookmarkStart w:id="1800" w:name="_Toc101002772"/>
      <w:bookmarkStart w:id="1801" w:name="_Toc319320661"/>
      <w:bookmarkStart w:id="1802" w:name="_Toc306091610"/>
      <w:bookmarkStart w:id="1803" w:name="_Toc306006774"/>
      <w:bookmarkStart w:id="1804" w:name="_Toc306007237"/>
      <w:bookmarkStart w:id="1805" w:name="_Toc306007680"/>
      <w:bookmarkStart w:id="1806" w:name="_Toc21525"/>
      <w:bookmarkStart w:id="1807" w:name="_Toc98142498"/>
      <w:bookmarkStart w:id="1808" w:name="_Toc319311221"/>
      <w:bookmarkStart w:id="1809" w:name="_Toc15908"/>
      <w:bookmarkStart w:id="1810" w:name="_Toc309026883"/>
      <w:bookmarkStart w:id="1811" w:name="_Toc306006992"/>
      <w:bookmarkStart w:id="1812" w:name="_Toc27405"/>
      <w:bookmarkStart w:id="1813" w:name="_Toc321906057"/>
      <w:bookmarkStart w:id="1814" w:name="_Toc309026489"/>
      <w:bookmarkStart w:id="1815" w:name="_Toc319312346"/>
      <w:bookmarkStart w:id="1816" w:name="_Toc30989"/>
      <w:bookmarkStart w:id="1817" w:name="_Toc319313658"/>
      <w:bookmarkStart w:id="1818" w:name="_Toc5098"/>
      <w:r>
        <w:rPr>
          <w:rFonts w:hint="eastAsia" w:ascii="宋体" w:hAnsi="宋体" w:cs="Times New Roman" w:eastAsiaTheme="minorEastAsia"/>
          <w:b/>
          <w:color w:val="auto"/>
          <w:kern w:val="2"/>
          <w:sz w:val="32"/>
          <w:szCs w:val="22"/>
          <w:highlight w:val="none"/>
          <w:lang w:val="en-US" w:eastAsia="zh-CN" w:bidi="ar-SA"/>
        </w:rPr>
        <w:t>11.文件和资料（通用条款第8条）</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pPr>
        <w:spacing w:line="360" w:lineRule="exact"/>
        <w:ind w:left="902" w:hanging="902"/>
        <w:rPr>
          <w:rFonts w:ascii="宋体" w:hAnsi="宋体" w:eastAsia="宋体" w:cs="宋体"/>
          <w:color w:val="auto"/>
          <w:highlight w:val="none"/>
        </w:rPr>
      </w:pPr>
      <w:r>
        <w:rPr>
          <w:rFonts w:hint="eastAsia" w:ascii="宋体" w:hAnsi="宋体" w:eastAsia="宋体" w:cs="宋体"/>
          <w:color w:val="auto"/>
          <w:highlight w:val="none"/>
        </w:rPr>
        <w:t>在通用条款第</w:t>
      </w:r>
      <w:r>
        <w:rPr>
          <w:rFonts w:ascii="宋体" w:hAnsi="宋体" w:eastAsia="宋体" w:cs="宋体"/>
          <w:color w:val="auto"/>
          <w:highlight w:val="none"/>
        </w:rPr>
        <w:t>8条中增加下列规定：</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8.10 </w:t>
      </w:r>
      <w:r>
        <w:rPr>
          <w:rFonts w:hint="eastAsia" w:ascii="宋体" w:hAnsi="宋体" w:eastAsia="宋体" w:cs="宋体"/>
          <w:color w:val="auto"/>
          <w:highlight w:val="none"/>
        </w:rPr>
        <w:t>委托方应向受托方提供并协助受托方获取履行合同所需的有关资料和技术文件，包括系统设备供货商的有关资料和技术文件。受托方有权直接从系统设备供货商取得有关资料和文件，但必须通知并将资料抄送给委托方。</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8.11 </w:t>
      </w:r>
      <w:r>
        <w:rPr>
          <w:rFonts w:hint="eastAsia" w:ascii="宋体" w:hAnsi="宋体" w:eastAsia="宋体" w:cs="宋体"/>
          <w:color w:val="auto"/>
          <w:highlight w:val="none"/>
        </w:rPr>
        <w:t>在合同生效之日起十（</w:t>
      </w:r>
      <w:r>
        <w:rPr>
          <w:rFonts w:ascii="宋体" w:hAnsi="宋体" w:eastAsia="宋体" w:cs="宋体"/>
          <w:color w:val="auto"/>
          <w:highlight w:val="none"/>
        </w:rPr>
        <w:t>10</w:t>
      </w:r>
      <w:r>
        <w:rPr>
          <w:rFonts w:hint="eastAsia" w:ascii="宋体" w:hAnsi="宋体" w:eastAsia="宋体" w:cs="宋体"/>
          <w:color w:val="auto"/>
          <w:highlight w:val="none"/>
        </w:rPr>
        <w:t>）年内，委托方和受托方须对相互据合同提供的所有技术文件、报告、费用估算、技术数据和参数予以保密。</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8.12 </w:t>
      </w:r>
      <w:r>
        <w:rPr>
          <w:rFonts w:hint="eastAsia" w:ascii="宋体" w:hAnsi="宋体" w:eastAsia="宋体" w:cs="宋体"/>
          <w:color w:val="auto"/>
          <w:highlight w:val="none"/>
        </w:rPr>
        <w:t>受托方应对其根据合同提供的项目及其任何组成部分的技术文件、报告、资料中出现的矛盾、错误或遗漏负完全责任，委托方对这类文件、报告、资料的确认并不解除受托方的责任，除非这类矛盾、错误或遗漏是由于委托方提供的不精确或错误的资料所致。受托方应自费对此类矛盾、错误和遗漏进行必要的更改和补救工作，并应对相应的文件、图纸、资料进行修改。</w:t>
      </w:r>
    </w:p>
    <w:p>
      <w:pPr>
        <w:spacing w:line="360" w:lineRule="exact"/>
        <w:rPr>
          <w:rFonts w:ascii="宋体" w:hAnsi="宋体" w:eastAsia="宋体" w:cs="宋体"/>
          <w:color w:val="auto"/>
          <w:highlight w:val="none"/>
        </w:rPr>
      </w:pPr>
      <w:r>
        <w:rPr>
          <w:rFonts w:ascii="宋体" w:hAnsi="宋体" w:eastAsia="宋体" w:cs="宋体"/>
          <w:color w:val="auto"/>
          <w:highlight w:val="none"/>
        </w:rPr>
        <w:t>8.13 委托方只须对其以书面方式提交的资料负责。若委托方提供给受托方的资料或文件存在缺陷、遗漏、矛盾或措辞含糊或词意不明或正确性有疑，则受托方应提请委托方注意。委托方应及时补充或修改。</w:t>
      </w:r>
    </w:p>
    <w:p>
      <w:pPr>
        <w:widowControl w:val="0"/>
        <w:numPr>
          <w:ilvl w:val="0"/>
          <w:numId w:val="0"/>
        </w:numPr>
        <w:spacing w:before="0" w:beforeLines="0" w:line="360" w:lineRule="exact"/>
        <w:ind w:left="840" w:leftChars="0" w:hanging="840" w:hangingChars="4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8.14 </w:t>
      </w:r>
      <w:r>
        <w:rPr>
          <w:rFonts w:hint="eastAsia" w:ascii="宋体" w:hAnsi="宋体" w:eastAsia="宋体" w:cs="宋体"/>
          <w:color w:val="auto"/>
          <w:kern w:val="2"/>
          <w:sz w:val="21"/>
          <w:szCs w:val="20"/>
          <w:highlight w:val="none"/>
          <w:lang w:val="en-US" w:eastAsia="zh-CN" w:bidi="ar-SA"/>
        </w:rPr>
        <w:t>受托方集成服务工作完成之日起五十（</w:t>
      </w:r>
      <w:r>
        <w:rPr>
          <w:rFonts w:ascii="宋体" w:hAnsi="宋体" w:eastAsia="宋体" w:cs="宋体"/>
          <w:color w:val="auto"/>
          <w:kern w:val="2"/>
          <w:sz w:val="21"/>
          <w:szCs w:val="20"/>
          <w:highlight w:val="none"/>
          <w:lang w:val="en-US" w:eastAsia="zh-CN" w:bidi="ar-SA"/>
        </w:rPr>
        <w:t>50）天内必须把所有文件资料（包括技术文件、图纸、证书、函件等）归类整理成册交委托方保存。</w:t>
      </w:r>
    </w:p>
    <w:p>
      <w:pPr>
        <w:widowControl w:val="0"/>
        <w:numPr>
          <w:ilvl w:val="0"/>
          <w:numId w:val="0"/>
        </w:numPr>
        <w:spacing w:before="0" w:beforeLines="0" w:line="360" w:lineRule="exact"/>
        <w:ind w:left="840" w:leftChars="0" w:hanging="840" w:hangingChars="4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8.15 </w:t>
      </w:r>
      <w:r>
        <w:rPr>
          <w:rFonts w:hint="eastAsia" w:ascii="宋体" w:hAnsi="宋体" w:eastAsia="宋体" w:cs="宋体"/>
          <w:color w:val="auto"/>
          <w:kern w:val="2"/>
          <w:sz w:val="21"/>
          <w:szCs w:val="20"/>
          <w:highlight w:val="none"/>
          <w:lang w:val="en-US" w:eastAsia="zh-CN" w:bidi="ar-SA"/>
        </w:rPr>
        <w:t>受托方须按委托方有关整理档案的规范，负责编制整理合同项目所产生的档案，在合同完成三个月内向委托方移交。其中文件材料档案一式二份；与纸质档案对应的电子版文件材料档案一式两份；声像档案一式两份。委托方接受了受托方完整的档案后应签署项目档案移交确认书。未能移交档案的，委托方不予签发最终验收证书。</w:t>
      </w:r>
    </w:p>
    <w:p>
      <w:pPr>
        <w:widowControl w:val="0"/>
        <w:numPr>
          <w:ilvl w:val="0"/>
          <w:numId w:val="0"/>
        </w:numPr>
        <w:spacing w:before="0" w:beforeLines="0" w:line="360" w:lineRule="exact"/>
        <w:ind w:left="840" w:leftChars="0" w:hanging="840" w:hangingChars="4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 xml:space="preserve">8.16 </w:t>
      </w:r>
      <w:r>
        <w:rPr>
          <w:rFonts w:hint="eastAsia" w:ascii="宋体" w:hAnsi="宋体" w:eastAsia="宋体" w:cs="宋体"/>
          <w:color w:val="auto"/>
          <w:kern w:val="2"/>
          <w:sz w:val="21"/>
          <w:szCs w:val="20"/>
          <w:highlight w:val="none"/>
          <w:lang w:val="en-US" w:eastAsia="zh-CN" w:bidi="ar-SA"/>
        </w:rPr>
        <w:t>受托方执行合同产生的电子版文件、图纸档案及纸质文件、图纸档案，未经委托方书面许可，不得转让、提供第三方使用，不得用于本合同以外的其他用途；受托方执行合同需委托方提供资料、信息及档案材料的，未经委托方书面同意，受托方不能向第三方提供；否则引起的知识产权纠纷及保密责任，由受托方负责。</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819" w:name="_Hlt10536990"/>
      <w:bookmarkEnd w:id="1819"/>
      <w:bookmarkStart w:id="1820" w:name="_Toc27390757"/>
      <w:bookmarkStart w:id="1821" w:name="_Toc306006993"/>
      <w:bookmarkStart w:id="1822" w:name="_Toc309026490"/>
      <w:bookmarkStart w:id="1823" w:name="_Toc319312347"/>
      <w:bookmarkStart w:id="1824" w:name="_Toc306091611"/>
      <w:bookmarkStart w:id="1825" w:name="_Toc24024"/>
      <w:bookmarkStart w:id="1826" w:name="_Toc10320"/>
      <w:bookmarkStart w:id="1827" w:name="_Toc306007238"/>
      <w:bookmarkStart w:id="1828" w:name="_Toc20469"/>
      <w:bookmarkStart w:id="1829" w:name="_Toc16966"/>
      <w:bookmarkStart w:id="1830" w:name="_Toc309026884"/>
      <w:bookmarkStart w:id="1831" w:name="_Toc318208971"/>
      <w:bookmarkStart w:id="1832" w:name="_Toc319311222"/>
      <w:bookmarkStart w:id="1833" w:name="_Toc98142499"/>
      <w:bookmarkStart w:id="1834" w:name="_Toc319320662"/>
      <w:bookmarkStart w:id="1835" w:name="_Toc321906058"/>
      <w:bookmarkStart w:id="1836" w:name="_Toc306007681"/>
      <w:bookmarkStart w:id="1837" w:name="_Toc306006775"/>
      <w:bookmarkStart w:id="1838" w:name="_Toc101002773"/>
      <w:bookmarkStart w:id="1839" w:name="_Toc319313659"/>
      <w:bookmarkStart w:id="1840" w:name="_Toc7329"/>
      <w:bookmarkStart w:id="1841" w:name="_Toc319311396"/>
      <w:bookmarkStart w:id="1842" w:name="_Toc306007462"/>
      <w:r>
        <w:rPr>
          <w:rFonts w:hint="eastAsia" w:ascii="宋体" w:hAnsi="宋体" w:cs="Times New Roman" w:eastAsiaTheme="minorEastAsia"/>
          <w:b/>
          <w:color w:val="auto"/>
          <w:kern w:val="2"/>
          <w:sz w:val="32"/>
          <w:szCs w:val="22"/>
          <w:highlight w:val="none"/>
          <w:lang w:val="en-US" w:eastAsia="zh-CN" w:bidi="ar-SA"/>
        </w:rPr>
        <w:t>12.违约、赔偿与免责（新增专用条款第12条）</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pPr>
        <w:widowControl w:val="0"/>
        <w:numPr>
          <w:ilvl w:val="0"/>
          <w:numId w:val="0"/>
        </w:numPr>
        <w:spacing w:before="0" w:beforeLines="0" w:line="360" w:lineRule="exact"/>
        <w:ind w:left="840" w:leftChars="0" w:hanging="840" w:hangingChars="400"/>
        <w:jc w:val="both"/>
        <w:rPr>
          <w:rFonts w:ascii="宋体" w:hAnsi="宋体" w:eastAsia="宋体" w:cs="宋体"/>
          <w:color w:val="auto"/>
          <w:kern w:val="2"/>
          <w:sz w:val="21"/>
          <w:szCs w:val="20"/>
          <w:highlight w:val="none"/>
          <w:lang w:val="en-US" w:eastAsia="zh-CN" w:bidi="ar-SA"/>
        </w:rPr>
      </w:pPr>
      <w:r>
        <w:rPr>
          <w:rFonts w:ascii="宋体" w:hAnsi="宋体" w:eastAsia="宋体" w:cs="宋体"/>
          <w:color w:val="auto"/>
          <w:kern w:val="2"/>
          <w:sz w:val="21"/>
          <w:szCs w:val="20"/>
          <w:highlight w:val="none"/>
          <w:lang w:val="en-US" w:eastAsia="zh-CN" w:bidi="ar-SA"/>
        </w:rPr>
        <w:t>12.1 违约</w:t>
      </w:r>
    </w:p>
    <w:p>
      <w:pPr>
        <w:spacing w:line="360" w:lineRule="exact"/>
        <w:rPr>
          <w:rFonts w:ascii="宋体" w:hAnsi="宋体" w:eastAsia="宋体" w:cs="宋体"/>
          <w:color w:val="auto"/>
          <w:highlight w:val="none"/>
        </w:rPr>
      </w:pPr>
      <w:r>
        <w:rPr>
          <w:rFonts w:ascii="宋体" w:hAnsi="宋体" w:eastAsia="宋体" w:cs="宋体"/>
          <w:color w:val="auto"/>
          <w:highlight w:val="none"/>
        </w:rPr>
        <w:t>12.1.1 任何一方宣告破产或无力清偿，视为违约。</w:t>
      </w:r>
    </w:p>
    <w:p>
      <w:pPr>
        <w:spacing w:line="360" w:lineRule="exact"/>
        <w:rPr>
          <w:rFonts w:ascii="宋体" w:hAnsi="宋体" w:eastAsia="宋体" w:cs="宋体"/>
          <w:color w:val="auto"/>
          <w:highlight w:val="none"/>
        </w:rPr>
      </w:pPr>
      <w:r>
        <w:rPr>
          <w:rFonts w:ascii="宋体" w:hAnsi="宋体" w:eastAsia="宋体" w:cs="宋体"/>
          <w:color w:val="auto"/>
          <w:highlight w:val="none"/>
        </w:rPr>
        <w:t>12.1.2 任何违反合同规定的行为，视为违约。</w:t>
      </w:r>
    </w:p>
    <w:p>
      <w:pPr>
        <w:spacing w:line="360" w:lineRule="exact"/>
        <w:rPr>
          <w:rFonts w:ascii="宋体" w:hAnsi="宋体" w:eastAsia="宋体" w:cs="宋体"/>
          <w:color w:val="auto"/>
          <w:highlight w:val="none"/>
        </w:rPr>
      </w:pPr>
      <w:r>
        <w:rPr>
          <w:rFonts w:ascii="宋体" w:hAnsi="宋体" w:eastAsia="宋体" w:cs="宋体"/>
          <w:color w:val="auto"/>
          <w:highlight w:val="none"/>
        </w:rPr>
        <w:t>12.1.3 发生不可抗力时，只要遭受不可抗力影响的一方为了履行合同采取了所有合理的预防措施、应有的小心和其他措施，不可抗力导致的不能履约或履约延迟不视作违约。</w:t>
      </w:r>
    </w:p>
    <w:p>
      <w:pPr>
        <w:spacing w:line="360" w:lineRule="exact"/>
        <w:rPr>
          <w:rFonts w:ascii="宋体" w:hAnsi="宋体" w:eastAsia="宋体" w:cs="宋体"/>
          <w:color w:val="auto"/>
          <w:highlight w:val="none"/>
        </w:rPr>
      </w:pPr>
      <w:r>
        <w:rPr>
          <w:rFonts w:ascii="宋体" w:hAnsi="宋体" w:eastAsia="宋体" w:cs="宋体"/>
          <w:color w:val="auto"/>
          <w:highlight w:val="none"/>
        </w:rPr>
        <w:t>12.2 违约责任</w:t>
      </w:r>
    </w:p>
    <w:p>
      <w:pPr>
        <w:spacing w:line="360" w:lineRule="exact"/>
        <w:rPr>
          <w:rFonts w:ascii="宋体" w:hAnsi="宋体" w:eastAsia="宋体" w:cs="宋体"/>
          <w:color w:val="auto"/>
          <w:highlight w:val="none"/>
        </w:rPr>
      </w:pPr>
      <w:r>
        <w:rPr>
          <w:rFonts w:ascii="宋体" w:hAnsi="宋体" w:eastAsia="宋体" w:cs="宋体"/>
          <w:color w:val="auto"/>
          <w:highlight w:val="none"/>
        </w:rPr>
        <w:t>12.2.1 如因任何一方过错造成合同不能履行、不能完全履行或不适当履行，由有过错的一方负责并承担由此造成的一切损失和费用以及另一方采取合理补救措施的一切费用。</w:t>
      </w:r>
    </w:p>
    <w:p>
      <w:pPr>
        <w:spacing w:line="360" w:lineRule="exact"/>
        <w:rPr>
          <w:rFonts w:ascii="宋体" w:hAnsi="宋体" w:eastAsia="宋体" w:cs="宋体"/>
          <w:color w:val="auto"/>
          <w:highlight w:val="none"/>
        </w:rPr>
      </w:pPr>
      <w:r>
        <w:rPr>
          <w:rFonts w:ascii="宋体" w:hAnsi="宋体" w:eastAsia="宋体" w:cs="宋体"/>
          <w:color w:val="auto"/>
          <w:highlight w:val="none"/>
        </w:rPr>
        <w:t>12.2.2 如由于双方的过错造成合同不能履行、不能完全履行或不适当履行，应根据实际情况由双方分别承担各自应负的违约责任。</w:t>
      </w:r>
    </w:p>
    <w:p>
      <w:pPr>
        <w:spacing w:line="360" w:lineRule="exact"/>
        <w:rPr>
          <w:rFonts w:ascii="宋体" w:hAnsi="宋体" w:eastAsia="宋体" w:cs="宋体"/>
          <w:color w:val="auto"/>
          <w:highlight w:val="none"/>
        </w:rPr>
      </w:pPr>
      <w:r>
        <w:rPr>
          <w:rFonts w:ascii="宋体" w:hAnsi="宋体" w:eastAsia="宋体" w:cs="宋体"/>
          <w:color w:val="auto"/>
          <w:highlight w:val="none"/>
        </w:rPr>
        <w:t>12.2.3集成服务人员违反专用条款第7条相关规定，按7.3条规定的罚款金额进行违约扣款，所扣费用直接在当期进度付款中扣除，结算时不予返还。</w:t>
      </w:r>
    </w:p>
    <w:p>
      <w:pPr>
        <w:spacing w:line="360" w:lineRule="exact"/>
        <w:rPr>
          <w:rFonts w:ascii="宋体" w:hAnsi="宋体" w:eastAsia="宋体" w:cs="宋体"/>
          <w:color w:val="auto"/>
          <w:highlight w:val="none"/>
        </w:rPr>
      </w:pPr>
      <w:r>
        <w:rPr>
          <w:rFonts w:ascii="宋体" w:hAnsi="宋体" w:eastAsia="宋体" w:cs="宋体"/>
          <w:color w:val="auto"/>
          <w:highlight w:val="none"/>
        </w:rPr>
        <w:t>12.3 赔偿</w:t>
      </w:r>
    </w:p>
    <w:p>
      <w:pPr>
        <w:spacing w:line="360" w:lineRule="exact"/>
        <w:rPr>
          <w:rFonts w:ascii="宋体" w:hAnsi="宋体" w:eastAsia="宋体" w:cs="宋体"/>
          <w:color w:val="auto"/>
          <w:highlight w:val="none"/>
        </w:rPr>
      </w:pPr>
      <w:r>
        <w:rPr>
          <w:rFonts w:ascii="宋体" w:hAnsi="宋体" w:eastAsia="宋体" w:cs="宋体"/>
          <w:color w:val="auto"/>
          <w:highlight w:val="none"/>
        </w:rPr>
        <w:t>12.3.1 如受托方接口设计有缺陷，受托方必须赔偿由此引起的项目费用增加。</w:t>
      </w:r>
    </w:p>
    <w:p>
      <w:pPr>
        <w:spacing w:line="360" w:lineRule="exact"/>
        <w:rPr>
          <w:rFonts w:ascii="宋体" w:hAnsi="宋体" w:eastAsia="宋体" w:cs="宋体"/>
          <w:color w:val="auto"/>
          <w:highlight w:val="none"/>
        </w:rPr>
      </w:pPr>
      <w:r>
        <w:rPr>
          <w:rFonts w:ascii="宋体" w:hAnsi="宋体" w:eastAsia="宋体" w:cs="宋体"/>
          <w:color w:val="auto"/>
          <w:highlight w:val="none"/>
        </w:rPr>
        <w:t>12.3.2 如因受托方设计失误而造成系统重大质量事故，或形成系统设备及功能永久性缺陷，受托方应支付与直接损失部分10%</w:t>
      </w:r>
      <w:r>
        <w:rPr>
          <w:rFonts w:hint="eastAsia" w:ascii="宋体" w:hAnsi="宋体" w:eastAsia="宋体" w:cs="宋体"/>
          <w:color w:val="auto"/>
          <w:highlight w:val="none"/>
        </w:rPr>
        <w:t>相当的赔偿金。</w:t>
      </w:r>
    </w:p>
    <w:p>
      <w:pPr>
        <w:spacing w:line="360" w:lineRule="exact"/>
        <w:rPr>
          <w:rFonts w:ascii="宋体" w:hAnsi="宋体" w:eastAsia="宋体" w:cs="宋体"/>
          <w:color w:val="auto"/>
          <w:highlight w:val="none"/>
        </w:rPr>
      </w:pPr>
      <w:r>
        <w:rPr>
          <w:rFonts w:ascii="宋体" w:hAnsi="宋体" w:eastAsia="宋体" w:cs="宋体"/>
          <w:color w:val="auto"/>
          <w:highlight w:val="none"/>
        </w:rPr>
        <w:t>12.3.3 如受托方指导不当、工作疏忽或严重渎职引致项目延误，委托方有权获得不超过延误部分设备项目合同价百分之五（5</w:t>
      </w:r>
      <w:r>
        <w:rPr>
          <w:rFonts w:hint="eastAsia" w:ascii="宋体" w:hAnsi="宋体" w:eastAsia="宋体" w:cs="宋体"/>
          <w:color w:val="auto"/>
          <w:highlight w:val="none"/>
        </w:rPr>
        <w:t>％）的赔偿金。</w:t>
      </w:r>
    </w:p>
    <w:p>
      <w:pPr>
        <w:spacing w:line="360" w:lineRule="exact"/>
        <w:rPr>
          <w:rFonts w:ascii="宋体" w:hAnsi="宋体" w:eastAsia="宋体" w:cs="宋体"/>
          <w:color w:val="auto"/>
          <w:highlight w:val="none"/>
        </w:rPr>
      </w:pPr>
      <w:r>
        <w:rPr>
          <w:rFonts w:ascii="宋体" w:hAnsi="宋体" w:eastAsia="宋体" w:cs="宋体"/>
          <w:color w:val="auto"/>
          <w:highlight w:val="none"/>
        </w:rPr>
        <w:t>12.3.4 如因受托方原因导致系统联调失败，受托方可以在采取必要的补救、修正措施后进行第二次联调，如仍失败，受托方必须支付委托方不超过车站设备项目合同总价百分之二（2</w:t>
      </w:r>
      <w:r>
        <w:rPr>
          <w:rFonts w:hint="eastAsia" w:ascii="宋体" w:hAnsi="宋体" w:eastAsia="宋体" w:cs="宋体"/>
          <w:color w:val="auto"/>
          <w:highlight w:val="none"/>
        </w:rPr>
        <w:t>％）的赔偿金。</w:t>
      </w:r>
    </w:p>
    <w:p>
      <w:pPr>
        <w:spacing w:line="360" w:lineRule="exact"/>
        <w:rPr>
          <w:rFonts w:ascii="宋体" w:hAnsi="宋体" w:eastAsia="宋体" w:cs="宋体"/>
          <w:color w:val="auto"/>
          <w:highlight w:val="none"/>
        </w:rPr>
      </w:pPr>
      <w:r>
        <w:rPr>
          <w:rFonts w:ascii="宋体" w:hAnsi="宋体" w:eastAsia="宋体" w:cs="宋体"/>
          <w:color w:val="auto"/>
          <w:highlight w:val="none"/>
        </w:rPr>
        <w:t>12.3.5 任何因受托方原因引致的项目费用增加，受托方必须赔偿这部分的项目费用增加。</w:t>
      </w:r>
    </w:p>
    <w:p>
      <w:pPr>
        <w:spacing w:line="360" w:lineRule="exact"/>
        <w:rPr>
          <w:rFonts w:ascii="宋体" w:hAnsi="宋体" w:eastAsia="宋体" w:cs="宋体"/>
          <w:color w:val="auto"/>
          <w:highlight w:val="none"/>
        </w:rPr>
      </w:pPr>
      <w:r>
        <w:rPr>
          <w:rFonts w:ascii="宋体" w:hAnsi="宋体" w:eastAsia="宋体" w:cs="宋体"/>
          <w:color w:val="auto"/>
          <w:highlight w:val="none"/>
        </w:rPr>
        <w:t>12.3.6 对上述规定的有关赔偿金，委托方可以分别或同时从对受托方的支付中扣除有关金额、没收专用条款第8条规定的全部或部分履约保证金或在受托方提交的银行保函项下索赔，但必须在有关扣除、没收作出前三十（30</w:t>
      </w:r>
      <w:r>
        <w:rPr>
          <w:rFonts w:hint="eastAsia" w:ascii="宋体" w:hAnsi="宋体" w:eastAsia="宋体" w:cs="宋体"/>
          <w:color w:val="auto"/>
          <w:highlight w:val="none"/>
        </w:rPr>
        <w:t>）天书面通知受托方。</w:t>
      </w:r>
    </w:p>
    <w:p>
      <w:pPr>
        <w:spacing w:line="360" w:lineRule="exact"/>
        <w:rPr>
          <w:rFonts w:ascii="宋体" w:hAnsi="宋体" w:eastAsia="宋体" w:cs="宋体"/>
          <w:color w:val="auto"/>
          <w:highlight w:val="none"/>
        </w:rPr>
      </w:pPr>
      <w:r>
        <w:rPr>
          <w:rFonts w:ascii="宋体" w:hAnsi="宋体" w:eastAsia="宋体" w:cs="宋体"/>
          <w:color w:val="auto"/>
          <w:highlight w:val="none"/>
        </w:rPr>
        <w:t>12.3.7 受托方有权获得专用条款有关规定的补偿。</w:t>
      </w:r>
    </w:p>
    <w:p>
      <w:pPr>
        <w:spacing w:line="360" w:lineRule="exact"/>
        <w:rPr>
          <w:rFonts w:ascii="宋体" w:hAnsi="宋体" w:eastAsia="宋体" w:cs="宋体"/>
          <w:color w:val="auto"/>
          <w:highlight w:val="none"/>
        </w:rPr>
      </w:pPr>
      <w:r>
        <w:rPr>
          <w:rFonts w:ascii="宋体" w:hAnsi="宋体" w:eastAsia="宋体" w:cs="宋体"/>
          <w:color w:val="auto"/>
          <w:highlight w:val="none"/>
        </w:rPr>
        <w:t>12.4 免责</w:t>
      </w:r>
    </w:p>
    <w:p>
      <w:pPr>
        <w:spacing w:line="360" w:lineRule="exact"/>
        <w:rPr>
          <w:rFonts w:ascii="宋体" w:hAnsi="宋体" w:eastAsia="宋体" w:cs="宋体"/>
          <w:color w:val="auto"/>
          <w:highlight w:val="none"/>
        </w:rPr>
      </w:pPr>
      <w:r>
        <w:rPr>
          <w:rFonts w:ascii="宋体" w:hAnsi="宋体" w:eastAsia="宋体" w:cs="宋体"/>
          <w:color w:val="auto"/>
          <w:highlight w:val="none"/>
        </w:rPr>
        <w:t>12.4.1 受托方不对因委托方、系统供货商、与项目有关的其他系统或其他有关方面单方面造成的任何损失、延误或费用增加负责，不对委托方与系统供货商合同项下不可抗力事件对项目造成的影响和引致的损失负责。</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843" w:name="_Toc11181"/>
      <w:bookmarkStart w:id="1844" w:name="_Toc306007682"/>
      <w:bookmarkStart w:id="1845" w:name="_Toc20031"/>
      <w:bookmarkStart w:id="1846" w:name="_Toc101002774"/>
      <w:bookmarkStart w:id="1847" w:name="_Toc3221"/>
      <w:bookmarkStart w:id="1848" w:name="_Toc319320663"/>
      <w:bookmarkStart w:id="1849" w:name="_Toc306007463"/>
      <w:bookmarkStart w:id="1850" w:name="_Toc318208972"/>
      <w:bookmarkStart w:id="1851" w:name="_Toc98142500"/>
      <w:bookmarkStart w:id="1852" w:name="_Toc321906059"/>
      <w:bookmarkStart w:id="1853" w:name="_Toc309026885"/>
      <w:bookmarkStart w:id="1854" w:name="_Toc306006776"/>
      <w:bookmarkStart w:id="1855" w:name="_Toc306007239"/>
      <w:bookmarkStart w:id="1856" w:name="_Toc28363"/>
      <w:bookmarkStart w:id="1857" w:name="_Toc319311397"/>
      <w:bookmarkStart w:id="1858" w:name="_Toc309026491"/>
      <w:bookmarkStart w:id="1859" w:name="_Toc27390758"/>
      <w:bookmarkStart w:id="1860" w:name="_Toc319312348"/>
      <w:bookmarkStart w:id="1861" w:name="_Toc14718"/>
      <w:bookmarkStart w:id="1862" w:name="_Toc319311223"/>
      <w:bookmarkStart w:id="1863" w:name="_Toc319313660"/>
      <w:bookmarkStart w:id="1864" w:name="_Toc306006994"/>
      <w:bookmarkStart w:id="1865" w:name="_Toc306091612"/>
      <w:r>
        <w:rPr>
          <w:rFonts w:hint="eastAsia" w:ascii="宋体" w:hAnsi="宋体" w:cs="Times New Roman" w:eastAsiaTheme="minorEastAsia"/>
          <w:b/>
          <w:color w:val="auto"/>
          <w:kern w:val="2"/>
          <w:sz w:val="32"/>
          <w:szCs w:val="22"/>
          <w:highlight w:val="none"/>
          <w:lang w:val="en-US" w:eastAsia="zh-CN" w:bidi="ar-SA"/>
        </w:rPr>
        <w:t>13.合同终止与暂停（新增专用条款第13条）</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pPr>
        <w:spacing w:line="360" w:lineRule="exact"/>
        <w:rPr>
          <w:rFonts w:ascii="宋体" w:hAnsi="宋体" w:eastAsia="宋体" w:cs="宋体"/>
          <w:color w:val="auto"/>
          <w:highlight w:val="none"/>
        </w:rPr>
      </w:pPr>
      <w:bookmarkStart w:id="1866" w:name="_Hlt508075538"/>
      <w:bookmarkEnd w:id="1866"/>
      <w:r>
        <w:rPr>
          <w:rFonts w:ascii="宋体" w:hAnsi="宋体" w:eastAsia="宋体" w:cs="宋体"/>
          <w:color w:val="auto"/>
          <w:highlight w:val="none"/>
        </w:rPr>
        <w:t>13.1 合同的暂停</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13.1.1 委托方可以在任何时候由于任何原因书面通知受托方暂停合同的任何部分。受托方应即时暂停，但必须继续执行未暂停的部分，并在收到委托方书面恢复通知后，即时恢复。</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13.1.2 如并非由于受托方违约导致受托方不得不暂停履行合同或合同一部分时，受托方应立即书面通知委托方，并给出充分合理的解释。委托方必须协助受托方消除影响，以使合同得以继续履行。</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13.1.3 受托方可以在委托方不合理地拒付合同款项的情况下，以书面通知委托方暂停合同或合同的一部分，除非委托方对此给出合理理由。</w:t>
      </w:r>
    </w:p>
    <w:p>
      <w:pPr>
        <w:spacing w:line="360" w:lineRule="exact"/>
        <w:rPr>
          <w:rFonts w:ascii="宋体" w:hAnsi="宋体" w:eastAsia="宋体" w:cs="宋体"/>
          <w:color w:val="auto"/>
          <w:highlight w:val="none"/>
        </w:rPr>
      </w:pPr>
      <w:r>
        <w:rPr>
          <w:rFonts w:ascii="宋体" w:hAnsi="宋体" w:eastAsia="宋体" w:cs="宋体"/>
          <w:color w:val="auto"/>
          <w:highlight w:val="none"/>
        </w:rPr>
        <w:t>13.2 合同终止</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13.2.1 </w:t>
      </w:r>
      <w:r>
        <w:rPr>
          <w:rFonts w:hint="eastAsia" w:ascii="宋体" w:hAnsi="宋体" w:eastAsia="宋体" w:cs="宋体"/>
          <w:color w:val="auto"/>
          <w:highlight w:val="none"/>
        </w:rPr>
        <w:t>当服务结束且合同双方完成合同规定的责任和义务，合同自动终止。</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13.2.2 </w:t>
      </w:r>
      <w:r>
        <w:rPr>
          <w:rFonts w:hint="eastAsia" w:ascii="宋体" w:hAnsi="宋体" w:eastAsia="宋体" w:cs="宋体"/>
          <w:color w:val="auto"/>
          <w:highlight w:val="none"/>
        </w:rPr>
        <w:t>若双方同意，合同可以在任何条件下终止。经双方书面确认的情况下，双方均无例外地免去对方所有的合同责任和义务。</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13.2.3 </w:t>
      </w:r>
      <w:r>
        <w:rPr>
          <w:rFonts w:hint="eastAsia" w:ascii="宋体" w:hAnsi="宋体" w:eastAsia="宋体" w:cs="宋体"/>
          <w:color w:val="auto"/>
          <w:highlight w:val="none"/>
        </w:rPr>
        <w:t>据专用条款第</w:t>
      </w:r>
      <w:r>
        <w:rPr>
          <w:rFonts w:ascii="宋体" w:hAnsi="宋体" w:eastAsia="宋体" w:cs="宋体"/>
          <w:color w:val="auto"/>
          <w:highlight w:val="none"/>
        </w:rPr>
        <w:t>12条规定任何一方违约，另一方可以终止合同。</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13.2.4 </w:t>
      </w:r>
      <w:r>
        <w:rPr>
          <w:rFonts w:hint="eastAsia" w:ascii="宋体" w:hAnsi="宋体" w:eastAsia="宋体" w:cs="宋体"/>
          <w:color w:val="auto"/>
          <w:highlight w:val="none"/>
        </w:rPr>
        <w:t>委托方可以在任何时候可以以充足的理由终止本合同，但事先必须在正式终止前二十八（</w:t>
      </w:r>
      <w:r>
        <w:rPr>
          <w:rFonts w:ascii="宋体" w:hAnsi="宋体" w:eastAsia="宋体" w:cs="宋体"/>
          <w:color w:val="auto"/>
          <w:highlight w:val="none"/>
        </w:rPr>
        <w:t>28</w:t>
      </w:r>
      <w:r>
        <w:rPr>
          <w:rFonts w:hint="eastAsia" w:ascii="宋体" w:hAnsi="宋体" w:eastAsia="宋体" w:cs="宋体"/>
          <w:color w:val="auto"/>
          <w:highlight w:val="none"/>
        </w:rPr>
        <w:t>）天以书面形式通知受托方，并说明终止理由。</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13.2.5 </w:t>
      </w:r>
      <w:r>
        <w:rPr>
          <w:rFonts w:hint="eastAsia" w:ascii="宋体" w:hAnsi="宋体" w:eastAsia="宋体" w:cs="宋体"/>
          <w:color w:val="auto"/>
          <w:highlight w:val="none"/>
        </w:rPr>
        <w:t>提出终止合同的一方应以书面通知对方。收到通知的一方必须在收到通知之日起十四（</w:t>
      </w:r>
      <w:r>
        <w:rPr>
          <w:rFonts w:ascii="宋体" w:hAnsi="宋体" w:eastAsia="宋体" w:cs="宋体"/>
          <w:color w:val="auto"/>
          <w:highlight w:val="none"/>
        </w:rPr>
        <w:t>14</w:t>
      </w:r>
      <w:r>
        <w:rPr>
          <w:rFonts w:hint="eastAsia" w:ascii="宋体" w:hAnsi="宋体" w:eastAsia="宋体" w:cs="宋体"/>
          <w:color w:val="auto"/>
          <w:highlight w:val="none"/>
        </w:rPr>
        <w:t>）天内回复，否则，视作合同终止对双方有效。</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13.2.6 </w:t>
      </w:r>
      <w:r>
        <w:rPr>
          <w:rFonts w:hint="eastAsia" w:ascii="宋体" w:hAnsi="宋体" w:eastAsia="宋体" w:cs="宋体"/>
          <w:color w:val="auto"/>
          <w:highlight w:val="none"/>
        </w:rPr>
        <w:t>合同终止后，受托方有权获得，委托方应尽快支付受托方在合同终止日期前受托方应得的所有金额。如合同终止不是由于受托方违约引起，受托方有权获得合同终止日期前的所有实际发生的费用、及合同损失造成的直接损失。如果合同终止因受托方违约引起，委托方有权索赔由于其违约造成的所有损失。</w:t>
      </w:r>
    </w:p>
    <w:p>
      <w:pPr>
        <w:spacing w:line="36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13.2.7 </w:t>
      </w:r>
      <w:r>
        <w:rPr>
          <w:rFonts w:hint="eastAsia" w:ascii="宋体" w:hAnsi="宋体" w:eastAsia="宋体" w:cs="宋体"/>
          <w:color w:val="auto"/>
          <w:highlight w:val="none"/>
        </w:rPr>
        <w:t>如因不可抗力导致合同终止，双方均不对对方承担赔偿责任。</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867" w:name="_Toc306007683"/>
      <w:bookmarkStart w:id="1868" w:name="_Toc306006995"/>
      <w:bookmarkStart w:id="1869" w:name="_Toc319312349"/>
      <w:bookmarkStart w:id="1870" w:name="_Toc306007240"/>
      <w:bookmarkStart w:id="1871" w:name="_Toc13161"/>
      <w:bookmarkStart w:id="1872" w:name="_Toc309026492"/>
      <w:bookmarkStart w:id="1873" w:name="_Toc21465"/>
      <w:bookmarkStart w:id="1874" w:name="_Toc319313661"/>
      <w:bookmarkStart w:id="1875" w:name="_Toc318208973"/>
      <w:bookmarkStart w:id="1876" w:name="_Toc321906060"/>
      <w:bookmarkStart w:id="1877" w:name="_Toc22475"/>
      <w:bookmarkStart w:id="1878" w:name="_Toc319311398"/>
      <w:bookmarkStart w:id="1879" w:name="_Toc27390759"/>
      <w:bookmarkStart w:id="1880" w:name="_Toc309026886"/>
      <w:bookmarkStart w:id="1881" w:name="_Toc306006777"/>
      <w:bookmarkStart w:id="1882" w:name="_Toc306007464"/>
      <w:bookmarkStart w:id="1883" w:name="_Toc319320664"/>
      <w:bookmarkStart w:id="1884" w:name="_Toc12748"/>
      <w:bookmarkStart w:id="1885" w:name="_Toc101002775"/>
      <w:bookmarkStart w:id="1886" w:name="_Toc319311224"/>
      <w:bookmarkStart w:id="1887" w:name="_Toc306091613"/>
      <w:bookmarkStart w:id="1888" w:name="_Toc1490"/>
      <w:bookmarkStart w:id="1889" w:name="_Toc98142501"/>
      <w:r>
        <w:rPr>
          <w:rFonts w:hint="eastAsia" w:ascii="宋体" w:hAnsi="宋体" w:cs="Times New Roman" w:eastAsiaTheme="minorEastAsia"/>
          <w:b/>
          <w:color w:val="auto"/>
          <w:kern w:val="2"/>
          <w:sz w:val="32"/>
          <w:szCs w:val="22"/>
          <w:highlight w:val="none"/>
          <w:lang w:val="en-US" w:eastAsia="zh-CN" w:bidi="ar-SA"/>
        </w:rPr>
        <w:t>14.争端的解决（通用条款第24条）</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pPr>
        <w:spacing w:line="360" w:lineRule="exact"/>
        <w:rPr>
          <w:rFonts w:ascii="宋体" w:hAnsi="宋体" w:eastAsia="宋体" w:cs="宋体"/>
          <w:color w:val="auto"/>
          <w:highlight w:val="none"/>
        </w:rPr>
      </w:pPr>
      <w:r>
        <w:rPr>
          <w:rFonts w:hint="eastAsia" w:ascii="宋体" w:hAnsi="宋体" w:eastAsia="宋体" w:cs="宋体"/>
          <w:color w:val="auto"/>
          <w:highlight w:val="none"/>
        </w:rPr>
        <w:t>通用条款的第</w:t>
      </w:r>
      <w:r>
        <w:rPr>
          <w:rFonts w:ascii="宋体" w:hAnsi="宋体" w:eastAsia="宋体" w:cs="宋体"/>
          <w:color w:val="auto"/>
          <w:highlight w:val="none"/>
        </w:rPr>
        <w:t>24.1条、第24.2条替代为：</w:t>
      </w:r>
    </w:p>
    <w:p>
      <w:pPr>
        <w:spacing w:line="360" w:lineRule="exact"/>
        <w:rPr>
          <w:rFonts w:ascii="宋体" w:hAnsi="宋体" w:eastAsia="宋体" w:cs="宋体"/>
          <w:color w:val="auto"/>
          <w:highlight w:val="none"/>
        </w:rPr>
      </w:pPr>
      <w:bookmarkStart w:id="1890" w:name="_Hlt509112756"/>
      <w:bookmarkEnd w:id="1890"/>
      <w:bookmarkStart w:id="1891" w:name="_Toc305942094"/>
      <w:bookmarkStart w:id="1892" w:name="_Toc305941657"/>
      <w:bookmarkStart w:id="1893" w:name="_Toc306003188"/>
      <w:r>
        <w:rPr>
          <w:rFonts w:ascii="宋体" w:hAnsi="宋体" w:eastAsia="宋体" w:cs="宋体"/>
          <w:color w:val="auto"/>
          <w:highlight w:val="none"/>
        </w:rPr>
        <w:t>24.1 受托方与委托方本合同项下之任何争端应首先通过友好协商解决。</w:t>
      </w:r>
      <w:bookmarkEnd w:id="1891"/>
      <w:bookmarkEnd w:id="1892"/>
      <w:bookmarkEnd w:id="1893"/>
    </w:p>
    <w:p>
      <w:pPr>
        <w:spacing w:line="360" w:lineRule="exact"/>
        <w:rPr>
          <w:rFonts w:ascii="宋体" w:hAnsi="宋体" w:eastAsia="宋体" w:cs="宋体"/>
          <w:color w:val="auto"/>
          <w:highlight w:val="none"/>
        </w:rPr>
      </w:pPr>
      <w:r>
        <w:rPr>
          <w:rFonts w:ascii="宋体" w:hAnsi="宋体" w:eastAsia="宋体" w:cs="宋体"/>
          <w:color w:val="auto"/>
          <w:highlight w:val="none"/>
        </w:rPr>
        <w:t>24.2 如友好协商后还不能解决，任何一方有权向委托方所在地有管辖权的人民法院提起诉讼。</w:t>
      </w:r>
    </w:p>
    <w:p>
      <w:pPr>
        <w:keepNext/>
        <w:keepLines/>
        <w:widowControl w:val="0"/>
        <w:bidi w:val="0"/>
        <w:spacing w:before="260" w:beforeLines="0" w:beforeAutospacing="0" w:after="260" w:afterLines="0" w:afterAutospacing="0" w:line="413" w:lineRule="auto"/>
        <w:jc w:val="both"/>
        <w:outlineLvl w:val="3"/>
        <w:rPr>
          <w:rFonts w:ascii="宋体" w:hAnsi="宋体" w:cs="Times New Roman" w:eastAsiaTheme="minorEastAsia"/>
          <w:b/>
          <w:color w:val="auto"/>
          <w:kern w:val="2"/>
          <w:sz w:val="32"/>
          <w:szCs w:val="22"/>
          <w:highlight w:val="none"/>
          <w:lang w:val="en-US" w:eastAsia="zh-CN" w:bidi="ar-SA"/>
        </w:rPr>
      </w:pPr>
      <w:bookmarkStart w:id="1894" w:name="_Toc319311225"/>
      <w:bookmarkStart w:id="1895" w:name="_Toc306007241"/>
      <w:bookmarkStart w:id="1896" w:name="_Toc319320665"/>
      <w:bookmarkStart w:id="1897" w:name="_Toc318208974"/>
      <w:bookmarkStart w:id="1898" w:name="_Toc309026887"/>
      <w:bookmarkStart w:id="1899" w:name="_Toc29846"/>
      <w:bookmarkStart w:id="1900" w:name="_Toc101002776"/>
      <w:bookmarkStart w:id="1901" w:name="_Toc319313662"/>
      <w:bookmarkStart w:id="1902" w:name="_Toc306007465"/>
      <w:bookmarkStart w:id="1903" w:name="_Toc306006778"/>
      <w:bookmarkStart w:id="1904" w:name="_Toc321906061"/>
      <w:bookmarkStart w:id="1905" w:name="_Toc306091614"/>
      <w:bookmarkStart w:id="1906" w:name="_Toc3855"/>
      <w:bookmarkStart w:id="1907" w:name="_Toc309026493"/>
      <w:bookmarkStart w:id="1908" w:name="_Toc306007684"/>
      <w:bookmarkStart w:id="1909" w:name="_Toc319311399"/>
      <w:bookmarkStart w:id="1910" w:name="_Toc27390760"/>
      <w:bookmarkStart w:id="1911" w:name="_Toc25863"/>
      <w:bookmarkStart w:id="1912" w:name="_Toc98142502"/>
      <w:bookmarkStart w:id="1913" w:name="_Toc319312350"/>
      <w:bookmarkStart w:id="1914" w:name="_Toc306006996"/>
      <w:bookmarkStart w:id="1915" w:name="_Toc1688"/>
      <w:bookmarkStart w:id="1916" w:name="_Toc12732"/>
      <w:r>
        <w:rPr>
          <w:rFonts w:hint="eastAsia" w:ascii="宋体" w:hAnsi="宋体" w:cs="Times New Roman" w:eastAsiaTheme="minorEastAsia"/>
          <w:b/>
          <w:color w:val="auto"/>
          <w:kern w:val="2"/>
          <w:sz w:val="32"/>
          <w:szCs w:val="22"/>
          <w:highlight w:val="none"/>
          <w:lang w:val="en-US" w:eastAsia="zh-CN" w:bidi="ar-SA"/>
        </w:rPr>
        <w:t>15.其它（新增专用条款第15条）</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pPr>
        <w:spacing w:line="360" w:lineRule="exact"/>
        <w:rPr>
          <w:rFonts w:ascii="宋体" w:hAnsi="宋体" w:eastAsia="宋体" w:cs="宋体"/>
          <w:color w:val="auto"/>
          <w:highlight w:val="none"/>
        </w:rPr>
      </w:pPr>
      <w:r>
        <w:rPr>
          <w:rFonts w:ascii="宋体" w:hAnsi="宋体" w:eastAsia="宋体" w:cs="宋体"/>
          <w:color w:val="auto"/>
          <w:highlight w:val="none"/>
        </w:rPr>
        <w:t>15.1 委托方将指定专门的部门与受托方的常设联系机构进行日常工作，任何报告、资料、图纸、文件、指令均由该机构直接与受托方联系。</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15.2 </w:t>
      </w:r>
      <w:r>
        <w:rPr>
          <w:rFonts w:hint="eastAsia" w:ascii="宋体" w:hAnsi="宋体" w:eastAsia="宋体" w:cs="宋体"/>
          <w:color w:val="auto"/>
          <w:highlight w:val="none"/>
        </w:rPr>
        <w:t>如受托方需临时进口本合同项下有关办公设备或技术设备，委托方应给予协助，必要时协助办理有关进口手续，有关费用由受托方承担。</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15.3 </w:t>
      </w:r>
      <w:r>
        <w:rPr>
          <w:rFonts w:hint="eastAsia" w:ascii="宋体" w:hAnsi="宋体" w:eastAsia="宋体" w:cs="宋体"/>
          <w:color w:val="auto"/>
          <w:highlight w:val="none"/>
        </w:rPr>
        <w:t>版权</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受托方对其在本合同项下编制的文件拥有版权。凡属受托方拥有版权的与履行本合同有关的所有文件，委托方有权使用或复制，但仅用于本合同目的。未经受托方同意，委托方不得将上述文件用于其他项目。</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15.4 </w:t>
      </w:r>
      <w:r>
        <w:rPr>
          <w:rFonts w:hint="eastAsia" w:ascii="宋体" w:hAnsi="宋体" w:eastAsia="宋体" w:cs="宋体"/>
          <w:color w:val="auto"/>
          <w:highlight w:val="none"/>
        </w:rPr>
        <w:t>利益冲突</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未经委托方书面同意，受托方不得获取本合同规定以外的与项目有关的任何利益，不得参与与本合同规定的委托方利益冲突的任何活动。</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15.5 </w:t>
      </w:r>
      <w:r>
        <w:rPr>
          <w:rFonts w:hint="eastAsia" w:ascii="宋体" w:hAnsi="宋体" w:eastAsia="宋体" w:cs="宋体"/>
          <w:color w:val="auto"/>
          <w:highlight w:val="none"/>
        </w:rPr>
        <w:t>良好信义</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双方应互相尊重合同规定的各自权利，以良好信义和行动并采取一切合理措施保证实现本合同目的。</w:t>
      </w:r>
    </w:p>
    <w:p>
      <w:pPr>
        <w:spacing w:line="360" w:lineRule="exact"/>
        <w:rPr>
          <w:rFonts w:ascii="宋体" w:hAnsi="宋体" w:eastAsia="宋体" w:cs="宋体"/>
          <w:color w:val="auto"/>
          <w:highlight w:val="none"/>
        </w:rPr>
      </w:pPr>
      <w:r>
        <w:rPr>
          <w:rFonts w:ascii="宋体" w:hAnsi="宋体" w:eastAsia="宋体" w:cs="宋体"/>
          <w:color w:val="auto"/>
          <w:highlight w:val="none"/>
        </w:rPr>
        <w:t xml:space="preserve">15.6 </w:t>
      </w:r>
      <w:r>
        <w:rPr>
          <w:rFonts w:hint="eastAsia" w:ascii="宋体" w:hAnsi="宋体" w:eastAsia="宋体" w:cs="宋体"/>
          <w:color w:val="auto"/>
          <w:highlight w:val="none"/>
        </w:rPr>
        <w:t>受托方无条件同意，在合同执行过程中委托方将委托商务代理代表委托方履行合同中属于委托方的商务义务和责任。</w:t>
      </w:r>
    </w:p>
    <w:p>
      <w:pPr>
        <w:spacing w:line="360" w:lineRule="auto"/>
        <w:ind w:left="900" w:hanging="900"/>
        <w:rPr>
          <w:rFonts w:ascii="宋体" w:hAnsi="宋体" w:eastAsia="宋体" w:cs="宋体"/>
          <w:color w:val="auto"/>
          <w:highlight w:val="none"/>
        </w:rPr>
      </w:pPr>
      <w:r>
        <w:rPr>
          <w:rFonts w:ascii="宋体" w:hAnsi="宋体" w:eastAsia="宋体" w:cs="宋体"/>
          <w:color w:val="auto"/>
          <w:highlight w:val="none"/>
        </w:rPr>
        <w:t xml:space="preserve">15.7    </w:t>
      </w:r>
      <w:r>
        <w:rPr>
          <w:rFonts w:hint="eastAsia" w:ascii="宋体" w:hAnsi="宋体" w:eastAsia="宋体" w:cs="宋体"/>
          <w:color w:val="auto"/>
          <w:highlight w:val="none"/>
        </w:rPr>
        <w:t>合同结算工作</w:t>
      </w:r>
    </w:p>
    <w:p>
      <w:pPr>
        <w:tabs>
          <w:tab w:val="left" w:pos="8364"/>
        </w:tabs>
        <w:snapToGrid w:val="0"/>
        <w:spacing w:line="360" w:lineRule="exact"/>
        <w:ind w:left="735" w:right="-58" w:hanging="735" w:hangingChars="350"/>
        <w:rPr>
          <w:rFonts w:ascii="宋体" w:hAnsi="宋体" w:eastAsia="宋体" w:cs="宋体"/>
          <w:color w:val="auto"/>
          <w:highlight w:val="none"/>
        </w:rPr>
      </w:pPr>
      <w:r>
        <w:rPr>
          <w:rFonts w:ascii="宋体" w:hAnsi="宋体" w:eastAsia="宋体" w:cs="宋体"/>
          <w:color w:val="auto"/>
          <w:highlight w:val="none"/>
        </w:rPr>
        <w:t>15.7.1受托方完成本合同的所有服务后的60天内，编制符合结算要求的竣工结算书并提交给委托</w:t>
      </w:r>
    </w:p>
    <w:p>
      <w:pPr>
        <w:tabs>
          <w:tab w:val="left" w:pos="8364"/>
        </w:tabs>
        <w:snapToGrid w:val="0"/>
        <w:spacing w:line="360" w:lineRule="exact"/>
        <w:ind w:left="735" w:right="-58" w:hanging="735" w:hangingChars="350"/>
        <w:rPr>
          <w:rFonts w:ascii="宋体" w:hAnsi="宋体" w:eastAsia="宋体" w:cs="宋体"/>
          <w:color w:val="auto"/>
          <w:highlight w:val="none"/>
        </w:rPr>
      </w:pPr>
      <w:r>
        <w:rPr>
          <w:rFonts w:ascii="宋体" w:hAnsi="宋体" w:eastAsia="宋体" w:cs="宋体"/>
          <w:color w:val="auto"/>
          <w:highlight w:val="none"/>
        </w:rPr>
        <w:t>方审核，如因受托方原因未按时提交以上结算书，每超出一天，委托方有权按合同总价的0.01%要</w:t>
      </w:r>
    </w:p>
    <w:p>
      <w:pPr>
        <w:tabs>
          <w:tab w:val="left" w:pos="8364"/>
        </w:tabs>
        <w:snapToGrid w:val="0"/>
        <w:spacing w:line="360" w:lineRule="exact"/>
        <w:ind w:left="735" w:right="-58" w:hanging="735" w:hangingChars="350"/>
        <w:rPr>
          <w:rFonts w:ascii="宋体" w:hAnsi="宋体" w:eastAsia="宋体" w:cs="宋体"/>
          <w:color w:val="auto"/>
          <w:highlight w:val="none"/>
        </w:rPr>
      </w:pPr>
      <w:r>
        <w:rPr>
          <w:rFonts w:ascii="宋体" w:hAnsi="宋体" w:eastAsia="宋体" w:cs="宋体"/>
          <w:color w:val="auto"/>
          <w:highlight w:val="none"/>
        </w:rPr>
        <w:t>求受托方支付违约金。本条规定的违约金最高不超过合同总价的5%。</w:t>
      </w:r>
    </w:p>
    <w:p>
      <w:pPr>
        <w:tabs>
          <w:tab w:val="left" w:pos="8364"/>
        </w:tabs>
        <w:snapToGrid w:val="0"/>
        <w:spacing w:line="360" w:lineRule="exact"/>
        <w:ind w:left="735" w:right="-58" w:hanging="735" w:hangingChars="350"/>
        <w:rPr>
          <w:rFonts w:hint="eastAsia" w:ascii="宋体" w:hAnsi="宋体" w:eastAsia="宋体" w:cs="宋体"/>
          <w:color w:val="auto"/>
          <w:highlight w:val="none"/>
          <w:lang w:val="en-US" w:eastAsia="zh-CN"/>
        </w:rPr>
      </w:pPr>
      <w:r>
        <w:rPr>
          <w:rFonts w:ascii="宋体" w:hAnsi="宋体" w:eastAsia="宋体" w:cs="宋体"/>
          <w:color w:val="auto"/>
          <w:highlight w:val="none"/>
        </w:rPr>
        <w:t>15.7.</w:t>
      </w:r>
      <w:r>
        <w:rPr>
          <w:rFonts w:hint="eastAsia" w:ascii="宋体" w:hAnsi="宋体" w:eastAsia="宋体" w:cs="宋体"/>
          <w:color w:val="auto"/>
          <w:highlight w:val="none"/>
          <w:lang w:val="en-US" w:eastAsia="zh-CN"/>
        </w:rPr>
        <w:t>2</w:t>
      </w:r>
      <w:r>
        <w:rPr>
          <w:rFonts w:ascii="宋体" w:hAnsi="宋体" w:eastAsia="宋体" w:cs="宋体"/>
          <w:color w:val="auto"/>
          <w:highlight w:val="none"/>
        </w:rPr>
        <w:t xml:space="preserve"> </w:t>
      </w:r>
      <w:r>
        <w:rPr>
          <w:rFonts w:hint="eastAsia" w:ascii="宋体" w:hAnsi="宋体" w:eastAsia="宋体" w:cs="宋体"/>
          <w:color w:val="auto"/>
          <w:highlight w:val="none"/>
          <w:lang w:val="en-US" w:eastAsia="zh-CN"/>
        </w:rPr>
        <w:t>本合同涉及的违约金和绩效考核费用由受托方直接交东莞市财政局。</w:t>
      </w:r>
    </w:p>
    <w:p>
      <w:pPr>
        <w:tabs>
          <w:tab w:val="left" w:pos="8364"/>
        </w:tabs>
        <w:snapToGrid w:val="0"/>
        <w:spacing w:line="360" w:lineRule="exact"/>
        <w:ind w:left="735" w:right="-58" w:hanging="735" w:hangingChars="350"/>
        <w:rPr>
          <w:rFonts w:ascii="宋体" w:hAnsi="宋体" w:eastAsia="宋体" w:cs="宋体"/>
          <w:color w:val="auto"/>
          <w:highlight w:val="none"/>
        </w:rPr>
      </w:pPr>
      <w:r>
        <w:rPr>
          <w:rFonts w:ascii="宋体" w:hAnsi="宋体" w:eastAsia="宋体" w:cs="宋体"/>
          <w:color w:val="auto"/>
          <w:highlight w:val="none"/>
        </w:rPr>
        <w:t xml:space="preserve">15.7.3 </w:t>
      </w:r>
      <w:r>
        <w:rPr>
          <w:rFonts w:hint="eastAsia" w:ascii="宋体" w:hAnsi="宋体" w:eastAsia="宋体" w:cs="宋体"/>
          <w:color w:val="auto"/>
          <w:highlight w:val="none"/>
        </w:rPr>
        <w:t>受托方的竣工结算书报委托方</w:t>
      </w:r>
      <w:r>
        <w:rPr>
          <w:rFonts w:ascii="宋体" w:hAnsi="宋体" w:eastAsia="宋体" w:cs="宋体"/>
          <w:color w:val="auto"/>
          <w:highlight w:val="none"/>
        </w:rPr>
        <w:t>/政府结算审核部门后，要配合委托方和政府结算审核部门做</w:t>
      </w:r>
    </w:p>
    <w:p>
      <w:pPr>
        <w:tabs>
          <w:tab w:val="left" w:pos="8364"/>
        </w:tabs>
        <w:snapToGrid w:val="0"/>
        <w:spacing w:line="360" w:lineRule="exact"/>
        <w:ind w:left="735" w:right="-58" w:hanging="735" w:hangingChars="350"/>
        <w:rPr>
          <w:rFonts w:ascii="宋体" w:hAnsi="宋体" w:eastAsia="宋体" w:cs="宋体"/>
          <w:color w:val="auto"/>
          <w:highlight w:val="none"/>
        </w:rPr>
      </w:pPr>
      <w:r>
        <w:rPr>
          <w:rFonts w:ascii="宋体" w:hAnsi="宋体" w:eastAsia="宋体" w:cs="宋体"/>
          <w:color w:val="auto"/>
          <w:highlight w:val="none"/>
        </w:rPr>
        <w:t>好核对结算数据、提供结算支持材料，如果是政府结算审核部门审定的，还需对评审结果进行确认</w:t>
      </w:r>
    </w:p>
    <w:p>
      <w:pPr>
        <w:tabs>
          <w:tab w:val="left" w:pos="8364"/>
        </w:tabs>
        <w:snapToGrid w:val="0"/>
        <w:spacing w:line="360" w:lineRule="exact"/>
        <w:ind w:left="735" w:right="-58" w:hanging="735" w:hangingChars="350"/>
        <w:rPr>
          <w:rFonts w:hint="default" w:ascii="宋体" w:hAnsi="宋体" w:eastAsia="宋体" w:cs="宋体"/>
          <w:color w:val="auto"/>
          <w:highlight w:val="none"/>
          <w:lang w:val="en-US" w:eastAsia="zh-CN"/>
        </w:rPr>
      </w:pPr>
      <w:r>
        <w:rPr>
          <w:rFonts w:ascii="宋体" w:hAnsi="宋体" w:eastAsia="宋体" w:cs="宋体"/>
          <w:color w:val="auto"/>
          <w:highlight w:val="none"/>
        </w:rPr>
        <w:t>并加盖单位公章等结算事宜。</w:t>
      </w:r>
      <w:r>
        <w:rPr>
          <w:rFonts w:hint="eastAsia" w:ascii="宋体" w:hAnsi="宋体" w:eastAsia="宋体" w:cs="宋体"/>
          <w:color w:val="auto"/>
          <w:highlight w:val="none"/>
          <w:lang w:val="en-US" w:eastAsia="zh-CN"/>
        </w:rPr>
        <w:t>本项目结算金额最终以东莞市财政局审核为准。</w:t>
      </w:r>
    </w:p>
    <w:p>
      <w:pPr>
        <w:tabs>
          <w:tab w:val="left" w:pos="8364"/>
        </w:tabs>
        <w:snapToGrid w:val="0"/>
        <w:spacing w:line="360" w:lineRule="exact"/>
        <w:ind w:left="735" w:right="-58" w:hanging="735" w:hangingChars="350"/>
        <w:rPr>
          <w:rFonts w:hint="default" w:ascii="宋体" w:hAnsi="宋体" w:eastAsia="宋体" w:cs="宋体"/>
          <w:color w:val="auto"/>
          <w:highlight w:val="none"/>
          <w:lang w:val="en-US" w:eastAsia="zh-CN"/>
        </w:rPr>
      </w:pPr>
      <w:r>
        <w:rPr>
          <w:rFonts w:ascii="宋体" w:hAnsi="宋体" w:eastAsia="宋体" w:cs="宋体"/>
          <w:color w:val="auto"/>
          <w:highlight w:val="none"/>
        </w:rPr>
        <w:t xml:space="preserve">15.7.4 </w:t>
      </w:r>
      <w:r>
        <w:rPr>
          <w:rFonts w:hint="eastAsia" w:ascii="宋体" w:hAnsi="宋体" w:eastAsia="宋体" w:cs="宋体"/>
          <w:color w:val="auto"/>
          <w:highlight w:val="none"/>
        </w:rPr>
        <w:t>为了加快工程结算进度，双方同意参照东莞市政府办公室印发的</w:t>
      </w:r>
      <w:r>
        <w:rPr>
          <w:rFonts w:hint="eastAsia" w:ascii="宋体" w:hAnsi="宋体" w:eastAsia="宋体" w:cs="宋体"/>
          <w:color w:val="auto"/>
          <w:highlight w:val="none"/>
          <w:lang w:val="en-US" w:eastAsia="zh-CN"/>
        </w:rPr>
        <w:t>相关管理办法执行。</w:t>
      </w:r>
    </w:p>
    <w:p>
      <w:pPr>
        <w:tabs>
          <w:tab w:val="left" w:pos="8364"/>
        </w:tabs>
        <w:snapToGrid w:val="0"/>
        <w:spacing w:line="360" w:lineRule="exact"/>
        <w:ind w:left="735" w:right="-58" w:hanging="735" w:hangingChars="350"/>
        <w:rPr>
          <w:rFonts w:ascii="宋体" w:hAnsi="宋体" w:eastAsia="宋体" w:cs="宋体"/>
          <w:color w:val="auto"/>
          <w:highlight w:val="none"/>
        </w:rPr>
      </w:pPr>
      <w:r>
        <w:rPr>
          <w:rFonts w:ascii="宋体" w:hAnsi="宋体" w:eastAsia="宋体" w:cs="宋体"/>
          <w:color w:val="auto"/>
          <w:highlight w:val="none"/>
        </w:rPr>
        <w:t>15.7.5结算办理完毕后，受托方负责协助委托方办理归档手续。</w:t>
      </w:r>
    </w:p>
    <w:p>
      <w:pPr>
        <w:tabs>
          <w:tab w:val="left" w:pos="8364"/>
        </w:tabs>
        <w:snapToGrid w:val="0"/>
        <w:spacing w:line="360" w:lineRule="exact"/>
        <w:ind w:right="-58"/>
        <w:rPr>
          <w:rFonts w:ascii="宋体" w:hAnsi="宋体" w:eastAsia="宋体" w:cs="宋体"/>
          <w:color w:val="auto"/>
          <w:highlight w:val="none"/>
        </w:rPr>
      </w:pPr>
      <w:r>
        <w:rPr>
          <w:rFonts w:ascii="宋体" w:hAnsi="宋体" w:eastAsia="宋体" w:cs="宋体"/>
          <w:color w:val="auto"/>
          <w:highlight w:val="none"/>
        </w:rPr>
        <w:t>15.7.6如合同执行期间政府部门出台相关合同结算要求，按政府文件执行。</w:t>
      </w:r>
    </w:p>
    <w:p>
      <w:pPr>
        <w:spacing w:line="360" w:lineRule="exact"/>
        <w:rPr>
          <w:rFonts w:eastAsia="宋体" w:cs="宋体"/>
          <w:color w:val="auto"/>
          <w:highlight w:val="none"/>
        </w:rPr>
        <w:sectPr>
          <w:headerReference r:id="rId6" w:type="default"/>
          <w:footerReference r:id="rId7" w:type="default"/>
          <w:pgSz w:w="11906" w:h="16838"/>
          <w:pgMar w:top="1418" w:right="1418" w:bottom="1418" w:left="1418" w:header="851" w:footer="618" w:gutter="170"/>
          <w:pgNumType w:fmt="decimal"/>
          <w:cols w:space="425" w:num="1"/>
          <w:docGrid w:linePitch="312" w:charSpace="0"/>
        </w:sectPr>
      </w:pPr>
    </w:p>
    <w:p>
      <w:pPr>
        <w:spacing w:line="360" w:lineRule="auto"/>
        <w:ind w:left="840" w:hanging="840"/>
        <w:rPr>
          <w:rFonts w:ascii="宋体" w:hAnsi="宋体" w:eastAsia="宋体" w:cs="宋体"/>
          <w:color w:val="auto"/>
          <w:sz w:val="36"/>
          <w:highlight w:val="none"/>
        </w:rPr>
      </w:pPr>
    </w:p>
    <w:p>
      <w:pPr>
        <w:snapToGrid w:val="0"/>
        <w:spacing w:line="360" w:lineRule="auto"/>
        <w:jc w:val="center"/>
        <w:rPr>
          <w:rFonts w:ascii="宋体" w:hAnsi="宋体" w:eastAsia="宋体" w:cs="宋体"/>
          <w:color w:val="auto"/>
          <w:sz w:val="36"/>
          <w:highlight w:val="none"/>
        </w:rPr>
      </w:pPr>
    </w:p>
    <w:p>
      <w:pPr>
        <w:snapToGrid w:val="0"/>
        <w:spacing w:line="360" w:lineRule="auto"/>
        <w:ind w:left="816" w:hanging="816"/>
        <w:jc w:val="center"/>
        <w:rPr>
          <w:rFonts w:ascii="宋体" w:hAnsi="宋体" w:eastAsia="宋体" w:cs="宋体"/>
          <w:color w:val="auto"/>
          <w:sz w:val="36"/>
          <w:highlight w:val="none"/>
        </w:rPr>
      </w:pPr>
    </w:p>
    <w:p>
      <w:pPr>
        <w:snapToGrid w:val="0"/>
        <w:spacing w:line="360" w:lineRule="auto"/>
        <w:ind w:left="816" w:hanging="816"/>
        <w:jc w:val="center"/>
        <w:rPr>
          <w:rFonts w:ascii="宋体" w:hAnsi="宋体" w:eastAsia="宋体" w:cs="宋体"/>
          <w:color w:val="auto"/>
          <w:sz w:val="36"/>
          <w:highlight w:val="none"/>
        </w:rPr>
      </w:pPr>
    </w:p>
    <w:p>
      <w:pPr>
        <w:snapToGrid w:val="0"/>
        <w:spacing w:line="360" w:lineRule="auto"/>
        <w:ind w:left="816" w:hanging="816"/>
        <w:jc w:val="center"/>
        <w:rPr>
          <w:rFonts w:ascii="宋体" w:hAnsi="宋体" w:eastAsia="宋体" w:cs="宋体"/>
          <w:color w:val="auto"/>
          <w:sz w:val="36"/>
          <w:highlight w:val="none"/>
        </w:rPr>
      </w:pPr>
    </w:p>
    <w:p>
      <w:pPr>
        <w:snapToGrid w:val="0"/>
        <w:spacing w:line="360" w:lineRule="auto"/>
        <w:ind w:left="824" w:hanging="816"/>
        <w:jc w:val="center"/>
        <w:rPr>
          <w:rFonts w:ascii="宋体" w:hAnsi="宋体" w:eastAsia="宋体" w:cs="宋体"/>
          <w:color w:val="auto"/>
          <w:sz w:val="36"/>
          <w:highlight w:val="none"/>
        </w:rPr>
      </w:pPr>
    </w:p>
    <w:p>
      <w:pPr>
        <w:keepNext/>
        <w:keepLines/>
        <w:widowControl w:val="0"/>
        <w:adjustRightInd w:val="0"/>
        <w:spacing w:before="240" w:after="60" w:line="20" w:lineRule="exact"/>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bookmarkStart w:id="1917" w:name="_Hlt506779860"/>
      <w:bookmarkEnd w:id="1917"/>
      <w:bookmarkStart w:id="1918" w:name="_Toc319311400"/>
      <w:bookmarkStart w:id="1919" w:name="_Toc19191"/>
      <w:bookmarkStart w:id="1920" w:name="_Toc103314410"/>
      <w:bookmarkStart w:id="1921" w:name="_Toc309026888"/>
      <w:bookmarkStart w:id="1922" w:name="_Toc321906062"/>
      <w:bookmarkStart w:id="1923" w:name="_Toc319312351"/>
      <w:bookmarkStart w:id="1924" w:name="_Toc306091416"/>
      <w:bookmarkStart w:id="1925" w:name="_Toc240949689"/>
      <w:bookmarkStart w:id="1926" w:name="_Toc319311226"/>
      <w:bookmarkStart w:id="1927" w:name="_Toc306006779"/>
      <w:bookmarkStart w:id="1928" w:name="_Toc305942095"/>
      <w:bookmarkStart w:id="1929" w:name="_Toc306005079"/>
      <w:bookmarkStart w:id="1930" w:name="_Toc8367"/>
      <w:bookmarkStart w:id="1931" w:name="_Toc55188091"/>
      <w:bookmarkStart w:id="1932" w:name="_Toc306006997"/>
      <w:bookmarkStart w:id="1933" w:name="_Toc319320666"/>
      <w:bookmarkStart w:id="1934" w:name="_Toc306007685"/>
      <w:bookmarkStart w:id="1935" w:name="_Toc306091615"/>
      <w:bookmarkStart w:id="1936" w:name="_Toc309026494"/>
      <w:bookmarkStart w:id="1937" w:name="_Toc23489"/>
      <w:bookmarkStart w:id="1938" w:name="_Toc306007242"/>
      <w:bookmarkStart w:id="1939" w:name="_Toc98142503"/>
      <w:bookmarkStart w:id="1940" w:name="_Toc318208975"/>
      <w:bookmarkStart w:id="1941" w:name="_Toc306007466"/>
      <w:bookmarkStart w:id="1942" w:name="_Toc306006285"/>
      <w:bookmarkStart w:id="1943" w:name="_Toc319313663"/>
      <w:bookmarkStart w:id="1944" w:name="_Toc101000631"/>
      <w:bookmarkStart w:id="1945" w:name="_Toc306004643"/>
      <w:bookmarkStart w:id="1946" w:name="_Toc14016"/>
      <w:bookmarkStart w:id="1947" w:name="_Toc9442"/>
      <w:bookmarkStart w:id="1948" w:name="_Toc27447"/>
      <w:r>
        <w:rPr>
          <w:rFonts w:hint="eastAsia" w:ascii="Times New Roman" w:hAnsi="Times New Roman" w:eastAsia="Yu Mincho Light" w:cs="Times New Roman"/>
          <w:color w:val="auto"/>
          <w:kern w:val="24"/>
          <w:sz w:val="28"/>
          <w:szCs w:val="20"/>
          <w:highlight w:val="none"/>
          <w:lang w:val="en-US" w:eastAsia="zh-CN" w:bidi="ar-SA"/>
        </w:rPr>
        <w:t>第四章</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价</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格</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清</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单</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pPr>
        <w:widowControl w:val="0"/>
        <w:spacing w:line="360" w:lineRule="auto"/>
        <w:jc w:val="center"/>
        <w:rPr>
          <w:rFonts w:ascii="宋体" w:hAnsi="宋体" w:eastAsia="宋体" w:cs="宋体"/>
          <w:color w:val="auto"/>
          <w:kern w:val="2"/>
          <w:sz w:val="21"/>
          <w:szCs w:val="22"/>
          <w:highlight w:val="none"/>
          <w:lang w:val="en-US" w:eastAsia="zh-CN" w:bidi="ar-SA"/>
        </w:rPr>
      </w:pPr>
    </w:p>
    <w:p>
      <w:pPr>
        <w:bidi w:val="0"/>
        <w:jc w:val="center"/>
        <w:rPr>
          <w:rFonts w:ascii="宋体" w:hAnsi="宋体" w:cs="Times New Roman" w:eastAsiaTheme="minorEastAsia"/>
          <w:color w:val="auto"/>
          <w:highlight w:val="none"/>
        </w:rPr>
      </w:pPr>
      <w:bookmarkStart w:id="1949" w:name="_Toc9661"/>
      <w:r>
        <w:rPr>
          <w:rFonts w:hint="eastAsia" w:ascii="宋体" w:hAnsi="宋体" w:cs="Times New Roman" w:eastAsiaTheme="minorEastAsia"/>
          <w:color w:val="auto"/>
          <w:highlight w:val="none"/>
        </w:rPr>
        <w:t>（由中标人的投标报价表转化而成）</w:t>
      </w:r>
      <w:bookmarkEnd w:id="1949"/>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r>
        <w:rPr>
          <w:rFonts w:ascii="宋体" w:hAnsi="宋体" w:eastAsia="宋体" w:cs="宋体"/>
          <w:b/>
          <w:color w:val="auto"/>
          <w:sz w:val="36"/>
          <w:highlight w:val="none"/>
        </w:rPr>
        <w:br w:type="page"/>
      </w: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keepNext/>
        <w:keepLines/>
        <w:widowControl w:val="0"/>
        <w:adjustRightInd w:val="0"/>
        <w:spacing w:before="240" w:after="60" w:line="20" w:lineRule="exact"/>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bookmarkStart w:id="1950" w:name="_Toc306091417"/>
      <w:bookmarkStart w:id="1951" w:name="_Toc309026495"/>
      <w:bookmarkStart w:id="1952" w:name="_Toc306005080"/>
      <w:bookmarkStart w:id="1953" w:name="_Toc319320667"/>
      <w:bookmarkStart w:id="1954" w:name="_Toc306006286"/>
      <w:bookmarkStart w:id="1955" w:name="_Toc318208976"/>
      <w:bookmarkStart w:id="1956" w:name="_Toc55188092"/>
      <w:bookmarkStart w:id="1957" w:name="_Toc306007467"/>
      <w:bookmarkStart w:id="1958" w:name="_Toc306007686"/>
      <w:bookmarkStart w:id="1959" w:name="_Toc306006780"/>
      <w:bookmarkStart w:id="1960" w:name="_Toc306007243"/>
      <w:bookmarkStart w:id="1961" w:name="_Toc319312352"/>
      <w:bookmarkStart w:id="1962" w:name="_Toc98142504"/>
      <w:bookmarkStart w:id="1963" w:name="_Toc15183"/>
      <w:bookmarkStart w:id="1964" w:name="_Toc319313664"/>
      <w:bookmarkStart w:id="1965" w:name="_Toc321906063"/>
      <w:bookmarkStart w:id="1966" w:name="_Toc5021"/>
      <w:bookmarkStart w:id="1967" w:name="_Toc309026889"/>
      <w:bookmarkStart w:id="1968" w:name="_Toc319311401"/>
      <w:bookmarkStart w:id="1969" w:name="_Toc103314411"/>
      <w:bookmarkStart w:id="1970" w:name="_Toc305942096"/>
      <w:bookmarkStart w:id="1971" w:name="_Toc17219"/>
      <w:bookmarkStart w:id="1972" w:name="_Toc14889"/>
      <w:bookmarkStart w:id="1973" w:name="_Toc240949690"/>
      <w:bookmarkStart w:id="1974" w:name="_Toc306006998"/>
      <w:bookmarkStart w:id="1975" w:name="_Toc101000632"/>
      <w:bookmarkStart w:id="1976" w:name="_Toc319311227"/>
      <w:bookmarkStart w:id="1977" w:name="_Toc306091616"/>
      <w:bookmarkStart w:id="1978" w:name="_Toc30379"/>
      <w:bookmarkStart w:id="1979" w:name="_Toc570"/>
      <w:bookmarkStart w:id="1980" w:name="_Toc306004644"/>
      <w:r>
        <w:rPr>
          <w:rFonts w:hint="eastAsia" w:ascii="Times New Roman" w:hAnsi="Times New Roman" w:eastAsia="Yu Mincho Light" w:cs="Times New Roman"/>
          <w:color w:val="auto"/>
          <w:kern w:val="24"/>
          <w:sz w:val="28"/>
          <w:szCs w:val="20"/>
          <w:highlight w:val="none"/>
          <w:lang w:val="en-US" w:eastAsia="zh-CN" w:bidi="ar-SA"/>
        </w:rPr>
        <w:t>第五章</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合同附件</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pPr>
        <w:spacing w:line="360" w:lineRule="auto"/>
        <w:jc w:val="center"/>
        <w:rPr>
          <w:rFonts w:ascii="宋体" w:hAnsi="宋体" w:eastAsia="宋体" w:cs="宋体"/>
          <w:b/>
          <w:color w:val="auto"/>
          <w:sz w:val="30"/>
          <w:highlight w:val="none"/>
        </w:rPr>
      </w:pPr>
      <w:r>
        <w:rPr>
          <w:rFonts w:ascii="宋体" w:hAnsi="宋体" w:eastAsia="宋体" w:cs="宋体"/>
          <w:b/>
          <w:color w:val="auto"/>
          <w:sz w:val="44"/>
          <w:highlight w:val="none"/>
        </w:rPr>
        <w:br w:type="page"/>
      </w:r>
      <w:r>
        <w:rPr>
          <w:rFonts w:hint="eastAsia" w:ascii="宋体" w:hAnsi="宋体" w:eastAsia="宋体" w:cs="宋体"/>
          <w:b/>
          <w:color w:val="auto"/>
          <w:sz w:val="30"/>
          <w:highlight w:val="none"/>
        </w:rPr>
        <w:t>目</w:t>
      </w:r>
      <w:r>
        <w:rPr>
          <w:rFonts w:ascii="宋体" w:hAnsi="宋体" w:eastAsia="宋体" w:cs="宋体"/>
          <w:b/>
          <w:color w:val="auto"/>
          <w:sz w:val="30"/>
          <w:highlight w:val="none"/>
        </w:rPr>
        <w:t xml:space="preserve">   </w:t>
      </w:r>
      <w:r>
        <w:rPr>
          <w:rFonts w:hint="eastAsia" w:ascii="宋体" w:hAnsi="宋体" w:eastAsia="宋体" w:cs="宋体"/>
          <w:b/>
          <w:color w:val="auto"/>
          <w:sz w:val="30"/>
          <w:highlight w:val="none"/>
        </w:rPr>
        <w:t>录</w:t>
      </w:r>
    </w:p>
    <w:p>
      <w:pPr>
        <w:spacing w:line="360" w:lineRule="auto"/>
        <w:jc w:val="center"/>
        <w:rPr>
          <w:rFonts w:ascii="宋体" w:hAnsi="宋体" w:eastAsia="宋体" w:cs="宋体"/>
          <w:b/>
          <w:color w:val="auto"/>
          <w:sz w:val="30"/>
          <w:highlight w:val="none"/>
        </w:rPr>
      </w:pPr>
    </w:p>
    <w:p>
      <w:pPr>
        <w:spacing w:line="360" w:lineRule="auto"/>
        <w:jc w:val="center"/>
        <w:rPr>
          <w:rFonts w:ascii="宋体" w:hAnsi="宋体" w:eastAsia="宋体" w:cs="宋体"/>
          <w:b/>
          <w:color w:val="auto"/>
          <w:sz w:val="30"/>
          <w:highlight w:val="none"/>
        </w:rPr>
      </w:pPr>
    </w:p>
    <w:p>
      <w:pPr>
        <w:tabs>
          <w:tab w:val="left" w:pos="1620"/>
        </w:tabs>
        <w:spacing w:line="480" w:lineRule="auto"/>
        <w:rPr>
          <w:rFonts w:ascii="宋体" w:hAnsi="宋体" w:eastAsia="宋体" w:cs="宋体"/>
          <w:color w:val="auto"/>
          <w:highlight w:val="none"/>
        </w:rPr>
      </w:pPr>
      <w:r>
        <w:rPr>
          <w:rFonts w:hint="eastAsia" w:ascii="宋体" w:hAnsi="宋体" w:eastAsia="宋体" w:cs="宋体"/>
          <w:color w:val="auto"/>
          <w:highlight w:val="none"/>
        </w:rPr>
        <w:t>一、附件</w:t>
      </w:r>
      <w:r>
        <w:rPr>
          <w:rFonts w:ascii="宋体" w:hAnsi="宋体" w:eastAsia="宋体" w:cs="宋体"/>
          <w:color w:val="auto"/>
          <w:highlight w:val="none"/>
        </w:rPr>
        <w:t xml:space="preserve">1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委托人要求</w:t>
      </w:r>
      <w:r>
        <w:rPr>
          <w:rFonts w:hint="eastAsia" w:ascii="宋体" w:hAnsi="宋体" w:eastAsia="宋体" w:cs="宋体"/>
          <w:color w:val="auto"/>
          <w:highlight w:val="none"/>
        </w:rPr>
        <w:t>》</w:t>
      </w:r>
    </w:p>
    <w:p>
      <w:pPr>
        <w:tabs>
          <w:tab w:val="left" w:pos="1680"/>
        </w:tabs>
        <w:spacing w:line="480" w:lineRule="auto"/>
        <w:rPr>
          <w:rFonts w:ascii="宋体" w:hAnsi="宋体" w:eastAsia="宋体" w:cs="宋体"/>
          <w:color w:val="auto"/>
          <w:highlight w:val="none"/>
        </w:rPr>
      </w:pPr>
      <w:r>
        <w:rPr>
          <w:rFonts w:hint="eastAsia" w:ascii="宋体" w:hAnsi="宋体" w:eastAsia="宋体" w:cs="宋体"/>
          <w:color w:val="auto"/>
          <w:highlight w:val="none"/>
        </w:rPr>
        <w:t>二、附件</w:t>
      </w:r>
      <w:r>
        <w:rPr>
          <w:rFonts w:ascii="宋体" w:hAnsi="宋体" w:eastAsia="宋体" w:cs="宋体"/>
          <w:color w:val="auto"/>
          <w:highlight w:val="none"/>
        </w:rPr>
        <w:t>2</w:t>
      </w:r>
      <w:r>
        <w:rPr>
          <w:rFonts w:ascii="宋体" w:hAnsi="宋体" w:eastAsia="宋体" w:cs="宋体"/>
          <w:color w:val="auto"/>
          <w:highlight w:val="none"/>
        </w:rPr>
        <w:tab/>
      </w:r>
      <w:r>
        <w:rPr>
          <w:rFonts w:hint="eastAsia" w:ascii="宋体" w:hAnsi="宋体" w:eastAsia="宋体" w:cs="宋体"/>
          <w:color w:val="auto"/>
          <w:highlight w:val="none"/>
        </w:rPr>
        <w:t>集成服务管理书</w:t>
      </w:r>
    </w:p>
    <w:p>
      <w:pPr>
        <w:spacing w:line="480" w:lineRule="auto"/>
        <w:rPr>
          <w:rFonts w:ascii="宋体" w:hAnsi="宋体" w:eastAsia="宋体" w:cs="宋体"/>
          <w:color w:val="auto"/>
          <w:highlight w:val="none"/>
        </w:rPr>
      </w:pPr>
      <w:r>
        <w:rPr>
          <w:rFonts w:hint="eastAsia" w:ascii="宋体" w:hAnsi="宋体" w:eastAsia="宋体" w:cs="宋体"/>
          <w:color w:val="auto"/>
          <w:highlight w:val="none"/>
        </w:rPr>
        <w:t>三、附件</w:t>
      </w:r>
      <w:r>
        <w:rPr>
          <w:rFonts w:ascii="宋体" w:hAnsi="宋体" w:eastAsia="宋体" w:cs="宋体"/>
          <w:color w:val="auto"/>
          <w:highlight w:val="none"/>
        </w:rPr>
        <w:t xml:space="preserve">3      </w:t>
      </w:r>
      <w:r>
        <w:rPr>
          <w:rFonts w:hint="eastAsia" w:ascii="宋体" w:hAnsi="宋体" w:eastAsia="宋体" w:cs="宋体"/>
          <w:color w:val="auto"/>
          <w:highlight w:val="none"/>
        </w:rPr>
        <w:t>组织机构</w:t>
      </w:r>
    </w:p>
    <w:p>
      <w:pPr>
        <w:tabs>
          <w:tab w:val="left" w:pos="1680"/>
        </w:tabs>
        <w:spacing w:line="480" w:lineRule="auto"/>
        <w:rPr>
          <w:rFonts w:ascii="宋体" w:hAnsi="宋体" w:eastAsia="宋体" w:cs="宋体"/>
          <w:color w:val="auto"/>
          <w:highlight w:val="none"/>
        </w:rPr>
      </w:pPr>
      <w:r>
        <w:rPr>
          <w:rFonts w:hint="eastAsia" w:ascii="宋体" w:hAnsi="宋体" w:eastAsia="宋体" w:cs="宋体"/>
          <w:color w:val="auto"/>
          <w:highlight w:val="none"/>
        </w:rPr>
        <w:t>四、附件</w:t>
      </w:r>
      <w:r>
        <w:rPr>
          <w:rFonts w:ascii="宋体" w:hAnsi="宋体" w:eastAsia="宋体" w:cs="宋体"/>
          <w:color w:val="auto"/>
          <w:highlight w:val="none"/>
        </w:rPr>
        <w:t>4</w:t>
      </w:r>
      <w:r>
        <w:rPr>
          <w:rFonts w:ascii="宋体" w:hAnsi="宋体" w:eastAsia="宋体" w:cs="宋体"/>
          <w:color w:val="auto"/>
          <w:highlight w:val="none"/>
        </w:rPr>
        <w:tab/>
      </w:r>
      <w:r>
        <w:rPr>
          <w:rFonts w:hint="eastAsia" w:ascii="宋体" w:hAnsi="宋体" w:eastAsia="宋体" w:cs="宋体"/>
          <w:color w:val="auto"/>
          <w:highlight w:val="none"/>
        </w:rPr>
        <w:t>委托方配合内容</w:t>
      </w:r>
    </w:p>
    <w:p>
      <w:pPr>
        <w:spacing w:line="480" w:lineRule="auto"/>
        <w:rPr>
          <w:rFonts w:ascii="宋体" w:hAnsi="宋体" w:eastAsia="宋体" w:cs="宋体"/>
          <w:color w:val="auto"/>
          <w:highlight w:val="none"/>
        </w:rPr>
      </w:pPr>
    </w:p>
    <w:p>
      <w:pPr>
        <w:spacing w:line="480" w:lineRule="auto"/>
        <w:rPr>
          <w:rFonts w:ascii="宋体" w:hAnsi="宋体" w:eastAsia="宋体" w:cs="宋体"/>
          <w:color w:val="auto"/>
          <w:highlight w:val="none"/>
        </w:rPr>
      </w:pPr>
    </w:p>
    <w:p>
      <w:pPr>
        <w:spacing w:line="480" w:lineRule="auto"/>
        <w:rPr>
          <w:rFonts w:ascii="宋体" w:hAnsi="宋体" w:eastAsia="宋体" w:cs="宋体"/>
          <w:color w:val="auto"/>
          <w:highlight w:val="none"/>
        </w:rPr>
      </w:pPr>
    </w:p>
    <w:p>
      <w:pPr>
        <w:spacing w:line="360" w:lineRule="auto"/>
        <w:ind w:left="945" w:hanging="945"/>
        <w:rPr>
          <w:rFonts w:ascii="宋体" w:hAnsi="宋体" w:eastAsia="宋体" w:cs="宋体"/>
          <w:color w:val="auto"/>
          <w:highlight w:val="none"/>
        </w:rPr>
      </w:pPr>
      <w:r>
        <w:rPr>
          <w:rFonts w:hint="eastAsia" w:ascii="宋体" w:hAnsi="宋体" w:eastAsia="宋体" w:cs="宋体"/>
          <w:color w:val="auto"/>
          <w:highlight w:val="none"/>
        </w:rPr>
        <w:t>备注：</w:t>
      </w:r>
      <w:r>
        <w:rPr>
          <w:rFonts w:ascii="宋体" w:hAnsi="宋体" w:eastAsia="宋体" w:cs="宋体"/>
          <w:color w:val="auto"/>
          <w:highlight w:val="none"/>
        </w:rPr>
        <w:t xml:space="preserve">1. </w:t>
      </w:r>
      <w:r>
        <w:rPr>
          <w:rFonts w:hint="eastAsia" w:ascii="宋体" w:hAnsi="宋体" w:eastAsia="宋体" w:cs="宋体"/>
          <w:color w:val="auto"/>
          <w:highlight w:val="none"/>
        </w:rPr>
        <w:t>本目录下的所有附件均在签订合同时编制，其编制依据是招标文件“</w:t>
      </w:r>
      <w:r>
        <w:rPr>
          <w:rFonts w:hint="eastAsia" w:ascii="宋体" w:hAnsi="宋体" w:eastAsia="宋体" w:cs="宋体"/>
          <w:color w:val="auto"/>
          <w:highlight w:val="none"/>
          <w:lang w:val="en-US" w:eastAsia="zh-CN"/>
        </w:rPr>
        <w:t>委托人要求</w:t>
      </w:r>
      <w:r>
        <w:rPr>
          <w:rFonts w:hint="eastAsia" w:ascii="宋体" w:hAnsi="宋体" w:eastAsia="宋体" w:cs="宋体"/>
          <w:color w:val="auto"/>
          <w:highlight w:val="none"/>
        </w:rPr>
        <w:t>”中的相应内容和中标人的投标文件中的相应内容；</w:t>
      </w:r>
    </w:p>
    <w:p>
      <w:pPr>
        <w:bidi w:val="0"/>
        <w:rPr>
          <w:rFonts w:ascii="宋体" w:hAnsi="宋体" w:eastAsia="宋体" w:cs="宋体"/>
          <w:color w:val="auto"/>
          <w:highlight w:val="none"/>
        </w:rPr>
      </w:pPr>
      <w:r>
        <w:rPr>
          <w:rFonts w:ascii="宋体" w:hAnsi="宋体" w:eastAsia="宋体" w:cs="宋体"/>
          <w:color w:val="auto"/>
          <w:highlight w:val="none"/>
        </w:rPr>
        <w:t xml:space="preserve">   </w:t>
      </w:r>
      <w:r>
        <w:rPr>
          <w:rFonts w:hint="eastAsia" w:ascii="宋体" w:hAnsi="宋体" w:eastAsia="宋体" w:cs="宋体"/>
          <w:color w:val="auto"/>
          <w:highlight w:val="none"/>
        </w:rPr>
        <w:t xml:space="preserve">   </w:t>
      </w:r>
      <w:bookmarkStart w:id="1981" w:name="_Toc306003189"/>
      <w:bookmarkStart w:id="1982" w:name="_Toc305942097"/>
      <w:bookmarkStart w:id="1983" w:name="_Toc305941660"/>
      <w:bookmarkStart w:id="1984" w:name="_Toc12106"/>
      <w:r>
        <w:rPr>
          <w:rFonts w:hint="eastAsia" w:ascii="宋体" w:hAnsi="宋体" w:eastAsia="宋体" w:cs="宋体"/>
          <w:color w:val="auto"/>
          <w:highlight w:val="none"/>
        </w:rPr>
        <w:t>2. 合同附件至少包括但不限于以上内容。</w:t>
      </w:r>
      <w:bookmarkEnd w:id="1981"/>
      <w:bookmarkEnd w:id="1982"/>
      <w:bookmarkEnd w:id="1983"/>
      <w:bookmarkEnd w:id="1984"/>
    </w:p>
    <w:p>
      <w:pPr>
        <w:spacing w:line="360" w:lineRule="auto"/>
        <w:rPr>
          <w:rFonts w:ascii="宋体" w:hAnsi="宋体" w:eastAsia="宋体" w:cs="宋体"/>
          <w:color w:val="auto"/>
          <w:highlight w:val="none"/>
        </w:rPr>
      </w:pPr>
    </w:p>
    <w:p>
      <w:pPr>
        <w:spacing w:line="360" w:lineRule="auto"/>
        <w:rPr>
          <w:rFonts w:ascii="宋体" w:hAnsi="宋体" w:eastAsia="宋体" w:cs="宋体"/>
          <w:b/>
          <w:color w:val="auto"/>
          <w:sz w:val="36"/>
          <w:highlight w:val="none"/>
        </w:rPr>
      </w:pPr>
    </w:p>
    <w:p>
      <w:pPr>
        <w:snapToGrid w:val="0"/>
        <w:spacing w:line="360" w:lineRule="auto"/>
        <w:jc w:val="center"/>
        <w:rPr>
          <w:rFonts w:ascii="宋体" w:hAnsi="宋体" w:eastAsia="宋体" w:cs="宋体"/>
          <w:color w:val="auto"/>
          <w:sz w:val="36"/>
          <w:highlight w:val="none"/>
        </w:rPr>
      </w:pPr>
      <w:r>
        <w:rPr>
          <w:rFonts w:ascii="宋体" w:hAnsi="宋体" w:eastAsia="宋体" w:cs="宋体"/>
          <w:color w:val="auto"/>
          <w:sz w:val="36"/>
          <w:highlight w:val="none"/>
        </w:rPr>
        <w:br w:type="page"/>
      </w: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keepNext/>
        <w:keepLines/>
        <w:widowControl w:val="0"/>
        <w:adjustRightInd w:val="0"/>
        <w:spacing w:before="240" w:after="60" w:line="20" w:lineRule="exact"/>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bookmarkStart w:id="1985" w:name="_Hlt20708445"/>
      <w:bookmarkEnd w:id="1985"/>
      <w:bookmarkStart w:id="1986" w:name="_Toc1458"/>
      <w:bookmarkStart w:id="1987" w:name="_Toc103314412"/>
      <w:bookmarkStart w:id="1988" w:name="_Toc309026890"/>
      <w:bookmarkStart w:id="1989" w:name="_Toc305942098"/>
      <w:bookmarkStart w:id="1990" w:name="_Toc319320668"/>
      <w:bookmarkStart w:id="1991" w:name="_Toc306007244"/>
      <w:bookmarkStart w:id="1992" w:name="_Toc319313665"/>
      <w:bookmarkStart w:id="1993" w:name="_Toc319311402"/>
      <w:bookmarkStart w:id="1994" w:name="_Toc318208977"/>
      <w:bookmarkStart w:id="1995" w:name="_Toc306007468"/>
      <w:bookmarkStart w:id="1996" w:name="_Toc306006287"/>
      <w:bookmarkStart w:id="1997" w:name="_Toc306091617"/>
      <w:bookmarkStart w:id="1998" w:name="_Toc319311228"/>
      <w:bookmarkStart w:id="1999" w:name="_Toc98142505"/>
      <w:bookmarkStart w:id="2000" w:name="_Toc306004645"/>
      <w:bookmarkStart w:id="2001" w:name="_Toc321906064"/>
      <w:bookmarkStart w:id="2002" w:name="_Toc309026496"/>
      <w:bookmarkStart w:id="2003" w:name="_Toc21949"/>
      <w:bookmarkStart w:id="2004" w:name="_Toc306006781"/>
      <w:bookmarkStart w:id="2005" w:name="_Toc306005081"/>
      <w:bookmarkStart w:id="2006" w:name="_Toc101000633"/>
      <w:bookmarkStart w:id="2007" w:name="_Toc13907"/>
      <w:bookmarkStart w:id="2008" w:name="_Toc306091418"/>
      <w:bookmarkStart w:id="2009" w:name="_Toc306007687"/>
      <w:bookmarkStart w:id="2010" w:name="_Toc240949691"/>
      <w:bookmarkStart w:id="2011" w:name="_Toc30370"/>
      <w:bookmarkStart w:id="2012" w:name="_Toc306006999"/>
      <w:bookmarkStart w:id="2013" w:name="_Toc319312353"/>
      <w:bookmarkStart w:id="2014" w:name="_Toc29149"/>
      <w:bookmarkStart w:id="2015" w:name="_Toc19127"/>
      <w:bookmarkStart w:id="2016" w:name="_Toc55188093"/>
      <w:r>
        <w:rPr>
          <w:rFonts w:hint="eastAsia" w:ascii="Times New Roman" w:hAnsi="Times New Roman" w:eastAsia="Yu Mincho Light" w:cs="Times New Roman"/>
          <w:color w:val="auto"/>
          <w:kern w:val="24"/>
          <w:sz w:val="28"/>
          <w:szCs w:val="20"/>
          <w:highlight w:val="none"/>
          <w:lang w:val="en-US" w:eastAsia="zh-CN" w:bidi="ar-SA"/>
        </w:rPr>
        <w:t>第六章</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合同附录</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pPr>
        <w:keepNext/>
        <w:keepLines/>
        <w:widowControl w:val="0"/>
        <w:bidi w:val="0"/>
        <w:spacing w:before="260" w:after="260" w:line="416" w:lineRule="auto"/>
        <w:jc w:val="both"/>
        <w:outlineLvl w:val="2"/>
        <w:rPr>
          <w:rFonts w:ascii="Arial" w:hAnsi="Arial" w:eastAsia="宋体" w:cs="宋体"/>
          <w:b/>
          <w:bCs/>
          <w:color w:val="auto"/>
          <w:kern w:val="2"/>
          <w:sz w:val="24"/>
          <w:szCs w:val="32"/>
          <w:highlight w:val="none"/>
          <w:lang w:val="en-US" w:eastAsia="zh-CN" w:bidi="ar-SA"/>
        </w:rPr>
      </w:pPr>
      <w:r>
        <w:rPr>
          <w:rFonts w:ascii="Arial" w:hAnsi="Arial" w:eastAsia="宋体" w:cs="宋体"/>
          <w:b/>
          <w:bCs/>
          <w:color w:val="auto"/>
          <w:kern w:val="2"/>
          <w:sz w:val="36"/>
          <w:szCs w:val="32"/>
          <w:highlight w:val="none"/>
          <w:lang w:val="en-US" w:eastAsia="zh-CN" w:bidi="ar-SA"/>
        </w:rPr>
        <w:br w:type="page"/>
      </w:r>
      <w:bookmarkStart w:id="2017" w:name="_Toc14878"/>
      <w:r>
        <w:rPr>
          <w:rFonts w:ascii="Arial" w:hAnsi="Arial" w:eastAsia="宋体" w:cs="宋体"/>
          <w:b/>
          <w:bCs/>
          <w:color w:val="auto"/>
          <w:kern w:val="2"/>
          <w:sz w:val="24"/>
          <w:szCs w:val="32"/>
          <w:highlight w:val="none"/>
          <w:lang w:val="en-US" w:eastAsia="zh-CN" w:bidi="ar-SA"/>
        </w:rPr>
        <w:t xml:space="preserve">6.1 </w:t>
      </w:r>
      <w:r>
        <w:rPr>
          <w:rFonts w:hint="eastAsia" w:ascii="Arial" w:hAnsi="Arial" w:eastAsia="宋体" w:cs="宋体"/>
          <w:b/>
          <w:bCs/>
          <w:color w:val="auto"/>
          <w:kern w:val="2"/>
          <w:sz w:val="24"/>
          <w:szCs w:val="32"/>
          <w:highlight w:val="none"/>
          <w:lang w:val="en-US" w:eastAsia="zh-CN" w:bidi="ar-SA"/>
        </w:rPr>
        <w:t>履约保函格式</w:t>
      </w:r>
      <w:bookmarkEnd w:id="2017"/>
    </w:p>
    <w:p>
      <w:pPr>
        <w:spacing w:before="100" w:beforeAutospacing="1" w:after="100" w:afterAutospacing="1" w:line="360" w:lineRule="auto"/>
        <w:jc w:val="center"/>
        <w:rPr>
          <w:rFonts w:ascii="宋体" w:hAnsi="宋体" w:cs="Times New Roman" w:eastAsiaTheme="minorEastAsia"/>
          <w:b/>
          <w:bCs/>
          <w:color w:val="auto"/>
          <w:sz w:val="28"/>
          <w:highlight w:val="none"/>
        </w:rPr>
      </w:pPr>
      <w:r>
        <w:rPr>
          <w:rFonts w:hint="eastAsia" w:ascii="宋体" w:hAnsi="宋体" w:cs="Times New Roman" w:eastAsiaTheme="minorEastAsia"/>
          <w:b/>
          <w:bCs/>
          <w:color w:val="auto"/>
          <w:sz w:val="28"/>
          <w:highlight w:val="none"/>
        </w:rPr>
        <w:t>履约保函</w:t>
      </w:r>
    </w:p>
    <w:p>
      <w:pPr>
        <w:spacing w:line="360" w:lineRule="auto"/>
        <w:ind w:firstLine="5460" w:firstLineChars="2600"/>
        <w:rPr>
          <w:rFonts w:ascii="宋体" w:hAnsi="宋体" w:cs="Times New Roman" w:eastAsiaTheme="minorEastAsia"/>
          <w:color w:val="auto"/>
          <w:szCs w:val="21"/>
          <w:highlight w:val="none"/>
          <w:u w:val="single"/>
        </w:rPr>
      </w:pPr>
      <w:r>
        <w:rPr>
          <w:rFonts w:ascii="宋体" w:hAnsi="宋体" w:cs="Times New Roman" w:eastAsiaTheme="minorEastAsia"/>
          <w:color w:val="auto"/>
          <w:szCs w:val="21"/>
          <w:highlight w:val="none"/>
        </w:rPr>
        <w:t xml:space="preserve"> </w:t>
      </w:r>
      <w:r>
        <w:rPr>
          <w:rFonts w:hint="eastAsia" w:ascii="宋体" w:hAnsi="宋体" w:cs="Times New Roman" w:eastAsiaTheme="minorEastAsia"/>
          <w:color w:val="auto"/>
          <w:szCs w:val="21"/>
          <w:highlight w:val="none"/>
        </w:rPr>
        <w:t>银行编号：</w:t>
      </w:r>
      <w:r>
        <w:rPr>
          <w:rFonts w:hint="eastAsia" w:ascii="宋体" w:hAnsi="宋体" w:cs="Times New Roman" w:eastAsiaTheme="minorEastAsia"/>
          <w:color w:val="auto"/>
          <w:szCs w:val="21"/>
          <w:highlight w:val="none"/>
          <w:u w:val="single"/>
        </w:rPr>
        <w:t xml:space="preserve">               </w:t>
      </w:r>
    </w:p>
    <w:p>
      <w:pPr>
        <w:spacing w:line="360" w:lineRule="auto"/>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致：</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（下称“受益人”）</w:t>
      </w:r>
    </w:p>
    <w:p>
      <w:pPr>
        <w:spacing w:line="360" w:lineRule="auto"/>
        <w:ind w:firstLine="420" w:firstLineChars="20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鉴于</w:t>
      </w:r>
      <w:r>
        <w:rPr>
          <w:rFonts w:hint="eastAsia" w:ascii="宋体" w:hAnsi="宋体" w:cs="Times New Roman" w:eastAsiaTheme="minorEastAsia"/>
          <w:color w:val="auto"/>
          <w:szCs w:val="21"/>
          <w:highlight w:val="none"/>
          <w:u w:val="single"/>
        </w:rPr>
        <w:t>（单位地址）</w:t>
      </w:r>
      <w:r>
        <w:rPr>
          <w:rFonts w:hint="eastAsia" w:ascii="宋体" w:hAnsi="宋体" w:cs="Times New Roman" w:eastAsiaTheme="minorEastAsia"/>
          <w:color w:val="auto"/>
          <w:szCs w:val="21"/>
          <w:highlight w:val="none"/>
        </w:rPr>
        <w:t>的</w:t>
      </w:r>
      <w:r>
        <w:rPr>
          <w:rFonts w:hint="eastAsia" w:ascii="宋体" w:hAnsi="宋体" w:cs="Times New Roman" w:eastAsiaTheme="minorEastAsia"/>
          <w:color w:val="auto"/>
          <w:szCs w:val="21"/>
          <w:highlight w:val="none"/>
          <w:u w:val="single"/>
        </w:rPr>
        <w:t>（中标单位名称）</w:t>
      </w:r>
      <w:r>
        <w:rPr>
          <w:rFonts w:ascii="宋体" w:hAnsi="宋体" w:cs="Times New Roman" w:eastAsiaTheme="minorEastAsia"/>
          <w:color w:val="auto"/>
          <w:szCs w:val="21"/>
          <w:highlight w:val="none"/>
        </w:rPr>
        <w:t>(</w:t>
      </w:r>
      <w:r>
        <w:rPr>
          <w:rFonts w:hint="eastAsia" w:ascii="宋体" w:hAnsi="宋体" w:cs="Times New Roman" w:eastAsiaTheme="minorEastAsia"/>
          <w:color w:val="auto"/>
          <w:szCs w:val="21"/>
          <w:highlight w:val="none"/>
        </w:rPr>
        <w:t>下称“承包人”</w:t>
      </w:r>
      <w:r>
        <w:rPr>
          <w:rFonts w:ascii="宋体" w:hAnsi="宋体" w:cs="Times New Roman" w:eastAsiaTheme="minorEastAsia"/>
          <w:color w:val="auto"/>
          <w:szCs w:val="21"/>
          <w:highlight w:val="none"/>
        </w:rPr>
        <w:t>)</w:t>
      </w:r>
      <w:r>
        <w:rPr>
          <w:rFonts w:hint="eastAsia" w:ascii="宋体" w:hAnsi="宋体" w:cs="Times New Roman" w:eastAsiaTheme="minorEastAsia"/>
          <w:color w:val="auto"/>
          <w:szCs w:val="21"/>
          <w:highlight w:val="none"/>
        </w:rPr>
        <w:t>，已成为贵公司</w:t>
      </w:r>
      <w:r>
        <w:rPr>
          <w:rFonts w:hint="eastAsia" w:ascii="宋体" w:hAnsi="宋体" w:cs="Times New Roman" w:eastAsiaTheme="minorEastAsia"/>
          <w:color w:val="auto"/>
          <w:szCs w:val="21"/>
          <w:highlight w:val="none"/>
          <w:u w:val="single"/>
        </w:rPr>
        <w:t>（中标通知书项目名称）</w:t>
      </w:r>
      <w:r>
        <w:rPr>
          <w:rFonts w:hint="eastAsia" w:ascii="宋体" w:hAnsi="宋体" w:cs="Times New Roman" w:eastAsiaTheme="minorEastAsia"/>
          <w:color w:val="auto"/>
          <w:szCs w:val="21"/>
          <w:highlight w:val="none"/>
        </w:rPr>
        <w:t>的中标人，保证按</w:t>
      </w:r>
      <w:r>
        <w:rPr>
          <w:rFonts w:hint="eastAsia" w:ascii="宋体" w:hAnsi="宋体" w:cs="Times New Roman" w:eastAsiaTheme="minorEastAsia"/>
          <w:color w:val="auto"/>
          <w:szCs w:val="21"/>
          <w:highlight w:val="none"/>
          <w:u w:val="single"/>
        </w:rPr>
        <w:t>（中标通知书项目名称）</w:t>
      </w:r>
      <w:r>
        <w:rPr>
          <w:rFonts w:hint="eastAsia" w:ascii="宋体" w:hAnsi="宋体" w:cs="Times New Roman" w:eastAsiaTheme="minorEastAsia"/>
          <w:color w:val="auto"/>
          <w:szCs w:val="21"/>
          <w:highlight w:val="none"/>
        </w:rPr>
        <w:t>中规定的合同条款履行义务。</w:t>
      </w:r>
    </w:p>
    <w:p>
      <w:pPr>
        <w:spacing w:line="360" w:lineRule="auto"/>
        <w:ind w:firstLine="420" w:firstLineChars="20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根据</w:t>
      </w:r>
      <w:r>
        <w:rPr>
          <w:rFonts w:hint="eastAsia" w:ascii="宋体" w:hAnsi="宋体" w:cs="Times New Roman" w:eastAsiaTheme="minorEastAsia"/>
          <w:color w:val="auto"/>
          <w:szCs w:val="21"/>
          <w:highlight w:val="none"/>
          <w:u w:val="single"/>
        </w:rPr>
        <w:t>（中标通知书项目名称）</w:t>
      </w:r>
      <w:r>
        <w:rPr>
          <w:rFonts w:hint="eastAsia" w:ascii="宋体" w:hAnsi="宋体" w:cs="Times New Roman" w:eastAsiaTheme="minorEastAsia"/>
          <w:color w:val="auto"/>
          <w:szCs w:val="21"/>
          <w:highlight w:val="none"/>
        </w:rPr>
        <w:t>招标文件规定，承包人应向受益人提供一份金额为中标总价的</w:t>
      </w:r>
      <w:r>
        <w:rPr>
          <w:rFonts w:hint="eastAsia" w:ascii="宋体" w:hAnsi="宋体" w:cs="Times New Roman" w:eastAsiaTheme="minorEastAsia"/>
          <w:color w:val="auto"/>
          <w:szCs w:val="21"/>
          <w:highlight w:val="none"/>
          <w:u w:val="single"/>
        </w:rPr>
        <w:t>10</w:t>
      </w:r>
      <w:r>
        <w:rPr>
          <w:rFonts w:ascii="宋体" w:hAnsi="宋体" w:cs="Times New Roman" w:eastAsiaTheme="minorEastAsia"/>
          <w:color w:val="auto"/>
          <w:szCs w:val="21"/>
          <w:highlight w:val="none"/>
          <w:u w:val="single"/>
        </w:rPr>
        <w:t>%</w:t>
      </w:r>
      <w:r>
        <w:rPr>
          <w:rFonts w:hint="eastAsia" w:ascii="宋体" w:hAnsi="宋体" w:cs="Times New Roman" w:eastAsiaTheme="minorEastAsia"/>
          <w:color w:val="auto"/>
          <w:szCs w:val="21"/>
          <w:highlight w:val="none"/>
        </w:rPr>
        <w:t>即人民币</w:t>
      </w:r>
      <w:r>
        <w:rPr>
          <w:rFonts w:hint="eastAsia" w:ascii="宋体" w:hAnsi="宋体" w:cs="Times New Roman" w:eastAsiaTheme="minorEastAsia"/>
          <w:color w:val="auto"/>
          <w:szCs w:val="21"/>
          <w:highlight w:val="none"/>
          <w:u w:val="single"/>
        </w:rPr>
        <w:t>（大写）</w:t>
      </w:r>
      <w:r>
        <w:rPr>
          <w:rFonts w:hint="eastAsia" w:ascii="宋体" w:hAnsi="宋体" w:cs="Times New Roman" w:eastAsiaTheme="minorEastAsia"/>
          <w:color w:val="auto"/>
          <w:szCs w:val="21"/>
          <w:highlight w:val="none"/>
        </w:rPr>
        <w:t>元（</w:t>
      </w:r>
      <w:r>
        <w:rPr>
          <w:rFonts w:hint="eastAsia" w:ascii="宋体" w:hAnsi="宋体" w:cs="Times New Roman" w:eastAsiaTheme="minorEastAsia"/>
          <w:color w:val="auto"/>
          <w:szCs w:val="21"/>
          <w:highlight w:val="none"/>
          <w:u w:val="single"/>
        </w:rPr>
        <w:t>￥（小写）</w:t>
      </w:r>
      <w:r>
        <w:rPr>
          <w:rFonts w:hint="eastAsia" w:ascii="宋体" w:hAnsi="宋体" w:cs="Times New Roman" w:eastAsiaTheme="minorEastAsia"/>
          <w:color w:val="auto"/>
          <w:szCs w:val="21"/>
          <w:highlight w:val="none"/>
        </w:rPr>
        <w:t>）的不可撤销银行履约保函（下称“本保函”），作为承包人履行（</w:t>
      </w:r>
      <w:r>
        <w:rPr>
          <w:rFonts w:hint="eastAsia" w:ascii="宋体" w:hAnsi="宋体" w:cs="Times New Roman" w:eastAsiaTheme="minorEastAsia"/>
          <w:color w:val="auto"/>
          <w:szCs w:val="21"/>
          <w:highlight w:val="none"/>
          <w:u w:val="single"/>
        </w:rPr>
        <w:t>中标通知书项目名称）</w:t>
      </w:r>
      <w:r>
        <w:rPr>
          <w:rFonts w:hint="eastAsia" w:ascii="宋体" w:hAnsi="宋体" w:cs="Times New Roman" w:eastAsiaTheme="minorEastAsia"/>
          <w:color w:val="auto"/>
          <w:szCs w:val="21"/>
          <w:highlight w:val="none"/>
        </w:rPr>
        <w:t>合同的担保。</w:t>
      </w:r>
    </w:p>
    <w:p>
      <w:pPr>
        <w:pStyle w:val="30"/>
        <w:spacing w:line="360" w:lineRule="auto"/>
        <w:ind w:firstLine="407" w:firstLineChars="194"/>
        <w:rPr>
          <w:color w:val="auto"/>
          <w:kern w:val="2"/>
          <w:sz w:val="21"/>
          <w:szCs w:val="21"/>
          <w:highlight w:val="none"/>
        </w:rPr>
      </w:pPr>
      <w:r>
        <w:rPr>
          <w:rFonts w:hint="eastAsia"/>
          <w:color w:val="auto"/>
          <w:kern w:val="2"/>
          <w:sz w:val="21"/>
          <w:szCs w:val="21"/>
          <w:highlight w:val="none"/>
        </w:rPr>
        <w:t>注册于</w:t>
      </w:r>
      <w:r>
        <w:rPr>
          <w:color w:val="auto"/>
          <w:kern w:val="2"/>
          <w:sz w:val="21"/>
          <w:szCs w:val="21"/>
          <w:highlight w:val="none"/>
          <w:u w:val="single"/>
        </w:rPr>
        <w:t xml:space="preserve"> (</w:t>
      </w:r>
      <w:r>
        <w:rPr>
          <w:rFonts w:hint="eastAsia"/>
          <w:color w:val="auto"/>
          <w:kern w:val="2"/>
          <w:sz w:val="21"/>
          <w:szCs w:val="21"/>
          <w:highlight w:val="none"/>
          <w:u w:val="single"/>
        </w:rPr>
        <w:t>银行地址</w:t>
      </w:r>
      <w:r>
        <w:rPr>
          <w:color w:val="auto"/>
          <w:kern w:val="2"/>
          <w:sz w:val="21"/>
          <w:szCs w:val="21"/>
          <w:highlight w:val="none"/>
          <w:u w:val="single"/>
        </w:rPr>
        <w:t>)</w:t>
      </w:r>
      <w:r>
        <w:rPr>
          <w:rFonts w:hint="eastAsia"/>
          <w:color w:val="auto"/>
          <w:kern w:val="2"/>
          <w:sz w:val="21"/>
          <w:szCs w:val="21"/>
          <w:highlight w:val="none"/>
        </w:rPr>
        <w:t>的</w:t>
      </w:r>
      <w:r>
        <w:rPr>
          <w:rFonts w:hint="eastAsia"/>
          <w:color w:val="auto"/>
          <w:kern w:val="2"/>
          <w:sz w:val="21"/>
          <w:szCs w:val="21"/>
          <w:highlight w:val="none"/>
          <w:u w:val="single"/>
        </w:rPr>
        <w:t>（银行名称）</w:t>
      </w:r>
      <w:r>
        <w:rPr>
          <w:rFonts w:hint="eastAsia"/>
          <w:color w:val="auto"/>
          <w:kern w:val="2"/>
          <w:sz w:val="21"/>
          <w:szCs w:val="21"/>
          <w:highlight w:val="none"/>
        </w:rPr>
        <w:t>向受益人保证本行及其继承人和受让人在收到受益人第一次的表明</w:t>
      </w:r>
      <w:r>
        <w:rPr>
          <w:rFonts w:hint="eastAsia"/>
          <w:color w:val="auto"/>
          <w:kern w:val="2"/>
          <w:sz w:val="21"/>
          <w:szCs w:val="21"/>
          <w:highlight w:val="none"/>
          <w:lang w:val="en-US" w:eastAsia="zh-CN"/>
        </w:rPr>
        <w:t>集成服务商</w:t>
      </w:r>
      <w:r>
        <w:rPr>
          <w:rFonts w:hint="eastAsia"/>
          <w:color w:val="auto"/>
          <w:kern w:val="2"/>
          <w:sz w:val="21"/>
          <w:szCs w:val="21"/>
          <w:highlight w:val="none"/>
        </w:rPr>
        <w:t>违约的书面通知后五个工作日内，无论</w:t>
      </w:r>
      <w:r>
        <w:rPr>
          <w:rFonts w:hint="eastAsia"/>
          <w:color w:val="auto"/>
          <w:kern w:val="2"/>
          <w:sz w:val="21"/>
          <w:szCs w:val="21"/>
          <w:highlight w:val="none"/>
          <w:lang w:val="en-US" w:eastAsia="zh-CN"/>
        </w:rPr>
        <w:t>集成服务商</w:t>
      </w:r>
      <w:r>
        <w:rPr>
          <w:rFonts w:hint="eastAsia"/>
          <w:color w:val="auto"/>
          <w:kern w:val="2"/>
          <w:sz w:val="21"/>
          <w:szCs w:val="21"/>
          <w:highlight w:val="none"/>
        </w:rPr>
        <w:t>有何反对，无条件地、不可撤</w:t>
      </w:r>
      <w:r>
        <w:rPr>
          <w:rFonts w:hint="eastAsia"/>
          <w:color w:val="auto"/>
          <w:kern w:val="2"/>
          <w:sz w:val="21"/>
          <w:szCs w:val="21"/>
          <w:highlight w:val="none"/>
          <w:lang w:val="en-US" w:eastAsia="zh-CN"/>
        </w:rPr>
        <w:t>销</w:t>
      </w:r>
      <w:r>
        <w:rPr>
          <w:rFonts w:hint="eastAsia"/>
          <w:color w:val="auto"/>
          <w:kern w:val="2"/>
          <w:sz w:val="21"/>
          <w:szCs w:val="21"/>
          <w:highlight w:val="none"/>
        </w:rPr>
        <w:t>地按该通知的规定，向受益人支付不超过</w:t>
      </w:r>
      <w:r>
        <w:rPr>
          <w:rFonts w:hint="eastAsia"/>
          <w:color w:val="auto"/>
          <w:sz w:val="21"/>
          <w:szCs w:val="21"/>
          <w:highlight w:val="none"/>
        </w:rPr>
        <w:t>人民币</w:t>
      </w:r>
      <w:r>
        <w:rPr>
          <w:rFonts w:hint="eastAsia"/>
          <w:color w:val="auto"/>
          <w:sz w:val="21"/>
          <w:szCs w:val="21"/>
          <w:highlight w:val="none"/>
          <w:u w:val="single"/>
        </w:rPr>
        <w:t>（大写）</w:t>
      </w:r>
      <w:r>
        <w:rPr>
          <w:rFonts w:hint="eastAsia"/>
          <w:color w:val="auto"/>
          <w:sz w:val="21"/>
          <w:szCs w:val="21"/>
          <w:highlight w:val="none"/>
        </w:rPr>
        <w:t>元（</w:t>
      </w:r>
      <w:r>
        <w:rPr>
          <w:rFonts w:hint="eastAsia"/>
          <w:color w:val="auto"/>
          <w:sz w:val="21"/>
          <w:szCs w:val="21"/>
          <w:highlight w:val="none"/>
          <w:u w:val="single"/>
        </w:rPr>
        <w:t>￥（小写）</w:t>
      </w:r>
      <w:r>
        <w:rPr>
          <w:rFonts w:hint="eastAsia"/>
          <w:color w:val="auto"/>
          <w:sz w:val="21"/>
          <w:szCs w:val="21"/>
          <w:highlight w:val="none"/>
        </w:rPr>
        <w:t>）</w:t>
      </w:r>
      <w:r>
        <w:rPr>
          <w:rFonts w:hint="eastAsia"/>
          <w:color w:val="auto"/>
          <w:kern w:val="2"/>
          <w:sz w:val="21"/>
          <w:szCs w:val="21"/>
          <w:highlight w:val="none"/>
        </w:rPr>
        <w:t>的金额</w:t>
      </w:r>
      <w:r>
        <w:rPr>
          <w:rFonts w:hint="eastAsia"/>
          <w:color w:val="auto"/>
          <w:kern w:val="2"/>
          <w:sz w:val="21"/>
          <w:szCs w:val="21"/>
          <w:highlight w:val="none"/>
          <w:lang w:eastAsia="zh-CN"/>
        </w:rPr>
        <w:t>，</w:t>
      </w:r>
      <w:r>
        <w:rPr>
          <w:rFonts w:hint="eastAsia" w:ascii="宋体" w:hAnsi="宋体" w:eastAsia="宋体" w:cs="Times New Roman"/>
          <w:color w:val="auto"/>
          <w:kern w:val="2"/>
          <w:sz w:val="21"/>
          <w:szCs w:val="21"/>
          <w:highlight w:val="none"/>
        </w:rPr>
        <w:t>且无需受益人提供任何证明</w:t>
      </w:r>
      <w:r>
        <w:rPr>
          <w:rFonts w:hint="eastAsia" w:eastAsia="宋体" w:cs="Times New Roman"/>
          <w:color w:val="auto"/>
          <w:kern w:val="2"/>
          <w:sz w:val="21"/>
          <w:szCs w:val="21"/>
          <w:highlight w:val="none"/>
        </w:rPr>
        <w:t>。</w:t>
      </w:r>
    </w:p>
    <w:p>
      <w:pPr>
        <w:spacing w:line="360" w:lineRule="auto"/>
        <w:ind w:firstLine="420" w:firstLineChars="20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我方还同意，任何受益人与承包人之间可能对</w:t>
      </w:r>
      <w:r>
        <w:rPr>
          <w:rFonts w:hint="eastAsia" w:ascii="宋体" w:hAnsi="宋体" w:cs="Times New Roman" w:eastAsiaTheme="minorEastAsia"/>
          <w:color w:val="auto"/>
          <w:szCs w:val="21"/>
          <w:highlight w:val="none"/>
          <w:u w:val="single"/>
        </w:rPr>
        <w:t>（中标通知书项目名称）</w:t>
      </w:r>
      <w:r>
        <w:rPr>
          <w:rFonts w:hint="eastAsia" w:ascii="宋体" w:hAnsi="宋体" w:cs="Times New Roman" w:eastAsiaTheme="minorEastAsia"/>
          <w:color w:val="auto"/>
          <w:szCs w:val="21"/>
          <w:highlight w:val="none"/>
        </w:rPr>
        <w:t>合同条款的修改、变动或补充，都不能减少和免除我方按本保函所承担的责任。因此，有关上述修改、变动或补充无须通知我方。</w:t>
      </w:r>
    </w:p>
    <w:p>
      <w:pPr>
        <w:spacing w:line="360" w:lineRule="auto"/>
        <w:ind w:firstLine="420" w:firstLineChars="20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保函从签发之日起生效，直至</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年</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月</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日一直有效。</w:t>
      </w:r>
    </w:p>
    <w:p>
      <w:pPr>
        <w:spacing w:line="360" w:lineRule="auto"/>
        <w:ind w:firstLine="420" w:firstLineChars="20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如果本保函的有效期届满时间先于合同文件要求的，（即履约保函的有效期限至结算后28天内保持有效），受益人可在本保函有效期届满前30天提出延期书面要求，我方按照受益人书面要求在保函到期前15天完成办理保函延期手续。</w:t>
      </w:r>
    </w:p>
    <w:p>
      <w:pPr>
        <w:spacing w:line="360" w:lineRule="auto"/>
        <w:ind w:firstLine="4235" w:firstLineChars="2017"/>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担</w:t>
      </w:r>
      <w:r>
        <w:rPr>
          <w:rFonts w:ascii="宋体" w:hAnsi="宋体" w:cs="Times New Roman" w:eastAsiaTheme="minorEastAsia"/>
          <w:color w:val="auto"/>
          <w:szCs w:val="21"/>
          <w:highlight w:val="none"/>
        </w:rPr>
        <w:t xml:space="preserve"> </w:t>
      </w:r>
      <w:r>
        <w:rPr>
          <w:rFonts w:hint="eastAsia" w:ascii="宋体" w:hAnsi="宋体" w:cs="Times New Roman" w:eastAsiaTheme="minorEastAsia"/>
          <w:color w:val="auto"/>
          <w:szCs w:val="21"/>
          <w:highlight w:val="none"/>
        </w:rPr>
        <w:t>保</w:t>
      </w:r>
      <w:r>
        <w:rPr>
          <w:rFonts w:ascii="宋体" w:hAnsi="宋体" w:cs="Times New Roman" w:eastAsiaTheme="minorEastAsia"/>
          <w:color w:val="auto"/>
          <w:szCs w:val="21"/>
          <w:highlight w:val="none"/>
        </w:rPr>
        <w:t xml:space="preserve"> </w:t>
      </w:r>
      <w:r>
        <w:rPr>
          <w:rFonts w:hint="eastAsia" w:ascii="宋体" w:hAnsi="宋体" w:cs="Times New Roman" w:eastAsiaTheme="minorEastAsia"/>
          <w:color w:val="auto"/>
          <w:szCs w:val="21"/>
          <w:highlight w:val="none"/>
        </w:rPr>
        <w:t xml:space="preserve">银行： </w:t>
      </w:r>
      <w:r>
        <w:rPr>
          <w:rFonts w:hint="eastAsia" w:ascii="宋体" w:hAnsi="宋体" w:cs="Times New Roman" w:eastAsiaTheme="minorEastAsia"/>
          <w:color w:val="auto"/>
          <w:szCs w:val="21"/>
          <w:highlight w:val="none"/>
          <w:u w:val="single"/>
        </w:rPr>
        <w:t xml:space="preserve">            （全称）</w:t>
      </w:r>
      <w:r>
        <w:rPr>
          <w:rFonts w:hint="eastAsia" w:ascii="宋体" w:hAnsi="宋体" w:cs="Times New Roman" w:eastAsiaTheme="minorEastAsia"/>
          <w:color w:val="auto"/>
          <w:szCs w:val="21"/>
          <w:highlight w:val="none"/>
        </w:rPr>
        <w:t>（盖章）</w:t>
      </w:r>
    </w:p>
    <w:p>
      <w:pPr>
        <w:spacing w:line="360" w:lineRule="auto"/>
        <w:ind w:firstLine="4235" w:firstLineChars="2017"/>
        <w:rPr>
          <w:rFonts w:ascii="宋体" w:hAnsi="宋体" w:cs="Times New Roman" w:eastAsiaTheme="minorEastAsia"/>
          <w:color w:val="auto"/>
          <w:szCs w:val="21"/>
          <w:highlight w:val="none"/>
          <w:u w:val="single"/>
        </w:rPr>
      </w:pPr>
      <w:r>
        <w:rPr>
          <w:rFonts w:hint="eastAsia" w:ascii="宋体" w:hAnsi="宋体" w:cs="Times New Roman" w:eastAsiaTheme="minorEastAsia"/>
          <w:color w:val="auto"/>
          <w:szCs w:val="21"/>
          <w:highlight w:val="none"/>
        </w:rPr>
        <w:t>法定代表人（或负责人）：（签名）</w:t>
      </w:r>
      <w:r>
        <w:rPr>
          <w:rFonts w:hint="eastAsia" w:ascii="宋体" w:hAnsi="宋体" w:cs="Times New Roman" w:eastAsiaTheme="minorEastAsia"/>
          <w:color w:val="auto"/>
          <w:szCs w:val="21"/>
          <w:highlight w:val="none"/>
          <w:u w:val="single"/>
        </w:rPr>
        <w:t xml:space="preserve">                   </w:t>
      </w:r>
    </w:p>
    <w:p>
      <w:pPr>
        <w:spacing w:line="360" w:lineRule="auto"/>
        <w:ind w:firstLine="4235" w:firstLineChars="2017"/>
        <w:rPr>
          <w:rFonts w:ascii="宋体" w:hAnsi="宋体" w:cs="Times New Roman" w:eastAsiaTheme="minorEastAsia"/>
          <w:color w:val="auto"/>
          <w:szCs w:val="21"/>
          <w:highlight w:val="none"/>
          <w:u w:val="single"/>
        </w:rPr>
      </w:pPr>
      <w:r>
        <w:rPr>
          <w:rFonts w:hint="eastAsia" w:ascii="宋体" w:hAnsi="宋体" w:cs="Times New Roman" w:eastAsiaTheme="minorEastAsia"/>
          <w:color w:val="auto"/>
          <w:szCs w:val="21"/>
          <w:highlight w:val="none"/>
        </w:rPr>
        <w:t>银行地址：</w:t>
      </w:r>
      <w:r>
        <w:rPr>
          <w:rFonts w:hint="eastAsia" w:ascii="宋体" w:hAnsi="宋体" w:cs="Times New Roman" w:eastAsiaTheme="minorEastAsia"/>
          <w:color w:val="auto"/>
          <w:szCs w:val="21"/>
          <w:highlight w:val="none"/>
          <w:u w:val="single"/>
        </w:rPr>
        <w:t xml:space="preserve">                                       </w:t>
      </w:r>
    </w:p>
    <w:p>
      <w:pPr>
        <w:spacing w:line="360" w:lineRule="auto"/>
        <w:ind w:firstLine="4235" w:firstLineChars="2017"/>
        <w:rPr>
          <w:rFonts w:ascii="宋体" w:hAnsi="宋体" w:cs="Times New Roman" w:eastAsiaTheme="minorEastAsia"/>
          <w:color w:val="auto"/>
          <w:szCs w:val="21"/>
          <w:highlight w:val="none"/>
          <w:u w:val="single"/>
        </w:rPr>
      </w:pPr>
      <w:r>
        <w:rPr>
          <w:rFonts w:hint="eastAsia" w:ascii="宋体" w:hAnsi="宋体" w:cs="Times New Roman" w:eastAsiaTheme="minorEastAsia"/>
          <w:color w:val="auto"/>
          <w:szCs w:val="21"/>
          <w:highlight w:val="none"/>
        </w:rPr>
        <w:t>银行联系电话：</w:t>
      </w:r>
      <w:r>
        <w:rPr>
          <w:rFonts w:hint="eastAsia" w:ascii="宋体" w:hAnsi="宋体" w:cs="Times New Roman" w:eastAsiaTheme="minorEastAsia"/>
          <w:color w:val="auto"/>
          <w:szCs w:val="21"/>
          <w:highlight w:val="none"/>
          <w:u w:val="single"/>
        </w:rPr>
        <w:t xml:space="preserve">                                   </w:t>
      </w:r>
    </w:p>
    <w:p>
      <w:pPr>
        <w:spacing w:line="360" w:lineRule="auto"/>
        <w:ind w:firstLine="4235" w:firstLineChars="2017"/>
        <w:rPr>
          <w:rFonts w:ascii="宋体" w:hAnsi="Calibri" w:eastAsia="宋体" w:cs="Times New Roman"/>
          <w:color w:val="auto"/>
          <w:sz w:val="24"/>
          <w:szCs w:val="22"/>
          <w:highlight w:val="none"/>
        </w:rPr>
      </w:pPr>
      <w:r>
        <w:rPr>
          <w:rFonts w:hint="eastAsia" w:ascii="宋体" w:hAnsi="宋体" w:cs="Times New Roman" w:eastAsiaTheme="minorEastAsia"/>
          <w:color w:val="auto"/>
          <w:szCs w:val="21"/>
          <w:highlight w:val="none"/>
        </w:rPr>
        <w:t>日</w:t>
      </w:r>
      <w:r>
        <w:rPr>
          <w:rFonts w:ascii="宋体" w:hAnsi="宋体" w:cs="Times New Roman" w:eastAsiaTheme="minorEastAsia"/>
          <w:color w:val="auto"/>
          <w:szCs w:val="21"/>
          <w:highlight w:val="none"/>
        </w:rPr>
        <w:t xml:space="preserve">     </w:t>
      </w:r>
      <w:r>
        <w:rPr>
          <w:rFonts w:hint="eastAsia" w:ascii="宋体" w:hAnsi="宋体" w:cs="Times New Roman" w:eastAsiaTheme="minorEastAsia"/>
          <w:color w:val="auto"/>
          <w:szCs w:val="21"/>
          <w:highlight w:val="none"/>
        </w:rPr>
        <w:t>期：</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年</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月</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日</w:t>
      </w:r>
    </w:p>
    <w:p>
      <w:pPr>
        <w:bidi w:val="0"/>
        <w:rPr>
          <w:rFonts w:hint="eastAsia" w:ascii="宋体" w:hAnsi="宋体" w:cs="Times New Roman" w:eastAsiaTheme="minorEastAsia"/>
          <w:b w:val="0"/>
          <w:bCs w:val="0"/>
          <w:color w:val="auto"/>
          <w:kern w:val="2"/>
          <w:sz w:val="21"/>
          <w:szCs w:val="21"/>
          <w:highlight w:val="none"/>
          <w:lang w:val="en-US" w:eastAsia="zh-CN" w:bidi="ar-SA"/>
        </w:rPr>
      </w:pPr>
      <w:r>
        <w:rPr>
          <w:rFonts w:hint="eastAsia" w:ascii="宋体" w:hAnsi="宋体" w:cs="Times New Roman" w:eastAsiaTheme="minorEastAsia"/>
          <w:color w:val="auto"/>
          <w:highlight w:val="none"/>
          <w:lang w:val="en-US" w:eastAsia="zh-CN"/>
        </w:rPr>
        <w:t>备注：保函必须由银行支行一级以上机构出具，非东莞市行政区域的银行出具的履约保函需</w:t>
      </w:r>
      <w:r>
        <w:rPr>
          <w:rFonts w:hint="eastAsia" w:ascii="宋体" w:hAnsi="宋体" w:cs="Times New Roman" w:eastAsiaTheme="minorEastAsia"/>
          <w:b w:val="0"/>
          <w:bCs w:val="0"/>
          <w:color w:val="auto"/>
          <w:kern w:val="2"/>
          <w:sz w:val="21"/>
          <w:szCs w:val="21"/>
          <w:highlight w:val="none"/>
          <w:lang w:val="en-US" w:eastAsia="zh-CN" w:bidi="ar-SA"/>
        </w:rPr>
        <w:t>担保银行所在地公证机关公证。</w:t>
      </w:r>
    </w:p>
    <w:p>
      <w:pPr>
        <w:keepNext/>
        <w:keepLines/>
        <w:widowControl w:val="0"/>
        <w:bidi w:val="0"/>
        <w:spacing w:before="260" w:after="260" w:line="416" w:lineRule="auto"/>
        <w:jc w:val="both"/>
        <w:outlineLvl w:val="2"/>
        <w:rPr>
          <w:rFonts w:ascii="Arial" w:hAnsi="Arial" w:eastAsia="黑体" w:cs="Times New Roman"/>
          <w:b/>
          <w:bCs/>
          <w:color w:val="auto"/>
          <w:kern w:val="2"/>
          <w:sz w:val="32"/>
          <w:szCs w:val="32"/>
          <w:highlight w:val="none"/>
          <w:lang w:val="en-US" w:eastAsia="zh-CN" w:bidi="ar-SA"/>
        </w:rPr>
      </w:pPr>
      <w:r>
        <w:rPr>
          <w:rFonts w:ascii="宋体" w:hAnsi="宋体" w:eastAsia="黑体" w:cs="Times New Roman"/>
          <w:b/>
          <w:bCs/>
          <w:color w:val="auto"/>
          <w:kern w:val="2"/>
          <w:sz w:val="32"/>
          <w:szCs w:val="21"/>
          <w:highlight w:val="none"/>
          <w:lang w:val="en-US" w:eastAsia="zh-CN" w:bidi="ar-SA"/>
        </w:rPr>
        <w:br w:type="page"/>
      </w:r>
      <w:bookmarkStart w:id="2018" w:name="_Toc17566"/>
      <w:r>
        <w:rPr>
          <w:rFonts w:ascii="Arial" w:hAnsi="Arial" w:eastAsia="黑体" w:cstheme="minorBidi"/>
          <w:b/>
          <w:bCs/>
          <w:color w:val="auto"/>
          <w:kern w:val="2"/>
          <w:sz w:val="32"/>
          <w:szCs w:val="32"/>
          <w:highlight w:val="none"/>
          <w:lang w:val="en-US" w:eastAsia="zh-CN" w:bidi="ar-SA"/>
        </w:rPr>
        <w:t>6.2 履约保函公证书格式</w:t>
      </w:r>
      <w:bookmarkEnd w:id="2018"/>
    </w:p>
    <w:p>
      <w:pPr>
        <w:rPr>
          <w:rFonts w:hint="eastAsia" w:ascii="宋体" w:hAnsi="宋体" w:cs="Times New Roman" w:eastAsiaTheme="minorEastAsia"/>
          <w:color w:val="auto"/>
          <w:szCs w:val="21"/>
          <w:highlight w:val="none"/>
        </w:rPr>
      </w:pPr>
    </w:p>
    <w:p>
      <w:pPr>
        <w:spacing w:line="360" w:lineRule="auto"/>
        <w:ind w:firstLine="3600" w:firstLineChars="1500"/>
        <w:rPr>
          <w:rFonts w:ascii="宋体" w:hAnsi="Calibri" w:eastAsia="宋体" w:cs="Times New Roman"/>
          <w:color w:val="auto"/>
          <w:sz w:val="24"/>
          <w:szCs w:val="22"/>
          <w:highlight w:val="none"/>
        </w:rPr>
      </w:pPr>
      <w:r>
        <w:rPr>
          <w:rFonts w:hint="eastAsia" w:ascii="宋体" w:hAnsi="宋体" w:eastAsia="宋体" w:cs="Times New Roman"/>
          <w:color w:val="auto"/>
          <w:sz w:val="24"/>
          <w:szCs w:val="22"/>
          <w:highlight w:val="none"/>
        </w:rPr>
        <w:t>履约保函公证书</w:t>
      </w:r>
    </w:p>
    <w:p>
      <w:pPr>
        <w:widowControl/>
        <w:ind w:firstLine="480"/>
        <w:jc w:val="center"/>
        <w:rPr>
          <w:rFonts w:ascii="宋体" w:hAnsi="宋体" w:cs="Times New Roman" w:eastAsiaTheme="minorEastAsia"/>
          <w:color w:val="auto"/>
          <w:kern w:val="0"/>
          <w:sz w:val="24"/>
          <w:highlight w:val="none"/>
        </w:rPr>
      </w:pPr>
    </w:p>
    <w:p>
      <w:pPr>
        <w:spacing w:line="520" w:lineRule="exact"/>
        <w:ind w:firstLine="480" w:firstLineChars="200"/>
        <w:jc w:val="right"/>
        <w:rPr>
          <w:rFonts w:ascii="宋体" w:hAnsi="Calibri" w:eastAsia="宋体" w:cs="Times New Roman"/>
          <w:color w:val="auto"/>
          <w:sz w:val="24"/>
          <w:szCs w:val="22"/>
          <w:highlight w:val="none"/>
        </w:rPr>
      </w:pPr>
      <w:r>
        <w:rPr>
          <w:rFonts w:hint="eastAsia" w:ascii="宋体" w:hAnsi="宋体" w:eastAsia="宋体" w:cs="Times New Roman"/>
          <w:color w:val="auto"/>
          <w:sz w:val="24"/>
          <w:szCs w:val="22"/>
          <w:highlight w:val="none"/>
        </w:rPr>
        <w:t>（ ）××字第××号</w:t>
      </w:r>
    </w:p>
    <w:p>
      <w:pPr>
        <w:spacing w:line="480" w:lineRule="auto"/>
        <w:rPr>
          <w:rFonts w:ascii="仿宋_GB2312" w:hAnsi="Calibri" w:eastAsia="仿宋_GB2312" w:cs="Times New Roman"/>
          <w:b/>
          <w:color w:val="auto"/>
          <w:sz w:val="24"/>
          <w:szCs w:val="22"/>
          <w:highlight w:val="none"/>
        </w:rPr>
      </w:pPr>
    </w:p>
    <w:p>
      <w:pPr>
        <w:spacing w:line="520" w:lineRule="exact"/>
        <w:ind w:firstLine="600" w:firstLineChars="250"/>
        <w:rPr>
          <w:rFonts w:ascii="宋体" w:hAnsi="Calibri" w:cs="Times New Roman" w:eastAsiaTheme="minorEastAsia"/>
          <w:color w:val="auto"/>
          <w:sz w:val="24"/>
          <w:szCs w:val="22"/>
          <w:highlight w:val="none"/>
        </w:rPr>
      </w:pPr>
      <w:r>
        <w:rPr>
          <w:rFonts w:hint="eastAsia" w:ascii="宋体" w:hAnsi="宋体" w:eastAsia="宋体" w:cs="Times New Roman"/>
          <w:color w:val="auto"/>
          <w:sz w:val="24"/>
          <w:szCs w:val="22"/>
          <w:highlight w:val="none"/>
        </w:rPr>
        <w:t>兹证明</w:t>
      </w:r>
      <w:r>
        <w:rPr>
          <w:rFonts w:hint="eastAsia" w:ascii="宋体" w:hAnsi="宋体" w:eastAsia="宋体" w:cs="Times New Roman"/>
          <w:color w:val="auto"/>
          <w:sz w:val="24"/>
          <w:szCs w:val="22"/>
          <w:highlight w:val="none"/>
          <w:u w:val="single"/>
        </w:rPr>
        <w:t>（承包人）</w:t>
      </w:r>
      <w:r>
        <w:rPr>
          <w:rFonts w:hint="eastAsia" w:ascii="宋体" w:hAnsi="宋体" w:eastAsia="宋体" w:cs="Times New Roman"/>
          <w:color w:val="auto"/>
          <w:sz w:val="24"/>
          <w:szCs w:val="22"/>
          <w:highlight w:val="none"/>
        </w:rPr>
        <w:t>所持有的前面的编号为</w:t>
      </w:r>
      <w:r>
        <w:rPr>
          <w:rFonts w:hint="eastAsia" w:ascii="宋体" w:hAnsi="宋体" w:eastAsia="宋体" w:cs="Times New Roman"/>
          <w:color w:val="auto"/>
          <w:sz w:val="24"/>
          <w:szCs w:val="22"/>
          <w:highlight w:val="none"/>
          <w:u w:val="single"/>
        </w:rPr>
        <w:t>银行编号：   的</w:t>
      </w:r>
      <w:r>
        <w:rPr>
          <w:rFonts w:hint="eastAsia" w:ascii="宋体" w:hAnsi="宋体" w:eastAsia="宋体" w:cs="Times New Roman"/>
          <w:color w:val="auto"/>
          <w:sz w:val="24"/>
          <w:szCs w:val="22"/>
          <w:highlight w:val="none"/>
        </w:rPr>
        <w:t>《履约保函》上“</w:t>
      </w:r>
      <w:r>
        <w:rPr>
          <w:rFonts w:hint="eastAsia" w:ascii="宋体" w:hAnsi="宋体" w:eastAsia="宋体" w:cs="Times New Roman"/>
          <w:color w:val="auto"/>
          <w:sz w:val="24"/>
          <w:szCs w:val="22"/>
          <w:highlight w:val="none"/>
          <w:u w:val="single"/>
        </w:rPr>
        <w:t>（银行名称）</w:t>
      </w:r>
      <w:r>
        <w:rPr>
          <w:rFonts w:hint="eastAsia" w:ascii="宋体" w:hAnsi="宋体" w:eastAsia="宋体" w:cs="Times New Roman"/>
          <w:color w:val="auto"/>
          <w:sz w:val="24"/>
          <w:szCs w:val="22"/>
          <w:highlight w:val="none"/>
        </w:rPr>
        <w:t>”的印鉴及该行的法定代表人/委托代理人</w:t>
      </w:r>
      <w:r>
        <w:rPr>
          <w:rFonts w:hint="eastAsia" w:ascii="宋体" w:hAnsi="宋体" w:eastAsia="宋体" w:cs="Times New Roman"/>
          <w:color w:val="auto"/>
          <w:sz w:val="24"/>
          <w:szCs w:val="22"/>
          <w:highlight w:val="none"/>
          <w:u w:val="single"/>
        </w:rPr>
        <w:t>（姓名）</w:t>
      </w:r>
      <w:r>
        <w:rPr>
          <w:rFonts w:hint="eastAsia" w:ascii="宋体" w:hAnsi="宋体" w:eastAsia="宋体" w:cs="Times New Roman"/>
          <w:color w:val="auto"/>
          <w:sz w:val="24"/>
          <w:szCs w:val="22"/>
          <w:highlight w:val="none"/>
        </w:rPr>
        <w:t>的印鉴或签名均属实。</w:t>
      </w:r>
    </w:p>
    <w:p>
      <w:pPr>
        <w:widowControl/>
        <w:spacing w:line="360" w:lineRule="auto"/>
        <w:ind w:firstLine="496" w:firstLineChars="207"/>
        <w:jc w:val="left"/>
        <w:rPr>
          <w:rFonts w:ascii="宋体" w:hAnsi="宋体" w:cs="Times New Roman" w:eastAsiaTheme="minorEastAsia"/>
          <w:color w:val="auto"/>
          <w:kern w:val="0"/>
          <w:sz w:val="24"/>
          <w:highlight w:val="none"/>
        </w:rPr>
      </w:pPr>
    </w:p>
    <w:p>
      <w:pPr>
        <w:rPr>
          <w:rFonts w:ascii="Calibri" w:hAnsi="Calibri" w:eastAsia="宋体" w:cs="Times New Roman"/>
          <w:color w:val="auto"/>
          <w:sz w:val="24"/>
          <w:szCs w:val="22"/>
          <w:highlight w:val="none"/>
        </w:rPr>
      </w:pPr>
    </w:p>
    <w:p>
      <w:pPr>
        <w:rPr>
          <w:rFonts w:ascii="Calibri" w:hAnsi="Calibri" w:eastAsia="宋体" w:cs="Times New Roman"/>
          <w:color w:val="auto"/>
          <w:sz w:val="24"/>
          <w:szCs w:val="22"/>
          <w:highlight w:val="none"/>
        </w:rPr>
      </w:pPr>
    </w:p>
    <w:p>
      <w:pPr>
        <w:spacing w:line="360" w:lineRule="auto"/>
        <w:ind w:firstLine="2040" w:firstLineChars="850"/>
        <w:rPr>
          <w:rFonts w:ascii="宋体" w:hAnsi="Calibri" w:eastAsia="宋体" w:cs="Times New Roman"/>
          <w:color w:val="auto"/>
          <w:sz w:val="24"/>
          <w:szCs w:val="22"/>
          <w:highlight w:val="none"/>
        </w:rPr>
      </w:pPr>
      <w:r>
        <w:rPr>
          <w:rFonts w:hint="eastAsia" w:ascii="宋体" w:hAnsi="宋体" w:eastAsia="宋体" w:cs="Times New Roman"/>
          <w:color w:val="auto"/>
          <w:sz w:val="24"/>
          <w:szCs w:val="22"/>
          <w:highlight w:val="none"/>
        </w:rPr>
        <w:t>中华人民共和国××省××市（县）公证处（盖章）</w:t>
      </w:r>
    </w:p>
    <w:p>
      <w:pPr>
        <w:spacing w:line="360" w:lineRule="auto"/>
        <w:ind w:firstLine="2040" w:firstLineChars="850"/>
        <w:rPr>
          <w:rFonts w:ascii="宋体" w:hAnsi="Calibri" w:eastAsia="宋体" w:cs="Times New Roman"/>
          <w:color w:val="auto"/>
          <w:sz w:val="24"/>
          <w:szCs w:val="22"/>
          <w:highlight w:val="none"/>
        </w:rPr>
      </w:pPr>
      <w:r>
        <w:rPr>
          <w:rFonts w:hint="eastAsia" w:ascii="宋体" w:hAnsi="宋体" w:eastAsia="宋体" w:cs="Times New Roman"/>
          <w:color w:val="auto"/>
          <w:sz w:val="24"/>
          <w:szCs w:val="22"/>
          <w:highlight w:val="none"/>
        </w:rPr>
        <w:t>公证员 （签名）</w:t>
      </w:r>
    </w:p>
    <w:p>
      <w:pPr>
        <w:spacing w:line="240" w:lineRule="auto"/>
        <w:ind w:firstLine="2100" w:firstLineChars="1000"/>
        <w:outlineLvl w:val="9"/>
        <w:rPr>
          <w:rFonts w:ascii="宋体" w:hAnsi="宋体" w:cs="Times New Roman" w:eastAsiaTheme="minorEastAsia"/>
          <w:color w:val="auto"/>
          <w:highlight w:val="none"/>
        </w:rPr>
      </w:pPr>
      <w:bookmarkStart w:id="2019" w:name="_Toc1399"/>
      <w:r>
        <w:rPr>
          <w:rFonts w:hint="eastAsia" w:ascii="宋体" w:hAnsi="宋体" w:cs="Times New Roman" w:eastAsiaTheme="minorEastAsia"/>
          <w:color w:val="auto"/>
          <w:highlight w:val="none"/>
        </w:rPr>
        <w:t>××××年×月×日</w:t>
      </w:r>
      <w:bookmarkEnd w:id="2019"/>
    </w:p>
    <w:p>
      <w:pPr>
        <w:rPr>
          <w:rFonts w:ascii="宋体" w:hAnsi="宋体" w:eastAsia="宋体" w:cs="宋体"/>
          <w:color w:val="auto"/>
          <w:sz w:val="24"/>
          <w:highlight w:val="none"/>
        </w:rPr>
      </w:pPr>
    </w:p>
    <w:p>
      <w:pPr>
        <w:spacing w:line="360" w:lineRule="auto"/>
        <w:rPr>
          <w:rFonts w:ascii="宋体" w:hAnsi="宋体" w:eastAsia="宋体" w:cs="宋体"/>
          <w:color w:val="auto"/>
          <w:highlight w:val="none"/>
        </w:rPr>
      </w:pPr>
    </w:p>
    <w:p>
      <w:pPr>
        <w:rPr>
          <w:rFonts w:ascii="宋体" w:hAnsi="宋体" w:eastAsia="宋体" w:cs="宋体"/>
          <w:color w:val="auto"/>
          <w:highlight w:val="none"/>
        </w:rPr>
      </w:pPr>
    </w:p>
    <w:p>
      <w:pPr>
        <w:spacing w:line="360" w:lineRule="auto"/>
        <w:rPr>
          <w:rFonts w:eastAsia="宋体" w:cs="宋体"/>
          <w:color w:val="auto"/>
          <w:highlight w:val="none"/>
        </w:rPr>
        <w:sectPr>
          <w:pgSz w:w="11906" w:h="16838"/>
          <w:pgMar w:top="1440" w:right="1800" w:bottom="1440" w:left="1800" w:header="851" w:footer="992" w:gutter="0"/>
          <w:pgNumType w:fmt="decimal"/>
          <w:cols w:space="425" w:num="1"/>
          <w:docGrid w:type="lines" w:linePitch="312" w:charSpace="0"/>
        </w:sectPr>
      </w:pPr>
    </w:p>
    <w:p>
      <w:pPr>
        <w:keepNext/>
        <w:keepLines/>
        <w:widowControl w:val="0"/>
        <w:bidi w:val="0"/>
        <w:spacing w:before="260" w:after="260" w:line="416" w:lineRule="auto"/>
        <w:jc w:val="both"/>
        <w:outlineLvl w:val="2"/>
        <w:rPr>
          <w:rFonts w:ascii="Arial" w:hAnsi="Arial" w:eastAsia="黑体" w:cs="Times New Roman"/>
          <w:b/>
          <w:bCs/>
          <w:color w:val="auto"/>
          <w:kern w:val="2"/>
          <w:sz w:val="32"/>
          <w:szCs w:val="32"/>
          <w:highlight w:val="none"/>
          <w:lang w:val="en-US" w:eastAsia="zh-CN" w:bidi="ar-SA"/>
        </w:rPr>
      </w:pPr>
      <w:bookmarkStart w:id="2020" w:name="_Toc520811583"/>
      <w:bookmarkStart w:id="2021" w:name="_Toc451"/>
      <w:bookmarkStart w:id="2022" w:name="_Toc2494"/>
      <w:bookmarkStart w:id="2023" w:name="_Toc520811625"/>
      <w:r>
        <w:rPr>
          <w:rFonts w:ascii="Arial" w:hAnsi="Arial" w:eastAsia="黑体" w:cs="Times New Roman"/>
          <w:b/>
          <w:bCs/>
          <w:color w:val="auto"/>
          <w:kern w:val="2"/>
          <w:sz w:val="32"/>
          <w:szCs w:val="32"/>
          <w:highlight w:val="none"/>
          <w:lang w:val="en-US" w:eastAsia="zh-CN" w:bidi="ar-SA"/>
        </w:rPr>
        <w:t xml:space="preserve">6.3 </w:t>
      </w:r>
      <w:r>
        <w:rPr>
          <w:rFonts w:hint="eastAsia" w:ascii="Arial" w:hAnsi="Arial" w:eastAsia="黑体" w:cs="Times New Roman"/>
          <w:b/>
          <w:bCs/>
          <w:color w:val="auto"/>
          <w:kern w:val="2"/>
          <w:sz w:val="32"/>
          <w:szCs w:val="32"/>
          <w:highlight w:val="none"/>
          <w:lang w:val="en-US" w:eastAsia="zh-CN" w:bidi="ar-SA"/>
        </w:rPr>
        <w:t>承诺函（履约保函）格式</w:t>
      </w:r>
      <w:bookmarkEnd w:id="2020"/>
      <w:bookmarkEnd w:id="2021"/>
      <w:bookmarkEnd w:id="2022"/>
      <w:bookmarkEnd w:id="2023"/>
    </w:p>
    <w:p>
      <w:pPr>
        <w:spacing w:line="360" w:lineRule="auto"/>
        <w:rPr>
          <w:rFonts w:ascii="宋体" w:hAnsi="宋体" w:eastAsia="宋体" w:cs="宋体"/>
          <w:color w:val="auto"/>
          <w:sz w:val="24"/>
          <w:highlight w:val="none"/>
        </w:rPr>
      </w:pPr>
    </w:p>
    <w:p>
      <w:pPr>
        <w:spacing w:before="100" w:beforeAutospacing="1" w:after="100" w:afterAutospacing="1" w:line="560" w:lineRule="exact"/>
        <w:jc w:val="center"/>
        <w:rPr>
          <w:rFonts w:ascii="宋体" w:hAnsi="宋体" w:cs="Times New Roman" w:eastAsiaTheme="minorEastAsia"/>
          <w:b/>
          <w:bCs/>
          <w:color w:val="auto"/>
          <w:sz w:val="28"/>
          <w:highlight w:val="none"/>
        </w:rPr>
      </w:pPr>
      <w:r>
        <w:rPr>
          <w:rFonts w:hint="eastAsia" w:ascii="宋体" w:hAnsi="宋体" w:cs="Times New Roman" w:eastAsiaTheme="minorEastAsia"/>
          <w:b/>
          <w:bCs/>
          <w:color w:val="auto"/>
          <w:sz w:val="28"/>
          <w:highlight w:val="none"/>
        </w:rPr>
        <w:t>承诺函（履约保函）</w:t>
      </w:r>
    </w:p>
    <w:p>
      <w:pPr>
        <w:spacing w:line="360" w:lineRule="auto"/>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 xml:space="preserve">  </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w:t>
      </w:r>
    </w:p>
    <w:p>
      <w:pPr>
        <w:spacing w:line="360" w:lineRule="auto"/>
        <w:ind w:firstLine="420" w:firstLineChars="20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u w:val="single"/>
        </w:rPr>
        <w:t>承包人公司名称</w:t>
      </w:r>
      <w:r>
        <w:rPr>
          <w:rFonts w:hint="eastAsia" w:ascii="宋体" w:hAnsi="宋体" w:cs="Times New Roman" w:eastAsiaTheme="minorEastAsia"/>
          <w:color w:val="auto"/>
          <w:szCs w:val="21"/>
          <w:highlight w:val="none"/>
        </w:rPr>
        <w:t>（以下称“本公司”）现已中标贵司招标的</w:t>
      </w:r>
      <w:r>
        <w:rPr>
          <w:rFonts w:hint="eastAsia" w:ascii="宋体" w:hAnsi="宋体" w:cs="Times New Roman" w:eastAsiaTheme="minorEastAsia"/>
          <w:color w:val="auto"/>
          <w:szCs w:val="21"/>
          <w:highlight w:val="none"/>
          <w:u w:val="single"/>
        </w:rPr>
        <w:t>（中标通知书项目名称）</w:t>
      </w:r>
      <w:r>
        <w:rPr>
          <w:rFonts w:hint="eastAsia" w:ascii="宋体" w:hAnsi="宋体" w:cs="Times New Roman" w:eastAsiaTheme="minorEastAsia"/>
          <w:color w:val="auto"/>
          <w:szCs w:val="21"/>
          <w:highlight w:val="none"/>
        </w:rPr>
        <w:t>，并拟签订正式合同。按合同规定，本公司需向贵司提供一份担保金额为人民币</w:t>
      </w:r>
      <w:r>
        <w:rPr>
          <w:rFonts w:hint="eastAsia" w:ascii="宋体" w:hAnsi="宋体" w:cs="Times New Roman" w:eastAsiaTheme="minorEastAsia"/>
          <w:color w:val="auto"/>
          <w:szCs w:val="21"/>
          <w:highlight w:val="none"/>
          <w:u w:val="single"/>
        </w:rPr>
        <w:t>（大</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写）</w:t>
      </w:r>
      <w:r>
        <w:rPr>
          <w:rFonts w:hint="eastAsia" w:ascii="宋体" w:hAnsi="宋体" w:cs="Times New Roman" w:eastAsiaTheme="minorEastAsia"/>
          <w:color w:val="auto"/>
          <w:szCs w:val="21"/>
          <w:highlight w:val="none"/>
        </w:rPr>
        <w:t>元（</w:t>
      </w:r>
      <w:r>
        <w:rPr>
          <w:rFonts w:hint="eastAsia" w:ascii="宋体" w:hAnsi="宋体" w:cs="Times New Roman" w:eastAsiaTheme="minorEastAsia"/>
          <w:color w:val="auto"/>
          <w:szCs w:val="21"/>
          <w:highlight w:val="none"/>
          <w:u w:val="single"/>
        </w:rPr>
        <w:t>￥</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（小</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写）</w:t>
      </w:r>
      <w:r>
        <w:rPr>
          <w:rFonts w:hint="eastAsia" w:ascii="宋体" w:hAnsi="宋体" w:cs="Times New Roman" w:eastAsiaTheme="minorEastAsia"/>
          <w:color w:val="auto"/>
          <w:szCs w:val="21"/>
          <w:highlight w:val="none"/>
        </w:rPr>
        <w:t>）的《履约保函》，有效期至</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 xml:space="preserve">  </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年</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 xml:space="preserve">  </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月</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 xml:space="preserve">   </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日。</w:t>
      </w:r>
    </w:p>
    <w:p>
      <w:pPr>
        <w:spacing w:line="360" w:lineRule="auto"/>
        <w:ind w:firstLine="42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现本公司在</w:t>
      </w:r>
      <w:r>
        <w:rPr>
          <w:rFonts w:hint="eastAsia" w:ascii="宋体" w:hAnsi="宋体" w:cs="Times New Roman" w:eastAsiaTheme="minorEastAsia"/>
          <w:color w:val="auto"/>
          <w:szCs w:val="21"/>
          <w:highlight w:val="none"/>
          <w:u w:val="single"/>
        </w:rPr>
        <w:t>（银行名称）</w:t>
      </w:r>
      <w:r>
        <w:rPr>
          <w:rFonts w:hint="eastAsia" w:ascii="宋体" w:hAnsi="宋体" w:cs="Times New Roman" w:eastAsiaTheme="minorEastAsia"/>
          <w:color w:val="auto"/>
          <w:szCs w:val="21"/>
          <w:highlight w:val="none"/>
        </w:rPr>
        <w:t>已经开具一份以贵司为受益人的《履约保函》，保函编号为</w:t>
      </w:r>
      <w:r>
        <w:rPr>
          <w:rFonts w:hint="eastAsia" w:ascii="宋体" w:hAnsi="宋体" w:cs="Times New Roman" w:eastAsiaTheme="minorEastAsia"/>
          <w:color w:val="auto"/>
          <w:szCs w:val="21"/>
          <w:highlight w:val="none"/>
          <w:u w:val="single"/>
        </w:rPr>
        <w:t>（保函编号）</w:t>
      </w:r>
      <w:r>
        <w:rPr>
          <w:rFonts w:hint="eastAsia" w:ascii="宋体" w:hAnsi="宋体" w:cs="Times New Roman" w:eastAsiaTheme="minorEastAsia"/>
          <w:color w:val="auto"/>
          <w:szCs w:val="21"/>
          <w:highlight w:val="none"/>
        </w:rPr>
        <w:t>，保函有效期至</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 xml:space="preserve">  </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年</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月</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u w:val="single"/>
        </w:rPr>
        <w:t xml:space="preserve">   </w:t>
      </w:r>
      <w:r>
        <w:rPr>
          <w:rFonts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日。</w:t>
      </w:r>
    </w:p>
    <w:p>
      <w:pPr>
        <w:spacing w:line="360" w:lineRule="auto"/>
        <w:ind w:firstLine="42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本公司现向贵司郑重承诺，如上述保函到期日仍未到合同约定的</w:t>
      </w:r>
      <w:r>
        <w:rPr>
          <w:rFonts w:hint="eastAsia" w:ascii="宋体" w:hAnsi="宋体" w:cs="Times New Roman" w:eastAsiaTheme="minorEastAsia"/>
          <w:color w:val="auto"/>
          <w:szCs w:val="21"/>
          <w:highlight w:val="none"/>
          <w:lang w:val="en-US" w:eastAsia="zh-CN"/>
        </w:rPr>
        <w:t>本合同所有单位工程竣工</w:t>
      </w:r>
      <w:r>
        <w:rPr>
          <w:rFonts w:hint="eastAsia" w:ascii="宋体" w:hAnsi="宋体" w:cs="Times New Roman" w:eastAsiaTheme="minorEastAsia"/>
          <w:color w:val="auto"/>
          <w:szCs w:val="21"/>
          <w:highlight w:val="none"/>
        </w:rPr>
        <w:t>验收合格并结算完毕后28天，本公司将在保函到期前</w:t>
      </w:r>
      <w:r>
        <w:rPr>
          <w:rFonts w:ascii="宋体" w:hAnsi="宋体" w:cs="Times New Roman" w:eastAsiaTheme="minorEastAsia"/>
          <w:color w:val="auto"/>
          <w:szCs w:val="21"/>
          <w:highlight w:val="none"/>
        </w:rPr>
        <w:t>15</w:t>
      </w:r>
      <w:r>
        <w:rPr>
          <w:rFonts w:hint="eastAsia" w:ascii="宋体" w:hAnsi="宋体" w:cs="Times New Roman" w:eastAsiaTheme="minorEastAsia"/>
          <w:color w:val="auto"/>
          <w:szCs w:val="21"/>
          <w:highlight w:val="none"/>
        </w:rPr>
        <w:t>天，无条件延长保函有效期至合同规定的有效期期满，具体日期可按届时的工程进度经双方协商后确定。如未及时向贵司提供符合规定的履约保函，我司承担违约责任，甲方可在保函到期前将保函金额转为现金存入履约保证金专户。</w:t>
      </w:r>
    </w:p>
    <w:p>
      <w:pPr>
        <w:spacing w:line="360" w:lineRule="auto"/>
        <w:ind w:firstLine="42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特此承诺。</w:t>
      </w:r>
    </w:p>
    <w:p>
      <w:pPr>
        <w:spacing w:line="360" w:lineRule="auto"/>
        <w:ind w:firstLine="420"/>
        <w:rPr>
          <w:rFonts w:ascii="宋体" w:hAnsi="宋体" w:cs="Times New Roman" w:eastAsiaTheme="minorEastAsia"/>
          <w:color w:val="auto"/>
          <w:szCs w:val="21"/>
          <w:highlight w:val="none"/>
        </w:rPr>
      </w:pPr>
    </w:p>
    <w:p>
      <w:pPr>
        <w:spacing w:line="360" w:lineRule="auto"/>
        <w:ind w:firstLine="420"/>
        <w:rPr>
          <w:rFonts w:ascii="宋体" w:hAnsi="宋体" w:cs="Times New Roman" w:eastAsiaTheme="minorEastAsia"/>
          <w:color w:val="auto"/>
          <w:szCs w:val="21"/>
          <w:highlight w:val="none"/>
        </w:rPr>
      </w:pPr>
      <w:r>
        <w:rPr>
          <w:rFonts w:ascii="宋体" w:hAnsi="宋体" w:cs="Times New Roman" w:eastAsiaTheme="minorEastAsia"/>
          <w:color w:val="auto"/>
          <w:szCs w:val="21"/>
          <w:highlight w:val="none"/>
        </w:rPr>
        <w:t xml:space="preserve">                                                </w:t>
      </w:r>
      <w:r>
        <w:rPr>
          <w:rFonts w:hint="eastAsia" w:ascii="宋体" w:hAnsi="宋体" w:cs="Times New Roman" w:eastAsiaTheme="minorEastAsia"/>
          <w:color w:val="auto"/>
          <w:szCs w:val="21"/>
          <w:highlight w:val="none"/>
        </w:rPr>
        <w:t>公司名称（公章）</w:t>
      </w:r>
    </w:p>
    <w:p>
      <w:pPr>
        <w:spacing w:line="360" w:lineRule="auto"/>
        <w:ind w:firstLine="420" w:firstLineChars="200"/>
        <w:rPr>
          <w:rFonts w:ascii="宋体" w:hAnsi="宋体" w:cs="Times New Roman" w:eastAsiaTheme="minorEastAsia"/>
          <w:b/>
          <w:color w:val="auto"/>
          <w:highlight w:val="none"/>
        </w:rPr>
      </w:pPr>
      <w:r>
        <w:rPr>
          <w:rFonts w:ascii="宋体" w:hAnsi="宋体" w:cs="Times New Roman" w:eastAsiaTheme="minorEastAsia"/>
          <w:color w:val="auto"/>
          <w:szCs w:val="21"/>
          <w:highlight w:val="none"/>
        </w:rPr>
        <w:t xml:space="preserve">                                                       </w:t>
      </w:r>
      <w:r>
        <w:rPr>
          <w:rFonts w:hint="eastAsia" w:ascii="宋体" w:hAnsi="宋体" w:cs="Times New Roman" w:eastAsiaTheme="minorEastAsia"/>
          <w:color w:val="auto"/>
          <w:szCs w:val="21"/>
          <w:highlight w:val="none"/>
        </w:rPr>
        <w:t>日期：   年   月   日</w:t>
      </w:r>
    </w:p>
    <w:p>
      <w:pPr>
        <w:spacing w:line="360" w:lineRule="auto"/>
        <w:ind w:firstLine="420"/>
        <w:rPr>
          <w:rFonts w:ascii="宋体" w:hAnsi="宋体" w:eastAsia="宋体" w:cs="宋体"/>
          <w:color w:val="auto"/>
          <w:sz w:val="24"/>
          <w:highlight w:val="none"/>
        </w:rPr>
      </w:pPr>
    </w:p>
    <w:p>
      <w:pPr>
        <w:rPr>
          <w:rFonts w:hint="eastAsia" w:ascii="宋体" w:hAnsi="宋体" w:cs="Times New Roman" w:eastAsiaTheme="minorEastAsia"/>
          <w:b/>
          <w:bCs/>
          <w:color w:val="auto"/>
          <w:sz w:val="28"/>
          <w:szCs w:val="32"/>
          <w:highlight w:val="none"/>
        </w:rPr>
      </w:pPr>
    </w:p>
    <w:p>
      <w:pPr>
        <w:rPr>
          <w:rFonts w:hint="eastAsia" w:ascii="宋体" w:hAnsi="宋体" w:cs="Times New Roman" w:eastAsiaTheme="minorEastAsia"/>
          <w:b/>
          <w:bCs/>
          <w:color w:val="auto"/>
          <w:sz w:val="28"/>
          <w:szCs w:val="32"/>
          <w:highlight w:val="none"/>
        </w:rPr>
      </w:pPr>
    </w:p>
    <w:p>
      <w:pPr>
        <w:rPr>
          <w:rFonts w:hint="eastAsia" w:ascii="宋体" w:hAnsi="宋体" w:cs="Times New Roman" w:eastAsiaTheme="minorEastAsia"/>
          <w:b/>
          <w:bCs/>
          <w:color w:val="auto"/>
          <w:sz w:val="28"/>
          <w:szCs w:val="32"/>
          <w:highlight w:val="none"/>
        </w:rPr>
      </w:pPr>
    </w:p>
    <w:p>
      <w:pPr>
        <w:rPr>
          <w:rFonts w:hint="eastAsia" w:ascii="宋体" w:hAnsi="宋体" w:cs="Times New Roman" w:eastAsiaTheme="minorEastAsia"/>
          <w:b/>
          <w:bCs/>
          <w:color w:val="auto"/>
          <w:sz w:val="28"/>
          <w:szCs w:val="32"/>
          <w:highlight w:val="none"/>
        </w:rPr>
      </w:pPr>
    </w:p>
    <w:p>
      <w:pPr>
        <w:rPr>
          <w:rFonts w:hint="eastAsia" w:ascii="宋体" w:hAnsi="宋体" w:cs="Times New Roman" w:eastAsiaTheme="minorEastAsia"/>
          <w:b/>
          <w:bCs/>
          <w:color w:val="auto"/>
          <w:sz w:val="28"/>
          <w:szCs w:val="32"/>
          <w:highlight w:val="none"/>
        </w:rPr>
      </w:pPr>
    </w:p>
    <w:p>
      <w:pPr>
        <w:rPr>
          <w:rFonts w:hint="eastAsia" w:ascii="Arial" w:hAnsi="Arial" w:eastAsia="黑体" w:cs="Times New Roman"/>
          <w:b/>
          <w:bCs/>
          <w:color w:val="auto"/>
          <w:kern w:val="2"/>
          <w:sz w:val="32"/>
          <w:szCs w:val="32"/>
          <w:highlight w:val="none"/>
          <w:lang w:val="en-US" w:eastAsia="zh-CN" w:bidi="ar-SA"/>
        </w:rPr>
      </w:pPr>
      <w:bookmarkStart w:id="2024" w:name="_Toc18705"/>
      <w:r>
        <w:rPr>
          <w:rFonts w:hint="eastAsia" w:ascii="Arial" w:hAnsi="Arial" w:eastAsia="黑体" w:cs="Times New Roman"/>
          <w:b/>
          <w:bCs/>
          <w:color w:val="auto"/>
          <w:kern w:val="2"/>
          <w:sz w:val="32"/>
          <w:szCs w:val="32"/>
          <w:highlight w:val="none"/>
          <w:lang w:val="en-US" w:eastAsia="zh-CN" w:bidi="ar-SA"/>
        </w:rPr>
        <w:br w:type="page"/>
      </w:r>
    </w:p>
    <w:p>
      <w:pPr>
        <w:keepNext/>
        <w:keepLines/>
        <w:widowControl w:val="0"/>
        <w:bidi w:val="0"/>
        <w:spacing w:before="260" w:after="260" w:line="416" w:lineRule="auto"/>
        <w:jc w:val="both"/>
        <w:outlineLvl w:val="2"/>
        <w:rPr>
          <w:rFonts w:ascii="Arial" w:hAnsi="Arial" w:eastAsia="黑体" w:cs="Times New Roman"/>
          <w:b/>
          <w:bCs/>
          <w:color w:val="auto"/>
          <w:kern w:val="2"/>
          <w:sz w:val="32"/>
          <w:szCs w:val="32"/>
          <w:highlight w:val="none"/>
          <w:lang w:val="en-US" w:eastAsia="zh-CN" w:bidi="ar-SA"/>
        </w:rPr>
      </w:pPr>
      <w:r>
        <w:rPr>
          <w:rFonts w:hint="eastAsia" w:ascii="Arial" w:hAnsi="Arial" w:eastAsia="黑体" w:cs="Times New Roman"/>
          <w:b/>
          <w:bCs/>
          <w:color w:val="auto"/>
          <w:kern w:val="2"/>
          <w:sz w:val="32"/>
          <w:szCs w:val="32"/>
          <w:highlight w:val="none"/>
          <w:lang w:val="en-US" w:eastAsia="zh-CN" w:bidi="ar-SA"/>
        </w:rPr>
        <w:t>6.4东莞市城市轨道交通工程项目管理系统使用承诺函</w:t>
      </w:r>
      <w:bookmarkEnd w:id="2024"/>
    </w:p>
    <w:p>
      <w:pPr>
        <w:spacing w:line="360" w:lineRule="auto"/>
        <w:jc w:val="center"/>
        <w:rPr>
          <w:rFonts w:hint="eastAsia" w:ascii="宋体" w:hAnsi="宋体" w:cs="Times New Roman" w:eastAsiaTheme="minorEastAsia"/>
          <w:b/>
          <w:color w:val="auto"/>
          <w:szCs w:val="21"/>
          <w:highlight w:val="none"/>
        </w:rPr>
      </w:pPr>
      <w:bookmarkStart w:id="2025" w:name="_Toc16932_WPSOffice_Level2"/>
      <w:bookmarkStart w:id="2026" w:name="_Toc9822_WPSOffice_Level2"/>
      <w:bookmarkStart w:id="2027" w:name="_Toc19739_WPSOffice_Level2"/>
      <w:r>
        <w:rPr>
          <w:rFonts w:hint="eastAsia" w:ascii="宋体" w:hAnsi="宋体" w:cs="Times New Roman" w:eastAsiaTheme="minorEastAsia"/>
          <w:b/>
          <w:color w:val="auto"/>
          <w:szCs w:val="21"/>
          <w:highlight w:val="none"/>
        </w:rPr>
        <w:t>东莞市城市轨道交通工程项目管理系统使用承诺函</w:t>
      </w:r>
      <w:bookmarkEnd w:id="2025"/>
      <w:bookmarkEnd w:id="2026"/>
      <w:bookmarkEnd w:id="2027"/>
    </w:p>
    <w:p>
      <w:pPr>
        <w:spacing w:line="360" w:lineRule="auto"/>
        <w:rPr>
          <w:rFonts w:hint="eastAsia" w:ascii="宋体" w:hAnsi="宋体" w:cs="Times New Roman" w:eastAsiaTheme="minorEastAsia"/>
          <w:b/>
          <w:color w:val="auto"/>
          <w:szCs w:val="21"/>
          <w:highlight w:val="none"/>
        </w:rPr>
      </w:pPr>
      <w:r>
        <w:rPr>
          <w:rFonts w:hint="eastAsia" w:ascii="宋体" w:hAnsi="宋体" w:cs="Times New Roman" w:eastAsiaTheme="minorEastAsia"/>
          <w:b/>
          <w:color w:val="auto"/>
          <w:szCs w:val="21"/>
          <w:highlight w:val="none"/>
        </w:rPr>
        <w:t>东莞市轨道交通有限公司：</w:t>
      </w:r>
    </w:p>
    <w:p>
      <w:pPr>
        <w:spacing w:line="360" w:lineRule="auto"/>
        <w:ind w:firstLine="420" w:firstLineChars="200"/>
        <w:rPr>
          <w:rFonts w:hint="eastAsia" w:ascii="宋体" w:hAnsi="宋体" w:cs="Times New Roman" w:eastAsiaTheme="minorEastAsia"/>
          <w:color w:val="auto"/>
          <w:szCs w:val="21"/>
          <w:highlight w:val="none"/>
        </w:rPr>
      </w:pP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作为贵司</w:t>
      </w:r>
      <w:r>
        <w:rPr>
          <w:rFonts w:hint="eastAsia" w:ascii="宋体" w:hAnsi="宋体" w:cs="Times New Roman" w:eastAsiaTheme="minorEastAsia"/>
          <w:color w:val="auto"/>
          <w:spacing w:val="20"/>
          <w:szCs w:val="21"/>
          <w:highlight w:val="none"/>
          <w:u w:val="single"/>
          <w:lang w:val="en-US" w:eastAsia="zh-CN"/>
        </w:rPr>
        <w:t xml:space="preserve">                            </w:t>
      </w:r>
      <w:r>
        <w:rPr>
          <w:rFonts w:hint="eastAsia" w:ascii="宋体" w:hAnsi="宋体" w:cs="Times New Roman" w:eastAsiaTheme="minorEastAsia"/>
          <w:color w:val="auto"/>
          <w:spacing w:val="20"/>
          <w:szCs w:val="21"/>
          <w:highlight w:val="none"/>
        </w:rPr>
        <w:t>工程的中标人，为了贯彻贵司“规范化、标准化、精细化、信息化”管理要求，保证该工程的顺利推进，我司郑重作出如下承诺：</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一、我司自愿申请使用东莞市轨道交通工程项目管理系统（以下简称“平台”）。</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二、在工程开工前，参考以下标准配置使用平台的必要资源，并承担因此发生的所有费用。</w:t>
      </w:r>
    </w:p>
    <w:p>
      <w:pPr>
        <w:spacing w:line="360" w:lineRule="auto"/>
        <w:ind w:firstLine="500" w:firstLineChars="200"/>
        <w:rPr>
          <w:rFonts w:hint="eastAsia" w:ascii="宋体" w:hAnsi="宋体" w:cs="Times New Roman" w:eastAsiaTheme="minorEastAsia"/>
          <w:color w:val="auto"/>
          <w:spacing w:val="20"/>
          <w:szCs w:val="21"/>
          <w:highlight w:val="none"/>
        </w:rPr>
      </w:pPr>
      <w:bookmarkStart w:id="2028" w:name="_Toc4766_WPSOffice_Level2"/>
      <w:bookmarkStart w:id="2029" w:name="_Toc6493_WPSOffice_Level2"/>
      <w:bookmarkStart w:id="2030" w:name="_Toc7158_WPSOffice_Level2"/>
      <w:r>
        <w:rPr>
          <w:rFonts w:hint="eastAsia" w:ascii="宋体" w:hAnsi="宋体" w:cs="Times New Roman" w:eastAsiaTheme="minorEastAsia"/>
          <w:color w:val="auto"/>
          <w:spacing w:val="20"/>
          <w:szCs w:val="21"/>
          <w:highlight w:val="none"/>
        </w:rPr>
        <w:t>（一）配备专职信息化管理员：</w:t>
      </w:r>
      <w:bookmarkEnd w:id="2028"/>
      <w:bookmarkEnd w:id="2029"/>
      <w:bookmarkEnd w:id="2030"/>
    </w:p>
    <w:p>
      <w:pPr>
        <w:spacing w:line="360" w:lineRule="auto"/>
        <w:ind w:firstLine="500" w:firstLineChars="200"/>
        <w:outlineLvl w:val="9"/>
        <w:rPr>
          <w:rFonts w:hint="eastAsia" w:ascii="宋体" w:hAnsi="宋体" w:eastAsia="宋体" w:cs="Times New Roman"/>
          <w:color w:val="auto"/>
          <w:spacing w:val="20"/>
          <w:szCs w:val="21"/>
          <w:highlight w:val="none"/>
        </w:rPr>
      </w:pPr>
      <w:bookmarkStart w:id="2031" w:name="_Toc139"/>
      <w:r>
        <w:rPr>
          <w:rFonts w:hint="eastAsia" w:ascii="宋体" w:hAnsi="宋体" w:eastAsia="宋体" w:cs="Times New Roman"/>
          <w:color w:val="auto"/>
          <w:spacing w:val="20"/>
          <w:szCs w:val="21"/>
          <w:highlight w:val="none"/>
          <w:lang w:val="en-US" w:eastAsia="zh-CN"/>
        </w:rPr>
        <w:t>1.</w:t>
      </w:r>
      <w:r>
        <w:rPr>
          <w:rFonts w:hint="eastAsia" w:ascii="宋体" w:hAnsi="宋体" w:eastAsia="宋体" w:cs="Times New Roman"/>
          <w:color w:val="auto"/>
          <w:spacing w:val="20"/>
          <w:szCs w:val="21"/>
          <w:highlight w:val="none"/>
        </w:rPr>
        <w:t>工程管理、信息管理、软件工程等专业大学本科及以上学历。</w:t>
      </w:r>
      <w:bookmarkEnd w:id="2031"/>
    </w:p>
    <w:p>
      <w:pPr>
        <w:spacing w:line="360" w:lineRule="auto"/>
        <w:ind w:firstLine="500" w:firstLineChars="200"/>
        <w:rPr>
          <w:rFonts w:hint="eastAsia" w:ascii="宋体" w:hAnsi="宋体" w:eastAsia="宋体" w:cs="Times New Roman"/>
          <w:color w:val="auto"/>
          <w:spacing w:val="20"/>
          <w:szCs w:val="21"/>
          <w:highlight w:val="none"/>
        </w:rPr>
      </w:pPr>
      <w:r>
        <w:rPr>
          <w:rFonts w:hint="eastAsia" w:ascii="宋体" w:hAnsi="宋体" w:eastAsia="宋体" w:cs="Times New Roman"/>
          <w:color w:val="auto"/>
          <w:spacing w:val="20"/>
          <w:szCs w:val="21"/>
          <w:highlight w:val="none"/>
          <w:lang w:val="en-US" w:eastAsia="zh-CN"/>
        </w:rPr>
        <w:t>2.</w:t>
      </w:r>
      <w:r>
        <w:rPr>
          <w:rFonts w:hint="eastAsia" w:ascii="宋体" w:hAnsi="宋体" w:eastAsia="宋体" w:cs="Times New Roman"/>
          <w:color w:val="auto"/>
          <w:spacing w:val="20"/>
          <w:szCs w:val="21"/>
          <w:highlight w:val="none"/>
        </w:rPr>
        <w:t>熟练使用MS Office等各类办公软件，有工程管理或信息化管理经验。</w:t>
      </w:r>
    </w:p>
    <w:p>
      <w:pPr>
        <w:spacing w:line="360" w:lineRule="auto"/>
        <w:ind w:firstLine="500" w:firstLineChars="200"/>
        <w:outlineLvl w:val="9"/>
        <w:rPr>
          <w:rFonts w:hint="eastAsia" w:ascii="宋体" w:hAnsi="宋体" w:eastAsia="宋体" w:cs="Times New Roman"/>
          <w:color w:val="auto"/>
          <w:spacing w:val="20"/>
          <w:szCs w:val="21"/>
          <w:highlight w:val="none"/>
        </w:rPr>
      </w:pPr>
      <w:bookmarkStart w:id="2032" w:name="_Toc4289"/>
      <w:r>
        <w:rPr>
          <w:rFonts w:hint="eastAsia" w:ascii="宋体" w:hAnsi="宋体" w:eastAsia="宋体" w:cs="Times New Roman"/>
          <w:color w:val="auto"/>
          <w:spacing w:val="20"/>
          <w:szCs w:val="21"/>
          <w:highlight w:val="none"/>
        </w:rPr>
        <w:t>１、扫描仪、打印机、照相机、电脑。</w:t>
      </w:r>
    </w:p>
    <w:p>
      <w:pPr>
        <w:spacing w:line="360" w:lineRule="auto"/>
        <w:ind w:firstLine="500" w:firstLineChars="200"/>
        <w:rPr>
          <w:rFonts w:hint="eastAsia" w:ascii="宋体" w:hAnsi="宋体" w:eastAsia="宋体" w:cs="Times New Roman"/>
          <w:color w:val="auto"/>
          <w:spacing w:val="20"/>
          <w:szCs w:val="21"/>
          <w:highlight w:val="none"/>
        </w:rPr>
      </w:pPr>
      <w:r>
        <w:rPr>
          <w:rFonts w:hint="eastAsia" w:ascii="宋体" w:hAnsi="宋体" w:eastAsia="宋体" w:cs="Times New Roman"/>
          <w:color w:val="auto"/>
          <w:spacing w:val="20"/>
          <w:szCs w:val="21"/>
          <w:highlight w:val="none"/>
        </w:rPr>
        <w:t>２、电脑推荐配置：CPU 主频2GHZ以上、内存4G以上，Windows XP及以上操作系统。</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３、正版应用软件：IE浏览器（推荐使用IE8，1024*768分辨率）；MS Office 2003/2007/2010(Word, Excel,Project Profesional, PPT)；rar、zip等文件解压软件；PDF文件查看软件；设计施工图纸查看软件；杀毒软件等。</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４、在工作现场配置的网络可以访问互联网，保障网络带宽容量，推荐12M或以上。</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三、保证按以下要求使用平台：</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（一）在贵司指定场地使用平台，并自觉接受贵司检查、考核。</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（二）遵纪守法，不利用平台散布违法言论、做危害国家、社会及贵司的行为。</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（三）严格遵守保密规定，不泄露贵司机密，不将平台的操作手册及项目资料传递给第三方。</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（四）不恶意攻击平台的服务器。</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（五）妥善保管个人的帐号和密码，不将帐号和密码告诉他人代替登录平台开展业务工作。</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（六）不破译他人的用户帐号和密码，不使用他人帐号和密码登录平台，私自阅读他人文件。</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（七）不上传带有病毒或与业务无关的电子资料、文档和程序。</w:t>
      </w:r>
    </w:p>
    <w:p>
      <w:pPr>
        <w:widowControl w:val="0"/>
        <w:adjustRightInd w:val="0"/>
        <w:spacing w:line="360" w:lineRule="auto"/>
        <w:ind w:firstLine="500" w:firstLineChars="200"/>
        <w:jc w:val="both"/>
        <w:textAlignment w:val="baseline"/>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（八）关于信息安全，我司承诺做到如下几点：</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四、我司承认贵司的资料为秘密资料。本承诺函中所描述的秘密资料包括由甲方向乙方通过口头、书面、电子或其他方式提供的关于技术和系统安全及其他方面的一切数据、报告、信息、翻译资料、预测和记录。</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五、我司不以任何方式获取与项目或工作无关的贵司信息。</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六、我司同意维护商业秘密资料的保密性，不向任何第三方披露有关信息，除非由于合作的需要在必要的程度上向其法律顾问、会计师及雇员透露。我司同意在披露有关信息前，正式知会第三方法律顾问、会计师和雇员有关信息的机密性以及本承诺函的内容及要求。我司同意商业秘密资料只作为评估及协商双方合作的用途。</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七、我司将采取有效措施，防止与项目无关的雇员或其他人知悉秘密资料，并使接受或使用秘密资料的乙方工作人员按照本承诺函履行保密协议，不泄漏或不正当使用秘密资料。我司对内部违反本承诺函给贵司造成的损失承担连带责任。</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八、为妥善保护秘密资料，我司使用秘密资料完毕，将秘密资料的书面载体（包括复印件、电子数据）悉数归还，或全部销毁。</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九、如果我司根据法律、法规的规定，必须公开本承诺函规定的秘密资料，必须立即以书面形式向贵司告知公开秘密资料的基本情况，并配合贵司做好妥善安排或寻求法律救济。</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十、对于我司在本承诺函生效之前或终止后，通过任何途径知悉或取得的有关贵司的重要信息，在本承诺函生效后，我司参照本承诺函履行相应的保密义务。</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十一、我司在本承诺函中承担的保密义务，不因本承诺函所从属项目的中止或终止而解除，除非贵司书面同意我司免于承担本承诺函约定的保密义务。</w:t>
      </w:r>
    </w:p>
    <w:p>
      <w:pPr>
        <w:widowControl w:val="0"/>
        <w:numPr>
          <w:ilvl w:val="0"/>
          <w:numId w:val="0"/>
        </w:numPr>
        <w:adjustRightInd/>
        <w:spacing w:line="360" w:lineRule="auto"/>
        <w:ind w:left="0" w:firstLine="500" w:firstLineChars="200"/>
        <w:jc w:val="both"/>
        <w:textAlignment w:val="auto"/>
        <w:rPr>
          <w:rFonts w:hint="eastAsia" w:ascii="宋体" w:hAnsi="宋体" w:cs="Times New Roman" w:eastAsiaTheme="minorEastAsia"/>
          <w:color w:val="auto"/>
          <w:spacing w:val="20"/>
          <w:kern w:val="2"/>
          <w:sz w:val="21"/>
          <w:szCs w:val="21"/>
          <w:highlight w:val="none"/>
          <w:lang w:val="en-US" w:eastAsia="zh-CN" w:bidi="ar-SA"/>
        </w:rPr>
      </w:pPr>
      <w:r>
        <w:rPr>
          <w:rFonts w:hint="eastAsia" w:ascii="宋体" w:hAnsi="宋体" w:cs="Times New Roman" w:eastAsiaTheme="minorEastAsia"/>
          <w:color w:val="auto"/>
          <w:spacing w:val="20"/>
          <w:kern w:val="2"/>
          <w:sz w:val="21"/>
          <w:szCs w:val="21"/>
          <w:highlight w:val="none"/>
          <w:lang w:val="en-US" w:eastAsia="zh-CN" w:bidi="ar-SA"/>
        </w:rPr>
        <w:t>十二、涉及的贵司相关秘密资料包括以下内容：</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机构设置、人员名单、运行机置、专利技术、项目合同、项目文档、工程文档、资金收支、系统网络架构、数据和安全架构、账号密码。</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计算机及其它辅助产品、安全产品的型号、数量、配置、运行状态等资料。</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应用系统名称、功能、业务类型、交易量、交易特征等信息。</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现有网络拓扑结构及其相关资料。</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业务流程、逻辑流程等资料。</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计算机系统的漏洞信息。</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现有安全机制及安全系统。</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与其它公司的合作信息、合同。</w:t>
      </w:r>
    </w:p>
    <w:p>
      <w:pPr>
        <w:numPr>
          <w:ilvl w:val="0"/>
          <w:numId w:val="5"/>
        </w:numPr>
        <w:tabs>
          <w:tab w:val="left" w:pos="660"/>
          <w:tab w:val="clear" w:pos="1080"/>
        </w:tabs>
        <w:spacing w:line="360" w:lineRule="auto"/>
        <w:ind w:left="0" w:leftChars="0"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其他需要保密的信息资料。</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lang w:val="en-US" w:eastAsia="zh-CN"/>
        </w:rPr>
        <w:t>十三</w:t>
      </w:r>
      <w:r>
        <w:rPr>
          <w:rFonts w:hint="eastAsia" w:ascii="宋体" w:hAnsi="宋体" w:cs="Times New Roman" w:eastAsiaTheme="minorEastAsia"/>
          <w:color w:val="auto"/>
          <w:spacing w:val="20"/>
          <w:szCs w:val="21"/>
          <w:highlight w:val="none"/>
        </w:rPr>
        <w:t>、如有违反上述第三条的相关规定，我司愿意接受以下处罚并承担由此带来的法律后果：每发现一次，扣罚2万元整</w:t>
      </w:r>
      <w:r>
        <w:rPr>
          <w:rFonts w:hint="eastAsia" w:ascii="宋体" w:hAnsi="宋体" w:cs="Times New Roman" w:eastAsiaTheme="minorEastAsia"/>
          <w:color w:val="auto"/>
          <w:spacing w:val="20"/>
          <w:szCs w:val="21"/>
          <w:highlight w:val="none"/>
          <w:lang w:val="en-US" w:eastAsia="zh-CN"/>
        </w:rPr>
        <w:t>违约金</w:t>
      </w:r>
      <w:r>
        <w:rPr>
          <w:rFonts w:hint="eastAsia" w:ascii="宋体" w:hAnsi="宋体" w:cs="Times New Roman" w:eastAsiaTheme="minorEastAsia"/>
          <w:color w:val="auto"/>
          <w:spacing w:val="20"/>
          <w:szCs w:val="21"/>
          <w:highlight w:val="none"/>
        </w:rPr>
        <w:t>。”</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lang w:val="en-US" w:eastAsia="zh-CN"/>
        </w:rPr>
        <w:t>十四</w:t>
      </w:r>
      <w:r>
        <w:rPr>
          <w:rFonts w:hint="eastAsia" w:ascii="宋体" w:hAnsi="宋体" w:cs="Times New Roman" w:eastAsiaTheme="minorEastAsia"/>
          <w:color w:val="auto"/>
          <w:spacing w:val="20"/>
          <w:szCs w:val="21"/>
          <w:highlight w:val="none"/>
        </w:rPr>
        <w:t>、保证按以下要求组织、参与平台使用培训</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（一）根据贵司要求，组织工程管理有关人员参加贵司免费提供的平台使用培训，并督促参加人员认真学习；</w:t>
      </w:r>
    </w:p>
    <w:p>
      <w:pPr>
        <w:spacing w:line="360" w:lineRule="auto"/>
        <w:ind w:firstLine="500" w:firstLineChars="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（二）为确保我司人员具备使用平台的能力，在发生我司更换人员等情况时，我司自费聘请讲师进行培训。</w:t>
      </w:r>
    </w:p>
    <w:p>
      <w:pPr>
        <w:spacing w:line="360" w:lineRule="auto"/>
        <w:rPr>
          <w:rFonts w:hint="eastAsia" w:ascii="宋体" w:hAnsi="宋体" w:cs="Times New Roman" w:eastAsiaTheme="minorEastAsia"/>
          <w:color w:val="auto"/>
          <w:spacing w:val="20"/>
          <w:szCs w:val="21"/>
          <w:highlight w:val="none"/>
        </w:rPr>
      </w:pPr>
    </w:p>
    <w:p>
      <w:pPr>
        <w:spacing w:line="360" w:lineRule="auto"/>
        <w:ind w:firstLine="750" w:firstLineChars="3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特此承诺！</w:t>
      </w:r>
    </w:p>
    <w:p>
      <w:pPr>
        <w:spacing w:line="360" w:lineRule="auto"/>
        <w:ind w:firstLine="2750" w:firstLineChars="1100"/>
        <w:rPr>
          <w:rFonts w:hint="eastAsia" w:ascii="宋体" w:hAnsi="宋体" w:cs="Times New Roman" w:eastAsiaTheme="minorEastAsia"/>
          <w:color w:val="auto"/>
          <w:spacing w:val="20"/>
          <w:szCs w:val="21"/>
          <w:highlight w:val="none"/>
        </w:rPr>
      </w:pPr>
    </w:p>
    <w:p>
      <w:pPr>
        <w:spacing w:line="360" w:lineRule="auto"/>
        <w:ind w:firstLine="3000" w:firstLineChars="12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承诺企业（盖章）：</w:t>
      </w:r>
    </w:p>
    <w:p>
      <w:pPr>
        <w:spacing w:line="360" w:lineRule="auto"/>
        <w:ind w:firstLine="2750" w:firstLineChars="1100"/>
        <w:rPr>
          <w:rFonts w:hint="eastAsia" w:ascii="宋体" w:hAnsi="宋体" w:cs="Times New Roman" w:eastAsiaTheme="minorEastAsia"/>
          <w:color w:val="auto"/>
          <w:spacing w:val="20"/>
          <w:szCs w:val="21"/>
          <w:highlight w:val="none"/>
        </w:rPr>
      </w:pPr>
    </w:p>
    <w:p>
      <w:pPr>
        <w:spacing w:line="360" w:lineRule="auto"/>
        <w:ind w:firstLine="3250" w:firstLineChars="13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 xml:space="preserve">法定代表人签字： </w:t>
      </w:r>
    </w:p>
    <w:p>
      <w:pPr>
        <w:spacing w:line="360" w:lineRule="auto"/>
        <w:ind w:firstLine="2500" w:firstLineChars="1000"/>
        <w:rPr>
          <w:rFonts w:hint="eastAsia" w:ascii="宋体" w:hAnsi="宋体" w:cs="Times New Roman" w:eastAsiaTheme="minorEastAsia"/>
          <w:color w:val="auto"/>
          <w:spacing w:val="20"/>
          <w:szCs w:val="21"/>
          <w:highlight w:val="none"/>
        </w:rPr>
      </w:pPr>
    </w:p>
    <w:p>
      <w:pPr>
        <w:spacing w:line="360" w:lineRule="auto"/>
        <w:ind w:firstLine="2500" w:firstLineChars="1000"/>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（或）授权代表人签字：</w:t>
      </w:r>
    </w:p>
    <w:p>
      <w:pPr>
        <w:spacing w:line="360" w:lineRule="auto"/>
        <w:jc w:val="center"/>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rPr>
        <w:t xml:space="preserve">   </w:t>
      </w:r>
    </w:p>
    <w:p>
      <w:pPr>
        <w:spacing w:line="360" w:lineRule="auto"/>
        <w:jc w:val="center"/>
        <w:rPr>
          <w:rFonts w:hint="eastAsia" w:ascii="宋体" w:hAnsi="宋体" w:cs="Times New Roman" w:eastAsiaTheme="minorEastAsia"/>
          <w:color w:val="auto"/>
          <w:spacing w:val="20"/>
          <w:szCs w:val="21"/>
          <w:highlight w:val="none"/>
        </w:rPr>
      </w:pPr>
      <w:r>
        <w:rPr>
          <w:rFonts w:hint="eastAsia" w:ascii="宋体" w:hAnsi="宋体" w:cs="Times New Roman" w:eastAsiaTheme="minorEastAsia"/>
          <w:color w:val="auto"/>
          <w:spacing w:val="20"/>
          <w:szCs w:val="21"/>
          <w:highlight w:val="none"/>
          <w:lang w:val="en-US" w:eastAsia="zh-CN"/>
        </w:rPr>
        <w:t xml:space="preserve">                      </w:t>
      </w:r>
      <w:r>
        <w:rPr>
          <w:rFonts w:hint="eastAsia" w:ascii="宋体" w:hAnsi="宋体" w:cs="Times New Roman" w:eastAsiaTheme="minorEastAsia"/>
          <w:color w:val="auto"/>
          <w:spacing w:val="20"/>
          <w:szCs w:val="21"/>
          <w:highlight w:val="none"/>
        </w:rPr>
        <w:t xml:space="preserve"> 日    期：   年   月  日</w:t>
      </w:r>
    </w:p>
    <w:p>
      <w:pPr>
        <w:spacing w:line="360" w:lineRule="auto"/>
        <w:rPr>
          <w:rFonts w:ascii="宋体" w:hAnsi="宋体" w:cs="Times New Roman" w:eastAsiaTheme="minorEastAsia"/>
          <w:color w:val="auto"/>
          <w:szCs w:val="21"/>
          <w:highlight w:val="none"/>
        </w:rPr>
      </w:pPr>
    </w:p>
    <w:p>
      <w:pPr>
        <w:keepNext/>
        <w:keepLines/>
        <w:widowControl w:val="0"/>
        <w:bidi w:val="0"/>
        <w:spacing w:before="260" w:after="260" w:line="416" w:lineRule="auto"/>
        <w:jc w:val="both"/>
        <w:outlineLvl w:val="2"/>
        <w:rPr>
          <w:rFonts w:ascii="Arial" w:hAnsi="Arial" w:eastAsia="宋体" w:cs="宋体"/>
          <w:b/>
          <w:bCs/>
          <w:color w:val="auto"/>
          <w:kern w:val="2"/>
          <w:sz w:val="32"/>
          <w:szCs w:val="32"/>
          <w:highlight w:val="none"/>
          <w:lang w:val="en-US" w:eastAsia="zh-CN" w:bidi="ar-SA"/>
        </w:rPr>
      </w:pPr>
      <w:r>
        <w:rPr>
          <w:rFonts w:ascii="宋体" w:hAnsi="宋体" w:eastAsia="黑体" w:cs="Times New Roman"/>
          <w:b/>
          <w:bCs/>
          <w:color w:val="auto"/>
          <w:kern w:val="2"/>
          <w:sz w:val="21"/>
          <w:szCs w:val="21"/>
          <w:highlight w:val="none"/>
          <w:lang w:val="en-US" w:eastAsia="zh-CN" w:bidi="ar-SA"/>
        </w:rPr>
        <w:br w:type="page"/>
      </w:r>
      <w:bookmarkEnd w:id="2032"/>
      <w:bookmarkStart w:id="2033" w:name="_Toc13181"/>
      <w:r>
        <w:rPr>
          <w:rFonts w:hint="eastAsia" w:ascii="黑体" w:hAnsi="黑体" w:eastAsia="黑体" w:cs="黑体"/>
          <w:b/>
          <w:bCs/>
          <w:color w:val="auto"/>
          <w:kern w:val="2"/>
          <w:sz w:val="32"/>
          <w:szCs w:val="32"/>
          <w:highlight w:val="none"/>
          <w:lang w:val="en-US" w:eastAsia="zh-CN" w:bidi="ar-SA"/>
        </w:rPr>
        <w:t>6.5《廉洁协议》</w:t>
      </w:r>
      <w:bookmarkEnd w:id="2033"/>
    </w:p>
    <w:p>
      <w:pPr>
        <w:snapToGrid w:val="0"/>
        <w:jc w:val="center"/>
        <w:rPr>
          <w:rFonts w:ascii="宋体" w:hAnsi="宋体" w:cs="Times New Roman" w:eastAsiaTheme="minorEastAsia"/>
          <w:b/>
          <w:bCs/>
          <w:color w:val="auto"/>
          <w:szCs w:val="21"/>
          <w:highlight w:val="none"/>
        </w:rPr>
      </w:pPr>
      <w:bookmarkStart w:id="2034" w:name="_Toc31489_WPSOffice_Level2"/>
      <w:bookmarkStart w:id="2035" w:name="_Toc29277_WPSOffice_Level2"/>
      <w:bookmarkStart w:id="2036" w:name="_Toc23443_WPSOffice_Level2"/>
      <w:r>
        <w:rPr>
          <w:rFonts w:hint="eastAsia" w:ascii="宋体" w:hAnsi="宋体" w:cs="Times New Roman" w:eastAsiaTheme="minorEastAsia"/>
          <w:b/>
          <w:bCs/>
          <w:color w:val="auto"/>
          <w:szCs w:val="21"/>
          <w:highlight w:val="none"/>
        </w:rPr>
        <w:t>廉</w:t>
      </w:r>
      <w:r>
        <w:rPr>
          <w:rFonts w:ascii="宋体" w:hAnsi="宋体" w:cs="Times New Roman" w:eastAsiaTheme="minorEastAsia"/>
          <w:b/>
          <w:bCs/>
          <w:color w:val="auto"/>
          <w:szCs w:val="21"/>
          <w:highlight w:val="none"/>
        </w:rPr>
        <w:t xml:space="preserve"> </w:t>
      </w:r>
      <w:r>
        <w:rPr>
          <w:rFonts w:hint="eastAsia" w:ascii="宋体" w:hAnsi="宋体" w:cs="Times New Roman" w:eastAsiaTheme="minorEastAsia"/>
          <w:b/>
          <w:bCs/>
          <w:color w:val="auto"/>
          <w:szCs w:val="21"/>
          <w:highlight w:val="none"/>
        </w:rPr>
        <w:t>洁</w:t>
      </w:r>
      <w:r>
        <w:rPr>
          <w:rFonts w:ascii="宋体" w:hAnsi="宋体" w:cs="Times New Roman" w:eastAsiaTheme="minorEastAsia"/>
          <w:b/>
          <w:bCs/>
          <w:color w:val="auto"/>
          <w:szCs w:val="21"/>
          <w:highlight w:val="none"/>
        </w:rPr>
        <w:t xml:space="preserve"> </w:t>
      </w:r>
      <w:r>
        <w:rPr>
          <w:rFonts w:hint="eastAsia" w:ascii="宋体" w:hAnsi="宋体" w:cs="Times New Roman" w:eastAsiaTheme="minorEastAsia"/>
          <w:b/>
          <w:bCs/>
          <w:color w:val="auto"/>
          <w:szCs w:val="21"/>
          <w:highlight w:val="none"/>
        </w:rPr>
        <w:t>协</w:t>
      </w:r>
      <w:r>
        <w:rPr>
          <w:rFonts w:ascii="宋体" w:hAnsi="宋体" w:cs="Times New Roman" w:eastAsiaTheme="minorEastAsia"/>
          <w:b/>
          <w:bCs/>
          <w:color w:val="auto"/>
          <w:szCs w:val="21"/>
          <w:highlight w:val="none"/>
        </w:rPr>
        <w:t xml:space="preserve"> </w:t>
      </w:r>
      <w:r>
        <w:rPr>
          <w:rFonts w:hint="eastAsia" w:ascii="宋体" w:hAnsi="宋体" w:cs="Times New Roman" w:eastAsiaTheme="minorEastAsia"/>
          <w:b/>
          <w:bCs/>
          <w:color w:val="auto"/>
          <w:szCs w:val="21"/>
          <w:highlight w:val="none"/>
        </w:rPr>
        <w:t>议</w:t>
      </w:r>
      <w:bookmarkEnd w:id="2034"/>
      <w:bookmarkEnd w:id="2035"/>
      <w:bookmarkEnd w:id="2036"/>
    </w:p>
    <w:p>
      <w:pPr>
        <w:snapToGrid w:val="0"/>
        <w:ind w:firstLine="270" w:firstLineChars="128"/>
        <w:jc w:val="center"/>
        <w:rPr>
          <w:rFonts w:ascii="宋体" w:hAnsi="宋体" w:cs="Times New Roman" w:eastAsiaTheme="minorEastAsia"/>
          <w:b/>
          <w:bCs/>
          <w:color w:val="auto"/>
          <w:szCs w:val="21"/>
          <w:highlight w:val="none"/>
        </w:rPr>
      </w:pP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为促进双方诚信经营、廉洁从业，防范商业贿赂，保护国家、集体和当事人的合法权益，根据国家有关法律法规和广东省、东莞市廉政建设的规定，</w:t>
      </w:r>
      <w:r>
        <w:rPr>
          <w:rFonts w:hint="eastAsia" w:ascii="宋体" w:hAnsi="宋体" w:cs="Times New Roman" w:eastAsiaTheme="minorEastAsia"/>
          <w:color w:val="auto"/>
          <w:szCs w:val="21"/>
          <w:highlight w:val="none"/>
          <w:u w:val="single"/>
        </w:rPr>
        <w:t>东莞市轨道交通有限公司</w:t>
      </w:r>
      <w:r>
        <w:rPr>
          <w:rFonts w:hint="eastAsia" w:ascii="宋体" w:hAnsi="宋体" w:cs="Times New Roman" w:eastAsiaTheme="minorEastAsia"/>
          <w:color w:val="auto"/>
          <w:szCs w:val="21"/>
          <w:highlight w:val="none"/>
        </w:rPr>
        <w:t> (以下称</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)与</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(以下称</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)，特此订立本协议共同遵照执行。</w:t>
      </w:r>
    </w:p>
    <w:p>
      <w:pPr>
        <w:snapToGrid w:val="0"/>
        <w:spacing w:line="360" w:lineRule="auto"/>
        <w:ind w:firstLine="424" w:firstLineChars="201"/>
        <w:rPr>
          <w:rFonts w:ascii="宋体" w:hAnsi="宋体" w:cs="Times New Roman" w:eastAsiaTheme="minorEastAsia"/>
          <w:color w:val="auto"/>
          <w:szCs w:val="21"/>
          <w:highlight w:val="none"/>
        </w:rPr>
      </w:pPr>
      <w:r>
        <w:rPr>
          <w:rFonts w:hint="eastAsia" w:ascii="宋体" w:hAnsi="宋体" w:cs="Times New Roman" w:eastAsiaTheme="minorEastAsia"/>
          <w:b/>
          <w:bCs/>
          <w:color w:val="auto"/>
          <w:szCs w:val="21"/>
          <w:highlight w:val="none"/>
        </w:rPr>
        <w:t>第一条 甲乙双方的权利和义务</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（二）严格执行</w:t>
      </w:r>
      <w:r>
        <w:rPr>
          <w:rFonts w:hint="eastAsia" w:ascii="宋体" w:hAnsi="宋体" w:cs="Times New Roman" w:eastAsiaTheme="minorEastAsia"/>
          <w:color w:val="auto"/>
          <w:szCs w:val="21"/>
          <w:highlight w:val="none"/>
          <w:u w:val="single"/>
          <w:lang w:val="en-US" w:eastAsia="zh-CN"/>
        </w:rPr>
        <w:t xml:space="preserve">                                       </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合同，自觉履行合同约定的相关义务。</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（三）在业务活动中坚持公开、公正、诚信、透明的原则，不得损害国家、集体利益。</w:t>
      </w:r>
    </w:p>
    <w:p>
      <w:pPr>
        <w:widowControl w:val="0"/>
        <w:snapToGrid w:val="0"/>
        <w:spacing w:after="120" w:line="360" w:lineRule="auto"/>
        <w:ind w:left="0" w:leftChars="0" w:firstLine="424" w:firstLineChars="202"/>
        <w:jc w:val="both"/>
        <w:rPr>
          <w:rFonts w:ascii="宋体" w:hAnsi="宋体" w:cs="Times New Roman" w:eastAsiaTheme="minorEastAsia"/>
          <w:color w:val="auto"/>
          <w:kern w:val="2"/>
          <w:sz w:val="21"/>
          <w:szCs w:val="21"/>
          <w:highlight w:val="none"/>
          <w:lang w:val="en-US" w:eastAsia="zh-CN" w:bidi="ar-SA"/>
        </w:rPr>
      </w:pPr>
      <w:r>
        <w:rPr>
          <w:rFonts w:hint="eastAsia" w:ascii="宋体" w:hAnsi="宋体" w:cs="Times New Roman" w:eastAsiaTheme="minorEastAsia"/>
          <w:color w:val="auto"/>
          <w:kern w:val="2"/>
          <w:sz w:val="21"/>
          <w:szCs w:val="21"/>
          <w:highlight w:val="none"/>
          <w:lang w:val="en-US" w:eastAsia="zh-CN" w:bidi="ar-SA"/>
        </w:rPr>
        <w:t>（四）建立健全廉政制度，开展廉政教育，公布举报电话，监督并认真查处违法违纪行为。</w:t>
      </w:r>
    </w:p>
    <w:p>
      <w:pPr>
        <w:widowControl w:val="0"/>
        <w:snapToGrid w:val="0"/>
        <w:spacing w:after="120" w:line="360" w:lineRule="auto"/>
        <w:ind w:left="0" w:leftChars="0" w:firstLine="422" w:firstLineChars="201"/>
        <w:jc w:val="both"/>
        <w:rPr>
          <w:rFonts w:ascii="宋体" w:hAnsi="宋体" w:cs="Times New Roman" w:eastAsiaTheme="minorEastAsia"/>
          <w:color w:val="auto"/>
          <w:kern w:val="2"/>
          <w:sz w:val="21"/>
          <w:szCs w:val="21"/>
          <w:highlight w:val="none"/>
          <w:lang w:val="en-US" w:eastAsia="zh-CN" w:bidi="ar-SA"/>
        </w:rPr>
      </w:pPr>
      <w:r>
        <w:rPr>
          <w:rFonts w:hint="eastAsia" w:ascii="宋体" w:hAnsi="宋体" w:cs="Times New Roman" w:eastAsiaTheme="minorEastAsia"/>
          <w:bCs/>
          <w:color w:val="auto"/>
          <w:kern w:val="2"/>
          <w:sz w:val="21"/>
          <w:szCs w:val="21"/>
          <w:highlight w:val="none"/>
          <w:lang w:val="en-US" w:eastAsia="zh-CN" w:bidi="ar-SA"/>
        </w:rPr>
        <w:t>（五）发现对方在业务活动中有违反廉政规定的行为，应及时提醒对方纠正。情节严重的，应向其上级有关部门举报，建议给予处理，并有权要求告知处理结果。</w:t>
      </w:r>
    </w:p>
    <w:p>
      <w:pPr>
        <w:snapToGrid w:val="0"/>
        <w:spacing w:line="360" w:lineRule="auto"/>
        <w:ind w:firstLine="424" w:firstLineChars="201"/>
        <w:rPr>
          <w:rFonts w:ascii="宋体" w:hAnsi="宋体" w:cs="Times New Roman" w:eastAsiaTheme="minorEastAsia"/>
          <w:color w:val="auto"/>
          <w:szCs w:val="21"/>
          <w:highlight w:val="none"/>
        </w:rPr>
      </w:pPr>
      <w:r>
        <w:rPr>
          <w:rFonts w:hint="eastAsia" w:ascii="宋体" w:hAnsi="宋体" w:cs="Times New Roman" w:eastAsiaTheme="minorEastAsia"/>
          <w:b/>
          <w:bCs/>
          <w:color w:val="auto"/>
          <w:szCs w:val="21"/>
          <w:highlight w:val="none"/>
        </w:rPr>
        <w:t xml:space="preserve">第二条 </w:t>
      </w:r>
      <w:r>
        <w:rPr>
          <w:rFonts w:hint="eastAsia" w:ascii="宋体" w:hAnsi="宋体" w:cs="Times New Roman" w:eastAsiaTheme="minorEastAsia"/>
          <w:b/>
          <w:bCs/>
          <w:color w:val="auto"/>
          <w:szCs w:val="21"/>
          <w:highlight w:val="none"/>
          <w:lang w:eastAsia="zh-CN"/>
        </w:rPr>
        <w:t>委托人</w:t>
      </w:r>
      <w:r>
        <w:rPr>
          <w:rFonts w:hint="eastAsia" w:ascii="宋体" w:hAnsi="宋体" w:cs="Times New Roman" w:eastAsiaTheme="minorEastAsia"/>
          <w:b/>
          <w:bCs/>
          <w:color w:val="auto"/>
          <w:szCs w:val="21"/>
          <w:highlight w:val="none"/>
        </w:rPr>
        <w:t>的义务</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（一）</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及其工作人员不得索要或接受</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的礼金、有价证券和贵重物品，不得在</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报销任何应由</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或个人支付的费用等。</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（二）</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工作人员不得参加</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安排的可能影响相关业务公开、公正、公平性的宴请和娱乐活动；不得参与任何形式的赌博，并通过赌博方式收受</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财物；不得接受</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提供的通讯工具、交通工具（合同约定除外）和高档办公用品等。</w:t>
      </w:r>
    </w:p>
    <w:p>
      <w:pPr>
        <w:snapToGrid w:val="0"/>
        <w:spacing w:line="360" w:lineRule="auto"/>
        <w:ind w:left="15" w:leftChars="7"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（三）</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及其工作人员不得要求或者接受</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为其住房装修、婚丧嫁娶活动、配偶子女工作安排以及出国出境、旅游等提供方便等。</w:t>
      </w:r>
    </w:p>
    <w:p>
      <w:pPr>
        <w:snapToGrid w:val="0"/>
        <w:spacing w:line="360" w:lineRule="auto"/>
        <w:ind w:left="15" w:leftChars="7"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（四）</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工作人员不得在</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或与</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有股权关联的企业兼职，不得向</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介绍家属或者亲友从事与</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业务有关的经济活动。</w:t>
      </w:r>
    </w:p>
    <w:p>
      <w:pPr>
        <w:snapToGrid w:val="0"/>
        <w:spacing w:line="360" w:lineRule="auto"/>
        <w:ind w:left="15" w:leftChars="7"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（五）</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工作人员不得以明显低于市场的价格向</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购买房屋、汽车等物品；不得以明显高于市场的价格向</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出售房屋、汽车等物品；不得使用</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提供的与工作无关的房屋、汽车等物品；不得以其他交易形式非法收受请托人财物。</w:t>
      </w:r>
    </w:p>
    <w:p>
      <w:pPr>
        <w:snapToGrid w:val="0"/>
        <w:spacing w:line="360" w:lineRule="auto"/>
        <w:ind w:left="15" w:leftChars="7"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（六）</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工作人员不得利用职务之便收受</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以回扣、手续费、加班费、咨询费、劳务费、协调费、辛苦费等各种名义给予或赠送的钱物。</w:t>
      </w:r>
    </w:p>
    <w:p>
      <w:pPr>
        <w:snapToGrid w:val="0"/>
        <w:spacing w:line="360" w:lineRule="auto"/>
        <w:ind w:left="15" w:leftChars="7"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（七）</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工作人员不得接受</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给予或赠送的干股或红利。</w:t>
      </w:r>
    </w:p>
    <w:p>
      <w:pPr>
        <w:snapToGrid w:val="0"/>
        <w:spacing w:line="360" w:lineRule="auto"/>
        <w:ind w:firstLine="424" w:firstLineChars="201"/>
        <w:rPr>
          <w:rFonts w:ascii="宋体" w:hAnsi="宋体" w:cs="Times New Roman" w:eastAsiaTheme="minorEastAsia"/>
          <w:color w:val="auto"/>
          <w:szCs w:val="21"/>
          <w:highlight w:val="none"/>
        </w:rPr>
      </w:pPr>
      <w:r>
        <w:rPr>
          <w:rFonts w:hint="eastAsia" w:ascii="宋体" w:hAnsi="宋体" w:cs="Times New Roman" w:eastAsiaTheme="minorEastAsia"/>
          <w:b/>
          <w:bCs/>
          <w:color w:val="auto"/>
          <w:szCs w:val="21"/>
          <w:highlight w:val="none"/>
        </w:rPr>
        <w:t xml:space="preserve">第三条 </w:t>
      </w:r>
      <w:r>
        <w:rPr>
          <w:rFonts w:hint="eastAsia" w:ascii="宋体" w:hAnsi="宋体" w:cs="Times New Roman" w:eastAsiaTheme="minorEastAsia"/>
          <w:b/>
          <w:bCs/>
          <w:color w:val="auto"/>
          <w:kern w:val="2"/>
          <w:sz w:val="21"/>
          <w:szCs w:val="21"/>
          <w:highlight w:val="none"/>
          <w:lang w:val="en-US" w:eastAsia="zh-CN"/>
        </w:rPr>
        <w:t>集成服务商</w:t>
      </w:r>
      <w:r>
        <w:rPr>
          <w:rFonts w:hint="eastAsia" w:ascii="宋体" w:hAnsi="宋体" w:cs="Times New Roman" w:eastAsiaTheme="minorEastAsia"/>
          <w:b/>
          <w:bCs/>
          <w:color w:val="auto"/>
          <w:szCs w:val="21"/>
          <w:highlight w:val="none"/>
        </w:rPr>
        <w:t>的义务</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（一）</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不得以任何理由向</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及其工作人员行贿或馈赠礼金、有价证券、贵重礼品。</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（二)</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不得以任何名义为</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及其工作人员报销应由</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单位或个人支付的任何费用。</w:t>
      </w:r>
    </w:p>
    <w:p>
      <w:pPr>
        <w:snapToGrid w:val="0"/>
        <w:spacing w:line="360" w:lineRule="auto"/>
        <w:ind w:left="25" w:leftChars="12"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（三）</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不得以任何理由安排</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工作人员参加可能影响相关业务公开、公正、公平性的宴请及娱乐活动。</w:t>
      </w:r>
    </w:p>
    <w:p>
      <w:pPr>
        <w:snapToGrid w:val="0"/>
        <w:spacing w:line="360" w:lineRule="auto"/>
        <w:ind w:left="25" w:leftChars="12"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（四）</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不得为</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单位和个人购置或提供通讯工具和高档办公用品等物品，也不得为</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提供与工作无关的房屋、汽车等。</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（五）</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不得擅自与</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工作人员就合同中的质量、数量、价格、工程量、验收等条款进行私下商谈或者达成默契。</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（六）</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不得以回扣、手续费、加班费、咨询费、劳务费、协调费、辛苦费等各种名义向</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工作人员给予或赠送钱物。</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（七）</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不得向</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工作人员提供干股或红利。</w:t>
      </w:r>
    </w:p>
    <w:p>
      <w:pPr>
        <w:snapToGrid w:val="0"/>
        <w:spacing w:line="360" w:lineRule="auto"/>
        <w:ind w:firstLine="424" w:firstLineChars="201"/>
        <w:rPr>
          <w:rFonts w:ascii="宋体" w:hAnsi="宋体" w:cs="Times New Roman" w:eastAsiaTheme="minorEastAsia"/>
          <w:color w:val="auto"/>
          <w:szCs w:val="21"/>
          <w:highlight w:val="none"/>
        </w:rPr>
      </w:pPr>
      <w:r>
        <w:rPr>
          <w:rFonts w:hint="eastAsia" w:ascii="宋体" w:hAnsi="宋体" w:cs="Times New Roman" w:eastAsiaTheme="minorEastAsia"/>
          <w:b/>
          <w:bCs/>
          <w:color w:val="auto"/>
          <w:szCs w:val="21"/>
          <w:highlight w:val="none"/>
        </w:rPr>
        <w:t>第四条 违约责任</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（一）</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及其工作人员违反本协议第一、二条。</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按管理权限，对相关责任人依据有关规定给予党纪、政纪处分或组织处理；涉嫌犯罪的，移交司法机关追究刑事责任；给</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单位造成经济损失的，应予以赔偿。</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举报投诉联系部门：东莞市轨道交通有限公司</w:t>
      </w:r>
      <w:r>
        <w:rPr>
          <w:rFonts w:hint="eastAsia" w:ascii="宋体" w:hAnsi="宋体" w:cs="Times New Roman" w:eastAsiaTheme="minorEastAsia"/>
          <w:color w:val="auto"/>
          <w:szCs w:val="21"/>
          <w:highlight w:val="none"/>
          <w:lang w:val="en-US" w:eastAsia="zh-CN"/>
        </w:rPr>
        <w:t>纪检</w:t>
      </w:r>
      <w:r>
        <w:rPr>
          <w:rFonts w:hint="eastAsia" w:ascii="宋体" w:hAnsi="宋体" w:cs="Times New Roman" w:eastAsiaTheme="minorEastAsia"/>
          <w:color w:val="auto"/>
          <w:szCs w:val="21"/>
          <w:highlight w:val="none"/>
        </w:rPr>
        <w:t>监察部，联系电话：</w:t>
      </w:r>
      <w:r>
        <w:rPr>
          <w:rFonts w:ascii="宋体" w:hAnsi="宋体" w:cs="Times New Roman" w:eastAsiaTheme="minorEastAsia"/>
          <w:color w:val="auto"/>
          <w:szCs w:val="21"/>
          <w:highlight w:val="none"/>
        </w:rPr>
        <w:t>0769-</w:t>
      </w:r>
      <w:r>
        <w:rPr>
          <w:rFonts w:hint="eastAsia" w:ascii="宋体" w:hAnsi="宋体" w:cs="Times New Roman" w:eastAsiaTheme="minorEastAsia"/>
          <w:color w:val="auto"/>
          <w:szCs w:val="21"/>
          <w:highlight w:val="none"/>
          <w:lang w:val="en-US" w:eastAsia="zh-CN"/>
        </w:rPr>
        <w:t>22210336</w:t>
      </w:r>
      <w:r>
        <w:rPr>
          <w:rFonts w:hint="eastAsia" w:ascii="宋体" w:hAnsi="宋体" w:cs="Times New Roman" w:eastAsiaTheme="minorEastAsia"/>
          <w:color w:val="auto"/>
          <w:szCs w:val="21"/>
          <w:highlight w:val="none"/>
        </w:rPr>
        <w:t>。</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（二）</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及其工作人员违反本协议第一、三条。根据具体情节和造成的后果，</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有权对</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采取以下一种或多种处理办法：</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1、扣除</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 xml:space="preserve">合同履约保证金； </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2、终止双方已签定的所有合同；</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3、追究</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合同其他违约责任；</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4、给予</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一定期限（6个月至2年，具体由我司根据情况而定）不得参与东莞市轨道交通有限公司管辖工程项目投标的处罚。</w:t>
      </w:r>
    </w:p>
    <w:p>
      <w:pPr>
        <w:snapToGrid w:val="0"/>
        <w:spacing w:line="360" w:lineRule="auto"/>
        <w:ind w:firstLine="424" w:firstLineChars="202"/>
        <w:rPr>
          <w:rFonts w:ascii="宋体" w:hAnsi="宋体" w:cs="Times New Roman" w:eastAsiaTheme="minorEastAsia"/>
          <w:color w:val="auto"/>
          <w:szCs w:val="21"/>
          <w:highlight w:val="none"/>
        </w:rPr>
      </w:pP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无条件接受</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处理意见并承担给</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造成的损失，全额返还用不正当手段获取的非法所得，并承担相应的法律责任。</w:t>
      </w:r>
    </w:p>
    <w:p>
      <w:pPr>
        <w:snapToGrid w:val="0"/>
        <w:spacing w:line="360" w:lineRule="auto"/>
        <w:ind w:firstLine="424" w:firstLineChars="201"/>
        <w:rPr>
          <w:rFonts w:ascii="宋体" w:hAnsi="宋体" w:cs="Times New Roman" w:eastAsiaTheme="minorEastAsia"/>
          <w:color w:val="auto"/>
          <w:szCs w:val="21"/>
          <w:highlight w:val="none"/>
        </w:rPr>
      </w:pPr>
      <w:r>
        <w:rPr>
          <w:rFonts w:hint="eastAsia" w:ascii="宋体" w:hAnsi="宋体" w:cs="Times New Roman" w:eastAsiaTheme="minorEastAsia"/>
          <w:b/>
          <w:bCs/>
          <w:color w:val="auto"/>
          <w:szCs w:val="21"/>
          <w:highlight w:val="none"/>
        </w:rPr>
        <w:t xml:space="preserve">第五条 </w:t>
      </w:r>
      <w:r>
        <w:rPr>
          <w:rFonts w:hint="eastAsia" w:ascii="宋体" w:hAnsi="宋体" w:cs="Times New Roman" w:eastAsiaTheme="minorEastAsia"/>
          <w:color w:val="auto"/>
          <w:szCs w:val="21"/>
          <w:highlight w:val="none"/>
        </w:rPr>
        <w:t>本协议由双方或双方上级单位负责监督。可由</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或</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上级单位的纪检监察部门约请</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或</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上级单位的</w:t>
      </w:r>
      <w:r>
        <w:rPr>
          <w:rFonts w:hint="eastAsia" w:ascii="宋体" w:hAnsi="宋体" w:cs="Times New Roman" w:eastAsiaTheme="minorEastAsia"/>
          <w:color w:val="auto"/>
          <w:szCs w:val="21"/>
          <w:highlight w:val="none"/>
          <w:u w:val="single"/>
        </w:rPr>
        <w:t>  </w:t>
      </w:r>
      <w:r>
        <w:rPr>
          <w:rFonts w:hint="eastAsia" w:ascii="宋体" w:hAnsi="宋体" w:cs="Times New Roman" w:eastAsiaTheme="minorEastAsia"/>
          <w:color w:val="auto"/>
          <w:szCs w:val="21"/>
          <w:highlight w:val="none"/>
          <w:u w:val="single"/>
          <w:lang w:val="en-US" w:eastAsia="zh-CN"/>
        </w:rPr>
        <w:t>纪检监察</w:t>
      </w:r>
      <w:r>
        <w:rPr>
          <w:rFonts w:hint="eastAsia" w:ascii="宋体" w:hAnsi="宋体" w:cs="Times New Roman" w:eastAsiaTheme="minorEastAsia"/>
          <w:color w:val="auto"/>
          <w:szCs w:val="21"/>
          <w:highlight w:val="none"/>
          <w:u w:val="single"/>
        </w:rPr>
        <w:t xml:space="preserve">  </w:t>
      </w:r>
      <w:r>
        <w:rPr>
          <w:rFonts w:hint="eastAsia" w:ascii="宋体" w:hAnsi="宋体" w:cs="Times New Roman" w:eastAsiaTheme="minorEastAsia"/>
          <w:color w:val="auto"/>
          <w:szCs w:val="21"/>
          <w:highlight w:val="none"/>
        </w:rPr>
        <w:t>部门对本协议履行情况进行检查。</w:t>
      </w:r>
    </w:p>
    <w:p>
      <w:pPr>
        <w:snapToGrid w:val="0"/>
        <w:spacing w:line="360" w:lineRule="auto"/>
        <w:ind w:firstLine="424" w:firstLineChars="201"/>
        <w:rPr>
          <w:rFonts w:ascii="宋体" w:hAnsi="宋体" w:cs="Times New Roman" w:eastAsiaTheme="minorEastAsia"/>
          <w:color w:val="auto"/>
          <w:szCs w:val="21"/>
          <w:highlight w:val="none"/>
        </w:rPr>
      </w:pPr>
      <w:r>
        <w:rPr>
          <w:rFonts w:hint="eastAsia" w:ascii="宋体" w:hAnsi="宋体" w:cs="Times New Roman" w:eastAsiaTheme="minorEastAsia"/>
          <w:b/>
          <w:bCs/>
          <w:color w:val="auto"/>
          <w:szCs w:val="21"/>
          <w:highlight w:val="none"/>
        </w:rPr>
        <w:t>第六条</w:t>
      </w:r>
      <w:r>
        <w:rPr>
          <w:rFonts w:hint="eastAsia" w:ascii="宋体" w:hAnsi="宋体" w:cs="Times New Roman" w:eastAsiaTheme="minorEastAsia"/>
          <w:color w:val="auto"/>
          <w:szCs w:val="21"/>
          <w:highlight w:val="none"/>
        </w:rPr>
        <w:t xml:space="preserve">  本协议有效期为甲乙双方签署之日起至合同终止。  </w:t>
      </w:r>
    </w:p>
    <w:p>
      <w:pPr>
        <w:snapToGrid w:val="0"/>
        <w:spacing w:line="360" w:lineRule="auto"/>
        <w:ind w:firstLine="424" w:firstLineChars="201"/>
        <w:rPr>
          <w:rFonts w:ascii="宋体" w:hAnsi="宋体" w:cs="Times New Roman" w:eastAsiaTheme="minorEastAsia"/>
          <w:color w:val="auto"/>
          <w:szCs w:val="21"/>
          <w:highlight w:val="none"/>
        </w:rPr>
      </w:pPr>
      <w:r>
        <w:rPr>
          <w:rFonts w:hint="eastAsia" w:ascii="宋体" w:hAnsi="宋体" w:cs="Times New Roman" w:eastAsiaTheme="minorEastAsia"/>
          <w:b/>
          <w:bCs/>
          <w:color w:val="auto"/>
          <w:szCs w:val="21"/>
          <w:highlight w:val="none"/>
        </w:rPr>
        <w:t>第七条</w:t>
      </w:r>
      <w:r>
        <w:rPr>
          <w:rFonts w:hint="eastAsia" w:ascii="宋体" w:hAnsi="宋体" w:cs="Times New Roman" w:eastAsiaTheme="minorEastAsia"/>
          <w:color w:val="auto"/>
          <w:szCs w:val="21"/>
          <w:highlight w:val="none"/>
        </w:rPr>
        <w:t xml:space="preserve">  本协议作为</w:t>
      </w:r>
      <w:r>
        <w:rPr>
          <w:rFonts w:hint="eastAsia" w:ascii="宋体" w:hAnsi="宋体" w:cs="Times New Roman" w:eastAsiaTheme="minorEastAsia"/>
          <w:color w:val="auto"/>
          <w:szCs w:val="21"/>
          <w:highlight w:val="none"/>
          <w:u w:val="single"/>
          <w:lang w:val="en-US" w:eastAsia="zh-CN"/>
        </w:rPr>
        <w:t xml:space="preserve">                    </w:t>
      </w:r>
      <w:r>
        <w:rPr>
          <w:rFonts w:hint="eastAsia" w:ascii="宋体" w:hAnsi="宋体" w:cs="Times New Roman" w:eastAsiaTheme="minorEastAsia"/>
          <w:color w:val="auto"/>
          <w:szCs w:val="21"/>
          <w:highlight w:val="none"/>
        </w:rPr>
        <w:t>合同的附件，并具有同等的法律效力，经合同双方签署立即生效。</w:t>
      </w:r>
    </w:p>
    <w:p>
      <w:pPr>
        <w:snapToGrid w:val="0"/>
        <w:spacing w:line="360" w:lineRule="auto"/>
        <w:ind w:firstLine="424" w:firstLineChars="201"/>
        <w:rPr>
          <w:rFonts w:ascii="宋体" w:hAnsi="宋体" w:cs="Times New Roman" w:eastAsiaTheme="minorEastAsia"/>
          <w:color w:val="auto"/>
          <w:szCs w:val="21"/>
          <w:highlight w:val="none"/>
        </w:rPr>
      </w:pPr>
      <w:r>
        <w:rPr>
          <w:rFonts w:hint="eastAsia" w:ascii="宋体" w:hAnsi="宋体" w:cs="Times New Roman" w:eastAsiaTheme="minorEastAsia"/>
          <w:b/>
          <w:bCs/>
          <w:color w:val="auto"/>
          <w:szCs w:val="21"/>
          <w:highlight w:val="none"/>
        </w:rPr>
        <w:t>第八条</w:t>
      </w:r>
      <w:r>
        <w:rPr>
          <w:rFonts w:hint="eastAsia" w:ascii="宋体" w:hAnsi="宋体" w:cs="Times New Roman" w:eastAsiaTheme="minorEastAsia"/>
          <w:color w:val="auto"/>
          <w:szCs w:val="21"/>
          <w:highlight w:val="none"/>
        </w:rPr>
        <w:t>  本协议一式贰份，由甲乙双方各执壹份，副本一式拾份，</w:t>
      </w: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执陆份，</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执肆份。具有同等法律效力。</w:t>
      </w:r>
    </w:p>
    <w:p>
      <w:pPr>
        <w:snapToGrid w:val="0"/>
        <w:spacing w:line="360" w:lineRule="auto"/>
        <w:ind w:left="7549" w:leftChars="195" w:hanging="7140" w:hangingChars="3400"/>
        <w:rPr>
          <w:rFonts w:hint="eastAsia"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lang w:eastAsia="zh-CN"/>
        </w:rPr>
        <w:t>委托人</w:t>
      </w:r>
      <w:r>
        <w:rPr>
          <w:rFonts w:hint="eastAsia" w:ascii="宋体" w:hAnsi="宋体" w:cs="Times New Roman" w:eastAsiaTheme="minorEastAsia"/>
          <w:color w:val="auto"/>
          <w:szCs w:val="21"/>
          <w:highlight w:val="none"/>
        </w:rPr>
        <w:t>（盖章）：</w:t>
      </w:r>
      <w:r>
        <w:rPr>
          <w:rFonts w:ascii="宋体" w:hAnsi="宋体" w:cs="Times New Roman" w:eastAsiaTheme="minorEastAsia"/>
          <w:color w:val="auto"/>
          <w:szCs w:val="21"/>
          <w:highlight w:val="none"/>
        </w:rPr>
        <w:t>        </w:t>
      </w:r>
      <w:r>
        <w:rPr>
          <w:rFonts w:hint="eastAsia" w:ascii="宋体" w:hAnsi="宋体" w:cs="Times New Roman" w:eastAsiaTheme="minorEastAsia"/>
          <w:color w:val="auto"/>
          <w:szCs w:val="21"/>
          <w:highlight w:val="none"/>
        </w:rPr>
        <w:t xml:space="preserve">         </w:t>
      </w:r>
      <w:r>
        <w:rPr>
          <w:rFonts w:hint="eastAsia" w:ascii="宋体" w:hAnsi="宋体" w:cs="Times New Roman" w:eastAsiaTheme="minorEastAsia"/>
          <w:color w:val="auto"/>
          <w:kern w:val="2"/>
          <w:sz w:val="21"/>
          <w:szCs w:val="21"/>
          <w:highlight w:val="none"/>
          <w:lang w:val="en-US" w:eastAsia="zh-CN"/>
        </w:rPr>
        <w:t>集成服务商</w:t>
      </w:r>
      <w:r>
        <w:rPr>
          <w:rFonts w:hint="eastAsia" w:ascii="宋体" w:hAnsi="宋体" w:cs="Times New Roman" w:eastAsiaTheme="minorEastAsia"/>
          <w:color w:val="auto"/>
          <w:szCs w:val="21"/>
          <w:highlight w:val="none"/>
        </w:rPr>
        <w:t>（盖章）：</w:t>
      </w:r>
    </w:p>
    <w:p>
      <w:pPr>
        <w:snapToGrid w:val="0"/>
        <w:spacing w:line="360" w:lineRule="auto"/>
        <w:ind w:firstLine="420" w:firstLineChars="200"/>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法定代表人签字：</w:t>
      </w:r>
      <w:r>
        <w:rPr>
          <w:rFonts w:ascii="宋体" w:hAnsi="宋体" w:cs="Times New Roman" w:eastAsiaTheme="minorEastAsia"/>
          <w:color w:val="auto"/>
          <w:szCs w:val="21"/>
          <w:highlight w:val="none"/>
        </w:rPr>
        <w:t>           </w:t>
      </w:r>
      <w:r>
        <w:rPr>
          <w:rFonts w:hint="eastAsia" w:ascii="宋体" w:hAnsi="宋体" w:cs="Times New Roman" w:eastAsiaTheme="minorEastAsia"/>
          <w:color w:val="auto"/>
          <w:szCs w:val="21"/>
          <w:highlight w:val="none"/>
        </w:rPr>
        <w:t xml:space="preserve">    法定代表人签字：</w:t>
      </w:r>
    </w:p>
    <w:p>
      <w:pPr>
        <w:snapToGrid w:val="0"/>
        <w:spacing w:line="360" w:lineRule="auto"/>
        <w:rPr>
          <w:rFonts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（或）授权代表签字：</w:t>
      </w:r>
      <w:r>
        <w:rPr>
          <w:rFonts w:ascii="宋体" w:hAnsi="宋体" w:cs="Times New Roman" w:eastAsiaTheme="minorEastAsia"/>
          <w:color w:val="auto"/>
          <w:szCs w:val="21"/>
          <w:highlight w:val="none"/>
        </w:rPr>
        <w:t>          </w:t>
      </w:r>
      <w:r>
        <w:rPr>
          <w:rFonts w:hint="eastAsia" w:ascii="宋体" w:hAnsi="宋体" w:cs="Times New Roman" w:eastAsiaTheme="minorEastAsia"/>
          <w:color w:val="auto"/>
          <w:szCs w:val="21"/>
          <w:highlight w:val="none"/>
        </w:rPr>
        <w:t xml:space="preserve">  （或）授权代表签字：</w:t>
      </w:r>
    </w:p>
    <w:p>
      <w:pPr>
        <w:spacing w:line="360" w:lineRule="auto"/>
        <w:rPr>
          <w:rFonts w:hint="eastAsia" w:ascii="宋体" w:hAnsi="宋体" w:cs="Times New Roman" w:eastAsiaTheme="minorEastAsia"/>
          <w:color w:val="auto"/>
          <w:szCs w:val="21"/>
          <w:highlight w:val="none"/>
        </w:rPr>
      </w:pPr>
    </w:p>
    <w:p>
      <w:pPr>
        <w:spacing w:line="360" w:lineRule="auto"/>
        <w:ind w:firstLine="1050" w:firstLineChars="500"/>
        <w:rPr>
          <w:rFonts w:hint="eastAsia" w:ascii="宋体" w:hAnsi="宋体" w:cs="Times New Roman" w:eastAsiaTheme="minorEastAsia"/>
          <w:color w:val="auto"/>
          <w:szCs w:val="21"/>
          <w:highlight w:val="none"/>
        </w:rPr>
      </w:pPr>
      <w:r>
        <w:rPr>
          <w:rFonts w:hint="eastAsia" w:ascii="宋体" w:hAnsi="宋体" w:cs="Times New Roman" w:eastAsiaTheme="minorEastAsia"/>
          <w:color w:val="auto"/>
          <w:szCs w:val="21"/>
          <w:highlight w:val="none"/>
        </w:rPr>
        <w:t>签字日期</w:t>
      </w:r>
      <w:r>
        <w:rPr>
          <w:rFonts w:hint="eastAsia" w:ascii="宋体" w:hAnsi="宋体" w:cs="Times New Roman" w:eastAsiaTheme="minorEastAsia"/>
          <w:color w:val="auto"/>
          <w:szCs w:val="21"/>
          <w:highlight w:val="none"/>
          <w:lang w:eastAsia="zh-CN"/>
        </w:rPr>
        <w:t>：</w:t>
      </w:r>
      <w:r>
        <w:rPr>
          <w:rFonts w:ascii="宋体" w:hAnsi="宋体" w:cs="Times New Roman" w:eastAsiaTheme="minorEastAsia"/>
          <w:color w:val="auto"/>
          <w:szCs w:val="21"/>
          <w:highlight w:val="none"/>
        </w:rPr>
        <w:t>    </w:t>
      </w:r>
      <w:r>
        <w:rPr>
          <w:rFonts w:hint="eastAsia" w:ascii="宋体" w:hAnsi="宋体" w:cs="Times New Roman" w:eastAsiaTheme="minorEastAsia"/>
          <w:color w:val="auto"/>
          <w:szCs w:val="21"/>
          <w:highlight w:val="none"/>
        </w:rPr>
        <w:t xml:space="preserve"> </w:t>
      </w:r>
      <w:r>
        <w:rPr>
          <w:rFonts w:ascii="宋体" w:hAnsi="宋体" w:cs="Times New Roman" w:eastAsiaTheme="minorEastAsia"/>
          <w:color w:val="auto"/>
          <w:szCs w:val="21"/>
          <w:highlight w:val="none"/>
        </w:rPr>
        <w:t>          </w:t>
      </w:r>
      <w:r>
        <w:rPr>
          <w:rFonts w:hint="eastAsia" w:ascii="宋体" w:hAnsi="宋体" w:cs="Times New Roman" w:eastAsiaTheme="minorEastAsia"/>
          <w:color w:val="auto"/>
          <w:szCs w:val="21"/>
          <w:highlight w:val="none"/>
          <w:lang w:val="en-US" w:eastAsia="zh-CN"/>
        </w:rPr>
        <w:t xml:space="preserve">   </w:t>
      </w:r>
      <w:r>
        <w:rPr>
          <w:rFonts w:hint="eastAsia" w:ascii="宋体" w:hAnsi="宋体" w:cs="Times New Roman" w:eastAsiaTheme="minorEastAsia"/>
          <w:color w:val="auto"/>
          <w:szCs w:val="21"/>
          <w:highlight w:val="none"/>
        </w:rPr>
        <w:t>签字日期：</w:t>
      </w:r>
    </w:p>
    <w:p>
      <w:pPr>
        <w:spacing w:line="360" w:lineRule="auto"/>
        <w:ind w:firstLine="1050" w:firstLineChars="500"/>
        <w:rPr>
          <w:rFonts w:hint="eastAsia" w:ascii="宋体" w:hAnsi="宋体" w:cs="Times New Roman" w:eastAsiaTheme="minorEastAsia"/>
          <w:color w:val="auto"/>
          <w:szCs w:val="21"/>
          <w:highlight w:val="none"/>
        </w:rPr>
      </w:pPr>
    </w:p>
    <w:p>
      <w:pPr>
        <w:spacing w:line="360" w:lineRule="auto"/>
        <w:ind w:firstLine="1050" w:firstLineChars="500"/>
        <w:rPr>
          <w:rFonts w:hint="eastAsia" w:ascii="宋体" w:hAnsi="宋体" w:cs="Times New Roman" w:eastAsiaTheme="minorEastAsia"/>
          <w:color w:val="auto"/>
          <w:szCs w:val="21"/>
          <w:highlight w:val="none"/>
        </w:rPr>
      </w:pPr>
    </w:p>
    <w:p>
      <w:pPr>
        <w:spacing w:line="360" w:lineRule="auto"/>
        <w:ind w:firstLine="1050" w:firstLineChars="500"/>
        <w:rPr>
          <w:rFonts w:hint="eastAsia" w:ascii="宋体" w:hAnsi="宋体" w:cs="Times New Roman" w:eastAsiaTheme="minorEastAsia"/>
          <w:color w:val="auto"/>
          <w:szCs w:val="21"/>
          <w:highlight w:val="none"/>
        </w:rPr>
      </w:pPr>
    </w:p>
    <w:p>
      <w:pPr>
        <w:spacing w:line="360" w:lineRule="auto"/>
        <w:ind w:firstLine="1050" w:firstLineChars="500"/>
        <w:rPr>
          <w:rFonts w:hint="eastAsia" w:ascii="宋体" w:hAnsi="宋体" w:cs="Times New Roman" w:eastAsiaTheme="minorEastAsia"/>
          <w:color w:val="auto"/>
          <w:szCs w:val="21"/>
          <w:highlight w:val="none"/>
        </w:rPr>
      </w:pPr>
    </w:p>
    <w:p>
      <w:pPr>
        <w:spacing w:line="360" w:lineRule="auto"/>
        <w:ind w:firstLine="1050" w:firstLineChars="500"/>
        <w:rPr>
          <w:rFonts w:hint="eastAsia" w:ascii="宋体" w:hAnsi="宋体" w:cs="Times New Roman" w:eastAsiaTheme="minorEastAsia"/>
          <w:color w:val="auto"/>
          <w:szCs w:val="21"/>
          <w:highlight w:val="none"/>
        </w:rPr>
      </w:pPr>
    </w:p>
    <w:p>
      <w:pPr>
        <w:spacing w:line="360" w:lineRule="auto"/>
        <w:ind w:firstLine="1050" w:firstLineChars="500"/>
        <w:rPr>
          <w:rFonts w:hint="eastAsia" w:ascii="宋体" w:hAnsi="宋体" w:cs="Times New Roman" w:eastAsiaTheme="minorEastAsia"/>
          <w:color w:val="auto"/>
          <w:szCs w:val="21"/>
          <w:highlight w:val="none"/>
        </w:rPr>
      </w:pPr>
    </w:p>
    <w:p>
      <w:pPr>
        <w:spacing w:line="360" w:lineRule="auto"/>
        <w:ind w:firstLine="1050" w:firstLineChars="500"/>
        <w:rPr>
          <w:rFonts w:hint="eastAsia" w:ascii="宋体" w:hAnsi="宋体" w:cs="Times New Roman" w:eastAsiaTheme="minorEastAsia"/>
          <w:color w:val="auto"/>
          <w:szCs w:val="21"/>
          <w:highlight w:val="none"/>
        </w:rPr>
      </w:pPr>
    </w:p>
    <w:p>
      <w:pPr>
        <w:spacing w:line="360" w:lineRule="auto"/>
        <w:ind w:firstLine="1050" w:firstLineChars="500"/>
        <w:rPr>
          <w:rFonts w:hint="eastAsia" w:ascii="宋体" w:hAnsi="宋体" w:cs="Times New Roman" w:eastAsiaTheme="minorEastAsia"/>
          <w:color w:val="auto"/>
          <w:szCs w:val="21"/>
          <w:highlight w:val="none"/>
        </w:rPr>
      </w:pPr>
    </w:p>
    <w:p>
      <w:pPr>
        <w:snapToGrid w:val="0"/>
        <w:spacing w:line="360" w:lineRule="auto"/>
        <w:jc w:val="center"/>
        <w:rPr>
          <w:rFonts w:ascii="宋体" w:hAnsi="宋体" w:eastAsia="宋体" w:cs="宋体"/>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both"/>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keepNext/>
        <w:keepLines/>
        <w:widowControl w:val="0"/>
        <w:adjustRightInd w:val="0"/>
        <w:spacing w:before="240" w:after="60" w:line="20" w:lineRule="exact"/>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bookmarkStart w:id="2037" w:name="_Hlt10530673"/>
      <w:bookmarkEnd w:id="2037"/>
      <w:bookmarkStart w:id="2038" w:name="_Hlt20708450"/>
      <w:bookmarkEnd w:id="2038"/>
      <w:bookmarkStart w:id="2039" w:name="_Toc101000634"/>
      <w:bookmarkStart w:id="2040" w:name="_Toc55188094"/>
      <w:bookmarkStart w:id="2041" w:name="_Toc306006782"/>
      <w:bookmarkStart w:id="2042" w:name="_Toc318208978"/>
      <w:bookmarkStart w:id="2043" w:name="_Toc309026497"/>
      <w:bookmarkStart w:id="2044" w:name="_Toc306005082"/>
      <w:bookmarkStart w:id="2045" w:name="_Toc319320669"/>
      <w:bookmarkStart w:id="2046" w:name="_Toc319311229"/>
      <w:bookmarkStart w:id="2047" w:name="_Toc305942099"/>
      <w:bookmarkStart w:id="2048" w:name="_Toc309026891"/>
      <w:bookmarkStart w:id="2049" w:name="_Toc319311403"/>
      <w:bookmarkStart w:id="2050" w:name="_Toc306006288"/>
      <w:bookmarkStart w:id="2051" w:name="_Toc306091618"/>
      <w:bookmarkStart w:id="2052" w:name="_Toc98142506"/>
      <w:bookmarkStart w:id="2053" w:name="_Toc26260"/>
      <w:bookmarkStart w:id="2054" w:name="_Toc2441"/>
      <w:bookmarkStart w:id="2055" w:name="_Toc18459"/>
      <w:bookmarkStart w:id="2056" w:name="_Toc24077"/>
      <w:bookmarkStart w:id="2057" w:name="_Toc321906065"/>
      <w:bookmarkStart w:id="2058" w:name="_Toc306091419"/>
      <w:bookmarkStart w:id="2059" w:name="_Toc319313666"/>
      <w:bookmarkStart w:id="2060" w:name="_Toc306007000"/>
      <w:bookmarkStart w:id="2061" w:name="_Toc103314413"/>
      <w:bookmarkStart w:id="2062" w:name="_Toc14851"/>
      <w:bookmarkStart w:id="2063" w:name="_Toc306007469"/>
      <w:bookmarkStart w:id="2064" w:name="_Toc306004646"/>
      <w:bookmarkStart w:id="2065" w:name="_Toc319312354"/>
      <w:bookmarkStart w:id="2066" w:name="_Toc306007245"/>
      <w:bookmarkStart w:id="2067" w:name="_Toc10205"/>
      <w:bookmarkStart w:id="2068" w:name="_Toc240949692"/>
      <w:bookmarkStart w:id="2069" w:name="_Toc306007688"/>
      <w:r>
        <w:rPr>
          <w:rFonts w:hint="eastAsia" w:ascii="Times New Roman" w:hAnsi="Times New Roman" w:eastAsia="Yu Mincho Light" w:cs="Times New Roman"/>
          <w:color w:val="auto"/>
          <w:kern w:val="24"/>
          <w:sz w:val="28"/>
          <w:szCs w:val="20"/>
          <w:highlight w:val="none"/>
          <w:lang w:val="en-US" w:eastAsia="zh-CN" w:bidi="ar-SA"/>
        </w:rPr>
        <w:t>第七章</w:t>
      </w:r>
      <w:bookmarkEnd w:id="2039"/>
      <w:bookmarkEnd w:id="2040"/>
      <w:r>
        <w:rPr>
          <w:rFonts w:hint="eastAsia" w:ascii="Times New Roman" w:hAnsi="Times New Roman" w:eastAsia="Yu Mincho Light" w:cs="Times New Roman"/>
          <w:color w:val="auto"/>
          <w:kern w:val="24"/>
          <w:sz w:val="28"/>
          <w:szCs w:val="20"/>
          <w:highlight w:val="none"/>
          <w:lang w:val="en-US" w:eastAsia="zh-CN" w:bidi="ar-SA"/>
        </w:rPr>
        <w:t xml:space="preserve">  中标通知书</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highlight w:val="none"/>
        </w:rPr>
      </w:pPr>
    </w:p>
    <w:p>
      <w:pPr>
        <w:rPr>
          <w:rFonts w:ascii="宋体" w:hAnsi="宋体" w:eastAsia="宋体" w:cs="宋体"/>
          <w:color w:val="auto"/>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rPr>
          <w:rFonts w:ascii="宋体" w:hAnsi="宋体" w:eastAsia="宋体" w:cs="宋体"/>
          <w:color w:val="auto"/>
          <w:sz w:val="36"/>
          <w:highlight w:val="none"/>
        </w:rPr>
      </w:pPr>
    </w:p>
    <w:p>
      <w:pPr>
        <w:snapToGrid w:val="0"/>
        <w:spacing w:line="360" w:lineRule="auto"/>
        <w:jc w:val="center"/>
        <w:rPr>
          <w:rFonts w:ascii="宋体" w:hAnsi="宋体" w:eastAsia="宋体" w:cs="宋体"/>
          <w:b/>
          <w:color w:val="auto"/>
          <w:sz w:val="36"/>
          <w:highlight w:val="none"/>
        </w:rPr>
      </w:pPr>
      <w:r>
        <w:rPr>
          <w:rFonts w:ascii="宋体" w:hAnsi="宋体" w:eastAsia="宋体" w:cs="宋体"/>
          <w:color w:val="auto"/>
          <w:sz w:val="36"/>
          <w:highlight w:val="none"/>
        </w:rPr>
        <w:br w:type="page"/>
      </w: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keepNext/>
        <w:keepLines/>
        <w:widowControl w:val="0"/>
        <w:adjustRightInd w:val="0"/>
        <w:spacing w:before="240" w:after="60" w:line="20" w:lineRule="exact"/>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bookmarkStart w:id="2070" w:name="_Toc319311404"/>
      <w:bookmarkStart w:id="2071" w:name="_Toc5200"/>
      <w:bookmarkStart w:id="2072" w:name="_Toc101000635"/>
      <w:bookmarkStart w:id="2073" w:name="_Toc309026498"/>
      <w:bookmarkStart w:id="2074" w:name="_Toc306007001"/>
      <w:bookmarkStart w:id="2075" w:name="_Toc318208979"/>
      <w:bookmarkStart w:id="2076" w:name="_Toc319313667"/>
      <w:bookmarkStart w:id="2077" w:name="_Toc306091619"/>
      <w:bookmarkStart w:id="2078" w:name="_Toc321906066"/>
      <w:bookmarkStart w:id="2079" w:name="_Toc103314414"/>
      <w:bookmarkStart w:id="2080" w:name="_Toc14141"/>
      <w:bookmarkStart w:id="2081" w:name="_Toc306007689"/>
      <w:bookmarkStart w:id="2082" w:name="_Toc29324"/>
      <w:bookmarkStart w:id="2083" w:name="_Toc306007470"/>
      <w:bookmarkStart w:id="2084" w:name="_Toc306006289"/>
      <w:bookmarkStart w:id="2085" w:name="_Toc306005083"/>
      <w:bookmarkStart w:id="2086" w:name="_Toc306006783"/>
      <w:bookmarkStart w:id="2087" w:name="_Toc23683"/>
      <w:bookmarkStart w:id="2088" w:name="_Toc309026892"/>
      <w:bookmarkStart w:id="2089" w:name="_Toc306007246"/>
      <w:bookmarkStart w:id="2090" w:name="_Toc306091420"/>
      <w:bookmarkStart w:id="2091" w:name="_Toc55188095"/>
      <w:bookmarkStart w:id="2092" w:name="_Toc11997"/>
      <w:bookmarkStart w:id="2093" w:name="_Toc240949693"/>
      <w:bookmarkStart w:id="2094" w:name="_Toc319311230"/>
      <w:bookmarkStart w:id="2095" w:name="_Toc319320670"/>
      <w:bookmarkStart w:id="2096" w:name="_Toc319312355"/>
      <w:bookmarkStart w:id="2097" w:name="_Toc305942100"/>
      <w:bookmarkStart w:id="2098" w:name="_Toc98142507"/>
      <w:bookmarkStart w:id="2099" w:name="_Toc16337"/>
      <w:bookmarkStart w:id="2100" w:name="_Toc306004647"/>
      <w:r>
        <w:rPr>
          <w:rFonts w:hint="eastAsia" w:ascii="Times New Roman" w:hAnsi="Times New Roman" w:eastAsia="Yu Mincho Light" w:cs="Times New Roman"/>
          <w:color w:val="auto"/>
          <w:kern w:val="24"/>
          <w:sz w:val="28"/>
          <w:szCs w:val="20"/>
          <w:highlight w:val="none"/>
          <w:lang w:val="en-US" w:eastAsia="zh-CN" w:bidi="ar-SA"/>
        </w:rPr>
        <w:t>第八章</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招标文件及澄清补充文件及其他补充资料</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r>
        <w:rPr>
          <w:rFonts w:hint="eastAsia" w:ascii="宋体" w:hAnsi="宋体" w:eastAsia="宋体" w:cs="宋体"/>
          <w:color w:val="auto"/>
          <w:highlight w:val="none"/>
        </w:rPr>
        <w:t>（本章另册装订）</w:t>
      </w: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r>
        <w:rPr>
          <w:rFonts w:ascii="宋体" w:hAnsi="宋体" w:eastAsia="宋体" w:cs="宋体"/>
          <w:color w:val="auto"/>
          <w:sz w:val="36"/>
          <w:highlight w:val="none"/>
        </w:rPr>
        <w:br w:type="page"/>
      </w: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keepNext/>
        <w:keepLines/>
        <w:widowControl w:val="0"/>
        <w:adjustRightInd w:val="0"/>
        <w:spacing w:before="240" w:after="60" w:line="20" w:lineRule="exact"/>
        <w:jc w:val="center"/>
        <w:textAlignment w:val="baseline"/>
        <w:outlineLvl w:val="1"/>
        <w:rPr>
          <w:rFonts w:ascii="Times New Roman" w:hAnsi="Times New Roman" w:eastAsia="Yu Mincho Light" w:cs="Times New Roman"/>
          <w:color w:val="auto"/>
          <w:kern w:val="24"/>
          <w:sz w:val="28"/>
          <w:szCs w:val="20"/>
          <w:highlight w:val="none"/>
          <w:lang w:val="en-US" w:eastAsia="zh-CN" w:bidi="ar-SA"/>
        </w:rPr>
      </w:pPr>
      <w:bookmarkStart w:id="2101" w:name="_Toc17200"/>
      <w:bookmarkStart w:id="2102" w:name="_Toc305942101"/>
      <w:bookmarkStart w:id="2103" w:name="_Toc306007471"/>
      <w:bookmarkStart w:id="2104" w:name="_Toc309026893"/>
      <w:bookmarkStart w:id="2105" w:name="_Toc240949694"/>
      <w:bookmarkStart w:id="2106" w:name="_Toc319312356"/>
      <w:bookmarkStart w:id="2107" w:name="_Toc24899"/>
      <w:bookmarkStart w:id="2108" w:name="_Toc98142508"/>
      <w:bookmarkStart w:id="2109" w:name="_Toc319313668"/>
      <w:bookmarkStart w:id="2110" w:name="_Toc318208980"/>
      <w:bookmarkStart w:id="2111" w:name="_Toc306005084"/>
      <w:bookmarkStart w:id="2112" w:name="_Toc306006784"/>
      <w:bookmarkStart w:id="2113" w:name="_Toc319311231"/>
      <w:bookmarkStart w:id="2114" w:name="_Toc306091421"/>
      <w:bookmarkStart w:id="2115" w:name="_Toc319320671"/>
      <w:bookmarkStart w:id="2116" w:name="_Toc306007247"/>
      <w:bookmarkStart w:id="2117" w:name="_Toc306091620"/>
      <w:bookmarkStart w:id="2118" w:name="_Toc306004648"/>
      <w:bookmarkStart w:id="2119" w:name="_Toc4796"/>
      <w:bookmarkStart w:id="2120" w:name="_Toc319311405"/>
      <w:bookmarkStart w:id="2121" w:name="_Toc22337"/>
      <w:bookmarkStart w:id="2122" w:name="_Toc13107"/>
      <w:bookmarkStart w:id="2123" w:name="_Toc103314415"/>
      <w:bookmarkStart w:id="2124" w:name="_Toc2555"/>
      <w:bookmarkStart w:id="2125" w:name="_Toc309026499"/>
      <w:bookmarkStart w:id="2126" w:name="_Toc306007690"/>
      <w:bookmarkStart w:id="2127" w:name="_Toc306006290"/>
      <w:bookmarkStart w:id="2128" w:name="_Toc321906067"/>
      <w:bookmarkStart w:id="2129" w:name="_Toc306007002"/>
      <w:r>
        <w:rPr>
          <w:rFonts w:hint="eastAsia" w:ascii="Times New Roman" w:hAnsi="Times New Roman" w:eastAsia="Yu Mincho Light" w:cs="Times New Roman"/>
          <w:color w:val="auto"/>
          <w:kern w:val="24"/>
          <w:sz w:val="28"/>
          <w:szCs w:val="20"/>
          <w:highlight w:val="none"/>
          <w:lang w:val="en-US" w:eastAsia="zh-CN" w:bidi="ar-SA"/>
        </w:rPr>
        <w:t>第九章</w:t>
      </w:r>
      <w:r>
        <w:rPr>
          <w:rFonts w:ascii="Times New Roman" w:hAnsi="Times New Roman" w:eastAsia="Yu Mincho Light" w:cs="Times New Roman"/>
          <w:color w:val="auto"/>
          <w:kern w:val="24"/>
          <w:sz w:val="28"/>
          <w:szCs w:val="20"/>
          <w:highlight w:val="none"/>
          <w:lang w:val="en-US" w:eastAsia="zh-CN" w:bidi="ar-SA"/>
        </w:rPr>
        <w:t xml:space="preserve">  </w:t>
      </w:r>
      <w:r>
        <w:rPr>
          <w:rFonts w:hint="eastAsia" w:ascii="Times New Roman" w:hAnsi="Times New Roman" w:eastAsia="Yu Mincho Light" w:cs="Times New Roman"/>
          <w:color w:val="auto"/>
          <w:kern w:val="24"/>
          <w:sz w:val="28"/>
          <w:szCs w:val="20"/>
          <w:highlight w:val="none"/>
          <w:lang w:val="en-US" w:eastAsia="zh-CN" w:bidi="ar-SA"/>
        </w:rPr>
        <w:t>投标文件及澄清补充文件及其他补充资料</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sz w:val="36"/>
          <w:highlight w:val="none"/>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ascii="宋体" w:hAnsi="宋体" w:eastAsia="宋体" w:cs="宋体"/>
          <w:color w:val="auto"/>
          <w:highlight w:val="none"/>
        </w:rPr>
      </w:pPr>
      <w:r>
        <w:rPr>
          <w:rFonts w:hint="eastAsia" w:ascii="宋体" w:hAnsi="宋体" w:eastAsia="宋体" w:cs="宋体"/>
          <w:color w:val="auto"/>
          <w:highlight w:val="none"/>
        </w:rPr>
        <w:t>（本章另册装订）</w:t>
      </w:r>
    </w:p>
    <w:p>
      <w:pPr>
        <w:rPr>
          <w:rFonts w:ascii="宋体" w:hAnsi="宋体" w:eastAsia="宋体" w:cs="宋体"/>
          <w:color w:val="auto"/>
          <w:highlight w:val="none"/>
        </w:rPr>
      </w:pPr>
    </w:p>
    <w:p>
      <w:pPr>
        <w:rPr>
          <w:rFonts w:ascii="宋体" w:hAnsi="宋体" w:eastAsia="宋体" w:cs="宋体"/>
          <w:color w:val="auto"/>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snapToGrid w:val="0"/>
        <w:spacing w:line="360" w:lineRule="auto"/>
        <w:jc w:val="center"/>
        <w:rPr>
          <w:rFonts w:ascii="宋体" w:hAnsi="宋体" w:eastAsia="宋体" w:cs="宋体"/>
          <w:b/>
          <w:color w:val="auto"/>
          <w:sz w:val="36"/>
          <w:highlight w:val="none"/>
        </w:rPr>
      </w:pPr>
    </w:p>
    <w:p>
      <w:pPr>
        <w:rPr>
          <w:rFonts w:ascii="宋体" w:hAnsi="宋体" w:cs="Times New Roman" w:eastAsiaTheme="minorEastAsia"/>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rPr>
          <w:color w:val="auto"/>
          <w:highlight w:val="none"/>
        </w:rPr>
      </w:pPr>
      <w:r>
        <w:rPr>
          <w:color w:val="auto"/>
          <w:highlight w:val="none"/>
        </w:rPr>
        <w:br w:type="page"/>
      </w: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pStyle w:val="2"/>
        <w:spacing w:before="0" w:after="0" w:line="240" w:lineRule="auto"/>
        <w:jc w:val="center"/>
        <w:outlineLvl w:val="0"/>
        <w:rPr>
          <w:color w:val="auto"/>
          <w:highlight w:val="none"/>
        </w:rPr>
      </w:pPr>
      <w:bookmarkStart w:id="2130" w:name="_Toc30116"/>
      <w:bookmarkStart w:id="2131" w:name="_Toc156398395"/>
      <w:bookmarkStart w:id="2132" w:name="_Toc3919"/>
      <w:bookmarkStart w:id="2133" w:name="_Toc32367"/>
      <w:bookmarkStart w:id="2134" w:name="_Toc30728"/>
      <w:bookmarkStart w:id="2135" w:name="_Toc21191"/>
      <w:r>
        <w:rPr>
          <w:rFonts w:hint="eastAsia"/>
          <w:color w:val="auto"/>
          <w:highlight w:val="none"/>
        </w:rPr>
        <w:t>第二卷</w:t>
      </w:r>
      <w:bookmarkEnd w:id="2130"/>
      <w:bookmarkEnd w:id="2131"/>
      <w:bookmarkEnd w:id="2132"/>
      <w:bookmarkEnd w:id="2133"/>
      <w:bookmarkEnd w:id="2134"/>
      <w:bookmarkEnd w:id="2135"/>
    </w:p>
    <w:p>
      <w:pPr>
        <w:keepNext w:val="0"/>
        <w:keepLines w:val="0"/>
        <w:pageBreakBefore w:val="0"/>
        <w:widowControl/>
        <w:kinsoku/>
        <w:wordWrap/>
        <w:overflowPunct w:val="0"/>
        <w:topLinePunct w:val="0"/>
        <w:autoSpaceDE/>
        <w:autoSpaceDN/>
        <w:bidi w:val="0"/>
        <w:adjustRightInd/>
        <w:snapToGrid/>
        <w:spacing w:line="240" w:lineRule="auto"/>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pStyle w:val="2"/>
        <w:jc w:val="center"/>
        <w:rPr>
          <w:color w:val="auto"/>
          <w:highlight w:val="none"/>
        </w:rPr>
      </w:pPr>
      <w:bookmarkStart w:id="2136" w:name="_Toc31131"/>
      <w:bookmarkStart w:id="2137" w:name="_Toc156398396"/>
      <w:bookmarkStart w:id="2138" w:name="_Toc5486"/>
      <w:bookmarkStart w:id="2139" w:name="_Toc1119"/>
      <w:bookmarkStart w:id="2140" w:name="_Toc17294"/>
      <w:bookmarkStart w:id="2141" w:name="_Toc11254"/>
      <w:r>
        <w:rPr>
          <w:rFonts w:hint="eastAsia"/>
          <w:color w:val="auto"/>
          <w:highlight w:val="none"/>
        </w:rPr>
        <w:t>第五章委托人要求</w:t>
      </w:r>
      <w:bookmarkEnd w:id="2136"/>
      <w:bookmarkEnd w:id="2137"/>
      <w:bookmarkEnd w:id="2138"/>
      <w:bookmarkEnd w:id="2139"/>
      <w:bookmarkEnd w:id="2140"/>
      <w:bookmarkEnd w:id="2141"/>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spacing w:line="400" w:lineRule="exact"/>
        <w:ind w:firstLine="400"/>
        <w:rPr>
          <w:rFonts w:ascii="Times New Roman" w:hAnsi="Times New Roman"/>
          <w:color w:val="auto"/>
          <w:sz w:val="20"/>
          <w:highlight w:val="none"/>
        </w:rPr>
      </w:pPr>
      <w:r>
        <w:rPr>
          <w:rFonts w:ascii="Times New Roman" w:hAnsi="Times New Roman"/>
          <w:color w:val="auto"/>
          <w:highlight w:val="none"/>
        </w:rPr>
        <mc:AlternateContent>
          <mc:Choice Requires="wps">
            <w:drawing>
              <wp:anchor distT="0" distB="0" distL="114300" distR="114300" simplePos="0" relativeHeight="251667456" behindDoc="0" locked="0" layoutInCell="0" allowOverlap="1">
                <wp:simplePos x="0" y="0"/>
                <wp:positionH relativeFrom="column">
                  <wp:posOffset>-333375</wp:posOffset>
                </wp:positionH>
                <wp:positionV relativeFrom="paragraph">
                  <wp:posOffset>267970</wp:posOffset>
                </wp:positionV>
                <wp:extent cx="10668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066800" cy="0"/>
                        </a:xfrm>
                        <a:prstGeom prst="line">
                          <a:avLst/>
                        </a:prstGeom>
                        <a:ln>
                          <a:noFill/>
                        </a:ln>
                        <a:effectLst/>
                      </wps:spPr>
                      <wps:bodyPr upright="1"/>
                    </wps:wsp>
                  </a:graphicData>
                </a:graphic>
              </wp:anchor>
            </w:drawing>
          </mc:Choice>
          <mc:Fallback>
            <w:pict>
              <v:line id="_x0000_s1026" o:spid="_x0000_s1026" o:spt="20" style="position:absolute;left:0pt;margin-left:-26.25pt;margin-top:21.1pt;height:0pt;width:84pt;z-index:251667456;mso-width-relative:page;mso-height-relative:page;" filled="f" stroked="f" coordsize="21600,21600" o:allowincell="f" o:gfxdata="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CyrmqS1wAAAAkBAAAPAAAAAAAAAAEAIAAAACIAAABkcnMvZG93bnJldi54bWxQ&#10;SwECFAAUAAAACACHTuJAJbHUyoYBAADxAgAADgAAAAAAAAABACAAAAAmAQAAZHJzL2Uyb0RvYy54&#10;bWxQSwUGAAAAAAYABgBZAQAAHgUAAAAA&#10;">
                <v:fill on="f" focussize="0,0"/>
                <v:stroke on="f"/>
                <v:imagedata o:title=""/>
                <o:lock v:ext="edit" aspectratio="f"/>
              </v:line>
            </w:pict>
          </mc:Fallback>
        </mc:AlternateContent>
      </w:r>
      <w:r>
        <w:rPr>
          <w:rFonts w:ascii="Times New Roman" w:hAnsi="Times New Roman"/>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2667000</wp:posOffset>
                </wp:positionH>
                <wp:positionV relativeFrom="paragraph">
                  <wp:posOffset>128270</wp:posOffset>
                </wp:positionV>
                <wp:extent cx="66675" cy="405765"/>
                <wp:effectExtent l="0" t="0" r="0" b="0"/>
                <wp:wrapNone/>
                <wp:docPr id="8" name="直接连接符 8"/>
                <wp:cNvGraphicFramePr/>
                <a:graphic xmlns:a="http://schemas.openxmlformats.org/drawingml/2006/main">
                  <a:graphicData uri="http://schemas.microsoft.com/office/word/2010/wordprocessingShape">
                    <wps:wsp>
                      <wps:cNvCnPr/>
                      <wps:spPr>
                        <a:xfrm flipH="1">
                          <a:off x="0" y="0"/>
                          <a:ext cx="66675" cy="405765"/>
                        </a:xfrm>
                        <a:prstGeom prst="line">
                          <a:avLst/>
                        </a:prstGeom>
                        <a:ln>
                          <a:noFill/>
                        </a:ln>
                        <a:effectLst/>
                      </wps:spPr>
                      <wps:bodyPr upright="1"/>
                    </wps:wsp>
                  </a:graphicData>
                </a:graphic>
              </wp:anchor>
            </w:drawing>
          </mc:Choice>
          <mc:Fallback>
            <w:pict>
              <v:line id="_x0000_s1026" o:spid="_x0000_s1026" o:spt="20" style="position:absolute;left:0pt;flip:x;margin-left:210pt;margin-top:10.1pt;height:31.95pt;width:5.25pt;z-index:251668480;mso-width-relative:page;mso-height-relative:page;" filled="f" stroked="f" coordsize="21600,21600" o:allowincell="f" o:gfxdata="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VjH4/1wAAAAkBAAAPAAAAAAAAAAEAIAAAACIA&#10;AABkcnMvZG93bnJldi54bWxQSwECFAAUAAAACACHTuJAiR6qfJgBAAD8AgAADgAAAAAAAAABACAA&#10;AAAmAQAAZHJzL2Uyb0RvYy54bWxQSwUGAAAAAAYABgBZAQAAMAUAAAAA&#10;">
                <v:fill on="f" focussize="0,0"/>
                <v:stroke on="f"/>
                <v:imagedata o:title=""/>
                <o:lock v:ext="edit" aspectratio="f"/>
              </v:line>
            </w:pict>
          </mc:Fallback>
        </mc:AlternateContent>
      </w:r>
      <w:r>
        <w:rPr>
          <w:rFonts w:ascii="Times New Roman" w:hAnsi="Times New Roman"/>
          <w:color w:val="auto"/>
          <w:highlight w:val="none"/>
        </w:rPr>
        <mc:AlternateContent>
          <mc:Choice Requires="wps">
            <w:drawing>
              <wp:anchor distT="0" distB="0" distL="114300" distR="114300" simplePos="0" relativeHeight="251665408" behindDoc="0" locked="0" layoutInCell="0" allowOverlap="1">
                <wp:simplePos x="0" y="0"/>
                <wp:positionH relativeFrom="column">
                  <wp:posOffset>-133350</wp:posOffset>
                </wp:positionH>
                <wp:positionV relativeFrom="paragraph">
                  <wp:posOffset>49530</wp:posOffset>
                </wp:positionV>
                <wp:extent cx="58674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867400" cy="0"/>
                        </a:xfrm>
                        <a:prstGeom prst="line">
                          <a:avLst/>
                        </a:prstGeom>
                        <a:ln>
                          <a:noFill/>
                        </a:ln>
                        <a:effectLst/>
                      </wps:spPr>
                      <wps:bodyPr upright="1"/>
                    </wps:wsp>
                  </a:graphicData>
                </a:graphic>
              </wp:anchor>
            </w:drawing>
          </mc:Choice>
          <mc:Fallback>
            <w:pict>
              <v:line id="_x0000_s1026" o:spid="_x0000_s1026" o:spt="20" style="position:absolute;left:0pt;margin-left:-10.5pt;margin-top:3.9pt;height:0pt;width:462pt;z-index:251665408;mso-width-relative:page;mso-height-relative:page;" filled="f" stroked="f" coordsize="21600,21600" o:allowincell="f" o:gfxdata="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w+HUJ1QAAAAcBAAAPAAAAAAAAAAEAIAAAACIAAABkcnMvZG93bnJldi54&#10;bWxQSwECFAAUAAAACACHTuJA6nvVtosBAADxAgAADgAAAAAAAAABACAAAAAkAQAAZHJzL2Uyb0Rv&#10;Yy54bWxQSwUGAAAAAAYABgBZAQAAIQUAAAAA&#10;">
                <v:fill on="f" focussize="0,0"/>
                <v:stroke on="f"/>
                <v:imagedata o:title=""/>
                <o:lock v:ext="edit" aspectratio="f"/>
              </v:line>
            </w:pict>
          </mc:Fallback>
        </mc:AlternateContent>
      </w:r>
      <w:r>
        <w:rPr>
          <w:rFonts w:ascii="Times New Roman" w:hAnsi="Times New Roman"/>
          <w:color w:val="auto"/>
          <w:highlight w:val="none"/>
        </w:rPr>
        <mc:AlternateContent>
          <mc:Choice Requires="wps">
            <w:drawing>
              <wp:anchor distT="0" distB="0" distL="114300" distR="114300" simplePos="0" relativeHeight="251666432" behindDoc="0" locked="0" layoutInCell="0" allowOverlap="1">
                <wp:simplePos x="0" y="0"/>
                <wp:positionH relativeFrom="column">
                  <wp:posOffset>2733675</wp:posOffset>
                </wp:positionH>
                <wp:positionV relativeFrom="paragraph">
                  <wp:posOffset>6350</wp:posOffset>
                </wp:positionV>
                <wp:extent cx="0" cy="29718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0" cy="297180"/>
                        </a:xfrm>
                        <a:prstGeom prst="line">
                          <a:avLst/>
                        </a:prstGeom>
                        <a:ln>
                          <a:noFill/>
                        </a:ln>
                      </wps:spPr>
                      <wps:bodyPr upright="1"/>
                    </wps:wsp>
                  </a:graphicData>
                </a:graphic>
              </wp:anchor>
            </w:drawing>
          </mc:Choice>
          <mc:Fallback>
            <w:pict>
              <v:line id="_x0000_s1026" o:spid="_x0000_s1026" o:spt="20" style="position:absolute;left:0pt;margin-left:215.25pt;margin-top:0.5pt;height:23.4pt;width:0pt;z-index:251666432;mso-width-relative:page;mso-height-relative:page;" filled="f" stroked="f" coordsize="21600,21600" o:allowincell="f" o:gfxdata="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ExrNnDVAAAACAEAAA8AAAAAAAAAAQAgAAAAIgAAAGRycy9kb3ducmV2LnhtbFBLAQIUABQA&#10;AAAIAIdO4kBtJxdFgQEAAOICAAAOAAAAAAAAAAEAIAAAACQBAABkcnMvZTJvRG9jLnhtbFBLBQYA&#10;AAAABgAGAFkBAAAXBQAAAAA=&#10;">
                <v:fill on="f" focussize="0,0"/>
                <v:stroke on="f"/>
                <v:imagedata o:title=""/>
                <o:lock v:ext="edit" aspectratio="f"/>
              </v:line>
            </w:pict>
          </mc:Fallback>
        </mc:AlternateContent>
      </w:r>
    </w:p>
    <w:p>
      <w:pPr>
        <w:spacing w:line="400" w:lineRule="exact"/>
        <w:rPr>
          <w:color w:val="auto"/>
          <w:highlight w:val="none"/>
        </w:rPr>
      </w:pPr>
    </w:p>
    <w:p>
      <w:pPr>
        <w:spacing w:line="400" w:lineRule="exact"/>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52"/>
          <w:szCs w:val="52"/>
          <w:highlight w:val="none"/>
        </w:rPr>
      </w:pPr>
      <w:bookmarkStart w:id="2142" w:name="_Toc28050"/>
      <w:r>
        <w:rPr>
          <w:rFonts w:hint="eastAsia" w:ascii="黑体" w:hAnsi="黑体" w:eastAsia="黑体" w:cs="黑体"/>
          <w:color w:val="auto"/>
          <w:sz w:val="52"/>
          <w:szCs w:val="52"/>
          <w:highlight w:val="none"/>
        </w:rPr>
        <w:t>东莞市城市轨道交通2号线三期工程强弱电系统</w:t>
      </w:r>
      <w:r>
        <w:rPr>
          <w:rFonts w:hint="eastAsia" w:ascii="黑体" w:hAnsi="黑体" w:eastAsia="黑体" w:cs="黑体"/>
          <w:color w:val="auto"/>
          <w:sz w:val="52"/>
          <w:szCs w:val="52"/>
          <w:highlight w:val="none"/>
          <w:lang w:val="en-US" w:eastAsia="zh-CN"/>
        </w:rPr>
        <w:t>和</w:t>
      </w:r>
      <w:r>
        <w:rPr>
          <w:rFonts w:hint="eastAsia" w:ascii="黑体" w:hAnsi="黑体" w:eastAsia="黑体" w:cs="黑体"/>
          <w:color w:val="auto"/>
          <w:sz w:val="52"/>
          <w:szCs w:val="52"/>
          <w:highlight w:val="none"/>
        </w:rPr>
        <w:t>车站设备集成服务项目</w:t>
      </w:r>
      <w:bookmarkEnd w:id="214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52"/>
          <w:szCs w:val="52"/>
          <w:highlight w:val="none"/>
          <w:u w:val="none"/>
        </w:rPr>
      </w:pPr>
      <w:r>
        <w:rPr>
          <w:rFonts w:hint="eastAsia" w:ascii="黑体" w:hAnsi="黑体" w:eastAsia="黑体" w:cs="黑体"/>
          <w:color w:val="auto"/>
          <w:sz w:val="52"/>
          <w:szCs w:val="52"/>
          <w:highlight w:val="none"/>
          <w:u w:val="none"/>
        </w:rPr>
        <w:t>（2532标）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黑体"/>
          <w:color w:val="auto"/>
          <w:sz w:val="28"/>
          <w:szCs w:val="28"/>
          <w:highlight w:val="none"/>
        </w:rPr>
      </w:pPr>
    </w:p>
    <w:p>
      <w:pPr>
        <w:spacing w:line="400" w:lineRule="exact"/>
        <w:rPr>
          <w:color w:val="auto"/>
          <w:highlight w:val="none"/>
        </w:rPr>
      </w:pPr>
    </w:p>
    <w:p>
      <w:pPr>
        <w:spacing w:line="400" w:lineRule="exact"/>
        <w:jc w:val="right"/>
        <w:rPr>
          <w:color w:val="auto"/>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highlight w:val="none"/>
        </w:rPr>
      </w:pPr>
    </w:p>
    <w:p>
      <w:pPr>
        <w:bidi w:val="0"/>
        <w:jc w:val="center"/>
        <w:rPr>
          <w:rFonts w:hint="eastAsia" w:ascii="黑体" w:hAnsi="黑体" w:eastAsia="黑体" w:cs="黑体"/>
          <w:color w:val="auto"/>
          <w:sz w:val="52"/>
          <w:szCs w:val="52"/>
          <w:highlight w:val="none"/>
        </w:rPr>
      </w:pPr>
      <w:bookmarkStart w:id="2143" w:name="_Toc23212"/>
      <w:r>
        <w:rPr>
          <w:rFonts w:hint="eastAsia" w:ascii="黑体" w:hAnsi="黑体" w:eastAsia="黑体" w:cs="黑体"/>
          <w:color w:val="auto"/>
          <w:sz w:val="52"/>
          <w:szCs w:val="52"/>
          <w:highlight w:val="none"/>
        </w:rPr>
        <w:t>委托人要求</w:t>
      </w:r>
      <w:bookmarkEnd w:id="2143"/>
    </w:p>
    <w:p>
      <w:pPr>
        <w:spacing w:line="400" w:lineRule="exact"/>
        <w:rPr>
          <w:color w:val="auto"/>
          <w:highlight w:val="none"/>
        </w:rPr>
      </w:pPr>
    </w:p>
    <w:p>
      <w:pPr>
        <w:spacing w:line="400" w:lineRule="exact"/>
        <w:rPr>
          <w:color w:val="auto"/>
          <w:highlight w:val="none"/>
        </w:rPr>
        <w:sectPr>
          <w:headerReference r:id="rId8" w:type="default"/>
          <w:footerReference r:id="rId9" w:type="default"/>
          <w:pgSz w:w="12240" w:h="15840"/>
          <w:pgMar w:top="1440" w:right="1800" w:bottom="1440" w:left="1800" w:header="720" w:footer="720" w:gutter="0"/>
          <w:pgNumType w:fmt="decimal" w:start="84"/>
          <w:cols w:space="720" w:num="1"/>
        </w:sect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highlight w:val="none"/>
        </w:rPr>
      </w:pPr>
      <w:bookmarkStart w:id="2144" w:name="_Toc144974479"/>
      <w:bookmarkStart w:id="2145" w:name="_Toc152045511"/>
      <w:bookmarkStart w:id="2146" w:name="_Toc152042287"/>
      <w:r>
        <w:rPr>
          <w:rFonts w:ascii="宋体" w:hAnsi="宋体" w:eastAsia="宋体"/>
          <w:color w:val="auto"/>
          <w:sz w:val="21"/>
          <w:highlight w:val="none"/>
        </w:rPr>
        <w:t>目录</w:t>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b/>
          <w:color w:val="auto"/>
          <w:highlight w:val="none"/>
        </w:rPr>
      </w:pPr>
      <w:r>
        <w:rPr>
          <w:color w:val="auto"/>
          <w:szCs w:val="21"/>
          <w:highlight w:val="none"/>
        </w:rPr>
        <w:fldChar w:fldCharType="begin"/>
      </w:r>
      <w:r>
        <w:rPr>
          <w:color w:val="auto"/>
          <w:szCs w:val="21"/>
          <w:highlight w:val="none"/>
        </w:rPr>
        <w:instrText xml:space="preserve">TOC \o "1-2" \h \u </w:instrText>
      </w:r>
      <w:r>
        <w:rPr>
          <w:color w:val="auto"/>
          <w:szCs w:val="21"/>
          <w:highlight w:val="none"/>
        </w:rPr>
        <w:fldChar w:fldCharType="separate"/>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\l _Toc25818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一、工程概况</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_Toc25818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99</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\l _Toc24970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二、系统介绍</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_Toc24970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100</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2.1强电系统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_Toc11373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弱电系统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_Toc29825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车站设备系统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_Toc29825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\l _Toc29745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三、工期计划要求</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_Toc29745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106</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\l _Toc7402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集成服务基本要求</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_Toc7402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107</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rPr>
        <w:t>工作目标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集成服务基本内容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_Toc4087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合同关系</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_Toc4087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\l _Toc22551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五、服务范围及责任</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_Toc22551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111</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责任定义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集成服务职责矩阵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5.3 </w:t>
      </w:r>
      <w:r>
        <w:rPr>
          <w:rFonts w:hint="eastAsia" w:ascii="宋体" w:hAnsi="宋体" w:eastAsia="宋体" w:cs="宋体"/>
          <w:color w:val="auto"/>
          <w:sz w:val="21"/>
          <w:szCs w:val="21"/>
          <w:highlight w:val="none"/>
        </w:rPr>
        <w:t>集成服务职责矩阵描述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\l _Toc27135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六、服务内容及要求</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_Toc27135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120</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6.1</w:t>
      </w:r>
      <w:r>
        <w:rPr>
          <w:rFonts w:hint="eastAsia" w:ascii="宋体" w:hAnsi="宋体" w:eastAsia="宋体" w:cs="宋体"/>
          <w:color w:val="auto"/>
          <w:sz w:val="21"/>
          <w:szCs w:val="21"/>
          <w:highlight w:val="none"/>
        </w:rPr>
        <w:t>项目计划</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_Toc4995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质量控制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_Toc4995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_Toc8582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6.3 </w:t>
      </w:r>
      <w:r>
        <w:rPr>
          <w:rFonts w:hint="eastAsia" w:ascii="宋体" w:hAnsi="宋体" w:eastAsia="宋体" w:cs="宋体"/>
          <w:color w:val="auto"/>
          <w:sz w:val="21"/>
          <w:szCs w:val="21"/>
          <w:highlight w:val="none"/>
        </w:rPr>
        <w:t>投资控制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6.4 </w:t>
      </w:r>
      <w:r>
        <w:rPr>
          <w:rFonts w:hint="eastAsia" w:ascii="宋体" w:hAnsi="宋体" w:eastAsia="宋体" w:cs="宋体"/>
          <w:color w:val="auto"/>
          <w:sz w:val="21"/>
          <w:szCs w:val="21"/>
          <w:highlight w:val="none"/>
        </w:rPr>
        <w:t>进度控制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6.5 </w:t>
      </w:r>
      <w:r>
        <w:rPr>
          <w:rFonts w:hint="eastAsia" w:ascii="宋体" w:hAnsi="宋体" w:eastAsia="宋体" w:cs="宋体"/>
          <w:color w:val="auto"/>
          <w:sz w:val="21"/>
          <w:szCs w:val="21"/>
          <w:highlight w:val="none"/>
        </w:rPr>
        <w:t>产品设计管理（含设计联络和确认）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6.6 </w:t>
      </w:r>
      <w:r>
        <w:rPr>
          <w:rFonts w:hint="eastAsia" w:ascii="宋体" w:hAnsi="宋体" w:eastAsia="宋体" w:cs="宋体"/>
          <w:color w:val="auto"/>
          <w:sz w:val="21"/>
          <w:szCs w:val="21"/>
          <w:highlight w:val="none"/>
        </w:rPr>
        <w:t>图纸文件管理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_Toc15034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6.7 </w:t>
      </w:r>
      <w:r>
        <w:rPr>
          <w:rFonts w:hint="eastAsia" w:ascii="宋体" w:hAnsi="宋体" w:eastAsia="宋体" w:cs="宋体"/>
          <w:color w:val="auto"/>
          <w:sz w:val="21"/>
          <w:szCs w:val="21"/>
          <w:highlight w:val="none"/>
        </w:rPr>
        <w:t>接口控制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_Toc15034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_Toc6078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6.8 </w:t>
      </w:r>
      <w:r>
        <w:rPr>
          <w:rFonts w:hint="eastAsia" w:ascii="宋体" w:hAnsi="宋体" w:eastAsia="宋体" w:cs="宋体"/>
          <w:color w:val="auto"/>
          <w:sz w:val="21"/>
          <w:szCs w:val="21"/>
          <w:highlight w:val="none"/>
        </w:rPr>
        <w:t>设备生产全过程控制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6.9 </w:t>
      </w:r>
      <w:r>
        <w:rPr>
          <w:rFonts w:hint="eastAsia" w:ascii="宋体" w:hAnsi="宋体" w:eastAsia="宋体" w:cs="宋体"/>
          <w:color w:val="auto"/>
          <w:sz w:val="21"/>
          <w:szCs w:val="21"/>
          <w:highlight w:val="none"/>
        </w:rPr>
        <w:t>BIM模型及设备材料二维码管理（包括但不限于以下内容）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_Toc20769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6.10 </w:t>
      </w:r>
      <w:r>
        <w:rPr>
          <w:rFonts w:hint="eastAsia" w:ascii="宋体" w:hAnsi="宋体" w:eastAsia="宋体" w:cs="宋体"/>
          <w:color w:val="auto"/>
          <w:sz w:val="21"/>
          <w:szCs w:val="21"/>
          <w:highlight w:val="none"/>
        </w:rPr>
        <w:t>配合第三方送检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_Toc20769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6.11 </w:t>
      </w:r>
      <w:r>
        <w:rPr>
          <w:rFonts w:hint="eastAsia" w:ascii="宋体" w:hAnsi="宋体" w:eastAsia="宋体" w:cs="宋体"/>
          <w:color w:val="auto"/>
          <w:sz w:val="21"/>
          <w:szCs w:val="21"/>
          <w:highlight w:val="none"/>
        </w:rPr>
        <w:t>到货管理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6.12 </w:t>
      </w:r>
      <w:r>
        <w:rPr>
          <w:rFonts w:hint="eastAsia" w:ascii="宋体" w:hAnsi="宋体" w:eastAsia="宋体" w:cs="宋体"/>
          <w:color w:val="auto"/>
          <w:sz w:val="21"/>
          <w:szCs w:val="21"/>
          <w:highlight w:val="none"/>
        </w:rPr>
        <w:t>设备安装、调试及督导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_Toc9452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6.13 </w:t>
      </w:r>
      <w:r>
        <w:rPr>
          <w:rFonts w:hint="eastAsia" w:ascii="宋体" w:hAnsi="宋体" w:eastAsia="宋体" w:cs="宋体"/>
          <w:color w:val="auto"/>
          <w:sz w:val="21"/>
          <w:szCs w:val="21"/>
          <w:highlight w:val="none"/>
        </w:rPr>
        <w:t>联络会议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_Toc9452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_Toc16554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6.14 </w:t>
      </w:r>
      <w:r>
        <w:rPr>
          <w:rFonts w:hint="eastAsia" w:ascii="宋体" w:hAnsi="宋体" w:eastAsia="宋体" w:cs="宋体"/>
          <w:color w:val="auto"/>
          <w:sz w:val="21"/>
          <w:szCs w:val="21"/>
          <w:highlight w:val="none"/>
        </w:rPr>
        <w:t>培训</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_Toc25039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6.15 </w:t>
      </w:r>
      <w:r>
        <w:rPr>
          <w:rFonts w:hint="eastAsia" w:ascii="宋体" w:hAnsi="宋体" w:eastAsia="宋体" w:cs="宋体"/>
          <w:color w:val="auto"/>
          <w:sz w:val="21"/>
          <w:szCs w:val="21"/>
          <w:highlight w:val="none"/>
        </w:rPr>
        <w:t>系统联调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6.16 </w:t>
      </w:r>
      <w:r>
        <w:rPr>
          <w:rFonts w:hint="eastAsia" w:ascii="宋体" w:hAnsi="宋体" w:eastAsia="宋体" w:cs="宋体"/>
          <w:color w:val="auto"/>
          <w:sz w:val="21"/>
          <w:szCs w:val="21"/>
          <w:highlight w:val="none"/>
        </w:rPr>
        <w:t>信息化管理要求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_Toc19134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6.17 </w:t>
      </w:r>
      <w:r>
        <w:rPr>
          <w:rFonts w:hint="eastAsia" w:ascii="宋体" w:hAnsi="宋体" w:eastAsia="宋体" w:cs="宋体"/>
          <w:color w:val="auto"/>
          <w:sz w:val="21"/>
          <w:szCs w:val="21"/>
          <w:highlight w:val="none"/>
        </w:rPr>
        <w:t>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_Toc19134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\l _Toc19052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七、机构与人员要求</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_Toc19052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136</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_Toc31773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7.1 </w:t>
      </w:r>
      <w:r>
        <w:rPr>
          <w:rFonts w:hint="eastAsia" w:ascii="宋体" w:hAnsi="宋体" w:eastAsia="宋体" w:cs="宋体"/>
          <w:color w:val="auto"/>
          <w:sz w:val="21"/>
          <w:szCs w:val="21"/>
          <w:highlight w:val="none"/>
        </w:rPr>
        <w:t>组织机构</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_Toc31773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7.2 </w:t>
      </w:r>
      <w:r>
        <w:rPr>
          <w:rFonts w:hint="eastAsia" w:ascii="宋体" w:hAnsi="宋体" w:eastAsia="宋体" w:cs="宋体"/>
          <w:color w:val="auto"/>
          <w:sz w:val="21"/>
          <w:szCs w:val="21"/>
          <w:highlight w:val="none"/>
        </w:rPr>
        <w:t>主要人员配置要求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_Toc3534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7.3 </w:t>
      </w:r>
      <w:r>
        <w:rPr>
          <w:rFonts w:hint="eastAsia" w:ascii="宋体" w:hAnsi="宋体" w:eastAsia="宋体" w:cs="宋体"/>
          <w:color w:val="auto"/>
          <w:sz w:val="21"/>
          <w:szCs w:val="21"/>
          <w:highlight w:val="none"/>
        </w:rPr>
        <w:t>人员上岗和更换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4"/>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_Toc21480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 xml:space="preserve">7.4 </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keepNext w:val="0"/>
        <w:keepLines w:val="0"/>
        <w:pageBreakBefore w:val="0"/>
        <w:tabs>
          <w:tab w:val="right" w:leader="dot" w:pos="8640"/>
        </w:tabs>
        <w:kinsoku/>
        <w:wordWrap/>
        <w:overflowPunct/>
        <w:topLinePunct w:val="0"/>
        <w:autoSpaceDE/>
        <w:autoSpaceDN/>
        <w:bidi w:val="0"/>
        <w:adjustRightInd/>
        <w:snapToGrid/>
        <w:spacing w:line="360" w:lineRule="auto"/>
        <w:textAlignment w:val="auto"/>
        <w:rPr>
          <w:b/>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\l _Toc10881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八、 集成服务商的管理</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_Toc10881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141</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fldChar w:fldCharType="end"/>
      </w:r>
    </w:p>
    <w:p>
      <w:pPr>
        <w:keepNext w:val="0"/>
        <w:keepLines w:val="0"/>
        <w:pageBreakBefore w:val="0"/>
        <w:tabs>
          <w:tab w:val="right" w:leader="dot" w:pos="8505"/>
        </w:tabs>
        <w:kinsoku/>
        <w:wordWrap/>
        <w:overflowPunct/>
        <w:topLinePunct w:val="0"/>
        <w:autoSpaceDE/>
        <w:autoSpaceDN/>
        <w:bidi w:val="0"/>
        <w:adjustRightInd/>
        <w:snapToGrid/>
        <w:spacing w:line="360" w:lineRule="auto"/>
        <w:textAlignment w:val="auto"/>
        <w:rPr>
          <w:b/>
          <w:color w:val="auto"/>
          <w:szCs w:val="21"/>
          <w:highlight w:val="none"/>
        </w:rPr>
      </w:pPr>
      <w:r>
        <w:rPr>
          <w:b/>
          <w:color w:val="auto"/>
          <w:szCs w:val="21"/>
          <w:highlight w:val="none"/>
        </w:rPr>
        <w:fldChar w:fldCharType="end"/>
      </w:r>
    </w:p>
    <w:p>
      <w:pPr>
        <w:tabs>
          <w:tab w:val="right" w:leader="dot" w:pos="8505"/>
        </w:tabs>
        <w:spacing w:line="360" w:lineRule="auto"/>
        <w:rPr>
          <w:b/>
          <w:color w:val="auto"/>
          <w:szCs w:val="21"/>
          <w:highlight w:val="none"/>
        </w:rPr>
        <w:sectPr>
          <w:headerReference r:id="rId10" w:type="default"/>
          <w:pgSz w:w="12240" w:h="15840"/>
          <w:pgMar w:top="1440" w:right="1800" w:bottom="1440" w:left="1800" w:header="720" w:footer="720" w:gutter="0"/>
          <w:pgNumType w:fmt="decimal"/>
          <w:cols w:space="720" w:num="1"/>
        </w:sectPr>
      </w:pPr>
    </w:p>
    <w:bookmarkEnd w:id="2144"/>
    <w:bookmarkEnd w:id="2145"/>
    <w:bookmarkEnd w:id="2146"/>
    <w:p>
      <w:pPr>
        <w:pStyle w:val="3"/>
        <w:bidi w:val="0"/>
        <w:spacing w:line="360" w:lineRule="auto"/>
        <w:rPr>
          <w:color w:val="auto"/>
          <w:sz w:val="24"/>
          <w:szCs w:val="24"/>
          <w:highlight w:val="none"/>
        </w:rPr>
      </w:pPr>
      <w:bookmarkStart w:id="2147" w:name="_Hlt508425848"/>
      <w:bookmarkEnd w:id="2147"/>
      <w:bookmarkStart w:id="2148" w:name="_Hlt506779841"/>
      <w:bookmarkEnd w:id="2148"/>
      <w:bookmarkStart w:id="2149" w:name="_Toc184763329"/>
      <w:bookmarkStart w:id="2150" w:name="_Toc5081"/>
      <w:bookmarkStart w:id="2151" w:name="_Toc130847118"/>
      <w:bookmarkStart w:id="2152" w:name="_Toc5860"/>
      <w:bookmarkStart w:id="2153" w:name="_Toc10836"/>
      <w:bookmarkStart w:id="2154" w:name="_Toc31632"/>
      <w:bookmarkStart w:id="2155" w:name="_Toc25818"/>
      <w:bookmarkStart w:id="2156" w:name="_Toc31829"/>
      <w:bookmarkStart w:id="2157" w:name="_Toc247085853"/>
      <w:bookmarkStart w:id="2158" w:name="_Toc144974829"/>
      <w:bookmarkStart w:id="2159" w:name="_Toc246997081"/>
      <w:bookmarkStart w:id="2160" w:name="_Toc152042549"/>
      <w:bookmarkStart w:id="2161" w:name="_Toc179632787"/>
      <w:bookmarkStart w:id="2162" w:name="_Toc246996338"/>
      <w:r>
        <w:rPr>
          <w:color w:val="auto"/>
          <w:sz w:val="24"/>
          <w:szCs w:val="24"/>
          <w:highlight w:val="none"/>
        </w:rPr>
        <w:t>一、工程概况</w:t>
      </w:r>
      <w:bookmarkEnd w:id="2149"/>
      <w:bookmarkEnd w:id="2150"/>
      <w:bookmarkEnd w:id="2151"/>
      <w:bookmarkEnd w:id="2152"/>
      <w:bookmarkEnd w:id="2153"/>
      <w:bookmarkEnd w:id="2154"/>
      <w:bookmarkEnd w:id="2155"/>
      <w:bookmarkEnd w:id="2156"/>
    </w:p>
    <w:p>
      <w:pPr>
        <w:spacing w:line="360" w:lineRule="auto"/>
        <w:ind w:firstLine="420" w:firstLineChars="200"/>
        <w:rPr>
          <w:rFonts w:hint="eastAsia"/>
          <w:color w:val="auto"/>
          <w:highlight w:val="none"/>
        </w:rPr>
      </w:pPr>
      <w:bookmarkStart w:id="2163" w:name="_Toc309026502"/>
      <w:bookmarkStart w:id="2164" w:name="_Toc306091623"/>
      <w:bookmarkStart w:id="2165" w:name="_Toc309026896"/>
    </w:p>
    <w:p>
      <w:pPr>
        <w:spacing w:line="360" w:lineRule="auto"/>
        <w:ind w:firstLine="420" w:firstLineChars="200"/>
        <w:rPr>
          <w:rFonts w:hint="eastAsia"/>
          <w:color w:val="auto"/>
          <w:highlight w:val="none"/>
        </w:rPr>
      </w:pPr>
      <w:r>
        <w:rPr>
          <w:rFonts w:hint="eastAsia"/>
          <w:color w:val="auto"/>
          <w:highlight w:val="none"/>
        </w:rPr>
        <w:t>2号线三期工程起于一、二期终点虎门火车站，自虎门火车站引出，沿莞太路-连升路-规划绿轴-滨海湾大道敷设，止于交椅湾站。</w:t>
      </w:r>
    </w:p>
    <w:p>
      <w:pPr>
        <w:spacing w:line="360" w:lineRule="auto"/>
        <w:ind w:firstLine="420" w:firstLineChars="200"/>
        <w:rPr>
          <w:rFonts w:hint="eastAsia"/>
          <w:color w:val="auto"/>
          <w:highlight w:val="none"/>
        </w:rPr>
      </w:pPr>
      <w:r>
        <w:rPr>
          <w:rFonts w:hint="eastAsia"/>
          <w:color w:val="auto"/>
          <w:highlight w:val="none"/>
        </w:rPr>
        <w:t>东莞城市轨道交通2号线三期工程线路全长约17.1km，全线除接虎门火车站站后采用高架敷设方式外，其余为地下敷设（高架段长约0.202km，过渡段长约0.210km，地下段16.718km），共设车站9座，平均站间距1.95km,全部为地下站。</w:t>
      </w:r>
    </w:p>
    <w:p>
      <w:pPr>
        <w:spacing w:line="360" w:lineRule="auto"/>
        <w:ind w:firstLine="420" w:firstLineChars="200"/>
        <w:rPr>
          <w:color w:val="auto"/>
          <w:highlight w:val="none"/>
        </w:rPr>
      </w:pPr>
      <w:r>
        <w:rPr>
          <w:rFonts w:hint="eastAsia"/>
          <w:color w:val="auto"/>
          <w:highlight w:val="none"/>
        </w:rPr>
        <w:t>全线在滨海大道和沿江高速南侧设停车场一处，全线共设置1座主变电所。</w:t>
      </w:r>
    </w:p>
    <w:p>
      <w:pPr>
        <w:spacing w:line="360" w:lineRule="auto"/>
        <w:ind w:firstLine="420" w:firstLineChars="200"/>
        <w:rPr>
          <w:snapToGrid w:val="0"/>
          <w:color w:val="auto"/>
          <w:highlight w:val="none"/>
        </w:rPr>
      </w:pPr>
      <w:r>
        <w:rPr>
          <w:snapToGrid w:val="0"/>
          <w:color w:val="auto"/>
          <w:highlight w:val="none"/>
        </w:rPr>
        <w:t>本</w:t>
      </w:r>
      <w:r>
        <w:rPr>
          <w:rFonts w:hint="eastAsia"/>
          <w:snapToGrid w:val="0"/>
          <w:color w:val="auto"/>
          <w:highlight w:val="none"/>
          <w:lang w:val="en-US" w:eastAsia="zh-CN"/>
        </w:rPr>
        <w:t>工程</w:t>
      </w:r>
      <w:r>
        <w:rPr>
          <w:snapToGrid w:val="0"/>
          <w:color w:val="auto"/>
          <w:highlight w:val="none"/>
        </w:rPr>
        <w:t>强电系统采用集中式、110/35kV两级电压供电方式，牵引和动力照明共用35kV供电网络。在滨海湾停车场附近新建一座滨海湾主变电所为本工程供电，并利用2号线一二期厚街主变电所为本工程进行故障支援供电。全线牵引供电系统采用DC1500V架空接触网供电、走行轨回流方式。本工程共设7座牵引降压混合变电所，其中正线6座，停车场1座，设3座降压变电所和4座跟随式降压变电所。</w:t>
      </w:r>
    </w:p>
    <w:p>
      <w:pPr>
        <w:spacing w:line="360" w:lineRule="auto"/>
        <w:ind w:firstLine="420" w:firstLineChars="200"/>
        <w:rPr>
          <w:rFonts w:hint="eastAsia"/>
          <w:color w:val="auto"/>
          <w:highlight w:val="none"/>
        </w:rPr>
      </w:pPr>
      <w:r>
        <w:rPr>
          <w:rFonts w:hint="eastAsia"/>
          <w:snapToGrid w:val="0"/>
          <w:color w:val="auto"/>
          <w:highlight w:val="none"/>
        </w:rPr>
        <w:t>本</w:t>
      </w:r>
      <w:r>
        <w:rPr>
          <w:rFonts w:hint="eastAsia"/>
          <w:snapToGrid w:val="0"/>
          <w:color w:val="auto"/>
          <w:highlight w:val="none"/>
          <w:lang w:val="en-US" w:eastAsia="zh-CN"/>
        </w:rPr>
        <w:t>工程</w:t>
      </w:r>
      <w:r>
        <w:rPr>
          <w:rFonts w:hint="eastAsia"/>
          <w:snapToGrid w:val="0"/>
          <w:color w:val="auto"/>
          <w:highlight w:val="none"/>
        </w:rPr>
        <w:t>弱电系统主要包括通信系统、信号系统、综合监控系统、自动售检票系统以及安防系统。其中，通信系统由专用通信系统、公安通信系统及乘客信息系统构成；信号系统由列车自动防护（ATP）、列车自动驾驶（ATO）、列车自动监督（ATS）、计算机联锁（CBI）、数据通信（DCS）、维护监测等子系统以及停车场信号设备组成；综合监控采用两级管理、三级控制的运营管理方式，集成火灾自动报警系统（FAS）、环境与设备监控系统（BAS）、电力监控系统（PSCADA），并互连其他机电及设备系统；自动售检票系统由中央计算机</w:t>
      </w:r>
      <w:r>
        <w:rPr>
          <w:snapToGrid w:val="0"/>
          <w:color w:val="auto"/>
          <w:highlight w:val="none"/>
        </w:rPr>
        <w:t>系统、编码分拣设备、</w:t>
      </w:r>
      <w:r>
        <w:rPr>
          <w:rFonts w:hint="eastAsia"/>
          <w:snapToGrid w:val="0"/>
          <w:color w:val="auto"/>
          <w:highlight w:val="none"/>
        </w:rPr>
        <w:t>车站计算机系统、</w:t>
      </w:r>
      <w:r>
        <w:rPr>
          <w:snapToGrid w:val="0"/>
          <w:color w:val="auto"/>
          <w:highlight w:val="none"/>
        </w:rPr>
        <w:t>车站终端设备、维修系统、培训系统、模拟测试系统、车票及通信网络组成</w:t>
      </w:r>
      <w:r>
        <w:rPr>
          <w:rFonts w:hint="eastAsia"/>
          <w:snapToGrid w:val="0"/>
          <w:color w:val="auto"/>
          <w:highlight w:val="none"/>
        </w:rPr>
        <w:t>；安防系统由安防集成平台、出入口控制、入侵报警、视频监控、机动车管理、乘客求助、电子巡查、安全检查及探测等子系统组成。本项目作为既有一、二期工程的延伸，弱电各系统的设计原则、技术标准、功能及架构应能与一、二期工程对应系统保持一致或兼容。</w:t>
      </w:r>
    </w:p>
    <w:p>
      <w:pPr>
        <w:spacing w:line="360" w:lineRule="auto"/>
        <w:ind w:firstLine="420" w:firstLineChars="200"/>
        <w:rPr>
          <w:color w:val="auto"/>
          <w:kern w:val="0"/>
          <w:sz w:val="24"/>
          <w:highlight w:val="none"/>
        </w:rPr>
      </w:pPr>
      <w:r>
        <w:rPr>
          <w:color w:val="auto"/>
          <w:szCs w:val="21"/>
          <w:highlight w:val="none"/>
        </w:rPr>
        <w:t>本工程车站设备系统主要包括通风空调系统、动力照明系统、屏蔽门、电扶梯、装修材料等。</w:t>
      </w:r>
      <w:r>
        <w:rPr>
          <w:rFonts w:hint="eastAsia"/>
          <w:color w:val="auto"/>
          <w:szCs w:val="21"/>
          <w:highlight w:val="none"/>
        </w:rPr>
        <w:t>通风空调系统包括隧道通风系统和车站通风空调系统两大部分。车站通风空调系统又分为车站公共区通风空调系统（大系统）、车站设备及管理用房通风空调系统（小系统）、空调水系统</w:t>
      </w:r>
      <w:r>
        <w:rPr>
          <w:color w:val="auto"/>
          <w:szCs w:val="21"/>
          <w:highlight w:val="none"/>
        </w:rPr>
        <w:t>。动力照明系统为轨道交通全线的所有用电设备（不包括车辆）提供低压电源并负责动力与照明设备的控制及保护。消防系统由消防给水系统、自动灭火系统和灭火器组成，其中自动灭火系统设备部分纳入综合监控系统标段统一招标。站台门系统包括全线9个地下车站的封闭式全高站台屏蔽门。电扶梯系统包括全线车站自动扶梯和电梯两部分。</w:t>
      </w:r>
      <w:r>
        <w:rPr>
          <w:rFonts w:hint="eastAsia"/>
          <w:color w:val="auto"/>
          <w:szCs w:val="21"/>
          <w:highlight w:val="none"/>
        </w:rPr>
        <w:t>装修材料甲供部分主要包括导向系统和广告灯箱。</w:t>
      </w:r>
      <w:bookmarkStart w:id="2166" w:name="_Toc130847119"/>
      <w:bookmarkStart w:id="2167" w:name="_Toc9315"/>
      <w:bookmarkStart w:id="2168" w:name="_Toc184763330"/>
      <w:bookmarkStart w:id="2169" w:name="_Toc25870"/>
      <w:bookmarkStart w:id="2170" w:name="_Toc24516"/>
      <w:bookmarkStart w:id="2171" w:name="_Toc9672"/>
      <w:bookmarkStart w:id="2172" w:name="_Toc12472"/>
      <w:bookmarkStart w:id="2173" w:name="_Hlk127902478"/>
    </w:p>
    <w:p>
      <w:pPr>
        <w:pStyle w:val="3"/>
        <w:bidi w:val="0"/>
        <w:spacing w:before="0" w:after="0" w:line="360" w:lineRule="auto"/>
        <w:rPr>
          <w:rFonts w:hint="eastAsia" w:ascii="黑体" w:hAnsi="黑体" w:eastAsia="黑体" w:cs="黑体"/>
          <w:color w:val="auto"/>
          <w:sz w:val="21"/>
          <w:szCs w:val="21"/>
          <w:highlight w:val="none"/>
          <w:lang w:val="en-US" w:eastAsia="zh-CN"/>
        </w:rPr>
      </w:pPr>
      <w:bookmarkStart w:id="2174" w:name="_Toc24970"/>
      <w:r>
        <w:rPr>
          <w:color w:val="auto"/>
          <w:sz w:val="24"/>
          <w:szCs w:val="24"/>
          <w:highlight w:val="none"/>
        </w:rPr>
        <w:t>二、系统介绍</w:t>
      </w:r>
      <w:bookmarkEnd w:id="2163"/>
      <w:bookmarkEnd w:id="2164"/>
      <w:bookmarkEnd w:id="2165"/>
      <w:bookmarkEnd w:id="2166"/>
      <w:bookmarkEnd w:id="2167"/>
      <w:bookmarkEnd w:id="2168"/>
      <w:bookmarkEnd w:id="2169"/>
      <w:bookmarkEnd w:id="2170"/>
      <w:bookmarkEnd w:id="2171"/>
      <w:bookmarkEnd w:id="2172"/>
      <w:bookmarkEnd w:id="2174"/>
      <w:bookmarkStart w:id="2175" w:name="_Toc21400"/>
      <w:bookmarkStart w:id="2176" w:name="_Toc184763331"/>
      <w:bookmarkStart w:id="2177" w:name="_Toc11373"/>
      <w:bookmarkStart w:id="2178" w:name="_Toc130847120"/>
    </w:p>
    <w:p>
      <w:pPr>
        <w:spacing w:line="400" w:lineRule="exact"/>
        <w:ind w:firstLine="420" w:firstLineChars="200"/>
        <w:rPr>
          <w:rFonts w:hint="eastAsia"/>
          <w:color w:val="auto"/>
          <w:highlight w:val="none"/>
        </w:rPr>
      </w:pPr>
      <w:r>
        <w:rPr>
          <w:rFonts w:hint="eastAsia" w:eastAsia="宋体" w:cs="宋体"/>
          <w:color w:val="auto"/>
          <w:highlight w:val="none"/>
        </w:rPr>
        <w:t>本次招标范围是</w:t>
      </w:r>
      <w:r>
        <w:rPr>
          <w:rFonts w:hint="eastAsia" w:eastAsia="宋体" w:cs="宋体"/>
          <w:color w:val="auto"/>
          <w:highlight w:val="none"/>
          <w:lang w:val="en-US" w:eastAsia="zh-CN"/>
        </w:rPr>
        <w:t>与</w:t>
      </w:r>
      <w:r>
        <w:rPr>
          <w:rFonts w:hint="eastAsia" w:eastAsia="宋体" w:cs="宋体"/>
          <w:color w:val="auto"/>
          <w:highlight w:val="none"/>
        </w:rPr>
        <w:t>东莞市城市轨道交通</w:t>
      </w:r>
      <w:r>
        <w:rPr>
          <w:rFonts w:hint="eastAsia" w:eastAsia="宋体" w:cs="宋体"/>
          <w:color w:val="auto"/>
          <w:highlight w:val="none"/>
          <w:lang w:val="en-US" w:eastAsia="zh-CN"/>
        </w:rPr>
        <w:t>2</w:t>
      </w:r>
      <w:r>
        <w:rPr>
          <w:rFonts w:eastAsia="宋体" w:cs="宋体"/>
          <w:color w:val="auto"/>
          <w:highlight w:val="none"/>
        </w:rPr>
        <w:t>号线</w:t>
      </w:r>
      <w:r>
        <w:rPr>
          <w:rFonts w:hint="eastAsia" w:eastAsia="宋体" w:cs="宋体"/>
          <w:color w:val="auto"/>
          <w:highlight w:val="none"/>
          <w:lang w:val="en-US" w:eastAsia="zh-CN"/>
        </w:rPr>
        <w:t>三</w:t>
      </w:r>
      <w:r>
        <w:rPr>
          <w:rFonts w:eastAsia="宋体" w:cs="宋体"/>
          <w:color w:val="auto"/>
          <w:highlight w:val="none"/>
        </w:rPr>
        <w:t>期工程</w:t>
      </w:r>
      <w:r>
        <w:rPr>
          <w:rFonts w:hint="eastAsia" w:eastAsia="宋体" w:cs="宋体"/>
          <w:color w:val="auto"/>
          <w:highlight w:val="none"/>
          <w:lang w:val="en-US" w:eastAsia="zh-CN"/>
        </w:rPr>
        <w:t>强电系统（甲供和部分乙供设备）</w:t>
      </w:r>
      <w:r>
        <w:rPr>
          <w:rFonts w:hint="eastAsia"/>
          <w:color w:val="auto"/>
          <w:highlight w:val="none"/>
        </w:rPr>
        <w:t>、弱电系统</w:t>
      </w:r>
      <w:r>
        <w:rPr>
          <w:rFonts w:hint="eastAsia"/>
          <w:color w:val="auto"/>
          <w:highlight w:val="none"/>
          <w:lang w:eastAsia="zh-CN"/>
        </w:rPr>
        <w:t>（</w:t>
      </w:r>
      <w:r>
        <w:rPr>
          <w:rFonts w:hint="eastAsia"/>
          <w:color w:val="auto"/>
          <w:highlight w:val="none"/>
          <w:lang w:val="en-US" w:eastAsia="zh-CN"/>
        </w:rPr>
        <w:t>甲供</w:t>
      </w:r>
      <w:r>
        <w:rPr>
          <w:rFonts w:hint="eastAsia"/>
          <w:color w:val="auto"/>
          <w:highlight w:val="none"/>
          <w:lang w:eastAsia="zh-CN"/>
        </w:rPr>
        <w:t>）</w:t>
      </w:r>
      <w:r>
        <w:rPr>
          <w:rFonts w:hint="eastAsia"/>
          <w:color w:val="auto"/>
          <w:highlight w:val="none"/>
          <w:lang w:val="en-US" w:eastAsia="zh-CN"/>
        </w:rPr>
        <w:t>和</w:t>
      </w:r>
      <w:r>
        <w:rPr>
          <w:rFonts w:hint="eastAsia"/>
          <w:color w:val="auto"/>
          <w:highlight w:val="none"/>
        </w:rPr>
        <w:t>车站设备</w:t>
      </w:r>
      <w:r>
        <w:rPr>
          <w:rFonts w:eastAsia="宋体" w:cs="宋体"/>
          <w:color w:val="auto"/>
          <w:highlight w:val="none"/>
        </w:rPr>
        <w:t>（甲供）合同相关的设备集成服务。</w:t>
      </w:r>
    </w:p>
    <w:p>
      <w:pPr>
        <w:pStyle w:val="4"/>
        <w:bidi w:val="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2.1强电系统</w:t>
      </w:r>
      <w:bookmarkEnd w:id="2175"/>
      <w:bookmarkEnd w:id="2176"/>
      <w:bookmarkEnd w:id="2177"/>
      <w:bookmarkEnd w:id="2178"/>
    </w:p>
    <w:p>
      <w:pPr>
        <w:spacing w:line="360" w:lineRule="auto"/>
        <w:rPr>
          <w:color w:val="auto"/>
          <w:szCs w:val="21"/>
          <w:highlight w:val="none"/>
        </w:rPr>
      </w:pPr>
      <w:r>
        <w:rPr>
          <w:color w:val="auto"/>
          <w:highlight w:val="none"/>
        </w:rPr>
        <w:t>2.1.1</w:t>
      </w:r>
      <w:r>
        <w:rPr>
          <w:color w:val="auto"/>
          <w:szCs w:val="21"/>
          <w:highlight w:val="none"/>
        </w:rPr>
        <w:t>主变电所（新建</w:t>
      </w:r>
      <w:r>
        <w:rPr>
          <w:snapToGrid w:val="0"/>
          <w:color w:val="auto"/>
          <w:highlight w:val="none"/>
        </w:rPr>
        <w:t>滨海湾主变电所</w:t>
      </w:r>
      <w:r>
        <w:rPr>
          <w:color w:val="auto"/>
          <w:szCs w:val="21"/>
          <w:highlight w:val="none"/>
        </w:rPr>
        <w:t>，2号线</w:t>
      </w:r>
      <w:r>
        <w:rPr>
          <w:snapToGrid w:val="0"/>
          <w:color w:val="auto"/>
          <w:highlight w:val="none"/>
        </w:rPr>
        <w:t>厚街主变电所支援供电</w:t>
      </w:r>
      <w:r>
        <w:rPr>
          <w:color w:val="auto"/>
          <w:szCs w:val="21"/>
          <w:highlight w:val="none"/>
        </w:rPr>
        <w:t>）</w:t>
      </w:r>
    </w:p>
    <w:p>
      <w:pPr>
        <w:spacing w:line="360" w:lineRule="auto"/>
        <w:ind w:firstLine="420" w:firstLineChars="200"/>
        <w:rPr>
          <w:color w:val="auto"/>
          <w:highlight w:val="none"/>
        </w:rPr>
      </w:pPr>
      <w:r>
        <w:rPr>
          <w:color w:val="auto"/>
          <w:szCs w:val="21"/>
          <w:highlight w:val="none"/>
        </w:rPr>
        <w:t>主变电所负责从地区电网引110kV电源变为35kV，通过35kV中压环网供给全线车站变电所。</w:t>
      </w:r>
      <w:r>
        <w:rPr>
          <w:color w:val="auto"/>
          <w:highlight w:val="none"/>
        </w:rPr>
        <w:t>主变电所设置的主要设备有（包括但不限于）：</w:t>
      </w:r>
    </w:p>
    <w:p>
      <w:pPr>
        <w:spacing w:line="360" w:lineRule="auto"/>
        <w:ind w:firstLine="420" w:firstLineChars="200"/>
        <w:rPr>
          <w:color w:val="auto"/>
          <w:highlight w:val="none"/>
        </w:rPr>
      </w:pPr>
      <w:r>
        <w:rPr>
          <w:color w:val="auto"/>
          <w:highlight w:val="none"/>
        </w:rPr>
        <w:t>（1）110kV GIS</w:t>
      </w:r>
    </w:p>
    <w:p>
      <w:pPr>
        <w:spacing w:line="360" w:lineRule="auto"/>
        <w:ind w:firstLine="420" w:firstLineChars="200"/>
        <w:rPr>
          <w:color w:val="auto"/>
          <w:highlight w:val="none"/>
        </w:rPr>
      </w:pPr>
      <w:r>
        <w:rPr>
          <w:color w:val="auto"/>
          <w:highlight w:val="none"/>
        </w:rPr>
        <w:t>（2）110kV 交流电力电缆（含电缆附件）</w:t>
      </w:r>
    </w:p>
    <w:p>
      <w:pPr>
        <w:spacing w:line="360" w:lineRule="auto"/>
        <w:ind w:firstLine="420" w:firstLineChars="200"/>
        <w:rPr>
          <w:color w:val="auto"/>
          <w:highlight w:val="none"/>
        </w:rPr>
      </w:pPr>
      <w:r>
        <w:rPr>
          <w:color w:val="auto"/>
          <w:highlight w:val="none"/>
        </w:rPr>
        <w:t>（3）40.5kV GIS（含光缆）</w:t>
      </w:r>
    </w:p>
    <w:p>
      <w:pPr>
        <w:spacing w:line="360" w:lineRule="auto"/>
        <w:ind w:firstLine="420" w:firstLineChars="200"/>
        <w:rPr>
          <w:color w:val="auto"/>
          <w:highlight w:val="none"/>
        </w:rPr>
      </w:pPr>
      <w:r>
        <w:rPr>
          <w:color w:val="auto"/>
          <w:highlight w:val="none"/>
        </w:rPr>
        <w:t>（4）110kV/35kV主变压器和接地变压器、接地电阻柜</w:t>
      </w:r>
    </w:p>
    <w:p>
      <w:pPr>
        <w:spacing w:line="360" w:lineRule="auto"/>
        <w:ind w:firstLine="420" w:firstLineChars="200"/>
        <w:rPr>
          <w:color w:val="auto"/>
          <w:highlight w:val="none"/>
        </w:rPr>
      </w:pPr>
      <w:r>
        <w:rPr>
          <w:color w:val="auto"/>
          <w:highlight w:val="none"/>
        </w:rPr>
        <w:t>（5）交直流电源装置</w:t>
      </w:r>
    </w:p>
    <w:p>
      <w:pPr>
        <w:spacing w:line="360" w:lineRule="auto"/>
        <w:ind w:firstLine="420" w:firstLineChars="200"/>
        <w:rPr>
          <w:color w:val="auto"/>
          <w:highlight w:val="none"/>
        </w:rPr>
      </w:pPr>
      <w:r>
        <w:rPr>
          <w:color w:val="auto"/>
          <w:highlight w:val="none"/>
        </w:rPr>
        <w:t>（6）主变电所综合自动化系统（含控制保护）</w:t>
      </w:r>
    </w:p>
    <w:p>
      <w:pPr>
        <w:spacing w:line="360" w:lineRule="auto"/>
        <w:ind w:firstLine="420" w:firstLineChars="200"/>
        <w:rPr>
          <w:color w:val="auto"/>
          <w:highlight w:val="none"/>
        </w:rPr>
      </w:pPr>
      <w:r>
        <w:rPr>
          <w:color w:val="auto"/>
          <w:highlight w:val="none"/>
        </w:rPr>
        <w:t>（7）SVG装置</w:t>
      </w:r>
    </w:p>
    <w:p>
      <w:pPr>
        <w:spacing w:line="360" w:lineRule="auto"/>
        <w:ind w:firstLine="420" w:firstLineChars="200"/>
        <w:rPr>
          <w:color w:val="auto"/>
          <w:highlight w:val="none"/>
        </w:rPr>
      </w:pPr>
      <w:r>
        <w:rPr>
          <w:color w:val="auto"/>
          <w:highlight w:val="none"/>
        </w:rPr>
        <w:t>（8）35kV/0.4kV干式动力变压器</w:t>
      </w:r>
    </w:p>
    <w:p>
      <w:pPr>
        <w:spacing w:line="360" w:lineRule="auto"/>
        <w:rPr>
          <w:color w:val="auto"/>
          <w:highlight w:val="none"/>
        </w:rPr>
      </w:pPr>
      <w:bookmarkStart w:id="2179" w:name="_Toc31940"/>
      <w:bookmarkStart w:id="2180" w:name="_Toc15307"/>
      <w:bookmarkStart w:id="2181" w:name="_Toc309026898"/>
      <w:bookmarkStart w:id="2182" w:name="_Toc1181"/>
      <w:bookmarkStart w:id="2183" w:name="_Toc306091625"/>
      <w:bookmarkStart w:id="2184" w:name="_Toc9560"/>
      <w:bookmarkStart w:id="2185" w:name="_Toc309026504"/>
      <w:r>
        <w:rPr>
          <w:color w:val="auto"/>
          <w:highlight w:val="none"/>
        </w:rPr>
        <w:t>2.1.2牵引降压混合变电所和降压变电所</w:t>
      </w:r>
      <w:bookmarkEnd w:id="2179"/>
      <w:bookmarkEnd w:id="2180"/>
      <w:bookmarkEnd w:id="2181"/>
      <w:bookmarkEnd w:id="2182"/>
      <w:bookmarkEnd w:id="2183"/>
      <w:bookmarkEnd w:id="2184"/>
      <w:bookmarkEnd w:id="2185"/>
    </w:p>
    <w:p>
      <w:pPr>
        <w:spacing w:line="360" w:lineRule="auto"/>
        <w:ind w:firstLine="420" w:firstLineChars="200"/>
        <w:rPr>
          <w:color w:val="auto"/>
          <w:highlight w:val="none"/>
        </w:rPr>
      </w:pPr>
      <w:r>
        <w:rPr>
          <w:color w:val="auto"/>
          <w:highlight w:val="none"/>
        </w:rPr>
        <w:t>牵引变电所负责给轨道交通列车提供直流1500V牵引用电，降压变电所（含跟随所）负责给全线各车站提供交流380V动力用电。东莞轨道交通2号线三期共设置7座牵引降压混合变电所（含停车场1座），3座降压变电所，4座跟随式降压变电所。设置的主要设备有（包括但不限于）：</w:t>
      </w:r>
    </w:p>
    <w:p>
      <w:pPr>
        <w:spacing w:line="360" w:lineRule="auto"/>
        <w:ind w:firstLine="420" w:firstLineChars="200"/>
        <w:rPr>
          <w:color w:val="auto"/>
          <w:highlight w:val="none"/>
        </w:rPr>
      </w:pPr>
      <w:r>
        <w:rPr>
          <w:color w:val="auto"/>
          <w:highlight w:val="none"/>
        </w:rPr>
        <w:t>（1）40.5kV GIS（含光缆）</w:t>
      </w:r>
    </w:p>
    <w:p>
      <w:pPr>
        <w:spacing w:line="360" w:lineRule="auto"/>
        <w:ind w:firstLine="420" w:firstLineChars="200"/>
        <w:rPr>
          <w:color w:val="auto"/>
          <w:highlight w:val="none"/>
        </w:rPr>
      </w:pPr>
      <w:r>
        <w:rPr>
          <w:color w:val="auto"/>
          <w:highlight w:val="none"/>
        </w:rPr>
        <w:t>（2）1500V直流开关柜、负极柜和轨电位限制装置</w:t>
      </w:r>
    </w:p>
    <w:p>
      <w:pPr>
        <w:spacing w:line="360" w:lineRule="auto"/>
        <w:ind w:firstLine="420" w:firstLineChars="200"/>
        <w:rPr>
          <w:color w:val="auto"/>
          <w:highlight w:val="none"/>
        </w:rPr>
      </w:pPr>
      <w:r>
        <w:rPr>
          <w:color w:val="auto"/>
          <w:highlight w:val="none"/>
        </w:rPr>
        <w:t>（3）35kV/1.18kV 干式整流变压器  35kV/0.4kV 干式动力变压器</w:t>
      </w:r>
    </w:p>
    <w:p>
      <w:pPr>
        <w:spacing w:line="360" w:lineRule="auto"/>
        <w:ind w:firstLine="420" w:firstLineChars="200"/>
        <w:rPr>
          <w:color w:val="auto"/>
          <w:highlight w:val="none"/>
        </w:rPr>
      </w:pPr>
      <w:r>
        <w:rPr>
          <w:color w:val="auto"/>
          <w:highlight w:val="none"/>
        </w:rPr>
        <w:t>（4）整流器</w:t>
      </w:r>
    </w:p>
    <w:p>
      <w:pPr>
        <w:spacing w:line="360" w:lineRule="auto"/>
        <w:ind w:firstLine="420" w:firstLineChars="200"/>
        <w:rPr>
          <w:color w:val="auto"/>
          <w:highlight w:val="none"/>
        </w:rPr>
      </w:pPr>
      <w:r>
        <w:rPr>
          <w:color w:val="auto"/>
          <w:highlight w:val="none"/>
        </w:rPr>
        <w:t>（5）交直流电源装置</w:t>
      </w:r>
    </w:p>
    <w:p>
      <w:pPr>
        <w:spacing w:line="360" w:lineRule="auto"/>
        <w:ind w:firstLine="420" w:firstLineChars="200"/>
        <w:rPr>
          <w:color w:val="auto"/>
          <w:highlight w:val="none"/>
        </w:rPr>
      </w:pPr>
      <w:r>
        <w:rPr>
          <w:color w:val="auto"/>
          <w:highlight w:val="none"/>
        </w:rPr>
        <w:t>（6）变电所综合自动化系统</w:t>
      </w:r>
    </w:p>
    <w:p>
      <w:pPr>
        <w:spacing w:line="360" w:lineRule="auto"/>
        <w:ind w:firstLine="420" w:firstLineChars="200"/>
        <w:rPr>
          <w:color w:val="auto"/>
          <w:highlight w:val="none"/>
        </w:rPr>
      </w:pPr>
      <w:r>
        <w:rPr>
          <w:color w:val="auto"/>
          <w:highlight w:val="none"/>
        </w:rPr>
        <w:t>（7）1500V直流电力电缆</w:t>
      </w:r>
    </w:p>
    <w:p>
      <w:pPr>
        <w:spacing w:line="360" w:lineRule="auto"/>
        <w:ind w:firstLine="420" w:firstLineChars="200"/>
        <w:rPr>
          <w:color w:val="auto"/>
          <w:highlight w:val="none"/>
        </w:rPr>
      </w:pPr>
      <w:r>
        <w:rPr>
          <w:color w:val="auto"/>
          <w:highlight w:val="none"/>
        </w:rPr>
        <w:t>（8）35kV馈线电缆（含电缆附件）</w:t>
      </w:r>
    </w:p>
    <w:p>
      <w:pPr>
        <w:spacing w:line="360" w:lineRule="auto"/>
        <w:ind w:firstLine="420" w:firstLineChars="200"/>
        <w:rPr>
          <w:color w:val="auto"/>
          <w:highlight w:val="none"/>
        </w:rPr>
      </w:pPr>
      <w:r>
        <w:rPr>
          <w:color w:val="auto"/>
          <w:highlight w:val="none"/>
        </w:rPr>
        <w:t>（9）电缆支架</w:t>
      </w:r>
    </w:p>
    <w:p>
      <w:pPr>
        <w:spacing w:line="360" w:lineRule="auto"/>
        <w:ind w:firstLine="420" w:firstLineChars="200"/>
        <w:rPr>
          <w:color w:val="auto"/>
          <w:szCs w:val="21"/>
          <w:highlight w:val="none"/>
        </w:rPr>
      </w:pPr>
      <w:bookmarkStart w:id="2186" w:name="_Toc309026505"/>
      <w:bookmarkStart w:id="2187" w:name="_Toc309026899"/>
      <w:bookmarkStart w:id="2188" w:name="_Toc306091626"/>
      <w:r>
        <w:rPr>
          <w:color w:val="auto"/>
          <w:highlight w:val="none"/>
        </w:rPr>
        <w:t>（10）可视化接地系统</w:t>
      </w:r>
    </w:p>
    <w:p>
      <w:pPr>
        <w:spacing w:line="360" w:lineRule="auto"/>
        <w:rPr>
          <w:color w:val="auto"/>
          <w:highlight w:val="none"/>
        </w:rPr>
      </w:pPr>
      <w:bookmarkStart w:id="2189" w:name="_Toc9371"/>
      <w:bookmarkStart w:id="2190" w:name="_Toc28756"/>
      <w:bookmarkStart w:id="2191" w:name="_Toc4476"/>
      <w:bookmarkStart w:id="2192" w:name="_Toc4361"/>
      <w:r>
        <w:rPr>
          <w:color w:val="auto"/>
          <w:highlight w:val="none"/>
        </w:rPr>
        <w:t>2.1.3中压环网</w:t>
      </w:r>
      <w:bookmarkEnd w:id="2186"/>
      <w:bookmarkEnd w:id="2187"/>
      <w:bookmarkEnd w:id="2188"/>
      <w:bookmarkEnd w:id="2189"/>
      <w:bookmarkEnd w:id="2190"/>
      <w:bookmarkEnd w:id="2191"/>
      <w:bookmarkEnd w:id="2192"/>
    </w:p>
    <w:p>
      <w:pPr>
        <w:spacing w:line="360" w:lineRule="auto"/>
        <w:ind w:firstLine="420" w:firstLineChars="200"/>
        <w:rPr>
          <w:color w:val="auto"/>
          <w:highlight w:val="none"/>
        </w:rPr>
      </w:pPr>
      <w:r>
        <w:rPr>
          <w:color w:val="auto"/>
          <w:highlight w:val="none"/>
        </w:rPr>
        <w:t>35kV中压环网连接主变电所和全线车站，负责电能的传输和分配。主要设备有（包括但不限于）：</w:t>
      </w:r>
    </w:p>
    <w:p>
      <w:pPr>
        <w:numPr>
          <w:ilvl w:val="0"/>
          <w:numId w:val="0"/>
        </w:numPr>
        <w:tabs>
          <w:tab w:val="left" w:pos="1080"/>
        </w:tabs>
        <w:spacing w:line="360" w:lineRule="auto"/>
        <w:ind w:left="420" w:leftChars="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35kV交流电力电缆（含电缆附件）</w:t>
      </w:r>
    </w:p>
    <w:p>
      <w:pPr>
        <w:numPr>
          <w:ilvl w:val="0"/>
          <w:numId w:val="0"/>
        </w:numPr>
        <w:tabs>
          <w:tab w:val="left" w:pos="1080"/>
        </w:tabs>
        <w:spacing w:line="360" w:lineRule="auto"/>
        <w:ind w:left="420" w:leftChars="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电缆支架</w:t>
      </w:r>
    </w:p>
    <w:p>
      <w:pPr>
        <w:spacing w:line="360" w:lineRule="auto"/>
        <w:rPr>
          <w:color w:val="auto"/>
          <w:highlight w:val="none"/>
        </w:rPr>
      </w:pPr>
      <w:bookmarkStart w:id="2193" w:name="_Toc2969"/>
      <w:bookmarkStart w:id="2194" w:name="_Toc306091627"/>
      <w:bookmarkStart w:id="2195" w:name="_Toc4809"/>
      <w:bookmarkStart w:id="2196" w:name="_Toc9020"/>
      <w:bookmarkStart w:id="2197" w:name="_Toc20822"/>
      <w:bookmarkStart w:id="2198" w:name="_Toc309026900"/>
      <w:bookmarkStart w:id="2199" w:name="_Toc309026506"/>
      <w:r>
        <w:rPr>
          <w:color w:val="auto"/>
          <w:highlight w:val="none"/>
        </w:rPr>
        <w:t>2.1.4杂散电流防护系统</w:t>
      </w:r>
      <w:bookmarkEnd w:id="2193"/>
      <w:bookmarkEnd w:id="2194"/>
      <w:bookmarkEnd w:id="2195"/>
      <w:bookmarkEnd w:id="2196"/>
      <w:bookmarkEnd w:id="2197"/>
      <w:bookmarkEnd w:id="2198"/>
      <w:bookmarkEnd w:id="2199"/>
    </w:p>
    <w:p>
      <w:pPr>
        <w:spacing w:line="360" w:lineRule="auto"/>
        <w:ind w:firstLine="388"/>
        <w:rPr>
          <w:color w:val="auto"/>
          <w:highlight w:val="none"/>
        </w:rPr>
      </w:pPr>
      <w:r>
        <w:rPr>
          <w:color w:val="auto"/>
          <w:highlight w:val="none"/>
        </w:rPr>
        <w:t>整个杂散电流防护系统包含（包括但不限于）：</w:t>
      </w:r>
    </w:p>
    <w:p>
      <w:pPr>
        <w:numPr>
          <w:ilvl w:val="0"/>
          <w:numId w:val="0"/>
        </w:numPr>
        <w:tabs>
          <w:tab w:val="left" w:pos="1080"/>
        </w:tabs>
        <w:spacing w:line="360" w:lineRule="auto"/>
        <w:ind w:left="420" w:leftChars="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排流柜</w:t>
      </w:r>
    </w:p>
    <w:p>
      <w:pPr>
        <w:numPr>
          <w:ilvl w:val="0"/>
          <w:numId w:val="0"/>
        </w:numPr>
        <w:tabs>
          <w:tab w:val="left" w:pos="1080"/>
        </w:tabs>
        <w:spacing w:line="360" w:lineRule="auto"/>
        <w:ind w:left="420" w:leftChars="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杂散电流监测系统</w:t>
      </w:r>
    </w:p>
    <w:p>
      <w:pPr>
        <w:numPr>
          <w:ilvl w:val="0"/>
          <w:numId w:val="0"/>
        </w:numPr>
        <w:tabs>
          <w:tab w:val="left" w:pos="1080"/>
        </w:tabs>
        <w:spacing w:line="360" w:lineRule="auto"/>
        <w:ind w:left="420" w:leftChars="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单向导通装置</w:t>
      </w:r>
    </w:p>
    <w:p>
      <w:pPr>
        <w:numPr>
          <w:ilvl w:val="0"/>
          <w:numId w:val="0"/>
        </w:numPr>
        <w:tabs>
          <w:tab w:val="left" w:pos="1080"/>
        </w:tabs>
        <w:spacing w:line="360" w:lineRule="auto"/>
        <w:ind w:left="420" w:leftChars="0"/>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color w:val="auto"/>
          <w:highlight w:val="none"/>
        </w:rPr>
        <w:t>定向导通装置</w:t>
      </w:r>
    </w:p>
    <w:p>
      <w:pPr>
        <w:spacing w:line="360" w:lineRule="auto"/>
        <w:rPr>
          <w:color w:val="auto"/>
          <w:highlight w:val="none"/>
        </w:rPr>
      </w:pPr>
      <w:bookmarkStart w:id="2200" w:name="_Toc309026901"/>
      <w:bookmarkStart w:id="2201" w:name="_Toc306091628"/>
      <w:bookmarkStart w:id="2202" w:name="_Toc32139"/>
      <w:bookmarkStart w:id="2203" w:name="_Toc695"/>
      <w:bookmarkStart w:id="2204" w:name="_Toc26572"/>
      <w:bookmarkStart w:id="2205" w:name="_Toc18750"/>
      <w:bookmarkStart w:id="2206" w:name="_Toc309026507"/>
      <w:r>
        <w:rPr>
          <w:color w:val="auto"/>
          <w:highlight w:val="none"/>
        </w:rPr>
        <w:t>2.1.5接触网</w:t>
      </w:r>
      <w:bookmarkEnd w:id="2200"/>
      <w:bookmarkEnd w:id="2201"/>
      <w:bookmarkEnd w:id="2202"/>
      <w:bookmarkEnd w:id="2203"/>
      <w:bookmarkEnd w:id="2204"/>
      <w:bookmarkEnd w:id="2205"/>
      <w:bookmarkEnd w:id="2206"/>
    </w:p>
    <w:p>
      <w:pPr>
        <w:spacing w:line="360" w:lineRule="auto"/>
        <w:ind w:firstLine="388"/>
        <w:rPr>
          <w:color w:val="auto"/>
          <w:highlight w:val="none"/>
        </w:rPr>
      </w:pPr>
      <w:r>
        <w:rPr>
          <w:color w:val="auto"/>
          <w:highlight w:val="none"/>
        </w:rPr>
        <w:t>全线正线接触网地下区段采用架空刚性悬挂，地面及高架区段采用架空柔性悬挂，停车场采用架空柔性悬挂。主要设备有（包括但不限于）：</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隔离开关（柜）</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可视化接地装置</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刚性悬挂相关零部件</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color w:val="auto"/>
          <w:highlight w:val="none"/>
        </w:rPr>
        <w:t>柔性悬挂相关零部件</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color w:val="auto"/>
          <w:highlight w:val="none"/>
        </w:rPr>
        <w:t>分段绝缘器</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color w:val="auto"/>
          <w:highlight w:val="none"/>
        </w:rPr>
        <w:t>避雷器及放电间隙</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color w:val="auto"/>
          <w:highlight w:val="none"/>
        </w:rPr>
        <w:t>接触网相关线材</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color w:val="auto"/>
          <w:highlight w:val="none"/>
        </w:rPr>
        <w:t>支柱</w:t>
      </w:r>
    </w:p>
    <w:p>
      <w:pPr>
        <w:spacing w:line="360" w:lineRule="auto"/>
        <w:ind w:firstLine="420" w:firstLineChars="200"/>
        <w:rPr>
          <w:color w:val="auto"/>
          <w:highlight w:val="none"/>
        </w:rPr>
      </w:pPr>
      <w:r>
        <w:rPr>
          <w:color w:val="auto"/>
          <w:highlight w:val="none"/>
        </w:rPr>
        <w:t>以上设备仅供参考，业主有调整设备种类的权利。业主不排除不同标段的同一个设备选择两个及以上供货商的可能性。</w:t>
      </w:r>
      <w:bookmarkEnd w:id="2173"/>
    </w:p>
    <w:p>
      <w:pPr>
        <w:pStyle w:val="4"/>
        <w:bidi w:val="0"/>
        <w:rPr>
          <w:rFonts w:hint="eastAsia" w:ascii="黑体" w:hAnsi="黑体" w:eastAsia="黑体" w:cs="黑体"/>
          <w:color w:val="auto"/>
          <w:sz w:val="21"/>
          <w:szCs w:val="21"/>
          <w:highlight w:val="none"/>
        </w:rPr>
      </w:pPr>
      <w:bookmarkStart w:id="2207" w:name="_Toc10715"/>
      <w:bookmarkStart w:id="2208" w:name="_Toc184763332"/>
      <w:bookmarkStart w:id="2209" w:name="_Toc130847122"/>
      <w:r>
        <w:rPr>
          <w:rFonts w:hint="eastAsia" w:ascii="黑体" w:hAnsi="黑体" w:eastAsia="黑体" w:cs="黑体"/>
          <w:color w:val="auto"/>
          <w:sz w:val="21"/>
          <w:szCs w:val="21"/>
          <w:highlight w:val="none"/>
        </w:rPr>
        <w:t>2.</w:t>
      </w:r>
      <w:r>
        <w:rPr>
          <w:rFonts w:hint="eastAsia" w:ascii="黑体" w:hAnsi="黑体" w:eastAsia="黑体" w:cs="黑体"/>
          <w:color w:val="auto"/>
          <w:sz w:val="21"/>
          <w:szCs w:val="21"/>
          <w:highlight w:val="none"/>
          <w:lang w:val="en-US" w:eastAsia="zh-CN"/>
        </w:rPr>
        <w:t>2</w:t>
      </w:r>
      <w:r>
        <w:rPr>
          <w:rFonts w:hint="eastAsia" w:ascii="黑体" w:hAnsi="黑体" w:eastAsia="黑体" w:cs="黑体"/>
          <w:color w:val="auto"/>
          <w:sz w:val="21"/>
          <w:szCs w:val="21"/>
          <w:highlight w:val="none"/>
        </w:rPr>
        <w:t>弱电系统</w:t>
      </w:r>
      <w:bookmarkEnd w:id="2207"/>
    </w:p>
    <w:p>
      <w:pPr>
        <w:spacing w:line="360" w:lineRule="auto"/>
        <w:rPr>
          <w:color w:val="auto"/>
          <w:highlight w:val="none"/>
        </w:rPr>
      </w:pPr>
      <w:r>
        <w:rPr>
          <w:color w:val="auto"/>
          <w:highlight w:val="none"/>
        </w:rPr>
        <w:t>2.</w:t>
      </w:r>
      <w:r>
        <w:rPr>
          <w:rFonts w:hint="eastAsia"/>
          <w:color w:val="auto"/>
          <w:highlight w:val="none"/>
          <w:lang w:val="en-US" w:eastAsia="zh-CN"/>
        </w:rPr>
        <w:t>2</w:t>
      </w:r>
      <w:r>
        <w:rPr>
          <w:color w:val="auto"/>
          <w:highlight w:val="none"/>
        </w:rPr>
        <w:t>.1</w:t>
      </w:r>
      <w:r>
        <w:rPr>
          <w:rFonts w:hint="eastAsia"/>
          <w:color w:val="auto"/>
          <w:highlight w:val="none"/>
        </w:rPr>
        <w:t>通信系统</w:t>
      </w:r>
    </w:p>
    <w:p>
      <w:pPr>
        <w:spacing w:line="360" w:lineRule="auto"/>
        <w:ind w:firstLine="388"/>
        <w:rPr>
          <w:rFonts w:ascii="宋体" w:hAnsi="宋体"/>
          <w:color w:val="auto"/>
          <w:highlight w:val="none"/>
        </w:rPr>
      </w:pPr>
      <w:r>
        <w:rPr>
          <w:rFonts w:hint="eastAsia" w:ascii="宋体" w:hAnsi="宋体"/>
          <w:color w:val="auto"/>
          <w:highlight w:val="none"/>
        </w:rPr>
        <w:t>本工程</w:t>
      </w:r>
      <w:r>
        <w:rPr>
          <w:rFonts w:ascii="宋体" w:hAnsi="宋体"/>
          <w:color w:val="auto"/>
          <w:highlight w:val="none"/>
        </w:rPr>
        <w:t>通信系统是一个包含了专用通信、公安通信</w:t>
      </w:r>
      <w:r>
        <w:rPr>
          <w:rFonts w:hint="eastAsia" w:ascii="宋体" w:hAnsi="宋体"/>
          <w:color w:val="auto"/>
          <w:highlight w:val="none"/>
        </w:rPr>
        <w:t>以及乘客信息</w:t>
      </w:r>
      <w:r>
        <w:rPr>
          <w:rFonts w:ascii="宋体" w:hAnsi="宋体"/>
          <w:color w:val="auto"/>
          <w:highlight w:val="none"/>
        </w:rPr>
        <w:t>的综合通信系统，系统的</w:t>
      </w:r>
      <w:r>
        <w:rPr>
          <w:rFonts w:hint="eastAsia" w:ascii="宋体" w:hAnsi="宋体"/>
          <w:color w:val="auto"/>
          <w:highlight w:val="none"/>
        </w:rPr>
        <w:t>组成</w:t>
      </w:r>
      <w:r>
        <w:rPr>
          <w:rFonts w:ascii="宋体" w:hAnsi="宋体"/>
          <w:color w:val="auto"/>
          <w:highlight w:val="none"/>
        </w:rPr>
        <w:t>满足运营管理模式及功能的要求。</w:t>
      </w:r>
      <w:r>
        <w:rPr>
          <w:rFonts w:hint="eastAsia" w:ascii="宋体" w:hAnsi="宋体"/>
          <w:color w:val="auto"/>
          <w:highlight w:val="none"/>
        </w:rPr>
        <w:t>本线作为2号线一、二期工程的延伸</w:t>
      </w:r>
      <w:r>
        <w:rPr>
          <w:rFonts w:ascii="宋体" w:hAnsi="宋体"/>
          <w:color w:val="auto"/>
          <w:highlight w:val="none"/>
        </w:rPr>
        <w:t>，</w:t>
      </w:r>
      <w:r>
        <w:rPr>
          <w:rFonts w:hint="eastAsia" w:ascii="宋体" w:hAnsi="宋体"/>
          <w:color w:val="auto"/>
          <w:highlight w:val="none"/>
        </w:rPr>
        <w:t>通信系统制式及构成考虑与既有线保持一致或兼容，并</w:t>
      </w:r>
      <w:r>
        <w:rPr>
          <w:rFonts w:ascii="宋体" w:hAnsi="宋体"/>
          <w:color w:val="auto"/>
          <w:highlight w:val="none"/>
        </w:rPr>
        <w:t>预留其它规划线</w:t>
      </w:r>
      <w:r>
        <w:rPr>
          <w:rFonts w:hint="eastAsia" w:ascii="宋体" w:hAnsi="宋体"/>
          <w:color w:val="auto"/>
          <w:highlight w:val="none"/>
        </w:rPr>
        <w:t>路</w:t>
      </w:r>
      <w:r>
        <w:rPr>
          <w:rFonts w:ascii="宋体" w:hAnsi="宋体"/>
          <w:color w:val="auto"/>
          <w:highlight w:val="none"/>
        </w:rPr>
        <w:t>的</w:t>
      </w:r>
      <w:r>
        <w:rPr>
          <w:rFonts w:hint="eastAsia" w:ascii="宋体" w:hAnsi="宋体"/>
          <w:color w:val="auto"/>
          <w:highlight w:val="none"/>
        </w:rPr>
        <w:t>互联互通</w:t>
      </w:r>
      <w:r>
        <w:rPr>
          <w:rFonts w:ascii="宋体" w:hAnsi="宋体"/>
          <w:color w:val="auto"/>
          <w:highlight w:val="none"/>
        </w:rPr>
        <w:t>条件。</w:t>
      </w:r>
    </w:p>
    <w:p>
      <w:pPr>
        <w:spacing w:line="360" w:lineRule="auto"/>
        <w:ind w:firstLine="388"/>
        <w:rPr>
          <w:rFonts w:hint="eastAsia" w:ascii="宋体" w:hAnsi="宋体"/>
          <w:color w:val="auto"/>
          <w:highlight w:val="none"/>
        </w:rPr>
      </w:pPr>
      <w:r>
        <w:rPr>
          <w:rFonts w:hint="eastAsia"/>
          <w:color w:val="auto"/>
          <w:highlight w:val="none"/>
        </w:rPr>
        <w:t>通信</w:t>
      </w:r>
      <w:r>
        <w:rPr>
          <w:color w:val="auto"/>
          <w:highlight w:val="none"/>
        </w:rPr>
        <w:t>系统</w:t>
      </w:r>
      <w:r>
        <w:rPr>
          <w:rFonts w:hint="eastAsia"/>
          <w:color w:val="auto"/>
          <w:highlight w:val="none"/>
        </w:rPr>
        <w:t>主要</w:t>
      </w:r>
      <w:r>
        <w:rPr>
          <w:color w:val="auto"/>
          <w:highlight w:val="none"/>
        </w:rPr>
        <w:t>包含（包括但不限于）：</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传输系统设备（传输节点设备、ODF等）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无线通信系统设备（集群基站、天馈设备、漏缆、车载设备等）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公务电话系统设备（电话接入网关、中继网关、话机等）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专用电话系统设备（数字调度分系统设备、调度分机、值班台等）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广播系统设备（广播控制设备、扬声器、噪感器、广播电缆等）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时钟系统设备（二级母钟、子钟、电缆等）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视频会议设备（MCU、分会场终端设备等）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rPr>
        <w:t>信息安全防护设备（安全管理平台、防火墙、堡垒机、IPS等）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公安通信设备（传输节点设备、3</w:t>
      </w:r>
      <w:r>
        <w:rPr>
          <w:color w:val="auto"/>
          <w:highlight w:val="none"/>
        </w:rPr>
        <w:t>50</w:t>
      </w:r>
      <w:r>
        <w:rPr>
          <w:rFonts w:hint="eastAsia"/>
          <w:color w:val="auto"/>
          <w:highlight w:val="none"/>
        </w:rPr>
        <w:t>M</w:t>
      </w:r>
      <w:r>
        <w:rPr>
          <w:color w:val="auto"/>
          <w:highlight w:val="none"/>
        </w:rPr>
        <w:t xml:space="preserve"> </w:t>
      </w:r>
      <w:r>
        <w:rPr>
          <w:rFonts w:hint="eastAsia"/>
          <w:color w:val="auto"/>
          <w:highlight w:val="none"/>
        </w:rPr>
        <w:t>PDT基站设备、公安电话设备、网络设备等）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10</w:t>
      </w:r>
      <w:r>
        <w:rPr>
          <w:rFonts w:hint="eastAsia"/>
          <w:color w:val="auto"/>
          <w:highlight w:val="none"/>
          <w:lang w:eastAsia="zh-CN"/>
        </w:rPr>
        <w:t>）</w:t>
      </w:r>
      <w:r>
        <w:rPr>
          <w:rFonts w:hint="eastAsia"/>
          <w:color w:val="auto"/>
          <w:highlight w:val="none"/>
        </w:rPr>
        <w:t>乘客信息设备（播放控制器、终端显示设备、车地无线设备、车载设备等）</w:t>
      </w:r>
    </w:p>
    <w:p>
      <w:pPr>
        <w:spacing w:line="360" w:lineRule="auto"/>
        <w:rPr>
          <w:color w:val="auto"/>
          <w:highlight w:val="none"/>
        </w:rPr>
      </w:pPr>
      <w:r>
        <w:rPr>
          <w:color w:val="auto"/>
          <w:highlight w:val="none"/>
        </w:rPr>
        <w:t>2.</w:t>
      </w:r>
      <w:r>
        <w:rPr>
          <w:rFonts w:hint="eastAsia"/>
          <w:color w:val="auto"/>
          <w:highlight w:val="none"/>
          <w:lang w:val="en-US" w:eastAsia="zh-CN"/>
        </w:rPr>
        <w:t>2</w:t>
      </w:r>
      <w:r>
        <w:rPr>
          <w:color w:val="auto"/>
          <w:highlight w:val="none"/>
        </w:rPr>
        <w:t>.2</w:t>
      </w:r>
      <w:r>
        <w:rPr>
          <w:rFonts w:hint="eastAsia"/>
          <w:color w:val="auto"/>
          <w:highlight w:val="none"/>
        </w:rPr>
        <w:t>信号系统</w:t>
      </w:r>
    </w:p>
    <w:p>
      <w:pPr>
        <w:spacing w:line="360" w:lineRule="auto"/>
        <w:ind w:firstLine="388"/>
        <w:rPr>
          <w:rFonts w:ascii="宋体" w:hAnsi="宋体"/>
          <w:color w:val="auto"/>
          <w:highlight w:val="none"/>
        </w:rPr>
      </w:pPr>
      <w:r>
        <w:rPr>
          <w:rFonts w:hint="eastAsia" w:ascii="宋体" w:hAnsi="宋体"/>
          <w:color w:val="auto"/>
          <w:highlight w:val="none"/>
        </w:rPr>
        <w:t>信号系统采用与一、二期工程一致的区域分布型ATC结构方案，主要由ATS、ATP/ATO、CI、DCS、MSS子系统组成</w:t>
      </w:r>
      <w:r>
        <w:rPr>
          <w:rFonts w:ascii="宋体" w:hAnsi="宋体"/>
          <w:color w:val="auto"/>
          <w:highlight w:val="none"/>
        </w:rPr>
        <w:t>。</w:t>
      </w:r>
      <w:r>
        <w:rPr>
          <w:rFonts w:hint="eastAsia" w:ascii="宋体" w:hAnsi="宋体"/>
          <w:color w:val="auto"/>
          <w:highlight w:val="none"/>
        </w:rPr>
        <w:t>信号</w:t>
      </w:r>
      <w:r>
        <w:rPr>
          <w:color w:val="auto"/>
          <w:highlight w:val="none"/>
        </w:rPr>
        <w:t>系统</w:t>
      </w:r>
      <w:r>
        <w:rPr>
          <w:rFonts w:hint="eastAsia"/>
          <w:color w:val="auto"/>
          <w:highlight w:val="none"/>
        </w:rPr>
        <w:t>主要</w:t>
      </w:r>
      <w:r>
        <w:rPr>
          <w:color w:val="auto"/>
          <w:highlight w:val="none"/>
        </w:rPr>
        <w:t>包含（包括但不限于）：</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ATS子系统设备（数据库服务器、应用服务器、ATS工作站、网络设备、电源设等）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ATP子系统设备（轨旁ATP设备、车载ATP设备、紧急停车按钮等）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ATO子系统设备（车载ATO设备、轨旁ATO设备等）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连锁子系统设备（连锁控制计算机、现地控制工作站、驱动及表示接口、信号机、转辙机、配套线缆及箱盒等）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DCS子系统设备（有线传输设备、网络管理设备、配套机柜、箱盒、线缆等）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维护监测子系统设备（维护监测工作站及打印机等）</w:t>
      </w:r>
    </w:p>
    <w:p>
      <w:pPr>
        <w:pStyle w:val="26"/>
        <w:numPr>
          <w:ilvl w:val="0"/>
          <w:numId w:val="0"/>
        </w:numPr>
        <w:spacing w:line="360" w:lineRule="auto"/>
        <w:ind w:left="420" w:leftChars="0"/>
        <w:jc w:val="left"/>
        <w:rPr>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信息安全等保设备</w:t>
      </w:r>
    </w:p>
    <w:p>
      <w:pPr>
        <w:spacing w:line="360" w:lineRule="auto"/>
        <w:rPr>
          <w:color w:val="auto"/>
          <w:highlight w:val="none"/>
        </w:rPr>
      </w:pPr>
      <w:r>
        <w:rPr>
          <w:color w:val="auto"/>
          <w:highlight w:val="none"/>
        </w:rPr>
        <w:t>2.</w:t>
      </w:r>
      <w:r>
        <w:rPr>
          <w:rFonts w:hint="eastAsia"/>
          <w:color w:val="auto"/>
          <w:highlight w:val="none"/>
          <w:lang w:val="en-US" w:eastAsia="zh-CN"/>
        </w:rPr>
        <w:t>2</w:t>
      </w:r>
      <w:r>
        <w:rPr>
          <w:color w:val="auto"/>
          <w:highlight w:val="none"/>
        </w:rPr>
        <w:t>.3</w:t>
      </w:r>
      <w:r>
        <w:rPr>
          <w:rFonts w:hint="eastAsia"/>
          <w:color w:val="auto"/>
          <w:highlight w:val="none"/>
        </w:rPr>
        <w:t>综合监控系统</w:t>
      </w:r>
    </w:p>
    <w:p>
      <w:pPr>
        <w:spacing w:line="360" w:lineRule="auto"/>
        <w:ind w:firstLine="388"/>
        <w:rPr>
          <w:color w:val="auto"/>
          <w:highlight w:val="none"/>
        </w:rPr>
      </w:pPr>
      <w:r>
        <w:rPr>
          <w:color w:val="auto"/>
          <w:highlight w:val="none"/>
        </w:rPr>
        <w:t>综合监控系统包含火灾自动报警系统、环境与设备监控系统、隧道感温光纤</w:t>
      </w:r>
      <w:r>
        <w:rPr>
          <w:rFonts w:hint="eastAsia"/>
          <w:color w:val="auto"/>
          <w:highlight w:val="none"/>
        </w:rPr>
        <w:t>、</w:t>
      </w:r>
      <w:r>
        <w:rPr>
          <w:rFonts w:hint="eastAsia" w:ascii="宋体" w:hAnsi="宋体"/>
          <w:color w:val="auto"/>
          <w:szCs w:val="21"/>
          <w:highlight w:val="none"/>
        </w:rPr>
        <w:t>气体灭火系统（含控制系统、阀门、喷头、各类气瓶等）、电力监控系统</w:t>
      </w:r>
      <w:r>
        <w:rPr>
          <w:color w:val="auto"/>
          <w:highlight w:val="none"/>
        </w:rPr>
        <w:t>等子系统。主要设备有（包括但不限于）：</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服务器</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交换机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工作站</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ascii="宋体" w:hAnsi="宋体"/>
          <w:color w:val="auto"/>
          <w:highlight w:val="none"/>
        </w:rPr>
        <w:t>打印机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ascii="宋体" w:hAnsi="宋体"/>
          <w:color w:val="auto"/>
          <w:highlight w:val="none"/>
        </w:rPr>
        <w:t>UPS</w:t>
      </w:r>
      <w:r>
        <w:rPr>
          <w:rFonts w:hint="eastAsia" w:ascii="宋体" w:hAnsi="宋体"/>
          <w:color w:val="auto"/>
          <w:highlight w:val="none"/>
        </w:rPr>
        <w:t>设备</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w:t>
      </w:r>
      <w:r>
        <w:rPr>
          <w:rFonts w:ascii="宋体" w:hAnsi="宋体"/>
          <w:color w:val="auto"/>
          <w:highlight w:val="none"/>
        </w:rPr>
        <w:t>火灾报警主机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w:t>
      </w:r>
      <w:r>
        <w:rPr>
          <w:rFonts w:ascii="宋体" w:hAnsi="宋体"/>
          <w:color w:val="auto"/>
          <w:highlight w:val="none"/>
        </w:rPr>
        <w:t>消防联动盘</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8</w:t>
      </w:r>
      <w:r>
        <w:rPr>
          <w:rFonts w:hint="eastAsia" w:ascii="宋体" w:hAnsi="宋体"/>
          <w:color w:val="auto"/>
          <w:highlight w:val="none"/>
          <w:lang w:eastAsia="zh-CN"/>
        </w:rPr>
        <w:t>）</w:t>
      </w:r>
      <w:r>
        <w:rPr>
          <w:rFonts w:ascii="宋体" w:hAnsi="宋体"/>
          <w:color w:val="auto"/>
          <w:highlight w:val="none"/>
        </w:rPr>
        <w:t>感温光纤主机</w:t>
      </w:r>
    </w:p>
    <w:p>
      <w:pPr>
        <w:numPr>
          <w:ilvl w:val="0"/>
          <w:numId w:val="0"/>
        </w:numPr>
        <w:spacing w:line="360" w:lineRule="auto"/>
        <w:ind w:left="388" w:leftChars="0"/>
        <w:jc w:val="left"/>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w:t>
      </w:r>
      <w:r>
        <w:rPr>
          <w:rFonts w:ascii="宋体" w:hAnsi="宋体"/>
          <w:color w:val="auto"/>
          <w:highlight w:val="none"/>
        </w:rPr>
        <w:t>PLC控制器</w:t>
      </w:r>
    </w:p>
    <w:p>
      <w:pPr>
        <w:numPr>
          <w:ilvl w:val="0"/>
          <w:numId w:val="0"/>
        </w:numPr>
        <w:spacing w:line="360" w:lineRule="auto"/>
        <w:ind w:left="388" w:leftChars="0"/>
        <w:rPr>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ascii="宋体" w:hAnsi="宋体"/>
          <w:color w:val="auto"/>
          <w:highlight w:val="none"/>
        </w:rPr>
        <w:t>就地控制箱</w:t>
      </w:r>
    </w:p>
    <w:p>
      <w:pPr>
        <w:spacing w:line="360" w:lineRule="auto"/>
        <w:rPr>
          <w:color w:val="auto"/>
          <w:highlight w:val="none"/>
        </w:rPr>
      </w:pPr>
      <w:r>
        <w:rPr>
          <w:color w:val="auto"/>
          <w:highlight w:val="none"/>
        </w:rPr>
        <w:t>2.</w:t>
      </w:r>
      <w:r>
        <w:rPr>
          <w:rFonts w:hint="eastAsia"/>
          <w:color w:val="auto"/>
          <w:highlight w:val="none"/>
          <w:lang w:val="en-US" w:eastAsia="zh-CN"/>
        </w:rPr>
        <w:t>2</w:t>
      </w:r>
      <w:r>
        <w:rPr>
          <w:color w:val="auto"/>
          <w:highlight w:val="none"/>
        </w:rPr>
        <w:t>.4</w:t>
      </w:r>
      <w:r>
        <w:rPr>
          <w:rFonts w:hint="eastAsia"/>
          <w:color w:val="auto"/>
          <w:highlight w:val="none"/>
        </w:rPr>
        <w:t>自动售检票系统</w:t>
      </w:r>
    </w:p>
    <w:p>
      <w:pPr>
        <w:spacing w:line="360" w:lineRule="auto"/>
        <w:ind w:firstLine="388"/>
        <w:rPr>
          <w:rFonts w:ascii="宋体" w:hAnsi="宋体"/>
          <w:color w:val="auto"/>
          <w:highlight w:val="none"/>
        </w:rPr>
      </w:pPr>
      <w:r>
        <w:rPr>
          <w:rFonts w:hint="eastAsia" w:ascii="宋体" w:hAnsi="宋体"/>
          <w:color w:val="auto"/>
          <w:highlight w:val="none"/>
        </w:rPr>
        <w:t>东莞市</w:t>
      </w:r>
      <w:r>
        <w:rPr>
          <w:rFonts w:ascii="宋体" w:hAnsi="宋体"/>
          <w:color w:val="auto"/>
          <w:highlight w:val="none"/>
        </w:rPr>
        <w:t>轨道交通2</w:t>
      </w:r>
      <w:r>
        <w:rPr>
          <w:rFonts w:hint="eastAsia" w:ascii="宋体" w:hAnsi="宋体"/>
          <w:color w:val="auto"/>
          <w:highlight w:val="none"/>
        </w:rPr>
        <w:t>号线三期工程自动售检票系统</w:t>
      </w:r>
      <w:r>
        <w:rPr>
          <w:rFonts w:ascii="宋体" w:hAnsi="宋体"/>
          <w:color w:val="auto"/>
          <w:highlight w:val="none"/>
        </w:rPr>
        <w:t>由线路中央计算机系统、车站计算机系统、车站终端设备</w:t>
      </w:r>
      <w:r>
        <w:rPr>
          <w:rFonts w:hint="eastAsia" w:ascii="宋体" w:hAnsi="宋体"/>
          <w:color w:val="auto"/>
          <w:highlight w:val="none"/>
        </w:rPr>
        <w:t>、</w:t>
      </w:r>
      <w:r>
        <w:rPr>
          <w:rFonts w:ascii="宋体" w:hAnsi="宋体"/>
          <w:color w:val="auto"/>
          <w:highlight w:val="none"/>
        </w:rPr>
        <w:t>车票及相应的通信网络</w:t>
      </w:r>
      <w:r>
        <w:rPr>
          <w:rFonts w:hint="eastAsia" w:ascii="宋体" w:hAnsi="宋体"/>
          <w:color w:val="auto"/>
          <w:highlight w:val="none"/>
        </w:rPr>
        <w:t>构成。自动售检票</w:t>
      </w:r>
      <w:r>
        <w:rPr>
          <w:color w:val="auto"/>
          <w:highlight w:val="none"/>
        </w:rPr>
        <w:t>系统</w:t>
      </w:r>
      <w:r>
        <w:rPr>
          <w:rFonts w:hint="eastAsia"/>
          <w:color w:val="auto"/>
          <w:highlight w:val="none"/>
        </w:rPr>
        <w:t>设备主要</w:t>
      </w:r>
      <w:r>
        <w:rPr>
          <w:color w:val="auto"/>
          <w:highlight w:val="none"/>
        </w:rPr>
        <w:t>包含（包括但不限于）：</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服务器</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交换机</w:t>
      </w:r>
    </w:p>
    <w:p>
      <w:pPr>
        <w:numPr>
          <w:ilvl w:val="0"/>
          <w:numId w:val="0"/>
        </w:numPr>
        <w:spacing w:line="360" w:lineRule="auto"/>
        <w:ind w:left="388" w:left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磁盘阵列</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rPr>
        <w:t>工作站</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hint="eastAsia" w:ascii="宋体" w:hAnsi="宋体"/>
          <w:color w:val="auto"/>
          <w:highlight w:val="none"/>
        </w:rPr>
        <w:t>打印机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w:t>
      </w:r>
      <w:r>
        <w:rPr>
          <w:rFonts w:hint="eastAsia" w:ascii="宋体" w:hAnsi="宋体"/>
          <w:color w:val="auto"/>
          <w:highlight w:val="none"/>
        </w:rPr>
        <w:t>票房售票机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w:t>
      </w:r>
      <w:r>
        <w:rPr>
          <w:rFonts w:hint="eastAsia" w:ascii="宋体" w:hAnsi="宋体"/>
          <w:color w:val="auto"/>
          <w:highlight w:val="none"/>
        </w:rPr>
        <w:t>智能客服中心</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8</w:t>
      </w:r>
      <w:r>
        <w:rPr>
          <w:rFonts w:hint="eastAsia" w:ascii="宋体" w:hAnsi="宋体"/>
          <w:color w:val="auto"/>
          <w:highlight w:val="none"/>
          <w:lang w:eastAsia="zh-CN"/>
        </w:rPr>
        <w:t>）</w:t>
      </w:r>
      <w:r>
        <w:rPr>
          <w:rFonts w:hint="eastAsia" w:ascii="宋体" w:hAnsi="宋体"/>
          <w:color w:val="auto"/>
          <w:highlight w:val="none"/>
        </w:rPr>
        <w:t>自动售票机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自动检票机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hint="eastAsia" w:ascii="宋体" w:hAnsi="宋体"/>
          <w:color w:val="auto"/>
          <w:highlight w:val="none"/>
        </w:rPr>
        <w:t>便携式验票机</w:t>
      </w:r>
    </w:p>
    <w:p>
      <w:pPr>
        <w:numPr>
          <w:ilvl w:val="0"/>
          <w:numId w:val="0"/>
        </w:numPr>
        <w:spacing w:line="360" w:lineRule="auto"/>
        <w:ind w:left="388" w:leftChars="0"/>
        <w:rPr>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11</w:t>
      </w:r>
      <w:r>
        <w:rPr>
          <w:rFonts w:hint="eastAsia" w:ascii="宋体" w:hAnsi="宋体"/>
          <w:color w:val="auto"/>
          <w:highlight w:val="none"/>
          <w:lang w:eastAsia="zh-CN"/>
        </w:rPr>
        <w:t>）</w:t>
      </w:r>
      <w:r>
        <w:rPr>
          <w:rFonts w:hint="eastAsia" w:ascii="宋体" w:hAnsi="宋体"/>
          <w:color w:val="auto"/>
          <w:highlight w:val="none"/>
        </w:rPr>
        <w:t>信息安全防护设备</w:t>
      </w:r>
    </w:p>
    <w:p>
      <w:pPr>
        <w:spacing w:line="360" w:lineRule="auto"/>
        <w:rPr>
          <w:color w:val="auto"/>
          <w:highlight w:val="none"/>
        </w:rPr>
      </w:pPr>
      <w:r>
        <w:rPr>
          <w:color w:val="auto"/>
          <w:highlight w:val="none"/>
        </w:rPr>
        <w:t>2.</w:t>
      </w:r>
      <w:r>
        <w:rPr>
          <w:rFonts w:hint="eastAsia"/>
          <w:color w:val="auto"/>
          <w:highlight w:val="none"/>
          <w:lang w:val="en-US" w:eastAsia="zh-CN"/>
        </w:rPr>
        <w:t>2</w:t>
      </w:r>
      <w:r>
        <w:rPr>
          <w:color w:val="auto"/>
          <w:highlight w:val="none"/>
        </w:rPr>
        <w:t>.5</w:t>
      </w:r>
      <w:r>
        <w:rPr>
          <w:rFonts w:hint="eastAsia"/>
          <w:color w:val="auto"/>
          <w:highlight w:val="none"/>
        </w:rPr>
        <w:t>安防系统</w:t>
      </w:r>
    </w:p>
    <w:p>
      <w:pPr>
        <w:spacing w:line="360" w:lineRule="auto"/>
        <w:ind w:firstLine="388"/>
        <w:rPr>
          <w:color w:val="auto"/>
          <w:highlight w:val="none"/>
        </w:rPr>
      </w:pPr>
      <w:r>
        <w:rPr>
          <w:rFonts w:hint="eastAsia" w:ascii="宋体" w:hAnsi="宋体"/>
          <w:color w:val="auto"/>
          <w:highlight w:val="none"/>
        </w:rPr>
        <w:t>本工程的安全防范系统由中央安防集成平台、车站安防集成平台以及安全检查及探测、视频监控、入侵报警、出入口控制、电子巡查、机动车管理、乘客求助等系统构成。安防</w:t>
      </w:r>
      <w:r>
        <w:rPr>
          <w:color w:val="auto"/>
          <w:highlight w:val="none"/>
        </w:rPr>
        <w:t>系统</w:t>
      </w:r>
      <w:r>
        <w:rPr>
          <w:rFonts w:hint="eastAsia"/>
          <w:color w:val="auto"/>
          <w:highlight w:val="none"/>
        </w:rPr>
        <w:t>设备主要</w:t>
      </w:r>
      <w:r>
        <w:rPr>
          <w:color w:val="auto"/>
          <w:highlight w:val="none"/>
        </w:rPr>
        <w:t>包含（包括但不限于）：</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服务器</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工作站</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交换机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rPr>
        <w:t>存储设备</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hint="eastAsia" w:ascii="宋体" w:hAnsi="宋体"/>
          <w:color w:val="auto"/>
          <w:highlight w:val="none"/>
        </w:rPr>
        <w:t>门禁控制器</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w:t>
      </w:r>
      <w:r>
        <w:rPr>
          <w:rFonts w:hint="eastAsia" w:ascii="宋体" w:hAnsi="宋体"/>
          <w:color w:val="auto"/>
          <w:highlight w:val="none"/>
        </w:rPr>
        <w:t>门锁</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w:t>
      </w:r>
      <w:r>
        <w:rPr>
          <w:rFonts w:hint="eastAsia" w:ascii="宋体" w:hAnsi="宋体"/>
          <w:color w:val="auto"/>
          <w:highlight w:val="none"/>
        </w:rPr>
        <w:t>门磁</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8</w:t>
      </w:r>
      <w:r>
        <w:rPr>
          <w:rFonts w:hint="eastAsia" w:ascii="宋体" w:hAnsi="宋体"/>
          <w:color w:val="auto"/>
          <w:highlight w:val="none"/>
          <w:lang w:eastAsia="zh-CN"/>
        </w:rPr>
        <w:t>）</w:t>
      </w:r>
      <w:r>
        <w:rPr>
          <w:rFonts w:hint="eastAsia" w:ascii="宋体" w:hAnsi="宋体"/>
          <w:color w:val="auto"/>
          <w:highlight w:val="none"/>
        </w:rPr>
        <w:t>开门按钮</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读卡器</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hint="eastAsia" w:ascii="宋体" w:hAnsi="宋体"/>
          <w:color w:val="auto"/>
          <w:highlight w:val="none"/>
        </w:rPr>
        <w:t>乘客求助告警主机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11</w:t>
      </w:r>
      <w:r>
        <w:rPr>
          <w:rFonts w:hint="eastAsia" w:ascii="宋体" w:hAnsi="宋体"/>
          <w:color w:val="auto"/>
          <w:highlight w:val="none"/>
          <w:lang w:eastAsia="zh-CN"/>
        </w:rPr>
        <w:t>）</w:t>
      </w:r>
      <w:r>
        <w:rPr>
          <w:rFonts w:hint="eastAsia" w:ascii="宋体" w:hAnsi="宋体"/>
          <w:color w:val="auto"/>
          <w:highlight w:val="none"/>
        </w:rPr>
        <w:t>乘客求助告警分机</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12</w:t>
      </w:r>
      <w:r>
        <w:rPr>
          <w:rFonts w:hint="eastAsia" w:ascii="宋体" w:hAnsi="宋体"/>
          <w:color w:val="auto"/>
          <w:highlight w:val="none"/>
          <w:lang w:eastAsia="zh-CN"/>
        </w:rPr>
        <w:t>）</w:t>
      </w:r>
      <w:r>
        <w:rPr>
          <w:rFonts w:hint="eastAsia" w:ascii="宋体" w:hAnsi="宋体"/>
          <w:color w:val="auto"/>
          <w:highlight w:val="none"/>
        </w:rPr>
        <w:t>摄像机</w:t>
      </w:r>
    </w:p>
    <w:p>
      <w:pPr>
        <w:numPr>
          <w:ilvl w:val="0"/>
          <w:numId w:val="0"/>
        </w:numPr>
        <w:spacing w:line="360" w:lineRule="auto"/>
        <w:ind w:left="388"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w:t>
      </w:r>
      <w:r>
        <w:rPr>
          <w:rFonts w:hint="eastAsia" w:ascii="宋体" w:hAnsi="宋体"/>
          <w:color w:val="auto"/>
          <w:highlight w:val="none"/>
        </w:rPr>
        <w:t>监视器</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14</w:t>
      </w:r>
      <w:r>
        <w:rPr>
          <w:rFonts w:hint="eastAsia" w:ascii="宋体" w:hAnsi="宋体"/>
          <w:color w:val="auto"/>
          <w:highlight w:val="none"/>
          <w:lang w:eastAsia="zh-CN"/>
        </w:rPr>
        <w:t>）</w:t>
      </w:r>
      <w:r>
        <w:rPr>
          <w:rFonts w:hint="eastAsia" w:ascii="宋体" w:hAnsi="宋体"/>
          <w:color w:val="auto"/>
          <w:highlight w:val="none"/>
        </w:rPr>
        <w:t>电子巡查设备</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15</w:t>
      </w:r>
      <w:r>
        <w:rPr>
          <w:rFonts w:hint="eastAsia" w:ascii="宋体" w:hAnsi="宋体"/>
          <w:color w:val="auto"/>
          <w:highlight w:val="none"/>
          <w:lang w:eastAsia="zh-CN"/>
        </w:rPr>
        <w:t>）</w:t>
      </w:r>
      <w:r>
        <w:rPr>
          <w:rFonts w:hint="eastAsia" w:ascii="宋体" w:hAnsi="宋体"/>
          <w:color w:val="auto"/>
          <w:highlight w:val="none"/>
        </w:rPr>
        <w:t>机动车管理设备</w:t>
      </w:r>
    </w:p>
    <w:p>
      <w:pPr>
        <w:numPr>
          <w:ilvl w:val="0"/>
          <w:numId w:val="0"/>
        </w:numPr>
        <w:spacing w:line="360" w:lineRule="auto"/>
        <w:ind w:left="388" w:leftChars="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16</w:t>
      </w:r>
      <w:r>
        <w:rPr>
          <w:rFonts w:hint="eastAsia" w:ascii="宋体" w:hAnsi="宋体"/>
          <w:color w:val="auto"/>
          <w:highlight w:val="none"/>
          <w:lang w:eastAsia="zh-CN"/>
        </w:rPr>
        <w:t>）</w:t>
      </w:r>
      <w:r>
        <w:rPr>
          <w:rFonts w:hint="eastAsia" w:ascii="宋体" w:hAnsi="宋体"/>
          <w:color w:val="auto"/>
          <w:highlight w:val="none"/>
        </w:rPr>
        <w:t>周界报警设备</w:t>
      </w:r>
    </w:p>
    <w:p>
      <w:pPr>
        <w:numPr>
          <w:ilvl w:val="0"/>
          <w:numId w:val="0"/>
        </w:numPr>
        <w:spacing w:line="360" w:lineRule="auto"/>
        <w:ind w:left="388" w:leftChars="0"/>
        <w:rPr>
          <w:color w:val="auto"/>
          <w:szCs w:val="21"/>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17</w:t>
      </w:r>
      <w:r>
        <w:rPr>
          <w:rFonts w:hint="eastAsia" w:ascii="宋体" w:hAnsi="宋体"/>
          <w:color w:val="auto"/>
          <w:highlight w:val="none"/>
          <w:lang w:eastAsia="zh-CN"/>
        </w:rPr>
        <w:t>）</w:t>
      </w:r>
      <w:r>
        <w:rPr>
          <w:rFonts w:hint="eastAsia" w:ascii="宋体" w:hAnsi="宋体"/>
          <w:color w:val="auto"/>
          <w:highlight w:val="none"/>
        </w:rPr>
        <w:t>安全检查及探测设备</w:t>
      </w:r>
    </w:p>
    <w:p>
      <w:pPr>
        <w:pageBreakBefore w:val="0"/>
        <w:widowControl w:val="0"/>
        <w:kinsoku/>
        <w:wordWrap/>
        <w:overflowPunct/>
        <w:topLinePunct w:val="0"/>
        <w:autoSpaceDE/>
        <w:autoSpaceDN/>
        <w:bidi w:val="0"/>
        <w:snapToGrid/>
        <w:spacing w:line="440" w:lineRule="exact"/>
        <w:ind w:firstLine="420" w:firstLineChars="200"/>
        <w:rPr>
          <w:color w:val="auto"/>
          <w:szCs w:val="21"/>
          <w:highlight w:val="none"/>
        </w:rPr>
      </w:pPr>
      <w:r>
        <w:rPr>
          <w:color w:val="auto"/>
          <w:szCs w:val="21"/>
          <w:highlight w:val="none"/>
        </w:rPr>
        <w:t>以上设备仅供参考，业主有调整设备种类的权利。业主不排除不同标段的同一个设备选择两个及以上供货商的可能性。</w:t>
      </w:r>
    </w:p>
    <w:p>
      <w:pPr>
        <w:pStyle w:val="4"/>
        <w:pageBreakBefore w:val="0"/>
        <w:widowControl w:val="0"/>
        <w:kinsoku/>
        <w:wordWrap/>
        <w:overflowPunct/>
        <w:topLinePunct w:val="0"/>
        <w:autoSpaceDE/>
        <w:autoSpaceDN/>
        <w:bidi w:val="0"/>
        <w:snapToGrid/>
        <w:spacing w:before="0" w:after="0" w:line="240" w:lineRule="auto"/>
        <w:rPr>
          <w:rFonts w:hint="eastAsia" w:ascii="黑体" w:hAnsi="黑体" w:eastAsia="黑体" w:cs="黑体"/>
          <w:color w:val="auto"/>
          <w:sz w:val="21"/>
          <w:szCs w:val="21"/>
          <w:highlight w:val="none"/>
        </w:rPr>
      </w:pPr>
      <w:bookmarkStart w:id="2210" w:name="_Toc29825"/>
      <w:r>
        <w:rPr>
          <w:rFonts w:hint="eastAsia" w:ascii="黑体" w:hAnsi="黑体" w:eastAsia="黑体" w:cs="黑体"/>
          <w:color w:val="auto"/>
          <w:sz w:val="21"/>
          <w:szCs w:val="21"/>
          <w:highlight w:val="none"/>
        </w:rPr>
        <w:t>2.</w:t>
      </w:r>
      <w:r>
        <w:rPr>
          <w:rFonts w:hint="eastAsia" w:ascii="黑体" w:hAnsi="黑体" w:eastAsia="黑体" w:cs="黑体"/>
          <w:color w:val="auto"/>
          <w:sz w:val="21"/>
          <w:szCs w:val="21"/>
          <w:highlight w:val="none"/>
          <w:lang w:val="en-US" w:eastAsia="zh-CN"/>
        </w:rPr>
        <w:t>3</w:t>
      </w:r>
      <w:r>
        <w:rPr>
          <w:rFonts w:hint="eastAsia" w:ascii="黑体" w:hAnsi="黑体" w:eastAsia="黑体" w:cs="黑体"/>
          <w:color w:val="auto"/>
          <w:sz w:val="21"/>
          <w:szCs w:val="21"/>
          <w:highlight w:val="none"/>
        </w:rPr>
        <w:t>车站设备系统</w:t>
      </w:r>
      <w:bookmarkEnd w:id="2208"/>
      <w:bookmarkEnd w:id="2209"/>
      <w:bookmarkEnd w:id="2210"/>
    </w:p>
    <w:p>
      <w:pPr>
        <w:pageBreakBefore w:val="0"/>
        <w:widowControl w:val="0"/>
        <w:kinsoku/>
        <w:wordWrap/>
        <w:overflowPunct/>
        <w:topLinePunct w:val="0"/>
        <w:autoSpaceDE/>
        <w:autoSpaceDN/>
        <w:bidi w:val="0"/>
        <w:snapToGrid/>
        <w:spacing w:line="440" w:lineRule="exact"/>
        <w:rPr>
          <w:color w:val="auto"/>
          <w:highlight w:val="none"/>
        </w:rPr>
      </w:pPr>
      <w:r>
        <w:rPr>
          <w:color w:val="auto"/>
          <w:highlight w:val="none"/>
        </w:rPr>
        <w:t>2.</w:t>
      </w:r>
      <w:r>
        <w:rPr>
          <w:rFonts w:hint="eastAsia"/>
          <w:color w:val="auto"/>
          <w:highlight w:val="none"/>
          <w:lang w:val="en-US" w:eastAsia="zh-CN"/>
        </w:rPr>
        <w:t>3</w:t>
      </w:r>
      <w:r>
        <w:rPr>
          <w:color w:val="auto"/>
          <w:highlight w:val="none"/>
        </w:rPr>
        <w:t>.1 通风空调系统</w:t>
      </w:r>
    </w:p>
    <w:p>
      <w:pPr>
        <w:spacing w:line="360" w:lineRule="auto"/>
        <w:ind w:firstLine="420" w:firstLineChars="200"/>
        <w:rPr>
          <w:color w:val="auto"/>
          <w:highlight w:val="none"/>
        </w:rPr>
      </w:pPr>
      <w:r>
        <w:rPr>
          <w:color w:val="auto"/>
          <w:highlight w:val="none"/>
        </w:rPr>
        <w:t>车站及隧道的通风空调系统包括隧道通风系统（含防排烟系统）和车站通风空调系统（含防排烟系统）两大部分。车站通风空调系统又分为车站公共区通风空调系统（大系统）、车站设备及管理用房通风空调系统（小系统）、空调水系统。</w:t>
      </w:r>
    </w:p>
    <w:p>
      <w:pPr>
        <w:spacing w:line="360" w:lineRule="auto"/>
        <w:ind w:firstLine="420" w:firstLineChars="200"/>
        <w:rPr>
          <w:color w:val="auto"/>
          <w:highlight w:val="none"/>
        </w:rPr>
      </w:pPr>
      <w:r>
        <w:rPr>
          <w:color w:val="auto"/>
          <w:highlight w:val="none"/>
        </w:rPr>
        <w:t>主要</w:t>
      </w:r>
      <w:r>
        <w:rPr>
          <w:rFonts w:hint="eastAsia"/>
          <w:color w:val="auto"/>
          <w:highlight w:val="none"/>
        </w:rPr>
        <w:t>甲供</w:t>
      </w:r>
      <w:r>
        <w:rPr>
          <w:color w:val="auto"/>
          <w:highlight w:val="none"/>
        </w:rPr>
        <w:t>设备</w:t>
      </w:r>
      <w:r>
        <w:rPr>
          <w:rFonts w:hint="eastAsia"/>
          <w:color w:val="auto"/>
          <w:highlight w:val="none"/>
        </w:rPr>
        <w:t>/材料</w:t>
      </w:r>
      <w:r>
        <w:rPr>
          <w:color w:val="auto"/>
          <w:highlight w:val="none"/>
        </w:rPr>
        <w:t>有（包括但不限于）：</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风机、风阀、消声器</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空调制冷设备（冷水机组、空调机组、冷却塔、空调水泵、多联式空调系统）</w:t>
      </w:r>
    </w:p>
    <w:p>
      <w:pPr>
        <w:numPr>
          <w:ilvl w:val="0"/>
          <w:numId w:val="0"/>
        </w:numPr>
        <w:spacing w:line="360" w:lineRule="auto"/>
        <w:ind w:left="388" w:leftChars="0"/>
        <w:rPr>
          <w:rFonts w:hint="eastAsia"/>
          <w:color w:val="auto"/>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车站通风空调节能控制系统</w:t>
      </w:r>
    </w:p>
    <w:p>
      <w:pPr>
        <w:spacing w:line="360" w:lineRule="auto"/>
        <w:rPr>
          <w:color w:val="auto"/>
          <w:highlight w:val="none"/>
        </w:rPr>
      </w:pPr>
      <w:r>
        <w:rPr>
          <w:color w:val="auto"/>
          <w:highlight w:val="none"/>
        </w:rPr>
        <w:t>2.</w:t>
      </w:r>
      <w:r>
        <w:rPr>
          <w:rFonts w:hint="eastAsia"/>
          <w:color w:val="auto"/>
          <w:highlight w:val="none"/>
          <w:lang w:val="en-US" w:eastAsia="zh-CN"/>
        </w:rPr>
        <w:t>3</w:t>
      </w:r>
      <w:r>
        <w:rPr>
          <w:color w:val="auto"/>
          <w:highlight w:val="none"/>
        </w:rPr>
        <w:t>.2 动力照明系统</w:t>
      </w:r>
    </w:p>
    <w:p>
      <w:pPr>
        <w:spacing w:line="360" w:lineRule="auto"/>
        <w:ind w:firstLine="420" w:firstLineChars="200"/>
        <w:rPr>
          <w:color w:val="auto"/>
          <w:highlight w:val="none"/>
        </w:rPr>
      </w:pPr>
      <w:r>
        <w:rPr>
          <w:color w:val="auto"/>
          <w:highlight w:val="none"/>
        </w:rPr>
        <w:t>动照系统主要为轨道交通全线的所有用电设备（不包括车辆）提供低压电源并负责动力与照明设备的控制及保护。该系统包括动力配电及照明配电、动力与照明设备的控制、接地与防雷等几个部分。</w:t>
      </w:r>
    </w:p>
    <w:p>
      <w:pPr>
        <w:spacing w:line="360" w:lineRule="auto"/>
        <w:ind w:firstLine="420" w:firstLineChars="200"/>
        <w:rPr>
          <w:color w:val="auto"/>
          <w:highlight w:val="none"/>
        </w:rPr>
      </w:pPr>
      <w:bookmarkStart w:id="2211" w:name="_Hlk141285716"/>
      <w:r>
        <w:rPr>
          <w:color w:val="auto"/>
          <w:highlight w:val="none"/>
        </w:rPr>
        <w:t>主要</w:t>
      </w:r>
      <w:r>
        <w:rPr>
          <w:rFonts w:hint="eastAsia"/>
          <w:color w:val="auto"/>
          <w:highlight w:val="none"/>
        </w:rPr>
        <w:t>甲供</w:t>
      </w:r>
      <w:r>
        <w:rPr>
          <w:color w:val="auto"/>
          <w:highlight w:val="none"/>
        </w:rPr>
        <w:t>设备</w:t>
      </w:r>
      <w:r>
        <w:rPr>
          <w:rFonts w:hint="eastAsia"/>
          <w:color w:val="auto"/>
          <w:highlight w:val="none"/>
        </w:rPr>
        <w:t>/材料</w:t>
      </w:r>
      <w:r>
        <w:rPr>
          <w:color w:val="auto"/>
          <w:highlight w:val="none"/>
        </w:rPr>
        <w:t>有（包括但不限于）：</w:t>
      </w:r>
      <w:bookmarkEnd w:id="2211"/>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0</w:t>
      </w:r>
      <w:r>
        <w:rPr>
          <w:color w:val="auto"/>
          <w:highlight w:val="none"/>
        </w:rPr>
        <w:t>.4</w:t>
      </w:r>
      <w:r>
        <w:rPr>
          <w:rFonts w:hint="eastAsia"/>
          <w:color w:val="auto"/>
          <w:highlight w:val="none"/>
        </w:rPr>
        <w:t>k</w:t>
      </w:r>
      <w:r>
        <w:rPr>
          <w:color w:val="auto"/>
          <w:highlight w:val="none"/>
        </w:rPr>
        <w:t>V</w:t>
      </w:r>
      <w:r>
        <w:rPr>
          <w:rFonts w:hint="eastAsia"/>
          <w:color w:val="auto"/>
          <w:highlight w:val="none"/>
        </w:rPr>
        <w:t>开关柜</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通风空调控制柜</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应急照明电源装置</w:t>
      </w:r>
    </w:p>
    <w:p>
      <w:pPr>
        <w:numPr>
          <w:ilvl w:val="0"/>
          <w:numId w:val="0"/>
        </w:numPr>
        <w:spacing w:line="360" w:lineRule="auto"/>
        <w:ind w:left="388" w:leftChars="0"/>
        <w:rPr>
          <w:color w:val="auto"/>
          <w:highlight w:val="none"/>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color w:val="auto"/>
          <w:szCs w:val="21"/>
          <w:highlight w:val="none"/>
        </w:rPr>
        <w:t>动力配电箱</w:t>
      </w:r>
    </w:p>
    <w:p>
      <w:pPr>
        <w:numPr>
          <w:ilvl w:val="0"/>
          <w:numId w:val="0"/>
        </w:numPr>
        <w:spacing w:line="360" w:lineRule="auto"/>
        <w:ind w:left="388" w:leftChars="0"/>
        <w:rPr>
          <w:color w:val="auto"/>
          <w:highlight w:val="none"/>
        </w:rPr>
      </w:pP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color w:val="auto"/>
          <w:szCs w:val="21"/>
          <w:highlight w:val="none"/>
        </w:rPr>
        <w:t>照明配电箱</w:t>
      </w:r>
    </w:p>
    <w:p>
      <w:pPr>
        <w:numPr>
          <w:ilvl w:val="0"/>
          <w:numId w:val="0"/>
        </w:numPr>
        <w:spacing w:line="360" w:lineRule="auto"/>
        <w:ind w:left="388" w:leftChars="0"/>
        <w:rPr>
          <w:color w:val="auto"/>
          <w:highlight w:val="none"/>
        </w:rPr>
      </w:pPr>
      <w:r>
        <w:rPr>
          <w:rFonts w:hint="eastAsia"/>
          <w:color w:val="auto"/>
          <w:szCs w:val="21"/>
          <w:highlight w:val="none"/>
          <w:lang w:eastAsia="zh-CN"/>
        </w:rPr>
        <w:t>（</w:t>
      </w:r>
      <w:r>
        <w:rPr>
          <w:rFonts w:hint="eastAsia"/>
          <w:color w:val="auto"/>
          <w:szCs w:val="21"/>
          <w:highlight w:val="none"/>
          <w:lang w:val="en-US" w:eastAsia="zh-CN"/>
        </w:rPr>
        <w:t>6</w:t>
      </w:r>
      <w:r>
        <w:rPr>
          <w:rFonts w:hint="eastAsia"/>
          <w:color w:val="auto"/>
          <w:szCs w:val="21"/>
          <w:highlight w:val="none"/>
          <w:lang w:eastAsia="zh-CN"/>
        </w:rPr>
        <w:t>）</w:t>
      </w:r>
      <w:r>
        <w:rPr>
          <w:color w:val="auto"/>
          <w:szCs w:val="21"/>
          <w:highlight w:val="none"/>
        </w:rPr>
        <w:t>消防应急照明和疏散指示系统</w:t>
      </w:r>
    </w:p>
    <w:p>
      <w:pPr>
        <w:numPr>
          <w:ilvl w:val="0"/>
          <w:numId w:val="0"/>
        </w:numPr>
        <w:spacing w:line="360" w:lineRule="auto"/>
        <w:ind w:left="388" w:leftChars="0"/>
        <w:rPr>
          <w:color w:val="auto"/>
          <w:highlight w:val="none"/>
        </w:rPr>
      </w:pPr>
      <w:r>
        <w:rPr>
          <w:rFonts w:hint="eastAsia"/>
          <w:color w:val="auto"/>
          <w:szCs w:val="21"/>
          <w:highlight w:val="none"/>
          <w:lang w:eastAsia="zh-CN"/>
        </w:rPr>
        <w:t>（</w:t>
      </w:r>
      <w:r>
        <w:rPr>
          <w:rFonts w:hint="eastAsia"/>
          <w:color w:val="auto"/>
          <w:szCs w:val="21"/>
          <w:highlight w:val="none"/>
          <w:lang w:val="en-US" w:eastAsia="zh-CN"/>
        </w:rPr>
        <w:t>7</w:t>
      </w:r>
      <w:r>
        <w:rPr>
          <w:rFonts w:hint="eastAsia"/>
          <w:color w:val="auto"/>
          <w:szCs w:val="21"/>
          <w:highlight w:val="none"/>
          <w:lang w:eastAsia="zh-CN"/>
        </w:rPr>
        <w:t>）</w:t>
      </w:r>
      <w:r>
        <w:rPr>
          <w:color w:val="auto"/>
          <w:szCs w:val="21"/>
          <w:highlight w:val="none"/>
        </w:rPr>
        <w:t>风机就地控制箱</w:t>
      </w:r>
      <w:r>
        <w:rPr>
          <w:rFonts w:hint="eastAsia"/>
          <w:color w:val="auto"/>
          <w:szCs w:val="21"/>
          <w:highlight w:val="none"/>
        </w:rPr>
        <w:t>（含射流风机）</w:t>
      </w:r>
    </w:p>
    <w:p>
      <w:pPr>
        <w:numPr>
          <w:ilvl w:val="0"/>
          <w:numId w:val="0"/>
        </w:numPr>
        <w:spacing w:line="360" w:lineRule="auto"/>
        <w:ind w:left="388" w:leftChars="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8</w:t>
      </w:r>
      <w:r>
        <w:rPr>
          <w:rFonts w:hint="eastAsia"/>
          <w:color w:val="auto"/>
          <w:szCs w:val="21"/>
          <w:highlight w:val="none"/>
          <w:lang w:eastAsia="zh-CN"/>
        </w:rPr>
        <w:t>）</w:t>
      </w:r>
      <w:r>
        <w:rPr>
          <w:rFonts w:hint="eastAsia"/>
          <w:color w:val="auto"/>
          <w:szCs w:val="21"/>
          <w:highlight w:val="none"/>
        </w:rPr>
        <w:t>LED照明灯具</w:t>
      </w:r>
    </w:p>
    <w:p>
      <w:pPr>
        <w:numPr>
          <w:ilvl w:val="0"/>
          <w:numId w:val="0"/>
        </w:numPr>
        <w:spacing w:line="360" w:lineRule="auto"/>
        <w:ind w:left="388" w:leftChars="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9</w:t>
      </w:r>
      <w:r>
        <w:rPr>
          <w:rFonts w:hint="eastAsia"/>
          <w:color w:val="auto"/>
          <w:szCs w:val="21"/>
          <w:highlight w:val="none"/>
          <w:lang w:eastAsia="zh-CN"/>
        </w:rPr>
        <w:t>）</w:t>
      </w:r>
      <w:r>
        <w:rPr>
          <w:rFonts w:hint="eastAsia"/>
          <w:color w:val="auto"/>
          <w:szCs w:val="21"/>
          <w:highlight w:val="none"/>
        </w:rPr>
        <w:t>低压母线槽</w:t>
      </w:r>
    </w:p>
    <w:p>
      <w:pPr>
        <w:spacing w:line="360" w:lineRule="auto"/>
        <w:rPr>
          <w:color w:val="auto"/>
          <w:highlight w:val="none"/>
        </w:rPr>
      </w:pPr>
      <w:r>
        <w:rPr>
          <w:color w:val="auto"/>
          <w:highlight w:val="none"/>
        </w:rPr>
        <w:t>2.</w:t>
      </w:r>
      <w:r>
        <w:rPr>
          <w:rFonts w:hint="eastAsia"/>
          <w:color w:val="auto"/>
          <w:highlight w:val="none"/>
          <w:lang w:val="en-US" w:eastAsia="zh-CN"/>
        </w:rPr>
        <w:t>3</w:t>
      </w:r>
      <w:r>
        <w:rPr>
          <w:color w:val="auto"/>
          <w:highlight w:val="none"/>
        </w:rPr>
        <w:t>.3 电扶梯</w:t>
      </w:r>
    </w:p>
    <w:p>
      <w:pPr>
        <w:spacing w:line="360" w:lineRule="auto"/>
        <w:ind w:firstLine="420" w:firstLineChars="200"/>
        <w:rPr>
          <w:color w:val="auto"/>
          <w:highlight w:val="none"/>
        </w:rPr>
      </w:pPr>
      <w:r>
        <w:rPr>
          <w:color w:val="auto"/>
          <w:highlight w:val="none"/>
        </w:rPr>
        <w:t>电扶梯专业包括自动扶梯和无机房电梯，包括全线</w:t>
      </w:r>
      <w:r>
        <w:rPr>
          <w:rFonts w:hint="eastAsia"/>
          <w:color w:val="auto"/>
          <w:highlight w:val="none"/>
        </w:rPr>
        <w:t>9个车站和车辆段</w:t>
      </w:r>
      <w:r>
        <w:rPr>
          <w:color w:val="auto"/>
          <w:highlight w:val="none"/>
        </w:rPr>
        <w:t>。自动扶梯安全、可靠，能满足在大客流量的环境条件下长期工作，能快速的疏导乘客。无机房电梯安装在车站内站厅至站台及出入口，主要是为了疏导不方便乘坐自动扶梯和走楼梯的乘客。</w:t>
      </w:r>
    </w:p>
    <w:p>
      <w:pPr>
        <w:spacing w:line="360" w:lineRule="auto"/>
        <w:ind w:firstLine="420" w:firstLineChars="200"/>
        <w:rPr>
          <w:color w:val="auto"/>
          <w:highlight w:val="none"/>
        </w:rPr>
      </w:pPr>
      <w:r>
        <w:rPr>
          <w:color w:val="auto"/>
          <w:highlight w:val="none"/>
        </w:rPr>
        <w:t>自动扶梯</w:t>
      </w:r>
      <w:r>
        <w:rPr>
          <w:rFonts w:hint="eastAsia"/>
          <w:color w:val="auto"/>
          <w:highlight w:val="none"/>
        </w:rPr>
        <w:t>主要部件有（包括但不限于）：</w:t>
      </w:r>
    </w:p>
    <w:p>
      <w:pPr>
        <w:spacing w:line="360" w:lineRule="auto"/>
        <w:ind w:firstLine="420" w:firstLineChars="200"/>
        <w:rPr>
          <w:color w:val="auto"/>
          <w:highlight w:val="none"/>
        </w:rPr>
      </w:pPr>
      <w:r>
        <w:rPr>
          <w:rFonts w:hint="eastAsia"/>
          <w:color w:val="auto"/>
          <w:highlight w:val="none"/>
        </w:rPr>
        <w:t>（1）驱动主机</w:t>
      </w:r>
    </w:p>
    <w:p>
      <w:pPr>
        <w:spacing w:line="360" w:lineRule="auto"/>
        <w:ind w:firstLine="420" w:firstLineChars="200"/>
        <w:rPr>
          <w:color w:val="auto"/>
          <w:highlight w:val="none"/>
        </w:rPr>
      </w:pPr>
      <w:r>
        <w:rPr>
          <w:rFonts w:hint="eastAsia"/>
          <w:color w:val="auto"/>
          <w:highlight w:val="none"/>
        </w:rPr>
        <w:t>（2）附加制动器</w:t>
      </w:r>
    </w:p>
    <w:p>
      <w:pPr>
        <w:spacing w:line="360" w:lineRule="auto"/>
        <w:ind w:firstLine="420" w:firstLineChars="200"/>
        <w:rPr>
          <w:color w:val="auto"/>
          <w:highlight w:val="none"/>
        </w:rPr>
      </w:pPr>
      <w:r>
        <w:rPr>
          <w:rFonts w:hint="eastAsia"/>
          <w:color w:val="auto"/>
          <w:highlight w:val="none"/>
        </w:rPr>
        <w:t>（3）扶手带与扶手带导轨系统</w:t>
      </w:r>
    </w:p>
    <w:p>
      <w:pPr>
        <w:spacing w:line="360" w:lineRule="auto"/>
        <w:ind w:firstLine="420" w:firstLineChars="200"/>
        <w:rPr>
          <w:color w:val="auto"/>
          <w:highlight w:val="none"/>
        </w:rPr>
      </w:pPr>
      <w:r>
        <w:rPr>
          <w:rFonts w:hint="eastAsia"/>
          <w:color w:val="auto"/>
          <w:highlight w:val="none"/>
        </w:rPr>
        <w:t>（4）桁架</w:t>
      </w:r>
    </w:p>
    <w:p>
      <w:pPr>
        <w:spacing w:line="360" w:lineRule="auto"/>
        <w:ind w:firstLine="420" w:firstLineChars="200"/>
        <w:rPr>
          <w:color w:val="auto"/>
          <w:highlight w:val="none"/>
        </w:rPr>
      </w:pPr>
      <w:r>
        <w:rPr>
          <w:rFonts w:hint="eastAsia"/>
          <w:color w:val="auto"/>
          <w:highlight w:val="none"/>
        </w:rPr>
        <w:t>（5）梯级链与梯级链系统</w:t>
      </w:r>
    </w:p>
    <w:p>
      <w:pPr>
        <w:spacing w:line="360" w:lineRule="auto"/>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）控制系统、控制柜及电气开关</w:t>
      </w:r>
    </w:p>
    <w:p>
      <w:pPr>
        <w:spacing w:line="360" w:lineRule="auto"/>
        <w:ind w:firstLine="420" w:firstLineChars="200"/>
        <w:rPr>
          <w:color w:val="auto"/>
          <w:highlight w:val="none"/>
        </w:rPr>
      </w:pPr>
      <w:r>
        <w:rPr>
          <w:rFonts w:hint="eastAsia"/>
          <w:color w:val="auto"/>
          <w:highlight w:val="none"/>
        </w:rPr>
        <w:t>无机房电梯主要部件有（包括但不限于）：</w:t>
      </w:r>
    </w:p>
    <w:p>
      <w:pPr>
        <w:spacing w:line="360" w:lineRule="auto"/>
        <w:ind w:firstLine="420" w:firstLineChars="200"/>
        <w:rPr>
          <w:color w:val="auto"/>
          <w:highlight w:val="none"/>
        </w:rPr>
      </w:pPr>
      <w:r>
        <w:rPr>
          <w:rFonts w:hint="eastAsia"/>
          <w:color w:val="auto"/>
          <w:highlight w:val="none"/>
        </w:rPr>
        <w:t>（1）曳引机</w:t>
      </w:r>
    </w:p>
    <w:p>
      <w:pPr>
        <w:spacing w:line="360" w:lineRule="auto"/>
        <w:ind w:firstLine="420" w:firstLineChars="200"/>
        <w:rPr>
          <w:color w:val="auto"/>
          <w:highlight w:val="none"/>
        </w:rPr>
      </w:pPr>
      <w:r>
        <w:rPr>
          <w:rFonts w:hint="eastAsia"/>
          <w:color w:val="auto"/>
          <w:highlight w:val="none"/>
        </w:rPr>
        <w:t>（2）制动器</w:t>
      </w:r>
    </w:p>
    <w:p>
      <w:pPr>
        <w:spacing w:line="360" w:lineRule="auto"/>
        <w:ind w:firstLine="420" w:firstLineChars="200"/>
        <w:rPr>
          <w:color w:val="auto"/>
          <w:highlight w:val="none"/>
        </w:rPr>
      </w:pPr>
      <w:r>
        <w:rPr>
          <w:rFonts w:hint="eastAsia"/>
          <w:color w:val="auto"/>
          <w:highlight w:val="none"/>
        </w:rPr>
        <w:t xml:space="preserve">（3）滚轮或滑动导向装置 </w:t>
      </w:r>
    </w:p>
    <w:p>
      <w:pPr>
        <w:spacing w:line="360" w:lineRule="auto"/>
        <w:ind w:firstLine="420" w:firstLineChars="200"/>
        <w:rPr>
          <w:color w:val="auto"/>
          <w:highlight w:val="none"/>
        </w:rPr>
      </w:pPr>
      <w:r>
        <w:rPr>
          <w:rFonts w:hint="eastAsia"/>
          <w:color w:val="auto"/>
          <w:highlight w:val="none"/>
        </w:rPr>
        <w:t xml:space="preserve">（4）层站门套 </w:t>
      </w:r>
    </w:p>
    <w:p>
      <w:pPr>
        <w:spacing w:line="360" w:lineRule="auto"/>
        <w:ind w:firstLine="420" w:firstLineChars="200"/>
        <w:rPr>
          <w:color w:val="auto"/>
          <w:highlight w:val="none"/>
        </w:rPr>
      </w:pPr>
      <w:r>
        <w:rPr>
          <w:rFonts w:hint="eastAsia"/>
          <w:color w:val="auto"/>
          <w:highlight w:val="none"/>
        </w:rPr>
        <w:t xml:space="preserve">（5）限速器 </w:t>
      </w:r>
    </w:p>
    <w:p>
      <w:pPr>
        <w:spacing w:line="360" w:lineRule="auto"/>
        <w:ind w:firstLine="420" w:firstLineChars="200"/>
        <w:rPr>
          <w:color w:val="auto"/>
          <w:highlight w:val="none"/>
        </w:rPr>
      </w:pPr>
      <w:r>
        <w:rPr>
          <w:rFonts w:hint="eastAsia"/>
          <w:color w:val="auto"/>
          <w:highlight w:val="none"/>
        </w:rPr>
        <w:t xml:space="preserve">（6）缓冲器 </w:t>
      </w:r>
    </w:p>
    <w:p>
      <w:pPr>
        <w:spacing w:line="360" w:lineRule="auto"/>
        <w:ind w:firstLine="420" w:firstLineChars="200"/>
        <w:rPr>
          <w:color w:val="auto"/>
          <w:highlight w:val="none"/>
        </w:rPr>
      </w:pPr>
      <w:r>
        <w:rPr>
          <w:rFonts w:hint="eastAsia"/>
          <w:color w:val="auto"/>
          <w:highlight w:val="none"/>
        </w:rPr>
        <w:t>（7）超载装置</w:t>
      </w:r>
    </w:p>
    <w:p>
      <w:pPr>
        <w:spacing w:line="360" w:lineRule="auto"/>
        <w:rPr>
          <w:color w:val="auto"/>
          <w:highlight w:val="none"/>
        </w:rPr>
      </w:pPr>
      <w:r>
        <w:rPr>
          <w:color w:val="auto"/>
          <w:highlight w:val="none"/>
        </w:rPr>
        <w:t>2.</w:t>
      </w:r>
      <w:r>
        <w:rPr>
          <w:rFonts w:hint="eastAsia"/>
          <w:color w:val="auto"/>
          <w:highlight w:val="none"/>
          <w:lang w:val="en-US" w:eastAsia="zh-CN"/>
        </w:rPr>
        <w:t>3</w:t>
      </w:r>
      <w:r>
        <w:rPr>
          <w:color w:val="auto"/>
          <w:highlight w:val="none"/>
        </w:rPr>
        <w:t>.4 站台门系统</w:t>
      </w:r>
    </w:p>
    <w:p>
      <w:pPr>
        <w:spacing w:line="360" w:lineRule="auto"/>
        <w:ind w:firstLine="420" w:firstLineChars="200"/>
        <w:rPr>
          <w:color w:val="auto"/>
          <w:highlight w:val="none"/>
        </w:rPr>
      </w:pPr>
      <w:r>
        <w:rPr>
          <w:color w:val="auto"/>
          <w:highlight w:val="none"/>
        </w:rPr>
        <w:t>全线9个地下车站均设置封闭式全高站台门，站台门系统不仅可以作为防止乘客有意或无意进入轨行区而发生危险的安全保障设施，同时作为一种常用轨道交通系统设备，亦具有节能、环保的功能，可以有效地减少站台区与轨行区之间冷热气流的交换，降低环控系统的运营能耗，从而节约营运成本。</w:t>
      </w:r>
    </w:p>
    <w:p>
      <w:pPr>
        <w:tabs>
          <w:tab w:val="left" w:pos="1108"/>
        </w:tabs>
        <w:spacing w:line="360" w:lineRule="auto"/>
        <w:ind w:left="420" w:leftChars="200" w:firstLine="4" w:firstLineChars="2"/>
        <w:rPr>
          <w:color w:val="auto"/>
          <w:highlight w:val="none"/>
        </w:rPr>
      </w:pPr>
      <w:r>
        <w:rPr>
          <w:color w:val="auto"/>
          <w:highlight w:val="none"/>
        </w:rPr>
        <w:t>主要</w:t>
      </w:r>
      <w:r>
        <w:rPr>
          <w:rFonts w:hint="eastAsia"/>
          <w:color w:val="auto"/>
          <w:highlight w:val="none"/>
        </w:rPr>
        <w:t>甲供</w:t>
      </w:r>
      <w:r>
        <w:rPr>
          <w:color w:val="auto"/>
          <w:highlight w:val="none"/>
        </w:rPr>
        <w:t>设备</w:t>
      </w:r>
      <w:r>
        <w:rPr>
          <w:rFonts w:hint="eastAsia"/>
          <w:color w:val="auto"/>
          <w:highlight w:val="none"/>
        </w:rPr>
        <w:t>/材料</w:t>
      </w:r>
      <w:r>
        <w:rPr>
          <w:color w:val="auto"/>
          <w:highlight w:val="none"/>
        </w:rPr>
        <w:t>有（包括但不限于）：</w:t>
      </w:r>
    </w:p>
    <w:p>
      <w:pPr>
        <w:numPr>
          <w:ilvl w:val="0"/>
          <w:numId w:val="0"/>
        </w:numPr>
        <w:spacing w:line="360" w:lineRule="auto"/>
        <w:ind w:left="388" w:leftChars="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机械部分：包括门体结构和门机系统；</w:t>
      </w:r>
    </w:p>
    <w:p>
      <w:pPr>
        <w:numPr>
          <w:ilvl w:val="0"/>
          <w:numId w:val="0"/>
        </w:numPr>
        <w:spacing w:line="360" w:lineRule="auto"/>
        <w:ind w:left="388" w:left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电气部分：包括电源系统和控制系统。</w:t>
      </w:r>
    </w:p>
    <w:p>
      <w:pPr>
        <w:spacing w:line="360" w:lineRule="auto"/>
        <w:rPr>
          <w:color w:val="auto"/>
          <w:highlight w:val="none"/>
        </w:rPr>
      </w:pPr>
      <w:r>
        <w:rPr>
          <w:color w:val="auto"/>
          <w:highlight w:val="none"/>
        </w:rPr>
        <w:t>2.</w:t>
      </w:r>
      <w:r>
        <w:rPr>
          <w:rFonts w:hint="eastAsia"/>
          <w:color w:val="auto"/>
          <w:highlight w:val="none"/>
          <w:lang w:val="en-US" w:eastAsia="zh-CN"/>
        </w:rPr>
        <w:t>3</w:t>
      </w:r>
      <w:r>
        <w:rPr>
          <w:color w:val="auto"/>
          <w:highlight w:val="none"/>
        </w:rPr>
        <w:t>.6 装修材料</w:t>
      </w:r>
    </w:p>
    <w:p>
      <w:pPr>
        <w:spacing w:line="360" w:lineRule="auto"/>
        <w:ind w:firstLine="420" w:firstLineChars="200"/>
        <w:rPr>
          <w:color w:val="auto"/>
          <w:szCs w:val="21"/>
          <w:highlight w:val="none"/>
        </w:rPr>
      </w:pPr>
      <w:r>
        <w:rPr>
          <w:color w:val="auto"/>
          <w:szCs w:val="21"/>
          <w:highlight w:val="none"/>
        </w:rPr>
        <w:t>站内公共区装修材料主要包含天地墙装饰材料、</w:t>
      </w:r>
      <w:r>
        <w:rPr>
          <w:rFonts w:hint="eastAsia"/>
          <w:color w:val="auto"/>
          <w:szCs w:val="21"/>
          <w:highlight w:val="none"/>
        </w:rPr>
        <w:t>站内设施、</w:t>
      </w:r>
      <w:r>
        <w:rPr>
          <w:color w:val="auto"/>
          <w:szCs w:val="21"/>
          <w:highlight w:val="none"/>
        </w:rPr>
        <w:t>导向系统、广告灯箱系统等。</w:t>
      </w:r>
      <w:r>
        <w:rPr>
          <w:color w:val="auto"/>
          <w:highlight w:val="none"/>
        </w:rPr>
        <w:t>主要</w:t>
      </w:r>
      <w:r>
        <w:rPr>
          <w:rFonts w:hint="eastAsia"/>
          <w:color w:val="auto"/>
          <w:highlight w:val="none"/>
        </w:rPr>
        <w:t>甲供材料</w:t>
      </w:r>
      <w:r>
        <w:rPr>
          <w:color w:val="auto"/>
          <w:highlight w:val="none"/>
        </w:rPr>
        <w:t>有（包括但不限于）：</w:t>
      </w:r>
    </w:p>
    <w:p>
      <w:pPr>
        <w:spacing w:line="360" w:lineRule="auto"/>
        <w:ind w:firstLine="420" w:firstLineChars="200"/>
        <w:rPr>
          <w:color w:val="auto"/>
          <w:highlight w:val="none"/>
        </w:rPr>
      </w:pPr>
      <w:r>
        <w:rPr>
          <w:rFonts w:hint="eastAsia"/>
          <w:color w:val="auto"/>
          <w:szCs w:val="21"/>
          <w:highlight w:val="none"/>
        </w:rPr>
        <w:t>（1）</w:t>
      </w:r>
      <w:r>
        <w:rPr>
          <w:color w:val="auto"/>
          <w:szCs w:val="21"/>
          <w:highlight w:val="none"/>
        </w:rPr>
        <w:t>导向系统</w:t>
      </w:r>
    </w:p>
    <w:p>
      <w:pPr>
        <w:spacing w:line="360" w:lineRule="auto"/>
        <w:ind w:left="420"/>
        <w:rPr>
          <w:color w:val="auto"/>
          <w:szCs w:val="21"/>
          <w:highlight w:val="none"/>
        </w:rPr>
      </w:pPr>
      <w:r>
        <w:rPr>
          <w:rFonts w:hint="eastAsia"/>
          <w:color w:val="auto"/>
          <w:szCs w:val="21"/>
          <w:highlight w:val="none"/>
        </w:rPr>
        <w:t>（2）</w:t>
      </w:r>
      <w:r>
        <w:rPr>
          <w:color w:val="auto"/>
          <w:szCs w:val="21"/>
          <w:highlight w:val="none"/>
        </w:rPr>
        <w:t>广告灯箱</w:t>
      </w:r>
    </w:p>
    <w:p>
      <w:pPr>
        <w:spacing w:line="360" w:lineRule="auto"/>
        <w:ind w:firstLine="420" w:firstLineChars="200"/>
        <w:rPr>
          <w:color w:val="auto"/>
          <w:highlight w:val="none"/>
        </w:rPr>
      </w:pPr>
      <w:r>
        <w:rPr>
          <w:color w:val="auto"/>
          <w:highlight w:val="none"/>
        </w:rPr>
        <w:t>以上设备仅供参考，业主有调整设备种类的权利。业主不排除不同标段的同一个设备选择两个及以上供货商的可能性。</w:t>
      </w:r>
    </w:p>
    <w:p>
      <w:pPr>
        <w:pStyle w:val="3"/>
        <w:bidi w:val="0"/>
        <w:spacing w:line="360" w:lineRule="auto"/>
        <w:rPr>
          <w:color w:val="auto"/>
          <w:sz w:val="24"/>
          <w:szCs w:val="24"/>
          <w:highlight w:val="none"/>
        </w:rPr>
      </w:pPr>
      <w:bookmarkStart w:id="2212" w:name="_Toc184763334"/>
      <w:bookmarkStart w:id="2213" w:name="_Toc309026902"/>
      <w:bookmarkStart w:id="2214" w:name="_Toc3055"/>
      <w:bookmarkStart w:id="2215" w:name="_Toc309026508"/>
      <w:bookmarkStart w:id="2216" w:name="_Toc19966"/>
      <w:bookmarkStart w:id="2217" w:name="_Toc29745"/>
      <w:bookmarkStart w:id="2218" w:name="_Toc306091629"/>
      <w:bookmarkStart w:id="2219" w:name="_Toc11275"/>
      <w:bookmarkStart w:id="2220" w:name="_Toc28177"/>
      <w:bookmarkStart w:id="2221" w:name="_Toc130847123"/>
      <w:bookmarkStart w:id="2222" w:name="_Toc32386"/>
      <w:r>
        <w:rPr>
          <w:color w:val="auto"/>
          <w:sz w:val="24"/>
          <w:szCs w:val="24"/>
          <w:highlight w:val="none"/>
        </w:rPr>
        <w:t>三、工期计划要求</w:t>
      </w:r>
      <w:bookmarkEnd w:id="2212"/>
      <w:bookmarkEnd w:id="2213"/>
      <w:bookmarkEnd w:id="2214"/>
      <w:bookmarkEnd w:id="2215"/>
      <w:bookmarkEnd w:id="2216"/>
      <w:bookmarkEnd w:id="2217"/>
      <w:bookmarkEnd w:id="2218"/>
      <w:bookmarkEnd w:id="2219"/>
      <w:bookmarkEnd w:id="2220"/>
      <w:bookmarkEnd w:id="2221"/>
      <w:bookmarkEnd w:id="2222"/>
    </w:p>
    <w:p>
      <w:pPr>
        <w:spacing w:line="360" w:lineRule="auto"/>
        <w:ind w:firstLine="420" w:firstLineChars="200"/>
        <w:rPr>
          <w:color w:val="auto"/>
          <w:highlight w:val="none"/>
        </w:rPr>
      </w:pPr>
    </w:p>
    <w:p>
      <w:pPr>
        <w:spacing w:line="360" w:lineRule="auto"/>
        <w:ind w:firstLine="420" w:firstLineChars="200"/>
        <w:rPr>
          <w:color w:val="auto"/>
          <w:highlight w:val="none"/>
        </w:rPr>
      </w:pPr>
      <w:r>
        <w:rPr>
          <w:color w:val="auto"/>
          <w:highlight w:val="none"/>
        </w:rPr>
        <w:t>东莞轨道2号线三期</w:t>
      </w:r>
      <w:r>
        <w:rPr>
          <w:rFonts w:hint="eastAsia"/>
          <w:color w:val="auto"/>
          <w:highlight w:val="none"/>
          <w:lang w:val="en-US" w:eastAsia="zh-CN"/>
        </w:rPr>
        <w:t>工程</w:t>
      </w:r>
      <w:r>
        <w:rPr>
          <w:color w:val="auto"/>
          <w:highlight w:val="none"/>
        </w:rPr>
        <w:t>初步计划如下：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973"/>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序号</w:t>
            </w:r>
          </w:p>
        </w:tc>
        <w:tc>
          <w:tcPr>
            <w:tcW w:w="3973" w:type="dxa"/>
            <w:noWrap w:val="0"/>
            <w:vAlign w:val="center"/>
          </w:tcPr>
          <w:p>
            <w:pPr>
              <w:adjustRightInd w:val="0"/>
              <w:snapToGrid w:val="0"/>
              <w:jc w:val="center"/>
              <w:rPr>
                <w:color w:val="auto"/>
                <w:szCs w:val="21"/>
                <w:highlight w:val="none"/>
              </w:rPr>
            </w:pPr>
            <w:r>
              <w:rPr>
                <w:color w:val="auto"/>
                <w:szCs w:val="21"/>
                <w:highlight w:val="none"/>
              </w:rPr>
              <w:t>工程计划</w:t>
            </w:r>
          </w:p>
        </w:tc>
        <w:tc>
          <w:tcPr>
            <w:tcW w:w="4139" w:type="dxa"/>
            <w:noWrap w:val="0"/>
            <w:vAlign w:val="center"/>
          </w:tcPr>
          <w:p>
            <w:pPr>
              <w:adjustRightInd w:val="0"/>
              <w:snapToGrid w:val="0"/>
              <w:jc w:val="center"/>
              <w:rPr>
                <w:color w:val="auto"/>
                <w:szCs w:val="21"/>
                <w:highlight w:val="none"/>
              </w:rPr>
            </w:pPr>
            <w:r>
              <w:rPr>
                <w:color w:val="auto"/>
                <w:szCs w:val="21"/>
                <w:highlight w:val="none"/>
              </w:rPr>
              <w:t>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1</w:t>
            </w:r>
          </w:p>
        </w:tc>
        <w:tc>
          <w:tcPr>
            <w:tcW w:w="3973" w:type="dxa"/>
            <w:noWrap w:val="0"/>
            <w:vAlign w:val="center"/>
          </w:tcPr>
          <w:p>
            <w:pPr>
              <w:adjustRightInd w:val="0"/>
              <w:snapToGrid w:val="0"/>
              <w:jc w:val="center"/>
              <w:rPr>
                <w:color w:val="auto"/>
                <w:szCs w:val="21"/>
                <w:highlight w:val="none"/>
              </w:rPr>
            </w:pPr>
            <w:r>
              <w:rPr>
                <w:color w:val="auto"/>
                <w:szCs w:val="21"/>
                <w:highlight w:val="none"/>
              </w:rPr>
              <w:t>设计联络</w:t>
            </w:r>
          </w:p>
        </w:tc>
        <w:tc>
          <w:tcPr>
            <w:tcW w:w="4139" w:type="dxa"/>
            <w:noWrap w:val="0"/>
            <w:vAlign w:val="center"/>
          </w:tcPr>
          <w:p>
            <w:pPr>
              <w:adjustRightInd w:val="0"/>
              <w:snapToGrid w:val="0"/>
              <w:jc w:val="center"/>
              <w:rPr>
                <w:color w:val="auto"/>
                <w:szCs w:val="21"/>
                <w:highlight w:val="none"/>
              </w:rPr>
            </w:pPr>
            <w:r>
              <w:rPr>
                <w:color w:val="auto"/>
                <w:szCs w:val="21"/>
                <w:highlight w:val="none"/>
              </w:rPr>
              <w:t>202</w:t>
            </w:r>
            <w:r>
              <w:rPr>
                <w:rFonts w:hint="eastAsia"/>
                <w:color w:val="auto"/>
                <w:szCs w:val="21"/>
                <w:highlight w:val="none"/>
              </w:rPr>
              <w:t>5年</w:t>
            </w:r>
            <w:r>
              <w:rPr>
                <w:rFonts w:hint="eastAsia"/>
                <w:color w:val="auto"/>
                <w:szCs w:val="21"/>
                <w:highlight w:val="none"/>
                <w:lang w:val="en-US" w:eastAsia="zh-CN"/>
              </w:rPr>
              <w:t>6</w:t>
            </w:r>
            <w:r>
              <w:rPr>
                <w:rFonts w:hint="eastAsia"/>
                <w:color w:val="auto"/>
                <w:szCs w:val="21"/>
                <w:highlight w:val="none"/>
              </w:rPr>
              <w:t>月~</w:t>
            </w:r>
            <w:r>
              <w:rPr>
                <w:color w:val="auto"/>
                <w:szCs w:val="21"/>
                <w:highlight w:val="none"/>
              </w:rPr>
              <w:t>202</w:t>
            </w:r>
            <w:r>
              <w:rPr>
                <w:rFonts w:hint="eastAsia"/>
                <w:color w:val="auto"/>
                <w:szCs w:val="21"/>
                <w:highlight w:val="none"/>
                <w:lang w:val="en-US" w:eastAsia="zh-CN"/>
              </w:rPr>
              <w:t>6</w:t>
            </w:r>
            <w:r>
              <w:rPr>
                <w:rFonts w:hint="eastAsia"/>
                <w:color w:val="auto"/>
                <w:szCs w:val="21"/>
                <w:highlight w:val="none"/>
              </w:rPr>
              <w:t>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2</w:t>
            </w:r>
          </w:p>
        </w:tc>
        <w:tc>
          <w:tcPr>
            <w:tcW w:w="3973" w:type="dxa"/>
            <w:noWrap w:val="0"/>
            <w:vAlign w:val="center"/>
          </w:tcPr>
          <w:p>
            <w:pPr>
              <w:adjustRightInd w:val="0"/>
              <w:snapToGrid w:val="0"/>
              <w:jc w:val="center"/>
              <w:rPr>
                <w:color w:val="auto"/>
                <w:szCs w:val="21"/>
                <w:highlight w:val="none"/>
              </w:rPr>
            </w:pPr>
            <w:r>
              <w:rPr>
                <w:color w:val="auto"/>
                <w:szCs w:val="21"/>
                <w:highlight w:val="none"/>
              </w:rPr>
              <w:t>生产制造及出厂验收</w:t>
            </w:r>
          </w:p>
        </w:tc>
        <w:tc>
          <w:tcPr>
            <w:tcW w:w="4139" w:type="dxa"/>
            <w:noWrap w:val="0"/>
            <w:vAlign w:val="center"/>
          </w:tcPr>
          <w:p>
            <w:pPr>
              <w:adjustRightInd w:val="0"/>
              <w:snapToGrid w:val="0"/>
              <w:jc w:val="center"/>
              <w:rPr>
                <w:color w:val="auto"/>
                <w:szCs w:val="21"/>
                <w:highlight w:val="none"/>
              </w:rPr>
            </w:pPr>
            <w:r>
              <w:rPr>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r>
              <w:rPr>
                <w:color w:val="auto"/>
                <w:szCs w:val="21"/>
                <w:highlight w:val="none"/>
              </w:rPr>
              <w:t>202</w:t>
            </w:r>
            <w:r>
              <w:rPr>
                <w:rFonts w:hint="eastAsia"/>
                <w:color w:val="auto"/>
                <w:szCs w:val="21"/>
                <w:highlight w:val="none"/>
                <w:lang w:val="en-US" w:eastAsia="zh-CN"/>
              </w:rPr>
              <w:t>6</w:t>
            </w:r>
            <w:r>
              <w:rPr>
                <w:rFonts w:hint="eastAsia"/>
                <w:color w:val="auto"/>
                <w:szCs w:val="21"/>
                <w:highlight w:val="none"/>
              </w:rPr>
              <w:t>年1</w:t>
            </w:r>
            <w:r>
              <w:rPr>
                <w:color w:val="auto"/>
                <w:szCs w:val="21"/>
                <w:highlight w:val="none"/>
              </w:rPr>
              <w:t>2</w:t>
            </w:r>
            <w:r>
              <w:rPr>
                <w:rFonts w:hint="eastAsia"/>
                <w:color w:val="auto"/>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3</w:t>
            </w:r>
          </w:p>
        </w:tc>
        <w:tc>
          <w:tcPr>
            <w:tcW w:w="3973" w:type="dxa"/>
            <w:noWrap w:val="0"/>
            <w:vAlign w:val="center"/>
          </w:tcPr>
          <w:p>
            <w:pPr>
              <w:adjustRightInd w:val="0"/>
              <w:snapToGrid w:val="0"/>
              <w:jc w:val="center"/>
              <w:rPr>
                <w:color w:val="auto"/>
                <w:szCs w:val="21"/>
                <w:highlight w:val="none"/>
              </w:rPr>
            </w:pPr>
            <w:r>
              <w:rPr>
                <w:color w:val="auto"/>
                <w:szCs w:val="21"/>
                <w:highlight w:val="none"/>
              </w:rPr>
              <w:t>工厂培训</w:t>
            </w:r>
          </w:p>
        </w:tc>
        <w:tc>
          <w:tcPr>
            <w:tcW w:w="4139" w:type="dxa"/>
            <w:noWrap w:val="0"/>
            <w:vAlign w:val="center"/>
          </w:tcPr>
          <w:p>
            <w:pPr>
              <w:adjustRightInd w:val="0"/>
              <w:snapToGrid w:val="0"/>
              <w:jc w:val="center"/>
              <w:rPr>
                <w:color w:val="auto"/>
                <w:szCs w:val="21"/>
                <w:highlight w:val="none"/>
              </w:rPr>
            </w:pPr>
            <w:r>
              <w:rPr>
                <w:color w:val="auto"/>
                <w:szCs w:val="21"/>
                <w:highlight w:val="none"/>
              </w:rPr>
              <w:t>2025</w:t>
            </w:r>
            <w:r>
              <w:rPr>
                <w:rFonts w:hint="eastAsia"/>
                <w:color w:val="auto"/>
                <w:szCs w:val="21"/>
                <w:highlight w:val="none"/>
              </w:rPr>
              <w:t>年</w:t>
            </w:r>
            <w:r>
              <w:rPr>
                <w:rFonts w:hint="eastAsia"/>
                <w:color w:val="auto"/>
                <w:szCs w:val="21"/>
                <w:highlight w:val="none"/>
                <w:lang w:val="en-US" w:eastAsia="zh-CN"/>
              </w:rPr>
              <w:t>10</w:t>
            </w:r>
            <w:r>
              <w:rPr>
                <w:rFonts w:hint="eastAsia"/>
                <w:color w:val="auto"/>
                <w:szCs w:val="21"/>
                <w:highlight w:val="none"/>
              </w:rPr>
              <w:t>月~</w:t>
            </w:r>
            <w:r>
              <w:rPr>
                <w:color w:val="auto"/>
                <w:szCs w:val="21"/>
                <w:highlight w:val="none"/>
              </w:rPr>
              <w:t>2027</w:t>
            </w:r>
            <w:r>
              <w:rPr>
                <w:rFonts w:hint="eastAsia"/>
                <w:color w:val="auto"/>
                <w:szCs w:val="21"/>
                <w:highlight w:val="none"/>
              </w:rPr>
              <w:t>年</w:t>
            </w:r>
            <w:r>
              <w:rPr>
                <w:color w:val="auto"/>
                <w:szCs w:val="21"/>
                <w:highlight w:val="none"/>
              </w:rPr>
              <w:t>2</w:t>
            </w:r>
            <w:r>
              <w:rPr>
                <w:rFonts w:hint="eastAsia"/>
                <w:color w:val="auto"/>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4</w:t>
            </w:r>
          </w:p>
        </w:tc>
        <w:tc>
          <w:tcPr>
            <w:tcW w:w="3973" w:type="dxa"/>
            <w:noWrap w:val="0"/>
            <w:vAlign w:val="center"/>
          </w:tcPr>
          <w:p>
            <w:pPr>
              <w:adjustRightInd w:val="0"/>
              <w:snapToGrid w:val="0"/>
              <w:jc w:val="center"/>
              <w:rPr>
                <w:color w:val="auto"/>
                <w:szCs w:val="21"/>
                <w:highlight w:val="none"/>
              </w:rPr>
            </w:pPr>
            <w:r>
              <w:rPr>
                <w:color w:val="auto"/>
                <w:szCs w:val="21"/>
                <w:highlight w:val="none"/>
              </w:rPr>
              <w:t>供货（分阶段进行）</w:t>
            </w:r>
          </w:p>
        </w:tc>
        <w:tc>
          <w:tcPr>
            <w:tcW w:w="4139" w:type="dxa"/>
            <w:noWrap w:val="0"/>
            <w:vAlign w:val="center"/>
          </w:tcPr>
          <w:p>
            <w:pPr>
              <w:adjustRightInd w:val="0"/>
              <w:snapToGrid w:val="0"/>
              <w:jc w:val="center"/>
              <w:rPr>
                <w:color w:val="auto"/>
                <w:szCs w:val="21"/>
                <w:highlight w:val="none"/>
              </w:rPr>
            </w:pPr>
            <w:r>
              <w:rPr>
                <w:color w:val="auto"/>
                <w:szCs w:val="21"/>
                <w:highlight w:val="none"/>
              </w:rPr>
              <w:t>2025</w:t>
            </w:r>
            <w:r>
              <w:rPr>
                <w:rFonts w:hint="eastAsia"/>
                <w:color w:val="auto"/>
                <w:szCs w:val="21"/>
                <w:highlight w:val="none"/>
              </w:rPr>
              <w:t>年</w:t>
            </w:r>
            <w:r>
              <w:rPr>
                <w:rFonts w:hint="eastAsia"/>
                <w:color w:val="auto"/>
                <w:szCs w:val="21"/>
                <w:highlight w:val="none"/>
                <w:lang w:val="en-US" w:eastAsia="zh-CN"/>
              </w:rPr>
              <w:t>10</w:t>
            </w:r>
            <w:r>
              <w:rPr>
                <w:rFonts w:hint="eastAsia"/>
                <w:color w:val="auto"/>
                <w:szCs w:val="21"/>
                <w:highlight w:val="none"/>
              </w:rPr>
              <w:t>月~</w:t>
            </w:r>
            <w:r>
              <w:rPr>
                <w:color w:val="auto"/>
                <w:szCs w:val="21"/>
                <w:highlight w:val="none"/>
              </w:rPr>
              <w:t>2026</w:t>
            </w:r>
            <w:r>
              <w:rPr>
                <w:rFonts w:hint="eastAsia"/>
                <w:color w:val="auto"/>
                <w:szCs w:val="21"/>
                <w:highlight w:val="none"/>
              </w:rPr>
              <w:t>年</w:t>
            </w:r>
            <w:r>
              <w:rPr>
                <w:rFonts w:hint="eastAsia"/>
                <w:color w:val="auto"/>
                <w:szCs w:val="21"/>
                <w:highlight w:val="none"/>
                <w:lang w:val="en-US" w:eastAsia="zh-CN"/>
              </w:rPr>
              <w:t>12</w:t>
            </w:r>
            <w:r>
              <w:rPr>
                <w:rFonts w:hint="eastAsia"/>
                <w:color w:val="auto"/>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5</w:t>
            </w:r>
          </w:p>
        </w:tc>
        <w:tc>
          <w:tcPr>
            <w:tcW w:w="3973" w:type="dxa"/>
            <w:noWrap w:val="0"/>
            <w:vAlign w:val="center"/>
          </w:tcPr>
          <w:p>
            <w:pPr>
              <w:adjustRightInd w:val="0"/>
              <w:snapToGrid w:val="0"/>
              <w:jc w:val="center"/>
              <w:rPr>
                <w:color w:val="auto"/>
                <w:szCs w:val="21"/>
                <w:highlight w:val="none"/>
              </w:rPr>
            </w:pPr>
            <w:r>
              <w:rPr>
                <w:color w:val="auto"/>
                <w:szCs w:val="21"/>
                <w:highlight w:val="none"/>
              </w:rPr>
              <w:t>安装（分阶段进行）</w:t>
            </w:r>
          </w:p>
        </w:tc>
        <w:tc>
          <w:tcPr>
            <w:tcW w:w="4139" w:type="dxa"/>
            <w:noWrap w:val="0"/>
            <w:vAlign w:val="center"/>
          </w:tcPr>
          <w:p>
            <w:pPr>
              <w:adjustRightInd w:val="0"/>
              <w:snapToGrid w:val="0"/>
              <w:jc w:val="center"/>
              <w:rPr>
                <w:color w:val="auto"/>
                <w:szCs w:val="21"/>
                <w:highlight w:val="none"/>
              </w:rPr>
            </w:pPr>
            <w:r>
              <w:rPr>
                <w:color w:val="auto"/>
                <w:szCs w:val="21"/>
                <w:highlight w:val="none"/>
              </w:rPr>
              <w:t>2025</w:t>
            </w:r>
            <w:r>
              <w:rPr>
                <w:rFonts w:hint="eastAsia"/>
                <w:color w:val="auto"/>
                <w:szCs w:val="21"/>
                <w:highlight w:val="none"/>
              </w:rPr>
              <w:t>年</w:t>
            </w:r>
            <w:r>
              <w:rPr>
                <w:rFonts w:hint="eastAsia"/>
                <w:color w:val="auto"/>
                <w:szCs w:val="21"/>
                <w:highlight w:val="none"/>
                <w:lang w:val="en-US" w:eastAsia="zh-CN"/>
              </w:rPr>
              <w:t>10</w:t>
            </w:r>
            <w:r>
              <w:rPr>
                <w:rFonts w:hint="eastAsia"/>
                <w:color w:val="auto"/>
                <w:szCs w:val="21"/>
                <w:highlight w:val="none"/>
              </w:rPr>
              <w:t>月~</w:t>
            </w:r>
            <w:r>
              <w:rPr>
                <w:color w:val="auto"/>
                <w:szCs w:val="21"/>
                <w:highlight w:val="none"/>
              </w:rPr>
              <w:t>202</w:t>
            </w:r>
            <w:r>
              <w:rPr>
                <w:rFonts w:hint="eastAsia"/>
                <w:color w:val="auto"/>
                <w:szCs w:val="21"/>
                <w:highlight w:val="none"/>
                <w:lang w:val="en-US" w:eastAsia="zh-CN"/>
              </w:rPr>
              <w:t>7</w:t>
            </w:r>
            <w:r>
              <w:rPr>
                <w:rFonts w:hint="eastAsia"/>
                <w:color w:val="auto"/>
                <w:szCs w:val="21"/>
                <w:highlight w:val="none"/>
              </w:rPr>
              <w:t>年</w:t>
            </w:r>
            <w:r>
              <w:rPr>
                <w:rFonts w:hint="eastAsia"/>
                <w:color w:val="auto"/>
                <w:szCs w:val="21"/>
                <w:highlight w:val="none"/>
                <w:lang w:val="en-US" w:eastAsia="zh-CN"/>
              </w:rPr>
              <w:t>4</w:t>
            </w:r>
            <w:r>
              <w:rPr>
                <w:rFonts w:hint="eastAsia"/>
                <w:color w:val="auto"/>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6</w:t>
            </w:r>
          </w:p>
        </w:tc>
        <w:tc>
          <w:tcPr>
            <w:tcW w:w="3973" w:type="dxa"/>
            <w:noWrap w:val="0"/>
            <w:vAlign w:val="center"/>
          </w:tcPr>
          <w:p>
            <w:pPr>
              <w:adjustRightInd w:val="0"/>
              <w:snapToGrid w:val="0"/>
              <w:jc w:val="center"/>
              <w:rPr>
                <w:color w:val="auto"/>
                <w:szCs w:val="21"/>
                <w:highlight w:val="none"/>
              </w:rPr>
            </w:pPr>
            <w:r>
              <w:rPr>
                <w:color w:val="auto"/>
                <w:szCs w:val="21"/>
                <w:highlight w:val="none"/>
              </w:rPr>
              <w:t>环网送电</w:t>
            </w:r>
          </w:p>
        </w:tc>
        <w:tc>
          <w:tcPr>
            <w:tcW w:w="4139" w:type="dxa"/>
            <w:noWrap w:val="0"/>
            <w:vAlign w:val="center"/>
          </w:tcPr>
          <w:p>
            <w:pPr>
              <w:adjustRightInd w:val="0"/>
              <w:snapToGrid w:val="0"/>
              <w:jc w:val="center"/>
              <w:rPr>
                <w:color w:val="auto"/>
                <w:szCs w:val="21"/>
                <w:highlight w:val="none"/>
              </w:rPr>
            </w:pPr>
            <w:r>
              <w:rPr>
                <w:color w:val="auto"/>
                <w:szCs w:val="21"/>
                <w:highlight w:val="none"/>
              </w:rPr>
              <w:t>2026</w:t>
            </w:r>
            <w:r>
              <w:rPr>
                <w:rFonts w:hint="eastAsia"/>
                <w:color w:val="auto"/>
                <w:szCs w:val="21"/>
                <w:highlight w:val="none"/>
              </w:rPr>
              <w:t>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7</w:t>
            </w:r>
          </w:p>
        </w:tc>
        <w:tc>
          <w:tcPr>
            <w:tcW w:w="3973" w:type="dxa"/>
            <w:noWrap w:val="0"/>
            <w:vAlign w:val="center"/>
          </w:tcPr>
          <w:p>
            <w:pPr>
              <w:adjustRightInd w:val="0"/>
              <w:snapToGrid w:val="0"/>
              <w:jc w:val="center"/>
              <w:rPr>
                <w:color w:val="auto"/>
                <w:szCs w:val="21"/>
                <w:highlight w:val="none"/>
              </w:rPr>
            </w:pPr>
            <w:r>
              <w:rPr>
                <w:color w:val="auto"/>
                <w:szCs w:val="21"/>
                <w:highlight w:val="none"/>
              </w:rPr>
              <w:t>接触网送电、全线热滑</w:t>
            </w:r>
          </w:p>
        </w:tc>
        <w:tc>
          <w:tcPr>
            <w:tcW w:w="4139" w:type="dxa"/>
            <w:noWrap w:val="0"/>
            <w:vAlign w:val="center"/>
          </w:tcPr>
          <w:p>
            <w:pPr>
              <w:adjustRightInd w:val="0"/>
              <w:snapToGrid w:val="0"/>
              <w:jc w:val="center"/>
              <w:rPr>
                <w:color w:val="auto"/>
                <w:szCs w:val="21"/>
                <w:highlight w:val="none"/>
              </w:rPr>
            </w:pPr>
            <w:r>
              <w:rPr>
                <w:color w:val="auto"/>
                <w:szCs w:val="21"/>
                <w:highlight w:val="none"/>
              </w:rPr>
              <w:t>2026</w:t>
            </w:r>
            <w:r>
              <w:rPr>
                <w:rFonts w:hint="eastAsia"/>
                <w:color w:val="auto"/>
                <w:szCs w:val="21"/>
                <w:highlight w:val="none"/>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8</w:t>
            </w:r>
          </w:p>
        </w:tc>
        <w:tc>
          <w:tcPr>
            <w:tcW w:w="3973" w:type="dxa"/>
            <w:noWrap w:val="0"/>
            <w:vAlign w:val="center"/>
          </w:tcPr>
          <w:p>
            <w:pPr>
              <w:adjustRightInd w:val="0"/>
              <w:snapToGrid w:val="0"/>
              <w:jc w:val="center"/>
              <w:rPr>
                <w:color w:val="auto"/>
                <w:szCs w:val="21"/>
                <w:highlight w:val="none"/>
              </w:rPr>
            </w:pPr>
            <w:r>
              <w:rPr>
                <w:color w:val="auto"/>
                <w:szCs w:val="21"/>
                <w:highlight w:val="none"/>
              </w:rPr>
              <w:t>各系统综合联调</w:t>
            </w:r>
          </w:p>
        </w:tc>
        <w:tc>
          <w:tcPr>
            <w:tcW w:w="4139" w:type="dxa"/>
            <w:noWrap w:val="0"/>
            <w:vAlign w:val="center"/>
          </w:tcPr>
          <w:p>
            <w:pPr>
              <w:adjustRightInd w:val="0"/>
              <w:snapToGrid w:val="0"/>
              <w:jc w:val="center"/>
              <w:rPr>
                <w:color w:val="auto"/>
                <w:szCs w:val="21"/>
                <w:highlight w:val="none"/>
              </w:rPr>
            </w:pPr>
            <w:r>
              <w:rPr>
                <w:color w:val="auto"/>
                <w:szCs w:val="21"/>
                <w:highlight w:val="none"/>
              </w:rPr>
              <w:t>2026</w:t>
            </w:r>
            <w:r>
              <w:rPr>
                <w:rFonts w:hint="eastAsia"/>
                <w:color w:val="auto"/>
                <w:szCs w:val="21"/>
                <w:highlight w:val="none"/>
              </w:rPr>
              <w:t>年12月~</w:t>
            </w:r>
            <w:r>
              <w:rPr>
                <w:color w:val="auto"/>
                <w:szCs w:val="21"/>
                <w:highlight w:val="none"/>
              </w:rPr>
              <w:t>2027</w:t>
            </w:r>
            <w:r>
              <w:rPr>
                <w:rFonts w:hint="eastAsia"/>
                <w:color w:val="auto"/>
                <w:szCs w:val="21"/>
                <w:highlight w:val="none"/>
              </w:rPr>
              <w:t>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9</w:t>
            </w:r>
          </w:p>
        </w:tc>
        <w:tc>
          <w:tcPr>
            <w:tcW w:w="3973" w:type="dxa"/>
            <w:noWrap w:val="0"/>
            <w:vAlign w:val="center"/>
          </w:tcPr>
          <w:p>
            <w:pPr>
              <w:snapToGrid w:val="0"/>
              <w:ind w:firstLine="420"/>
              <w:jc w:val="center"/>
              <w:rPr>
                <w:color w:val="auto"/>
                <w:szCs w:val="21"/>
                <w:highlight w:val="none"/>
              </w:rPr>
            </w:pPr>
            <w:r>
              <w:rPr>
                <w:color w:val="auto"/>
                <w:szCs w:val="20"/>
                <w:highlight w:val="none"/>
              </w:rPr>
              <w:t>空载试运行</w:t>
            </w:r>
          </w:p>
        </w:tc>
        <w:tc>
          <w:tcPr>
            <w:tcW w:w="4139" w:type="dxa"/>
            <w:noWrap w:val="0"/>
            <w:vAlign w:val="center"/>
          </w:tcPr>
          <w:p>
            <w:pPr>
              <w:adjustRightInd w:val="0"/>
              <w:snapToGrid w:val="0"/>
              <w:jc w:val="center"/>
              <w:rPr>
                <w:color w:val="auto"/>
                <w:szCs w:val="21"/>
                <w:highlight w:val="none"/>
              </w:rPr>
            </w:pPr>
            <w:r>
              <w:rPr>
                <w:color w:val="auto"/>
                <w:szCs w:val="21"/>
                <w:highlight w:val="none"/>
              </w:rPr>
              <w:t>2027</w:t>
            </w:r>
            <w:r>
              <w:rPr>
                <w:rFonts w:hint="eastAsia"/>
                <w:color w:val="auto"/>
                <w:szCs w:val="21"/>
                <w:highlight w:val="none"/>
              </w:rPr>
              <w:t>年5月~</w:t>
            </w:r>
            <w:r>
              <w:rPr>
                <w:color w:val="auto"/>
                <w:szCs w:val="21"/>
                <w:highlight w:val="none"/>
              </w:rPr>
              <w:t>2027</w:t>
            </w:r>
            <w:r>
              <w:rPr>
                <w:rFonts w:hint="eastAsia"/>
                <w:color w:val="auto"/>
                <w:szCs w:val="21"/>
                <w:highlight w:val="none"/>
              </w:rPr>
              <w:t>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0"/>
            <w:vAlign w:val="center"/>
          </w:tcPr>
          <w:p>
            <w:pPr>
              <w:adjustRightInd w:val="0"/>
              <w:snapToGrid w:val="0"/>
              <w:jc w:val="center"/>
              <w:rPr>
                <w:color w:val="auto"/>
                <w:szCs w:val="21"/>
                <w:highlight w:val="none"/>
              </w:rPr>
            </w:pPr>
            <w:r>
              <w:rPr>
                <w:color w:val="auto"/>
                <w:szCs w:val="21"/>
                <w:highlight w:val="none"/>
              </w:rPr>
              <w:t>10</w:t>
            </w:r>
          </w:p>
        </w:tc>
        <w:tc>
          <w:tcPr>
            <w:tcW w:w="3973" w:type="dxa"/>
            <w:noWrap w:val="0"/>
            <w:vAlign w:val="center"/>
          </w:tcPr>
          <w:p>
            <w:pPr>
              <w:snapToGrid w:val="0"/>
              <w:ind w:firstLine="420"/>
              <w:jc w:val="center"/>
              <w:rPr>
                <w:color w:val="auto"/>
                <w:szCs w:val="21"/>
                <w:highlight w:val="none"/>
              </w:rPr>
            </w:pPr>
            <w:r>
              <w:rPr>
                <w:color w:val="auto"/>
                <w:szCs w:val="20"/>
                <w:highlight w:val="none"/>
              </w:rPr>
              <w:t>试运营</w:t>
            </w:r>
          </w:p>
        </w:tc>
        <w:tc>
          <w:tcPr>
            <w:tcW w:w="4139" w:type="dxa"/>
            <w:noWrap w:val="0"/>
            <w:vAlign w:val="center"/>
          </w:tcPr>
          <w:p>
            <w:pPr>
              <w:adjustRightInd w:val="0"/>
              <w:snapToGrid w:val="0"/>
              <w:jc w:val="center"/>
              <w:rPr>
                <w:color w:val="auto"/>
                <w:szCs w:val="21"/>
                <w:highlight w:val="none"/>
              </w:rPr>
            </w:pPr>
            <w:r>
              <w:rPr>
                <w:color w:val="auto"/>
                <w:szCs w:val="21"/>
                <w:highlight w:val="none"/>
              </w:rPr>
              <w:t>2027</w:t>
            </w:r>
            <w:r>
              <w:rPr>
                <w:rFonts w:hint="eastAsia"/>
                <w:color w:val="auto"/>
                <w:szCs w:val="21"/>
                <w:highlight w:val="none"/>
              </w:rPr>
              <w:t>年9月</w:t>
            </w:r>
          </w:p>
        </w:tc>
      </w:tr>
    </w:tbl>
    <w:p>
      <w:pPr>
        <w:ind w:firstLine="420" w:firstLineChars="200"/>
        <w:rPr>
          <w:color w:val="auto"/>
          <w:szCs w:val="21"/>
          <w:highlight w:val="none"/>
        </w:rPr>
      </w:pPr>
    </w:p>
    <w:p>
      <w:pPr>
        <w:spacing w:line="360" w:lineRule="auto"/>
        <w:ind w:firstLine="420" w:firstLineChars="200"/>
        <w:rPr>
          <w:rFonts w:hint="eastAsia" w:eastAsia="宋体"/>
          <w:color w:val="auto"/>
          <w:kern w:val="0"/>
          <w:sz w:val="24"/>
          <w:highlight w:val="none"/>
          <w:lang w:val="en-US" w:eastAsia="zh-CN"/>
        </w:rPr>
        <w:sectPr>
          <w:headerReference r:id="rId11" w:type="default"/>
          <w:footerReference r:id="rId12" w:type="default"/>
          <w:pgSz w:w="12240" w:h="15840"/>
          <w:pgMar w:top="1440" w:right="1608" w:bottom="1440" w:left="1800" w:header="720" w:footer="720" w:gutter="0"/>
          <w:pgNumType w:fmt="decimal"/>
          <w:cols w:space="720" w:num="1"/>
          <w:docGrid w:linePitch="286" w:charSpace="0"/>
        </w:sectPr>
      </w:pPr>
      <w:r>
        <w:rPr>
          <w:color w:val="auto"/>
          <w:szCs w:val="21"/>
          <w:highlight w:val="none"/>
        </w:rPr>
        <w:t>投标人应根据上表，分别做出强电系统、</w:t>
      </w:r>
      <w:r>
        <w:rPr>
          <w:rFonts w:hint="eastAsia"/>
          <w:color w:val="auto"/>
          <w:szCs w:val="21"/>
          <w:highlight w:val="none"/>
        </w:rPr>
        <w:t>弱电系统、</w:t>
      </w:r>
      <w:r>
        <w:rPr>
          <w:color w:val="auto"/>
          <w:szCs w:val="21"/>
          <w:highlight w:val="none"/>
        </w:rPr>
        <w:t>车站设备系统详细的集成服务工作计划。计划表应用Microsoft Project软件编制，并与投标文件一起提供，以上工期计划仅供参考，业主保留根据东莞市规划调整引起工期调整的权力，合同价保持不变</w:t>
      </w:r>
      <w:bookmarkStart w:id="2223" w:name="_Toc29464"/>
      <w:bookmarkStart w:id="2224" w:name="_Toc26924"/>
      <w:bookmarkStart w:id="2225" w:name="_Toc30115"/>
      <w:bookmarkStart w:id="2226" w:name="_Toc309026903"/>
      <w:bookmarkStart w:id="2227" w:name="_Toc306091630"/>
      <w:bookmarkStart w:id="2228" w:name="_Toc309026509"/>
      <w:bookmarkStart w:id="2229" w:name="_Toc27693"/>
      <w:r>
        <w:rPr>
          <w:rFonts w:hint="eastAsia"/>
          <w:color w:val="auto"/>
          <w:szCs w:val="21"/>
          <w:highlight w:val="none"/>
          <w:lang w:eastAsia="zh-CN"/>
        </w:rPr>
        <w:t>。</w:t>
      </w:r>
    </w:p>
    <w:p>
      <w:pPr>
        <w:pStyle w:val="3"/>
        <w:pageBreakBefore w:val="0"/>
        <w:widowControl w:val="0"/>
        <w:numPr>
          <w:ilvl w:val="0"/>
          <w:numId w:val="0"/>
        </w:numPr>
        <w:kinsoku/>
        <w:wordWrap/>
        <w:overflowPunct/>
        <w:topLinePunct w:val="0"/>
        <w:autoSpaceDE/>
        <w:autoSpaceDN/>
        <w:bidi w:val="0"/>
        <w:snapToGrid/>
        <w:spacing w:before="0" w:after="0" w:line="440" w:lineRule="exact"/>
        <w:rPr>
          <w:rFonts w:hint="eastAsia"/>
          <w:color w:val="auto"/>
          <w:highlight w:val="none"/>
          <w:lang w:val="en-US" w:eastAsia="zh-CN"/>
        </w:rPr>
      </w:pPr>
      <w:bookmarkStart w:id="2230" w:name="_Toc130847124"/>
      <w:bookmarkStart w:id="2231" w:name="_Toc184763335"/>
      <w:bookmarkStart w:id="2232" w:name="_Toc7402"/>
      <w:bookmarkStart w:id="2233" w:name="_Toc19935"/>
      <w:r>
        <w:rPr>
          <w:rFonts w:hint="eastAsia"/>
          <w:color w:val="auto"/>
          <w:sz w:val="24"/>
          <w:szCs w:val="24"/>
          <w:highlight w:val="none"/>
          <w:lang w:val="en-US" w:eastAsia="zh-CN"/>
        </w:rPr>
        <w:t>四、</w:t>
      </w:r>
      <w:r>
        <w:rPr>
          <w:color w:val="auto"/>
          <w:sz w:val="24"/>
          <w:szCs w:val="24"/>
          <w:highlight w:val="none"/>
        </w:rPr>
        <w:t>集成服务基本要求</w:t>
      </w:r>
      <w:bookmarkEnd w:id="2223"/>
      <w:bookmarkEnd w:id="2224"/>
      <w:bookmarkEnd w:id="2225"/>
      <w:bookmarkEnd w:id="2226"/>
      <w:bookmarkEnd w:id="2227"/>
      <w:bookmarkEnd w:id="2228"/>
      <w:bookmarkEnd w:id="2229"/>
      <w:bookmarkEnd w:id="2230"/>
      <w:bookmarkEnd w:id="2231"/>
      <w:bookmarkEnd w:id="2232"/>
      <w:bookmarkEnd w:id="2233"/>
      <w:bookmarkStart w:id="2234" w:name="_Toc130847125"/>
      <w:bookmarkStart w:id="2235" w:name="_Toc184763336"/>
      <w:bookmarkStart w:id="2236" w:name="_Toc309026904"/>
      <w:bookmarkStart w:id="2237" w:name="_Toc20537"/>
      <w:bookmarkStart w:id="2238" w:name="_Toc20910"/>
      <w:bookmarkStart w:id="2239" w:name="_Toc309026510"/>
      <w:bookmarkStart w:id="2240" w:name="_Toc31070"/>
      <w:bookmarkStart w:id="2241" w:name="_Toc16668"/>
      <w:bookmarkStart w:id="2242" w:name="_Toc306091631"/>
      <w:bookmarkStart w:id="2243" w:name="_Toc31075"/>
    </w:p>
    <w:p>
      <w:pPr>
        <w:pStyle w:val="4"/>
        <w:pageBreakBefore w:val="0"/>
        <w:widowControl w:val="0"/>
        <w:kinsoku/>
        <w:wordWrap/>
        <w:overflowPunct/>
        <w:topLinePunct w:val="0"/>
        <w:autoSpaceDE/>
        <w:autoSpaceDN/>
        <w:bidi w:val="0"/>
        <w:snapToGrid/>
        <w:spacing w:before="0" w:after="0" w:line="240" w:lineRule="auto"/>
        <w:rPr>
          <w:rFonts w:hint="eastAsia" w:ascii="黑体" w:hAnsi="黑体" w:eastAsia="黑体" w:cs="黑体"/>
          <w:color w:val="auto"/>
          <w:sz w:val="21"/>
          <w:szCs w:val="21"/>
          <w:highlight w:val="none"/>
        </w:rPr>
      </w:pPr>
      <w:bookmarkStart w:id="2244" w:name="_Toc5970"/>
      <w:r>
        <w:rPr>
          <w:rFonts w:hint="eastAsia" w:ascii="黑体" w:hAnsi="黑体" w:eastAsia="黑体" w:cs="黑体"/>
          <w:color w:val="auto"/>
          <w:sz w:val="21"/>
          <w:szCs w:val="21"/>
          <w:highlight w:val="none"/>
          <w:lang w:val="en-US" w:eastAsia="zh-CN"/>
        </w:rPr>
        <w:t>4.1</w:t>
      </w:r>
      <w:r>
        <w:rPr>
          <w:rFonts w:hint="eastAsia" w:ascii="黑体" w:hAnsi="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工作目标</w:t>
      </w:r>
      <w:bookmarkEnd w:id="2234"/>
      <w:bookmarkEnd w:id="2235"/>
      <w:bookmarkEnd w:id="2236"/>
      <w:bookmarkEnd w:id="2237"/>
      <w:bookmarkEnd w:id="2238"/>
      <w:bookmarkEnd w:id="2239"/>
      <w:bookmarkEnd w:id="2240"/>
      <w:bookmarkEnd w:id="2241"/>
      <w:bookmarkEnd w:id="2242"/>
      <w:bookmarkEnd w:id="2243"/>
      <w:bookmarkEnd w:id="2244"/>
    </w:p>
    <w:p>
      <w:pPr>
        <w:pageBreakBefore w:val="0"/>
        <w:widowControl w:val="0"/>
        <w:kinsoku/>
        <w:wordWrap/>
        <w:overflowPunct/>
        <w:topLinePunct w:val="0"/>
        <w:autoSpaceDE/>
        <w:autoSpaceDN/>
        <w:bidi w:val="0"/>
        <w:snapToGrid/>
        <w:spacing w:line="440" w:lineRule="exact"/>
        <w:ind w:firstLine="420" w:firstLineChars="200"/>
        <w:rPr>
          <w:color w:val="auto"/>
          <w:highlight w:val="none"/>
        </w:rPr>
      </w:pPr>
      <w:r>
        <w:rPr>
          <w:rFonts w:hint="eastAsia"/>
          <w:color w:val="auto"/>
          <w:szCs w:val="21"/>
          <w:highlight w:val="none"/>
        </w:rPr>
        <w:t>业主</w:t>
      </w:r>
      <w:r>
        <w:rPr>
          <w:color w:val="auto"/>
          <w:highlight w:val="none"/>
        </w:rPr>
        <w:t>对设备提出的总要求是“三高两低”，即：高可靠性、高安全性、高度自动化，低损耗、低维修（护）。</w:t>
      </w:r>
      <w:r>
        <w:rPr>
          <w:rFonts w:hint="eastAsia"/>
          <w:color w:val="auto"/>
          <w:highlight w:val="none"/>
        </w:rPr>
        <w:t>业主</w:t>
      </w:r>
      <w:r>
        <w:rPr>
          <w:color w:val="auto"/>
          <w:highlight w:val="none"/>
        </w:rPr>
        <w:t>通过招标，聘请在强电</w:t>
      </w:r>
      <w:r>
        <w:rPr>
          <w:rFonts w:hint="eastAsia"/>
          <w:color w:val="auto"/>
          <w:highlight w:val="none"/>
          <w:lang w:val="en-US" w:eastAsia="zh-CN"/>
        </w:rPr>
        <w:t>设备</w:t>
      </w:r>
      <w:r>
        <w:rPr>
          <w:color w:val="auto"/>
          <w:highlight w:val="none"/>
        </w:rPr>
        <w:t>系统</w:t>
      </w:r>
      <w:r>
        <w:rPr>
          <w:rFonts w:hint="eastAsia"/>
          <w:color w:val="auto"/>
          <w:highlight w:val="none"/>
        </w:rPr>
        <w:t>、弱电</w:t>
      </w:r>
      <w:r>
        <w:rPr>
          <w:rFonts w:hint="eastAsia"/>
          <w:color w:val="auto"/>
          <w:highlight w:val="none"/>
          <w:lang w:val="en-US" w:eastAsia="zh-CN"/>
        </w:rPr>
        <w:t>设备</w:t>
      </w:r>
      <w:r>
        <w:rPr>
          <w:rFonts w:hint="eastAsia"/>
          <w:color w:val="auto"/>
          <w:highlight w:val="none"/>
        </w:rPr>
        <w:t>系统</w:t>
      </w:r>
      <w:r>
        <w:rPr>
          <w:color w:val="auto"/>
          <w:highlight w:val="none"/>
        </w:rPr>
        <w:t>及车站设备系统集成方面有较强能力和丰富经验的集成服务商，在东莞市轨道2号线三期工程实施过程中，代表和协助业主实施全过程管理，使各系统设备能有效的组成一个运行可靠、功能完备的系统。</w:t>
      </w:r>
    </w:p>
    <w:p>
      <w:pPr>
        <w:pStyle w:val="4"/>
        <w:pageBreakBefore w:val="0"/>
        <w:widowControl w:val="0"/>
        <w:kinsoku/>
        <w:wordWrap/>
        <w:overflowPunct/>
        <w:topLinePunct w:val="0"/>
        <w:autoSpaceDE/>
        <w:autoSpaceDN/>
        <w:bidi w:val="0"/>
        <w:snapToGrid/>
        <w:spacing w:before="0" w:after="0" w:line="240" w:lineRule="auto"/>
        <w:rPr>
          <w:rFonts w:hint="eastAsia" w:ascii="黑体" w:hAnsi="黑体" w:eastAsia="黑体" w:cs="黑体"/>
          <w:color w:val="auto"/>
          <w:sz w:val="21"/>
          <w:szCs w:val="21"/>
          <w:highlight w:val="none"/>
        </w:rPr>
      </w:pPr>
      <w:bookmarkStart w:id="2245" w:name="_Toc17753"/>
      <w:bookmarkStart w:id="2246" w:name="_Toc12883"/>
      <w:bookmarkStart w:id="2247" w:name="_Toc18070"/>
      <w:bookmarkStart w:id="2248" w:name="_Toc306091632"/>
      <w:bookmarkStart w:id="2249" w:name="_Toc3709"/>
      <w:bookmarkStart w:id="2250" w:name="_Toc309026905"/>
      <w:bookmarkStart w:id="2251" w:name="_Toc309026511"/>
      <w:bookmarkStart w:id="2252" w:name="_Toc9867"/>
      <w:bookmarkStart w:id="2253" w:name="_Toc184763337"/>
      <w:bookmarkStart w:id="2254" w:name="_Toc13514"/>
      <w:bookmarkStart w:id="2255" w:name="_Toc130847126"/>
      <w:r>
        <w:rPr>
          <w:rFonts w:hint="eastAsia" w:ascii="黑体" w:hAnsi="黑体" w:eastAsia="黑体" w:cs="黑体"/>
          <w:color w:val="auto"/>
          <w:sz w:val="21"/>
          <w:szCs w:val="21"/>
          <w:highlight w:val="none"/>
          <w:lang w:val="en-US" w:eastAsia="zh-CN"/>
        </w:rPr>
        <w:t>4.2</w:t>
      </w:r>
      <w:r>
        <w:rPr>
          <w:rFonts w:hint="eastAsia" w:ascii="黑体" w:hAnsi="黑体" w:eastAsia="黑体" w:cs="黑体"/>
          <w:color w:val="auto"/>
          <w:sz w:val="21"/>
          <w:szCs w:val="21"/>
          <w:highlight w:val="none"/>
        </w:rPr>
        <w:t>集成服务基本内容</w:t>
      </w:r>
      <w:bookmarkEnd w:id="2245"/>
      <w:bookmarkEnd w:id="2246"/>
      <w:bookmarkEnd w:id="2247"/>
      <w:bookmarkEnd w:id="2248"/>
      <w:bookmarkEnd w:id="2249"/>
      <w:bookmarkEnd w:id="2250"/>
      <w:bookmarkEnd w:id="2251"/>
      <w:bookmarkEnd w:id="2252"/>
      <w:bookmarkEnd w:id="2253"/>
      <w:bookmarkEnd w:id="2254"/>
      <w:bookmarkEnd w:id="2255"/>
    </w:p>
    <w:p>
      <w:pPr>
        <w:numPr>
          <w:ilvl w:val="2"/>
          <w:numId w:val="6"/>
        </w:numPr>
        <w:spacing w:line="360" w:lineRule="auto"/>
        <w:rPr>
          <w:color w:val="auto"/>
          <w:highlight w:val="none"/>
        </w:rPr>
      </w:pPr>
      <w:r>
        <w:rPr>
          <w:color w:val="auto"/>
          <w:highlight w:val="none"/>
        </w:rPr>
        <w:t>主要</w:t>
      </w:r>
      <w:r>
        <w:rPr>
          <w:rFonts w:hint="eastAsia"/>
          <w:color w:val="auto"/>
          <w:highlight w:val="none"/>
        </w:rPr>
        <w:t>工作</w:t>
      </w:r>
      <w:r>
        <w:rPr>
          <w:color w:val="auto"/>
          <w:highlight w:val="none"/>
        </w:rPr>
        <w:t>包括</w:t>
      </w:r>
      <w:r>
        <w:rPr>
          <w:rFonts w:hint="eastAsia"/>
          <w:color w:val="auto"/>
          <w:highlight w:val="none"/>
        </w:rPr>
        <w:t>但不限于</w:t>
      </w:r>
      <w:r>
        <w:rPr>
          <w:color w:val="auto"/>
          <w:highlight w:val="none"/>
        </w:rPr>
        <w:t xml:space="preserve">以下内容： </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设备招标配合；</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设备设计配合；</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设备投资管理；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color w:val="auto"/>
          <w:highlight w:val="none"/>
        </w:rPr>
        <w:t>设备合同保函管理；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color w:val="auto"/>
          <w:highlight w:val="none"/>
        </w:rPr>
        <w:t>设备合同支付配合；</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color w:val="auto"/>
          <w:highlight w:val="none"/>
        </w:rPr>
        <w:t>系统和设备接口管理；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color w:val="auto"/>
          <w:highlight w:val="none"/>
        </w:rPr>
        <w:t>设备（含软件）生产过程控制；</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color w:val="auto"/>
          <w:highlight w:val="none"/>
        </w:rPr>
        <w:t>设备出厂检验；</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color w:val="auto"/>
          <w:highlight w:val="none"/>
        </w:rPr>
        <w:t>配合第三方送检；</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10</w:t>
      </w:r>
      <w:r>
        <w:rPr>
          <w:rFonts w:hint="eastAsia"/>
          <w:color w:val="auto"/>
          <w:highlight w:val="none"/>
          <w:lang w:eastAsia="zh-CN"/>
        </w:rPr>
        <w:t>）</w:t>
      </w:r>
      <w:r>
        <w:rPr>
          <w:color w:val="auto"/>
          <w:highlight w:val="none"/>
        </w:rPr>
        <w:t>设备培训管理；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11</w:t>
      </w:r>
      <w:r>
        <w:rPr>
          <w:rFonts w:hint="eastAsia"/>
          <w:color w:val="auto"/>
          <w:highlight w:val="none"/>
          <w:lang w:eastAsia="zh-CN"/>
        </w:rPr>
        <w:t>）</w:t>
      </w:r>
      <w:r>
        <w:rPr>
          <w:color w:val="auto"/>
          <w:highlight w:val="none"/>
        </w:rPr>
        <w:t>设备到货管理；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12</w:t>
      </w:r>
      <w:r>
        <w:rPr>
          <w:rFonts w:hint="eastAsia"/>
          <w:color w:val="auto"/>
          <w:highlight w:val="none"/>
          <w:lang w:eastAsia="zh-CN"/>
        </w:rPr>
        <w:t>）</w:t>
      </w:r>
      <w:r>
        <w:rPr>
          <w:color w:val="auto"/>
          <w:highlight w:val="none"/>
        </w:rPr>
        <w:t>设备安装督导、调试的管理；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13</w:t>
      </w:r>
      <w:r>
        <w:rPr>
          <w:rFonts w:hint="eastAsia"/>
          <w:color w:val="auto"/>
          <w:highlight w:val="none"/>
          <w:lang w:eastAsia="zh-CN"/>
        </w:rPr>
        <w:t>）</w:t>
      </w:r>
      <w:r>
        <w:rPr>
          <w:color w:val="auto"/>
          <w:highlight w:val="none"/>
        </w:rPr>
        <w:t>系统联调管理；</w:t>
      </w:r>
    </w:p>
    <w:p>
      <w:pPr>
        <w:numPr>
          <w:ilvl w:val="0"/>
          <w:numId w:val="0"/>
        </w:numPr>
        <w:tabs>
          <w:tab w:val="left" w:pos="993"/>
        </w:tabs>
        <w:spacing w:line="360" w:lineRule="auto"/>
        <w:ind w:left="416" w:leftChars="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14</w:t>
      </w:r>
      <w:r>
        <w:rPr>
          <w:rFonts w:hint="eastAsia"/>
          <w:color w:val="auto"/>
          <w:highlight w:val="none"/>
          <w:lang w:eastAsia="zh-CN"/>
        </w:rPr>
        <w:t>）</w:t>
      </w:r>
      <w:r>
        <w:rPr>
          <w:rFonts w:hint="eastAsia"/>
          <w:color w:val="auto"/>
          <w:highlight w:val="none"/>
          <w:lang w:val="en-US" w:eastAsia="zh-CN"/>
        </w:rPr>
        <w:t>综合联调管理；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15</w:t>
      </w:r>
      <w:r>
        <w:rPr>
          <w:rFonts w:hint="eastAsia"/>
          <w:color w:val="auto"/>
          <w:highlight w:val="none"/>
          <w:lang w:eastAsia="zh-CN"/>
        </w:rPr>
        <w:t>）</w:t>
      </w:r>
      <w:r>
        <w:rPr>
          <w:color w:val="auto"/>
          <w:highlight w:val="none"/>
        </w:rPr>
        <w:t>设备验收、移交管理以及整改问题处理；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16</w:t>
      </w:r>
      <w:r>
        <w:rPr>
          <w:rFonts w:hint="eastAsia"/>
          <w:color w:val="auto"/>
          <w:highlight w:val="none"/>
          <w:lang w:eastAsia="zh-CN"/>
        </w:rPr>
        <w:t>）</w:t>
      </w:r>
      <w:r>
        <w:rPr>
          <w:color w:val="auto"/>
          <w:highlight w:val="none"/>
        </w:rPr>
        <w:t>试运行管理；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17</w:t>
      </w:r>
      <w:r>
        <w:rPr>
          <w:rFonts w:hint="eastAsia"/>
          <w:color w:val="auto"/>
          <w:highlight w:val="none"/>
          <w:lang w:eastAsia="zh-CN"/>
        </w:rPr>
        <w:t>）</w:t>
      </w:r>
      <w:r>
        <w:rPr>
          <w:color w:val="auto"/>
          <w:highlight w:val="none"/>
        </w:rPr>
        <w:t>竣工设备资料归档；</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18</w:t>
      </w:r>
      <w:r>
        <w:rPr>
          <w:rFonts w:hint="eastAsia"/>
          <w:color w:val="auto"/>
          <w:highlight w:val="none"/>
          <w:lang w:eastAsia="zh-CN"/>
        </w:rPr>
        <w:t>）</w:t>
      </w:r>
      <w:r>
        <w:rPr>
          <w:color w:val="auto"/>
          <w:highlight w:val="none"/>
        </w:rPr>
        <w:t>竣工设备合同结算配合；</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19</w:t>
      </w:r>
      <w:r>
        <w:rPr>
          <w:rFonts w:hint="eastAsia"/>
          <w:color w:val="auto"/>
          <w:highlight w:val="none"/>
          <w:lang w:eastAsia="zh-CN"/>
        </w:rPr>
        <w:t>）</w:t>
      </w:r>
      <w:r>
        <w:rPr>
          <w:color w:val="auto"/>
          <w:highlight w:val="none"/>
        </w:rPr>
        <w:t>设备质保期管理；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20</w:t>
      </w:r>
      <w:r>
        <w:rPr>
          <w:rFonts w:hint="eastAsia"/>
          <w:color w:val="auto"/>
          <w:highlight w:val="none"/>
          <w:lang w:eastAsia="zh-CN"/>
        </w:rPr>
        <w:t>）</w:t>
      </w:r>
      <w:r>
        <w:rPr>
          <w:color w:val="auto"/>
          <w:highlight w:val="none"/>
        </w:rPr>
        <w:t>设备合同索赔管理；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21</w:t>
      </w:r>
      <w:r>
        <w:rPr>
          <w:rFonts w:hint="eastAsia"/>
          <w:color w:val="auto"/>
          <w:highlight w:val="none"/>
          <w:lang w:eastAsia="zh-CN"/>
        </w:rPr>
        <w:t>）</w:t>
      </w:r>
      <w:r>
        <w:rPr>
          <w:color w:val="auto"/>
          <w:highlight w:val="none"/>
        </w:rPr>
        <w:t>其他等设备合同中约定的义务和责任；</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22</w:t>
      </w:r>
      <w:r>
        <w:rPr>
          <w:rFonts w:hint="eastAsia"/>
          <w:color w:val="auto"/>
          <w:highlight w:val="none"/>
          <w:lang w:eastAsia="zh-CN"/>
        </w:rPr>
        <w:t>）</w:t>
      </w:r>
      <w:r>
        <w:rPr>
          <w:color w:val="auto"/>
          <w:highlight w:val="none"/>
        </w:rPr>
        <w:t>设备及材料BIM相关管理；</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23</w:t>
      </w:r>
      <w:r>
        <w:rPr>
          <w:rFonts w:hint="eastAsia"/>
          <w:color w:val="auto"/>
          <w:highlight w:val="none"/>
          <w:lang w:eastAsia="zh-CN"/>
        </w:rPr>
        <w:t>）</w:t>
      </w:r>
      <w:r>
        <w:rPr>
          <w:color w:val="auto"/>
          <w:highlight w:val="none"/>
        </w:rPr>
        <w:t>配合业主进行相关系统国产化申报工作。</w:t>
      </w:r>
    </w:p>
    <w:p>
      <w:pPr>
        <w:numPr>
          <w:ilvl w:val="0"/>
          <w:numId w:val="0"/>
        </w:numPr>
        <w:tabs>
          <w:tab w:val="left" w:pos="993"/>
        </w:tabs>
        <w:spacing w:line="360" w:lineRule="auto"/>
        <w:ind w:left="416" w:leftChars="0"/>
        <w:rPr>
          <w:color w:val="auto"/>
          <w:highlight w:val="none"/>
        </w:rPr>
      </w:pPr>
      <w:r>
        <w:rPr>
          <w:rFonts w:hint="eastAsia"/>
          <w:color w:val="auto"/>
          <w:highlight w:val="none"/>
          <w:lang w:eastAsia="zh-CN"/>
        </w:rPr>
        <w:t>（</w:t>
      </w:r>
      <w:r>
        <w:rPr>
          <w:rFonts w:hint="eastAsia"/>
          <w:color w:val="auto"/>
          <w:highlight w:val="none"/>
          <w:lang w:val="en-US" w:eastAsia="zh-CN"/>
        </w:rPr>
        <w:t>24</w:t>
      </w:r>
      <w:r>
        <w:rPr>
          <w:rFonts w:hint="eastAsia"/>
          <w:color w:val="auto"/>
          <w:highlight w:val="none"/>
          <w:lang w:eastAsia="zh-CN"/>
        </w:rPr>
        <w:t>）</w:t>
      </w:r>
      <w:r>
        <w:rPr>
          <w:color w:val="auto"/>
          <w:highlight w:val="none"/>
        </w:rPr>
        <w:t>配合合同结算</w:t>
      </w:r>
      <w:r>
        <w:rPr>
          <w:rFonts w:hint="eastAsia"/>
          <w:color w:val="auto"/>
          <w:highlight w:val="none"/>
          <w:lang w:eastAsia="zh-CN"/>
        </w:rPr>
        <w:t>、</w:t>
      </w:r>
      <w:r>
        <w:rPr>
          <w:color w:val="auto"/>
          <w:highlight w:val="none"/>
        </w:rPr>
        <w:t>尾款支付。</w:t>
      </w:r>
    </w:p>
    <w:p>
      <w:pPr>
        <w:spacing w:line="360" w:lineRule="auto"/>
        <w:ind w:firstLine="420" w:firstLineChars="200"/>
        <w:rPr>
          <w:color w:val="auto"/>
          <w:highlight w:val="none"/>
        </w:rPr>
      </w:pPr>
      <w:r>
        <w:rPr>
          <w:rFonts w:hint="eastAsia"/>
          <w:color w:val="auto"/>
          <w:highlight w:val="none"/>
        </w:rPr>
        <w:t>其中甲供设备完成上述集成服务内容的全过程服务，4.2.2节列出的主要乙供设备需</w:t>
      </w:r>
      <w:r>
        <w:rPr>
          <w:color w:val="auto"/>
          <w:highlight w:val="none"/>
        </w:rPr>
        <w:t>完成上述集成服务内容的</w:t>
      </w:r>
      <w:r>
        <w:rPr>
          <w:rFonts w:hint="eastAsia"/>
          <w:color w:val="auto"/>
          <w:highlight w:val="none"/>
        </w:rPr>
        <w:t>设计联络至</w:t>
      </w:r>
      <w:r>
        <w:rPr>
          <w:rFonts w:hint="eastAsia"/>
          <w:color w:val="auto"/>
          <w:highlight w:val="none"/>
          <w:lang w:val="en-US" w:eastAsia="zh-CN"/>
        </w:rPr>
        <w:t>出厂验收</w:t>
      </w:r>
      <w:r>
        <w:rPr>
          <w:rFonts w:hint="eastAsia"/>
          <w:color w:val="auto"/>
          <w:highlight w:val="none"/>
        </w:rPr>
        <w:t>过程的集成服务</w:t>
      </w:r>
      <w:r>
        <w:rPr>
          <w:rFonts w:hint="eastAsia"/>
          <w:color w:val="auto"/>
          <w:highlight w:val="none"/>
          <w:lang w:eastAsia="zh-CN"/>
        </w:rPr>
        <w:t>。</w:t>
      </w:r>
      <w:r>
        <w:rPr>
          <w:rFonts w:hint="eastAsia"/>
          <w:color w:val="auto"/>
          <w:highlight w:val="none"/>
        </w:rPr>
        <w:t>同时，</w:t>
      </w:r>
      <w:r>
        <w:rPr>
          <w:color w:val="auto"/>
          <w:highlight w:val="none"/>
        </w:rPr>
        <w:t>业主保留增加</w:t>
      </w:r>
      <w:r>
        <w:rPr>
          <w:rFonts w:hint="eastAsia"/>
          <w:color w:val="auto"/>
          <w:highlight w:val="none"/>
          <w:lang w:val="en-US" w:eastAsia="zh-CN"/>
        </w:rPr>
        <w:t>适度的必要</w:t>
      </w:r>
      <w:r>
        <w:rPr>
          <w:color w:val="auto"/>
          <w:highlight w:val="none"/>
        </w:rPr>
        <w:t>设备集成服务内容的权利，费用含在总价中。</w:t>
      </w:r>
    </w:p>
    <w:p>
      <w:pPr>
        <w:numPr>
          <w:ilvl w:val="2"/>
          <w:numId w:val="6"/>
        </w:numPr>
        <w:spacing w:line="360" w:lineRule="auto"/>
        <w:rPr>
          <w:color w:val="auto"/>
          <w:highlight w:val="none"/>
        </w:rPr>
      </w:pPr>
      <w:bookmarkStart w:id="2256" w:name="_Hlk127902696"/>
      <w:r>
        <w:rPr>
          <w:color w:val="auto"/>
          <w:highlight w:val="none"/>
        </w:rPr>
        <w:t>主要设备</w:t>
      </w:r>
      <w:r>
        <w:rPr>
          <w:rFonts w:hint="eastAsia"/>
          <w:color w:val="auto"/>
          <w:highlight w:val="none"/>
        </w:rPr>
        <w:t>列</w:t>
      </w:r>
      <w:r>
        <w:rPr>
          <w:color w:val="auto"/>
          <w:highlight w:val="none"/>
        </w:rPr>
        <w:t>表</w:t>
      </w:r>
    </w:p>
    <w:p>
      <w:pPr>
        <w:spacing w:line="360" w:lineRule="auto"/>
        <w:ind w:firstLine="420" w:firstLineChars="200"/>
        <w:rPr>
          <w:color w:val="auto"/>
          <w:highlight w:val="none"/>
        </w:rPr>
      </w:pPr>
      <w:r>
        <w:rPr>
          <w:color w:val="auto"/>
          <w:highlight w:val="none"/>
        </w:rPr>
        <w:t>本节表中设备数量以对应设备招标文件为准。表中按强电系统</w:t>
      </w:r>
      <w:r>
        <w:rPr>
          <w:rFonts w:hint="eastAsia"/>
          <w:color w:val="auto"/>
          <w:highlight w:val="none"/>
        </w:rPr>
        <w:t>、</w:t>
      </w:r>
      <w:r>
        <w:rPr>
          <w:color w:val="auto"/>
          <w:highlight w:val="none"/>
        </w:rPr>
        <w:t>车站设备系统</w:t>
      </w:r>
      <w:r>
        <w:rPr>
          <w:rFonts w:hint="eastAsia"/>
          <w:color w:val="auto"/>
          <w:highlight w:val="none"/>
        </w:rPr>
        <w:t>及弱电系统</w:t>
      </w:r>
      <w:r>
        <w:rPr>
          <w:color w:val="auto"/>
          <w:highlight w:val="none"/>
        </w:rPr>
        <w:t>列出了各系统的主要设备，业主保留增加</w:t>
      </w:r>
      <w:r>
        <w:rPr>
          <w:rFonts w:hint="eastAsia"/>
          <w:color w:val="auto"/>
          <w:highlight w:val="none"/>
          <w:lang w:val="en-US" w:eastAsia="zh-CN"/>
        </w:rPr>
        <w:t>适度的必要</w:t>
      </w:r>
      <w:r>
        <w:rPr>
          <w:color w:val="auto"/>
          <w:highlight w:val="none"/>
        </w:rPr>
        <w:t>设备的权利。集成管理设备主要包括但不限于以下内容：</w:t>
      </w:r>
    </w:p>
    <w:p>
      <w:pPr>
        <w:spacing w:line="240" w:lineRule="auto"/>
        <w:ind w:right="0" w:rightChars="0"/>
        <w:jc w:val="center"/>
        <w:outlineLvl w:val="2"/>
        <w:rPr>
          <w:b/>
          <w:color w:val="auto"/>
          <w:highlight w:val="none"/>
        </w:rPr>
      </w:pPr>
      <w:bookmarkStart w:id="2257" w:name="_Toc10436"/>
      <w:r>
        <w:rPr>
          <w:b/>
          <w:color w:val="auto"/>
          <w:highlight w:val="none"/>
        </w:rPr>
        <w:t>强电系统主要设备表</w:t>
      </w:r>
      <w:r>
        <w:rPr>
          <w:rFonts w:hint="eastAsia"/>
          <w:b/>
          <w:color w:val="auto"/>
          <w:highlight w:val="none"/>
          <w:lang w:val="en-US" w:eastAsia="zh-CN"/>
        </w:rPr>
        <w:t xml:space="preserve"> </w:t>
      </w:r>
      <w:r>
        <w:rPr>
          <w:b/>
          <w:color w:val="auto"/>
          <w:highlight w:val="none"/>
        </w:rPr>
        <w:t>4.2.2-1</w:t>
      </w:r>
      <w:bookmarkEnd w:id="2256"/>
      <w:bookmarkEnd w:id="2257"/>
      <w:bookmarkStart w:id="2258" w:name="_Toc22691"/>
      <w:bookmarkStart w:id="2259" w:name="_Toc306091633"/>
      <w:bookmarkStart w:id="2260" w:name="_Toc23866"/>
      <w:bookmarkStart w:id="2261" w:name="_Toc309026906"/>
      <w:bookmarkStart w:id="2262" w:name="_Toc23147"/>
      <w:bookmarkStart w:id="2263" w:name="_Toc309026512"/>
      <w:bookmarkStart w:id="2264" w:name="_Toc1718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268"/>
        <w:gridCol w:w="401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center"/>
          </w:tcPr>
          <w:p>
            <w:pPr>
              <w:jc w:val="center"/>
              <w:rPr>
                <w:color w:val="auto"/>
                <w:highlight w:val="none"/>
              </w:rPr>
            </w:pPr>
            <w:r>
              <w:rPr>
                <w:color w:val="auto"/>
                <w:highlight w:val="none"/>
              </w:rPr>
              <w:t>序号</w:t>
            </w:r>
          </w:p>
        </w:tc>
        <w:tc>
          <w:tcPr>
            <w:tcW w:w="2268" w:type="dxa"/>
            <w:noWrap w:val="0"/>
            <w:vAlign w:val="center"/>
          </w:tcPr>
          <w:p>
            <w:pPr>
              <w:jc w:val="center"/>
              <w:rPr>
                <w:color w:val="auto"/>
                <w:highlight w:val="none"/>
              </w:rPr>
            </w:pPr>
            <w:r>
              <w:rPr>
                <w:color w:val="auto"/>
                <w:highlight w:val="none"/>
              </w:rPr>
              <w:t>专业</w:t>
            </w:r>
          </w:p>
        </w:tc>
        <w:tc>
          <w:tcPr>
            <w:tcW w:w="4017" w:type="dxa"/>
            <w:noWrap w:val="0"/>
            <w:vAlign w:val="center"/>
          </w:tcPr>
          <w:p>
            <w:pPr>
              <w:jc w:val="center"/>
              <w:rPr>
                <w:color w:val="auto"/>
                <w:highlight w:val="none"/>
              </w:rPr>
            </w:pPr>
            <w:r>
              <w:rPr>
                <w:color w:val="auto"/>
                <w:highlight w:val="none"/>
              </w:rPr>
              <w:t>设备名称</w:t>
            </w:r>
          </w:p>
        </w:tc>
        <w:tc>
          <w:tcPr>
            <w:tcW w:w="1355" w:type="dxa"/>
            <w:noWrap w:val="0"/>
            <w:vAlign w:val="center"/>
          </w:tcPr>
          <w:p>
            <w:pPr>
              <w:jc w:val="center"/>
              <w:rPr>
                <w:strike/>
                <w:color w:val="auto"/>
                <w:highlight w:val="none"/>
              </w:rPr>
            </w:pPr>
            <w:r>
              <w:rPr>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center"/>
          </w:tcPr>
          <w:p>
            <w:pPr>
              <w:jc w:val="center"/>
              <w:rPr>
                <w:rFonts w:hint="eastAsia"/>
                <w:color w:val="auto"/>
                <w:sz w:val="22"/>
                <w:szCs w:val="22"/>
                <w:highlight w:val="none"/>
              </w:rPr>
            </w:pPr>
            <w:r>
              <w:rPr>
                <w:color w:val="auto"/>
                <w:sz w:val="22"/>
                <w:szCs w:val="22"/>
                <w:highlight w:val="none"/>
              </w:rPr>
              <w:t>1</w:t>
            </w:r>
          </w:p>
        </w:tc>
        <w:tc>
          <w:tcPr>
            <w:tcW w:w="2268" w:type="dxa"/>
            <w:vMerge w:val="restart"/>
            <w:noWrap w:val="0"/>
            <w:vAlign w:val="center"/>
          </w:tcPr>
          <w:p>
            <w:pPr>
              <w:jc w:val="center"/>
              <w:rPr>
                <w:rFonts w:hint="eastAsia" w:eastAsia="宋体"/>
                <w:color w:val="auto"/>
                <w:highlight w:val="none"/>
                <w:lang w:eastAsia="zh-CN"/>
              </w:rPr>
            </w:pPr>
            <w:r>
              <w:rPr>
                <w:rFonts w:hint="eastAsia"/>
                <w:color w:val="auto"/>
                <w:highlight w:val="none"/>
                <w:lang w:val="en-US" w:eastAsia="zh-CN"/>
              </w:rPr>
              <w:t>强电</w:t>
            </w:r>
          </w:p>
        </w:tc>
        <w:tc>
          <w:tcPr>
            <w:tcW w:w="4017" w:type="dxa"/>
            <w:noWrap w:val="0"/>
            <w:vAlign w:val="center"/>
          </w:tcPr>
          <w:p>
            <w:pPr>
              <w:jc w:val="center"/>
              <w:rPr>
                <w:color w:val="auto"/>
                <w:kern w:val="0"/>
                <w:szCs w:val="21"/>
                <w:highlight w:val="none"/>
                <w:lang w:bidi="ar"/>
              </w:rPr>
            </w:pPr>
            <w:r>
              <w:rPr>
                <w:rFonts w:hint="eastAsia"/>
                <w:color w:val="auto"/>
                <w:szCs w:val="21"/>
                <w:highlight w:val="none"/>
              </w:rPr>
              <w:t>35</w:t>
            </w:r>
            <w:r>
              <w:rPr>
                <w:color w:val="auto"/>
                <w:szCs w:val="21"/>
                <w:highlight w:val="none"/>
              </w:rPr>
              <w:t>kV开关柜</w:t>
            </w:r>
            <w:r>
              <w:rPr>
                <w:rFonts w:hint="eastAsia"/>
                <w:color w:val="auto"/>
                <w:szCs w:val="21"/>
                <w:highlight w:val="none"/>
              </w:rPr>
              <w:t>（含主所）</w:t>
            </w:r>
          </w:p>
        </w:tc>
        <w:tc>
          <w:tcPr>
            <w:tcW w:w="1355" w:type="dxa"/>
            <w:noWrap w:val="0"/>
            <w:vAlign w:val="center"/>
          </w:tcPr>
          <w:p>
            <w:pPr>
              <w:jc w:val="center"/>
              <w:rPr>
                <w:color w:val="auto"/>
                <w:szCs w:val="21"/>
                <w:highlight w:val="none"/>
              </w:rPr>
            </w:pPr>
            <w:r>
              <w:rPr>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center"/>
          </w:tcPr>
          <w:p>
            <w:pPr>
              <w:jc w:val="center"/>
              <w:rPr>
                <w:rFonts w:hint="eastAsia"/>
                <w:color w:val="auto"/>
                <w:sz w:val="22"/>
                <w:szCs w:val="22"/>
                <w:highlight w:val="none"/>
              </w:rPr>
            </w:pPr>
            <w:r>
              <w:rPr>
                <w:color w:val="auto"/>
                <w:sz w:val="22"/>
                <w:szCs w:val="22"/>
                <w:highlight w:val="none"/>
              </w:rPr>
              <w:t>2</w:t>
            </w:r>
          </w:p>
        </w:tc>
        <w:tc>
          <w:tcPr>
            <w:tcW w:w="2268" w:type="dxa"/>
            <w:vMerge w:val="continue"/>
            <w:noWrap w:val="0"/>
            <w:vAlign w:val="center"/>
          </w:tcPr>
          <w:p>
            <w:pPr>
              <w:jc w:val="center"/>
              <w:rPr>
                <w:color w:val="auto"/>
                <w:highlight w:val="none"/>
              </w:rPr>
            </w:pPr>
          </w:p>
        </w:tc>
        <w:tc>
          <w:tcPr>
            <w:tcW w:w="4017" w:type="dxa"/>
            <w:noWrap w:val="0"/>
            <w:vAlign w:val="center"/>
          </w:tcPr>
          <w:p>
            <w:pPr>
              <w:jc w:val="center"/>
              <w:rPr>
                <w:color w:val="auto"/>
                <w:kern w:val="0"/>
                <w:szCs w:val="21"/>
                <w:highlight w:val="none"/>
                <w:lang w:bidi="ar"/>
              </w:rPr>
            </w:pPr>
            <w:r>
              <w:rPr>
                <w:rFonts w:hint="eastAsia"/>
                <w:color w:val="auto"/>
                <w:szCs w:val="21"/>
                <w:highlight w:val="none"/>
              </w:rPr>
              <w:t>1</w:t>
            </w:r>
            <w:r>
              <w:rPr>
                <w:color w:val="auto"/>
                <w:szCs w:val="21"/>
                <w:highlight w:val="none"/>
              </w:rPr>
              <w:t>500V直流开关柜</w:t>
            </w:r>
            <w:r>
              <w:rPr>
                <w:rFonts w:hint="eastAsia"/>
                <w:color w:val="auto"/>
                <w:szCs w:val="21"/>
                <w:highlight w:val="none"/>
              </w:rPr>
              <w:t>（含</w:t>
            </w:r>
            <w:r>
              <w:rPr>
                <w:color w:val="auto"/>
                <w:szCs w:val="21"/>
                <w:highlight w:val="none"/>
              </w:rPr>
              <w:t>钢轨电位限制装置</w:t>
            </w:r>
            <w:r>
              <w:rPr>
                <w:rFonts w:hint="eastAsia"/>
                <w:color w:val="auto"/>
                <w:szCs w:val="21"/>
                <w:highlight w:val="none"/>
              </w:rPr>
              <w:t>）</w:t>
            </w:r>
          </w:p>
        </w:tc>
        <w:tc>
          <w:tcPr>
            <w:tcW w:w="1355" w:type="dxa"/>
            <w:noWrap w:val="0"/>
            <w:vAlign w:val="center"/>
          </w:tcPr>
          <w:p>
            <w:pPr>
              <w:jc w:val="center"/>
              <w:rPr>
                <w:color w:val="auto"/>
                <w:szCs w:val="21"/>
                <w:highlight w:val="none"/>
              </w:rPr>
            </w:pPr>
            <w:r>
              <w:rPr>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center"/>
          </w:tcPr>
          <w:p>
            <w:pPr>
              <w:jc w:val="center"/>
              <w:rPr>
                <w:rFonts w:hint="eastAsia"/>
                <w:color w:val="auto"/>
                <w:sz w:val="22"/>
                <w:szCs w:val="22"/>
                <w:highlight w:val="none"/>
              </w:rPr>
            </w:pPr>
            <w:r>
              <w:rPr>
                <w:rFonts w:hint="eastAsia"/>
                <w:color w:val="auto"/>
                <w:sz w:val="22"/>
                <w:szCs w:val="22"/>
                <w:highlight w:val="none"/>
              </w:rPr>
              <w:t>3</w:t>
            </w:r>
          </w:p>
        </w:tc>
        <w:tc>
          <w:tcPr>
            <w:tcW w:w="2268" w:type="dxa"/>
            <w:vMerge w:val="continue"/>
            <w:noWrap w:val="0"/>
            <w:vAlign w:val="center"/>
          </w:tcPr>
          <w:p>
            <w:pPr>
              <w:jc w:val="center"/>
              <w:rPr>
                <w:color w:val="auto"/>
                <w:highlight w:val="none"/>
              </w:rPr>
            </w:pPr>
          </w:p>
        </w:tc>
        <w:tc>
          <w:tcPr>
            <w:tcW w:w="4017" w:type="dxa"/>
            <w:noWrap w:val="0"/>
            <w:vAlign w:val="center"/>
          </w:tcPr>
          <w:p>
            <w:pPr>
              <w:jc w:val="center"/>
              <w:rPr>
                <w:rFonts w:hint="eastAsia"/>
                <w:color w:val="auto"/>
                <w:szCs w:val="21"/>
                <w:highlight w:val="none"/>
              </w:rPr>
            </w:pPr>
            <w:r>
              <w:rPr>
                <w:rFonts w:hint="eastAsia"/>
                <w:color w:val="auto"/>
                <w:szCs w:val="21"/>
                <w:highlight w:val="none"/>
              </w:rPr>
              <w:t>整流变压器</w:t>
            </w:r>
          </w:p>
        </w:tc>
        <w:tc>
          <w:tcPr>
            <w:tcW w:w="1355" w:type="dxa"/>
            <w:noWrap w:val="0"/>
            <w:vAlign w:val="center"/>
          </w:tcPr>
          <w:p>
            <w:pPr>
              <w:jc w:val="center"/>
              <w:rPr>
                <w:color w:val="auto"/>
                <w:szCs w:val="21"/>
                <w:highlight w:val="none"/>
              </w:rPr>
            </w:pPr>
            <w:r>
              <w:rPr>
                <w:rFonts w:hint="eastAsia"/>
                <w:color w:val="auto"/>
                <w:szCs w:val="21"/>
                <w:highlight w:val="none"/>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center"/>
          </w:tcPr>
          <w:p>
            <w:pPr>
              <w:jc w:val="center"/>
              <w:rPr>
                <w:rFonts w:hint="eastAsia"/>
                <w:color w:val="auto"/>
                <w:sz w:val="22"/>
                <w:szCs w:val="22"/>
                <w:highlight w:val="none"/>
              </w:rPr>
            </w:pPr>
            <w:r>
              <w:rPr>
                <w:rFonts w:hint="eastAsia"/>
                <w:color w:val="auto"/>
                <w:sz w:val="22"/>
                <w:szCs w:val="22"/>
                <w:highlight w:val="none"/>
              </w:rPr>
              <w:t>4</w:t>
            </w:r>
          </w:p>
        </w:tc>
        <w:tc>
          <w:tcPr>
            <w:tcW w:w="2268" w:type="dxa"/>
            <w:vMerge w:val="continue"/>
            <w:noWrap w:val="0"/>
            <w:vAlign w:val="center"/>
          </w:tcPr>
          <w:p>
            <w:pPr>
              <w:jc w:val="center"/>
              <w:rPr>
                <w:color w:val="auto"/>
                <w:highlight w:val="none"/>
              </w:rPr>
            </w:pPr>
          </w:p>
        </w:tc>
        <w:tc>
          <w:tcPr>
            <w:tcW w:w="4017" w:type="dxa"/>
            <w:noWrap w:val="0"/>
            <w:vAlign w:val="center"/>
          </w:tcPr>
          <w:p>
            <w:pPr>
              <w:jc w:val="center"/>
              <w:rPr>
                <w:rFonts w:hint="eastAsia"/>
                <w:color w:val="auto"/>
                <w:szCs w:val="21"/>
                <w:highlight w:val="none"/>
              </w:rPr>
            </w:pPr>
            <w:r>
              <w:rPr>
                <w:rFonts w:hint="eastAsia"/>
                <w:color w:val="auto"/>
                <w:szCs w:val="21"/>
                <w:highlight w:val="none"/>
              </w:rPr>
              <w:t>35kV动力变压器（</w:t>
            </w:r>
            <w:r>
              <w:rPr>
                <w:rFonts w:hint="eastAsia"/>
                <w:color w:val="auto"/>
                <w:szCs w:val="21"/>
                <w:highlight w:val="none"/>
                <w:lang w:val="en-US" w:eastAsia="zh-CN"/>
              </w:rPr>
              <w:t>强电安装标采购</w:t>
            </w:r>
            <w:r>
              <w:rPr>
                <w:rFonts w:hint="eastAsia"/>
                <w:color w:val="auto"/>
                <w:szCs w:val="21"/>
                <w:highlight w:val="none"/>
              </w:rPr>
              <w:t>）</w:t>
            </w:r>
          </w:p>
        </w:tc>
        <w:tc>
          <w:tcPr>
            <w:tcW w:w="1355" w:type="dxa"/>
            <w:noWrap w:val="0"/>
            <w:vAlign w:val="center"/>
          </w:tcPr>
          <w:p>
            <w:pPr>
              <w:jc w:val="center"/>
              <w:rPr>
                <w:color w:val="auto"/>
                <w:szCs w:val="21"/>
                <w:highlight w:val="none"/>
              </w:rPr>
            </w:pPr>
            <w:r>
              <w:rPr>
                <w:rFonts w:hint="eastAsia"/>
                <w:color w:val="auto"/>
                <w:szCs w:val="21"/>
                <w:highlight w:val="none"/>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center"/>
          </w:tcPr>
          <w:p>
            <w:pPr>
              <w:jc w:val="center"/>
              <w:rPr>
                <w:rFonts w:hint="eastAsia"/>
                <w:color w:val="auto"/>
                <w:sz w:val="22"/>
                <w:szCs w:val="22"/>
                <w:highlight w:val="none"/>
              </w:rPr>
            </w:pPr>
            <w:r>
              <w:rPr>
                <w:rFonts w:hint="eastAsia"/>
                <w:color w:val="auto"/>
                <w:sz w:val="22"/>
                <w:szCs w:val="22"/>
                <w:highlight w:val="none"/>
              </w:rPr>
              <w:t>5</w:t>
            </w:r>
          </w:p>
        </w:tc>
        <w:tc>
          <w:tcPr>
            <w:tcW w:w="2268" w:type="dxa"/>
            <w:vMerge w:val="continue"/>
            <w:noWrap w:val="0"/>
            <w:vAlign w:val="center"/>
          </w:tcPr>
          <w:p>
            <w:pPr>
              <w:jc w:val="center"/>
              <w:rPr>
                <w:color w:val="auto"/>
                <w:highlight w:val="none"/>
              </w:rPr>
            </w:pPr>
          </w:p>
        </w:tc>
        <w:tc>
          <w:tcPr>
            <w:tcW w:w="4017" w:type="dxa"/>
            <w:noWrap w:val="0"/>
            <w:vAlign w:val="center"/>
          </w:tcPr>
          <w:p>
            <w:pPr>
              <w:jc w:val="center"/>
              <w:rPr>
                <w:rFonts w:hint="eastAsia"/>
                <w:color w:val="auto"/>
                <w:szCs w:val="21"/>
                <w:highlight w:val="none"/>
              </w:rPr>
            </w:pPr>
            <w:r>
              <w:rPr>
                <w:rFonts w:hint="eastAsia"/>
                <w:color w:val="auto"/>
                <w:szCs w:val="21"/>
                <w:highlight w:val="none"/>
              </w:rPr>
              <w:t>整流器</w:t>
            </w:r>
          </w:p>
        </w:tc>
        <w:tc>
          <w:tcPr>
            <w:tcW w:w="1355" w:type="dxa"/>
            <w:noWrap w:val="0"/>
            <w:vAlign w:val="center"/>
          </w:tcPr>
          <w:p>
            <w:pPr>
              <w:jc w:val="center"/>
              <w:rPr>
                <w:color w:val="auto"/>
                <w:szCs w:val="21"/>
                <w:highlight w:val="none"/>
              </w:rPr>
            </w:pPr>
            <w:r>
              <w:rPr>
                <w:rFonts w:hint="eastAsia"/>
                <w:color w:val="auto"/>
                <w:szCs w:val="21"/>
                <w:highlight w:val="none"/>
              </w:rPr>
              <w:t>乙供</w:t>
            </w:r>
          </w:p>
        </w:tc>
      </w:tr>
    </w:tbl>
    <w:p>
      <w:pPr>
        <w:pStyle w:val="12"/>
        <w:pBdr>
          <w:bottom w:val="none" w:color="auto" w:sz="0" w:space="0"/>
        </w:pBdr>
        <w:jc w:val="both"/>
        <w:rPr>
          <w:color w:val="auto"/>
          <w:highlight w:val="none"/>
        </w:rPr>
      </w:pPr>
      <w:bookmarkStart w:id="2265" w:name="_Toc30544"/>
      <w:bookmarkStart w:id="2266" w:name="_Toc130847127"/>
    </w:p>
    <w:p>
      <w:pPr>
        <w:ind w:right="0" w:rightChars="0" w:firstLine="0" w:firstLineChars="0"/>
        <w:jc w:val="center"/>
        <w:rPr>
          <w:rFonts w:hint="eastAsia" w:eastAsia="宋体"/>
          <w:b/>
          <w:color w:val="auto"/>
          <w:highlight w:val="none"/>
          <w:lang w:eastAsia="zh-CN"/>
        </w:rPr>
      </w:pPr>
      <w:r>
        <w:rPr>
          <w:rFonts w:hint="eastAsia"/>
          <w:b/>
          <w:color w:val="auto"/>
          <w:highlight w:val="none"/>
        </w:rPr>
        <w:t>弱电</w:t>
      </w:r>
      <w:r>
        <w:rPr>
          <w:b/>
          <w:color w:val="auto"/>
          <w:highlight w:val="none"/>
        </w:rPr>
        <w:t>系统主要设备表4.2.2-</w:t>
      </w:r>
      <w:r>
        <w:rPr>
          <w:rFonts w:hint="eastAsia"/>
          <w:b/>
          <w:color w:val="auto"/>
          <w:highlight w:val="none"/>
          <w:lang w:val="en-US" w:eastAsia="zh-CN"/>
        </w:rPr>
        <w:t>2</w:t>
      </w:r>
    </w:p>
    <w:p>
      <w:pPr>
        <w:pStyle w:val="12"/>
        <w:pBdr>
          <w:bottom w:val="none" w:color="auto" w:sz="0" w:space="0"/>
        </w:pBdr>
        <w:jc w:val="both"/>
        <w:rPr>
          <w:color w:val="auto"/>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96"/>
        <w:gridCol w:w="397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296" w:type="dxa"/>
            <w:noWrap w:val="0"/>
            <w:vAlign w:val="center"/>
          </w:tcPr>
          <w:p>
            <w:pPr>
              <w:jc w:val="center"/>
              <w:rPr>
                <w:rFonts w:ascii="宋体" w:hAnsi="宋体"/>
                <w:color w:val="auto"/>
                <w:highlight w:val="none"/>
              </w:rPr>
            </w:pPr>
            <w:r>
              <w:rPr>
                <w:rFonts w:hint="eastAsia" w:ascii="宋体" w:hAnsi="宋体"/>
                <w:color w:val="auto"/>
                <w:highlight w:val="none"/>
              </w:rPr>
              <w:t>专业</w:t>
            </w:r>
          </w:p>
        </w:tc>
        <w:tc>
          <w:tcPr>
            <w:tcW w:w="3975" w:type="dxa"/>
            <w:noWrap w:val="0"/>
            <w:vAlign w:val="center"/>
          </w:tcPr>
          <w:p>
            <w:pPr>
              <w:jc w:val="center"/>
              <w:rPr>
                <w:rFonts w:ascii="宋体" w:hAnsi="宋体"/>
                <w:color w:val="auto"/>
                <w:highlight w:val="none"/>
              </w:rPr>
            </w:pPr>
            <w:r>
              <w:rPr>
                <w:rFonts w:hint="eastAsia" w:ascii="宋体" w:hAnsi="宋体"/>
                <w:color w:val="auto"/>
                <w:highlight w:val="none"/>
              </w:rPr>
              <w:t>设备名称</w:t>
            </w:r>
          </w:p>
        </w:tc>
        <w:tc>
          <w:tcPr>
            <w:tcW w:w="1355" w:type="dxa"/>
            <w:noWrap w:val="0"/>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2296" w:type="dxa"/>
            <w:vMerge w:val="restart"/>
            <w:noWrap w:val="0"/>
            <w:vAlign w:val="center"/>
          </w:tcPr>
          <w:p>
            <w:pPr>
              <w:jc w:val="center"/>
              <w:rPr>
                <w:rFonts w:ascii="宋体" w:hAnsi="宋体"/>
                <w:color w:val="auto"/>
                <w:highlight w:val="none"/>
              </w:rPr>
            </w:pPr>
            <w:r>
              <w:rPr>
                <w:rFonts w:hint="eastAsia" w:ascii="宋体" w:hAnsi="宋体"/>
                <w:color w:val="auto"/>
                <w:highlight w:val="none"/>
              </w:rPr>
              <w:t>通信</w:t>
            </w: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传输系统设备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无线通信系统设备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公务电话系统设备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专用电话系统</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广播系统设备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时钟系统设备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7</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集中录音系统设备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8</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计算机网络系统设备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9</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视频会议设备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10</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网络安全等保系统设备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hint="eastAsia" w:ascii="宋体" w:hAnsi="宋体"/>
                <w:color w:val="auto"/>
                <w:highlight w:val="none"/>
              </w:rPr>
            </w:pPr>
            <w:r>
              <w:rPr>
                <w:rFonts w:ascii="宋体" w:hAnsi="宋体"/>
                <w:color w:val="auto"/>
                <w:highlight w:val="none"/>
              </w:rPr>
              <w:t>11</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公安通信设备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hint="eastAsia" w:ascii="宋体" w:hAnsi="宋体"/>
                <w:color w:val="auto"/>
                <w:highlight w:val="none"/>
              </w:rPr>
            </w:pPr>
            <w:r>
              <w:rPr>
                <w:rFonts w:ascii="宋体" w:hAnsi="宋体"/>
                <w:color w:val="auto"/>
                <w:highlight w:val="none"/>
              </w:rPr>
              <w:t>12</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乘客信息系统设备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w:t>
            </w:r>
          </w:p>
        </w:tc>
        <w:tc>
          <w:tcPr>
            <w:tcW w:w="2296" w:type="dxa"/>
            <w:vMerge w:val="restart"/>
            <w:noWrap w:val="0"/>
            <w:vAlign w:val="center"/>
          </w:tcPr>
          <w:p>
            <w:pPr>
              <w:jc w:val="center"/>
              <w:rPr>
                <w:rFonts w:ascii="宋体" w:hAnsi="宋体"/>
                <w:color w:val="auto"/>
                <w:highlight w:val="none"/>
              </w:rPr>
            </w:pPr>
            <w:r>
              <w:rPr>
                <w:rFonts w:hint="eastAsia" w:ascii="宋体" w:hAnsi="宋体"/>
                <w:color w:val="auto"/>
                <w:highlight w:val="none"/>
              </w:rPr>
              <w:t>信号</w:t>
            </w: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电源系统</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2</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ATS设备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3</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车站ATP/ATO设备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4</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联锁设备</w:t>
            </w:r>
          </w:p>
        </w:tc>
        <w:tc>
          <w:tcPr>
            <w:tcW w:w="1355" w:type="dxa"/>
            <w:noWrap w:val="0"/>
            <w:vAlign w:val="center"/>
          </w:tcPr>
          <w:p>
            <w:pPr>
              <w:jc w:val="center"/>
              <w:rPr>
                <w:rFonts w:ascii="宋体" w:hAnsi="宋体"/>
                <w:color w:val="auto"/>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5</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DCS设备</w:t>
            </w:r>
          </w:p>
        </w:tc>
        <w:tc>
          <w:tcPr>
            <w:tcW w:w="135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6</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维护监测设备</w:t>
            </w:r>
          </w:p>
        </w:tc>
        <w:tc>
          <w:tcPr>
            <w:tcW w:w="135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7</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信息安全设备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8</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车载设备</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9</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接入既有线升级改造</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w:t>
            </w:r>
          </w:p>
        </w:tc>
        <w:tc>
          <w:tcPr>
            <w:tcW w:w="2296" w:type="dxa"/>
            <w:vMerge w:val="restart"/>
            <w:noWrap w:val="0"/>
            <w:vAlign w:val="center"/>
          </w:tcPr>
          <w:p>
            <w:pPr>
              <w:jc w:val="center"/>
              <w:rPr>
                <w:rFonts w:ascii="宋体" w:hAnsi="宋体"/>
                <w:color w:val="auto"/>
                <w:highlight w:val="none"/>
              </w:rPr>
            </w:pPr>
            <w:r>
              <w:rPr>
                <w:rFonts w:hint="eastAsia" w:ascii="宋体" w:hAnsi="宋体"/>
                <w:color w:val="auto"/>
                <w:highlight w:val="none"/>
              </w:rPr>
              <w:t>综合监控（含FAS、BAS、PSCADA）</w:t>
            </w:r>
          </w:p>
        </w:tc>
        <w:tc>
          <w:tcPr>
            <w:tcW w:w="3975" w:type="dxa"/>
            <w:noWrap w:val="0"/>
            <w:vAlign w:val="center"/>
          </w:tcPr>
          <w:p>
            <w:pPr>
              <w:jc w:val="left"/>
              <w:rPr>
                <w:rFonts w:ascii="宋体" w:hAnsi="宋体"/>
                <w:color w:val="auto"/>
                <w:szCs w:val="21"/>
                <w:highlight w:val="none"/>
              </w:rPr>
            </w:pPr>
            <w:r>
              <w:rPr>
                <w:rFonts w:ascii="宋体" w:hAnsi="宋体"/>
                <w:color w:val="auto"/>
                <w:szCs w:val="21"/>
                <w:highlight w:val="none"/>
              </w:rPr>
              <w:t>服务器</w:t>
            </w:r>
          </w:p>
        </w:tc>
        <w:tc>
          <w:tcPr>
            <w:tcW w:w="135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2</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ascii="宋体" w:hAnsi="宋体"/>
                <w:color w:val="auto"/>
                <w:szCs w:val="21"/>
                <w:highlight w:val="none"/>
              </w:rPr>
              <w:t>工作站</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ascii="宋体" w:hAnsi="宋体"/>
                <w:color w:val="auto"/>
                <w:szCs w:val="21"/>
                <w:highlight w:val="none"/>
              </w:rPr>
              <w:t>交换机</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ascii="宋体" w:hAnsi="宋体"/>
                <w:color w:val="auto"/>
                <w:szCs w:val="21"/>
                <w:highlight w:val="none"/>
              </w:rPr>
              <w:t>打印机</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火灾自动报警系统（含</w:t>
            </w:r>
            <w:r>
              <w:rPr>
                <w:rFonts w:ascii="宋体" w:hAnsi="宋体"/>
                <w:color w:val="auto"/>
                <w:szCs w:val="21"/>
                <w:highlight w:val="none"/>
              </w:rPr>
              <w:t>火灾报警主机</w:t>
            </w:r>
            <w:r>
              <w:rPr>
                <w:rFonts w:hint="eastAsia" w:ascii="宋体" w:hAnsi="宋体"/>
                <w:color w:val="auto"/>
                <w:szCs w:val="21"/>
                <w:highlight w:val="none"/>
              </w:rPr>
              <w:t>、</w:t>
            </w:r>
            <w:r>
              <w:rPr>
                <w:rFonts w:ascii="宋体" w:hAnsi="宋体"/>
                <w:color w:val="auto"/>
                <w:szCs w:val="21"/>
                <w:highlight w:val="none"/>
              </w:rPr>
              <w:t>消防联动盘</w:t>
            </w:r>
            <w:r>
              <w:rPr>
                <w:rFonts w:hint="eastAsia" w:ascii="宋体" w:hAnsi="宋体"/>
                <w:color w:val="auto"/>
                <w:szCs w:val="21"/>
                <w:highlight w:val="none"/>
              </w:rPr>
              <w:t>、控制柜、</w:t>
            </w:r>
            <w:r>
              <w:rPr>
                <w:rFonts w:ascii="宋体" w:hAnsi="宋体"/>
                <w:color w:val="auto"/>
                <w:szCs w:val="21"/>
                <w:highlight w:val="none"/>
              </w:rPr>
              <w:t>感温光纤主机</w:t>
            </w:r>
            <w:r>
              <w:rPr>
                <w:rFonts w:hint="eastAsia" w:ascii="宋体" w:hAnsi="宋体"/>
                <w:color w:val="auto"/>
                <w:szCs w:val="21"/>
                <w:highlight w:val="none"/>
              </w:rPr>
              <w:t>等）</w:t>
            </w:r>
          </w:p>
        </w:tc>
        <w:tc>
          <w:tcPr>
            <w:tcW w:w="135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环境与设备监控系统（</w:t>
            </w:r>
            <w:r>
              <w:rPr>
                <w:rFonts w:ascii="宋体" w:hAnsi="宋体"/>
                <w:color w:val="auto"/>
                <w:szCs w:val="21"/>
                <w:highlight w:val="none"/>
              </w:rPr>
              <w:t>PLC控制器</w:t>
            </w:r>
            <w:r>
              <w:rPr>
                <w:rFonts w:hint="eastAsia" w:ascii="宋体" w:hAnsi="宋体"/>
                <w:color w:val="auto"/>
                <w:szCs w:val="21"/>
                <w:highlight w:val="none"/>
              </w:rPr>
              <w:t>、</w:t>
            </w:r>
            <w:r>
              <w:rPr>
                <w:rFonts w:ascii="宋体" w:hAnsi="宋体"/>
                <w:color w:val="auto"/>
                <w:szCs w:val="21"/>
                <w:highlight w:val="none"/>
              </w:rPr>
              <w:t>就地控制箱</w:t>
            </w:r>
            <w:r>
              <w:rPr>
                <w:rFonts w:hint="eastAsia" w:ascii="宋体" w:hAnsi="宋体"/>
                <w:color w:val="auto"/>
                <w:szCs w:val="21"/>
                <w:highlight w:val="none"/>
              </w:rPr>
              <w:t>、控制柜、各类传感器等）</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7</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综合UPS系统（含蓄电池组、配电柜等）</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8</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气体灭火系统（含控制系统、阀门、喷头、各类气瓶等）</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9</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PSCADA系统（含变电所控制信号屏，交换机，串口服务器等）</w:t>
            </w:r>
          </w:p>
        </w:tc>
        <w:tc>
          <w:tcPr>
            <w:tcW w:w="135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2296" w:type="dxa"/>
            <w:vMerge w:val="restart"/>
            <w:noWrap w:val="0"/>
            <w:vAlign w:val="center"/>
          </w:tcPr>
          <w:p>
            <w:pPr>
              <w:jc w:val="center"/>
              <w:rPr>
                <w:rFonts w:ascii="宋体" w:hAnsi="宋体"/>
                <w:color w:val="auto"/>
                <w:highlight w:val="none"/>
              </w:rPr>
            </w:pPr>
            <w:r>
              <w:rPr>
                <w:rFonts w:hint="eastAsia" w:ascii="宋体" w:hAnsi="宋体"/>
                <w:color w:val="auto"/>
                <w:highlight w:val="none"/>
              </w:rPr>
              <w:t>自动售检票</w:t>
            </w:r>
          </w:p>
        </w:tc>
        <w:tc>
          <w:tcPr>
            <w:tcW w:w="3975" w:type="dxa"/>
            <w:noWrap w:val="0"/>
            <w:vAlign w:val="top"/>
          </w:tcPr>
          <w:p>
            <w:pPr>
              <w:jc w:val="left"/>
              <w:rPr>
                <w:rFonts w:ascii="宋体" w:hAnsi="宋体"/>
                <w:color w:val="auto"/>
                <w:szCs w:val="21"/>
                <w:highlight w:val="none"/>
              </w:rPr>
            </w:pPr>
            <w:r>
              <w:rPr>
                <w:rFonts w:hint="eastAsia"/>
                <w:color w:val="auto"/>
                <w:highlight w:val="none"/>
              </w:rPr>
              <w:t>主服务器</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线路人脸识别服务器</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磁盘阵列</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ascii="宋体" w:hAnsi="宋体"/>
                <w:color w:val="auto"/>
                <w:szCs w:val="21"/>
                <w:highlight w:val="none"/>
              </w:rPr>
              <w:t>甲供</w:t>
            </w:r>
            <w:r>
              <w:rPr>
                <w:rFonts w:hint="eastAsia"/>
                <w:color w:val="auto"/>
                <w:highlight w:val="none"/>
              </w:rPr>
              <w:t>三层核心交换机</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5</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便携式验票机</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6</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车站服务器</w:t>
            </w:r>
          </w:p>
        </w:tc>
        <w:tc>
          <w:tcPr>
            <w:tcW w:w="135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7</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车站三层交换机</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8</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车站两层交换机</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9</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全功能自动售票机（含票箱、钱箱）</w:t>
            </w:r>
          </w:p>
        </w:tc>
        <w:tc>
          <w:tcPr>
            <w:tcW w:w="135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10</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不收币自动售票机（含钱箱）</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11</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半自动售票机（含票箱、钱箱、机柜，桌椅）</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12</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智能客服中心</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13</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进站检票机（含票箱）</w:t>
            </w:r>
          </w:p>
        </w:tc>
        <w:tc>
          <w:tcPr>
            <w:tcW w:w="135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14</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出站检票机（含票箱）</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15</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宽通道检票机（含票箱）</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16</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自助客服终端</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17</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rFonts w:ascii="宋体" w:hAnsi="宋体"/>
                <w:color w:val="auto"/>
                <w:szCs w:val="21"/>
                <w:highlight w:val="none"/>
              </w:rPr>
            </w:pPr>
            <w:r>
              <w:rPr>
                <w:rFonts w:hint="eastAsia"/>
                <w:color w:val="auto"/>
                <w:highlight w:val="none"/>
              </w:rPr>
              <w:t>单程票</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2296" w:type="dxa"/>
            <w:vMerge w:val="restart"/>
            <w:noWrap w:val="0"/>
            <w:vAlign w:val="center"/>
          </w:tcPr>
          <w:p>
            <w:pPr>
              <w:jc w:val="center"/>
              <w:rPr>
                <w:rFonts w:ascii="宋体" w:hAnsi="宋体"/>
                <w:color w:val="auto"/>
                <w:highlight w:val="none"/>
              </w:rPr>
            </w:pPr>
            <w:r>
              <w:rPr>
                <w:rFonts w:hint="eastAsia" w:ascii="宋体" w:hAnsi="宋体"/>
                <w:color w:val="auto"/>
                <w:highlight w:val="none"/>
              </w:rPr>
              <w:t>综合安防</w:t>
            </w:r>
          </w:p>
        </w:tc>
        <w:tc>
          <w:tcPr>
            <w:tcW w:w="3975" w:type="dxa"/>
            <w:noWrap w:val="0"/>
            <w:vAlign w:val="top"/>
          </w:tcPr>
          <w:p>
            <w:pPr>
              <w:jc w:val="left"/>
              <w:rPr>
                <w:color w:val="auto"/>
                <w:highlight w:val="none"/>
              </w:rPr>
            </w:pPr>
            <w:r>
              <w:rPr>
                <w:rFonts w:hint="eastAsia"/>
                <w:color w:val="auto"/>
                <w:highlight w:val="none"/>
              </w:rPr>
              <w:t>中心服务器</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color w:val="auto"/>
                <w:highlight w:val="none"/>
              </w:rPr>
            </w:pPr>
            <w:r>
              <w:rPr>
                <w:color w:val="auto"/>
                <w:highlight w:val="none"/>
              </w:rPr>
              <w:t>中心核心交换机</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车站服务器</w:t>
            </w:r>
          </w:p>
        </w:tc>
        <w:tc>
          <w:tcPr>
            <w:tcW w:w="1355" w:type="dxa"/>
            <w:noWrap w:val="0"/>
            <w:vAlign w:val="top"/>
          </w:tcPr>
          <w:p>
            <w:pPr>
              <w:jc w:val="center"/>
              <w:rPr>
                <w:rFonts w:ascii="宋体" w:hAnsi="宋体"/>
                <w:color w:val="auto"/>
                <w:szCs w:val="21"/>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color w:val="auto"/>
                <w:highlight w:val="none"/>
              </w:rPr>
            </w:pPr>
            <w:r>
              <w:rPr>
                <w:color w:val="auto"/>
                <w:highlight w:val="none"/>
              </w:rPr>
              <w:t>安防集成平台软件</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5</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color w:val="auto"/>
                <w:highlight w:val="none"/>
              </w:rPr>
            </w:pPr>
            <w:r>
              <w:rPr>
                <w:color w:val="auto"/>
                <w:highlight w:val="none"/>
              </w:rPr>
              <w:t>门禁中心服务器</w:t>
            </w:r>
          </w:p>
        </w:tc>
        <w:tc>
          <w:tcPr>
            <w:tcW w:w="1355" w:type="dxa"/>
            <w:noWrap w:val="0"/>
            <w:vAlign w:val="top"/>
          </w:tcPr>
          <w:p>
            <w:pPr>
              <w:jc w:val="center"/>
              <w:rPr>
                <w:color w:val="auto"/>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6</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color w:val="auto"/>
                <w:highlight w:val="none"/>
              </w:rPr>
            </w:pPr>
            <w:r>
              <w:rPr>
                <w:rFonts w:hint="eastAsia"/>
                <w:color w:val="auto"/>
                <w:highlight w:val="none"/>
              </w:rPr>
              <w:t>门禁授权工作站</w:t>
            </w:r>
          </w:p>
        </w:tc>
        <w:tc>
          <w:tcPr>
            <w:tcW w:w="1355" w:type="dxa"/>
            <w:noWrap w:val="0"/>
            <w:vAlign w:val="top"/>
          </w:tcPr>
          <w:p>
            <w:pPr>
              <w:jc w:val="center"/>
              <w:rPr>
                <w:color w:val="auto"/>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7</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strike/>
                <w:color w:val="auto"/>
                <w:highlight w:val="none"/>
              </w:rPr>
            </w:pPr>
            <w:r>
              <w:rPr>
                <w:rFonts w:hint="eastAsia"/>
                <w:color w:val="auto"/>
                <w:highlight w:val="none"/>
              </w:rPr>
              <w:t>门禁控制器</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8</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strike/>
                <w:color w:val="auto"/>
                <w:highlight w:val="none"/>
              </w:rPr>
            </w:pPr>
            <w:r>
              <w:rPr>
                <w:rFonts w:hint="eastAsia"/>
                <w:color w:val="auto"/>
                <w:highlight w:val="none"/>
              </w:rPr>
              <w:t>各类锁具</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9</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X光机</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10</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strike/>
                <w:color w:val="auto"/>
                <w:highlight w:val="none"/>
              </w:rPr>
            </w:pPr>
            <w:r>
              <w:rPr>
                <w:rFonts w:hint="eastAsia"/>
                <w:color w:val="auto"/>
                <w:highlight w:val="none"/>
              </w:rPr>
              <w:t>各类探测仪（爆炸物、液体、金属、有毒气体等）</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11</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防爆毯</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12</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防爆球</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13</w:t>
            </w:r>
          </w:p>
        </w:tc>
        <w:tc>
          <w:tcPr>
            <w:tcW w:w="2296" w:type="dxa"/>
            <w:vMerge w:val="continue"/>
            <w:noWrap w:val="0"/>
            <w:vAlign w:val="center"/>
          </w:tcPr>
          <w:p>
            <w:pPr>
              <w:jc w:val="center"/>
              <w:rPr>
                <w:rFonts w:ascii="宋体" w:hAnsi="宋体"/>
                <w:color w:val="auto"/>
                <w:highlight w:val="none"/>
              </w:rPr>
            </w:pPr>
          </w:p>
        </w:tc>
        <w:tc>
          <w:tcPr>
            <w:tcW w:w="3975" w:type="dxa"/>
            <w:noWrap w:val="0"/>
            <w:vAlign w:val="center"/>
          </w:tcPr>
          <w:p>
            <w:pPr>
              <w:jc w:val="left"/>
              <w:rPr>
                <w:strike/>
                <w:color w:val="auto"/>
                <w:highlight w:val="none"/>
              </w:rPr>
            </w:pPr>
            <w:r>
              <w:rPr>
                <w:rFonts w:hint="eastAsia"/>
                <w:color w:val="auto"/>
                <w:highlight w:val="none"/>
              </w:rPr>
              <w:t>乘客求助系统设备（主机及分机）</w:t>
            </w:r>
          </w:p>
        </w:tc>
        <w:tc>
          <w:tcPr>
            <w:tcW w:w="1355" w:type="dxa"/>
            <w:noWrap w:val="0"/>
            <w:vAlign w:val="top"/>
          </w:tcPr>
          <w:p>
            <w:pPr>
              <w:jc w:val="center"/>
              <w:rPr>
                <w:color w:val="auto"/>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14</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视频服务器</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15</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视频存储设备</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16</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视频分析设备</w:t>
            </w:r>
          </w:p>
        </w:tc>
        <w:tc>
          <w:tcPr>
            <w:tcW w:w="1355" w:type="dxa"/>
            <w:noWrap w:val="0"/>
            <w:vAlign w:val="top"/>
          </w:tcPr>
          <w:p>
            <w:pPr>
              <w:jc w:val="center"/>
              <w:rPr>
                <w:color w:val="auto"/>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17</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各类摄像机</w:t>
            </w:r>
          </w:p>
        </w:tc>
        <w:tc>
          <w:tcPr>
            <w:tcW w:w="1355" w:type="dxa"/>
            <w:noWrap w:val="0"/>
            <w:vAlign w:val="top"/>
          </w:tcPr>
          <w:p>
            <w:pPr>
              <w:jc w:val="center"/>
              <w:rPr>
                <w:color w:val="auto"/>
                <w:highlight w:val="none"/>
              </w:rPr>
            </w:pPr>
            <w:r>
              <w:rPr>
                <w:rFonts w:hint="eastAsia" w:ascii="宋体" w:hAnsi="宋体"/>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18</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strike/>
                <w:color w:val="auto"/>
                <w:highlight w:val="none"/>
              </w:rPr>
            </w:pPr>
            <w:r>
              <w:rPr>
                <w:rFonts w:hint="eastAsia"/>
                <w:color w:val="auto"/>
                <w:highlight w:val="none"/>
              </w:rPr>
              <w:t>周界报警系统</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19</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机动车管理系统</w:t>
            </w:r>
          </w:p>
        </w:tc>
        <w:tc>
          <w:tcPr>
            <w:tcW w:w="1355" w:type="dxa"/>
            <w:noWrap w:val="0"/>
            <w:vAlign w:val="top"/>
          </w:tcPr>
          <w:p>
            <w:pPr>
              <w:jc w:val="center"/>
              <w:rPr>
                <w:color w:val="auto"/>
                <w:highlight w:val="none"/>
              </w:rPr>
            </w:pPr>
            <w:r>
              <w:rPr>
                <w:rFonts w:hint="eastAsia"/>
                <w:color w:val="auto"/>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95" w:type="dxa"/>
            <w:noWrap w:val="0"/>
            <w:vAlign w:val="center"/>
          </w:tcPr>
          <w:p>
            <w:pPr>
              <w:jc w:val="center"/>
              <w:rPr>
                <w:rFonts w:ascii="宋体" w:hAnsi="宋体"/>
                <w:color w:val="auto"/>
                <w:highlight w:val="none"/>
              </w:rPr>
            </w:pPr>
            <w:r>
              <w:rPr>
                <w:rFonts w:ascii="宋体" w:hAnsi="宋体"/>
                <w:color w:val="auto"/>
                <w:highlight w:val="none"/>
              </w:rPr>
              <w:t>20</w:t>
            </w:r>
          </w:p>
        </w:tc>
        <w:tc>
          <w:tcPr>
            <w:tcW w:w="2296" w:type="dxa"/>
            <w:vMerge w:val="continue"/>
            <w:noWrap w:val="0"/>
            <w:vAlign w:val="center"/>
          </w:tcPr>
          <w:p>
            <w:pPr>
              <w:jc w:val="center"/>
              <w:rPr>
                <w:rFonts w:ascii="宋体" w:hAnsi="宋体"/>
                <w:color w:val="auto"/>
                <w:highlight w:val="none"/>
              </w:rPr>
            </w:pPr>
          </w:p>
        </w:tc>
        <w:tc>
          <w:tcPr>
            <w:tcW w:w="3975" w:type="dxa"/>
            <w:noWrap w:val="0"/>
            <w:vAlign w:val="top"/>
          </w:tcPr>
          <w:p>
            <w:pPr>
              <w:jc w:val="left"/>
              <w:rPr>
                <w:color w:val="auto"/>
                <w:highlight w:val="none"/>
              </w:rPr>
            </w:pPr>
            <w:r>
              <w:rPr>
                <w:rFonts w:hint="eastAsia"/>
                <w:color w:val="auto"/>
                <w:highlight w:val="none"/>
              </w:rPr>
              <w:t>电子巡查系统</w:t>
            </w:r>
          </w:p>
        </w:tc>
        <w:tc>
          <w:tcPr>
            <w:tcW w:w="1355" w:type="dxa"/>
            <w:noWrap w:val="0"/>
            <w:vAlign w:val="top"/>
          </w:tcPr>
          <w:p>
            <w:pPr>
              <w:jc w:val="center"/>
              <w:rPr>
                <w:color w:val="auto"/>
                <w:highlight w:val="none"/>
              </w:rPr>
            </w:pPr>
            <w:r>
              <w:rPr>
                <w:rFonts w:hint="eastAsia" w:ascii="宋体" w:hAnsi="宋体"/>
                <w:color w:val="auto"/>
                <w:szCs w:val="21"/>
                <w:highlight w:val="none"/>
              </w:rPr>
              <w:t>甲供</w:t>
            </w:r>
          </w:p>
        </w:tc>
      </w:tr>
    </w:tbl>
    <w:p>
      <w:pPr>
        <w:ind w:right="225" w:rightChars="107"/>
        <w:jc w:val="both"/>
        <w:rPr>
          <w:b/>
          <w:color w:val="auto"/>
          <w:highlight w:val="none"/>
        </w:rPr>
      </w:pPr>
    </w:p>
    <w:p>
      <w:pPr>
        <w:ind w:right="225" w:rightChars="107" w:firstLine="422" w:firstLineChars="200"/>
        <w:jc w:val="center"/>
        <w:rPr>
          <w:rFonts w:hint="eastAsia" w:eastAsia="宋体"/>
          <w:b/>
          <w:color w:val="auto"/>
          <w:highlight w:val="none"/>
          <w:lang w:eastAsia="zh-CN"/>
        </w:rPr>
      </w:pPr>
      <w:r>
        <w:rPr>
          <w:b/>
          <w:color w:val="auto"/>
          <w:highlight w:val="none"/>
        </w:rPr>
        <w:t>车站设备系统主要设备表4.2.2-</w:t>
      </w:r>
      <w:r>
        <w:rPr>
          <w:rFonts w:hint="eastAsia"/>
          <w:b/>
          <w:color w:val="auto"/>
          <w:highlight w:val="none"/>
          <w:lang w:val="en-US" w:eastAsia="zh-CN"/>
        </w:rPr>
        <w:t>3</w:t>
      </w:r>
    </w:p>
    <w:tbl>
      <w:tblPr>
        <w:tblStyle w:val="14"/>
        <w:tblpPr w:leftFromText="180" w:rightFromText="180" w:vertAnchor="text" w:horzAnchor="margin" w:tblpX="250" w:tblpY="172"/>
        <w:tblOverlap w:val="never"/>
        <w:tblW w:w="47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288"/>
        <w:gridCol w:w="399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pct"/>
            <w:noWrap w:val="0"/>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328" w:type="pct"/>
            <w:noWrap w:val="0"/>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专业</w:t>
            </w:r>
          </w:p>
        </w:tc>
        <w:tc>
          <w:tcPr>
            <w:tcW w:w="2321" w:type="pct"/>
            <w:noWrap w:val="0"/>
            <w:vAlign w:val="center"/>
          </w:tcPr>
          <w:p>
            <w:pPr>
              <w:jc w:val="center"/>
              <w:rPr>
                <w:color w:val="auto"/>
                <w:highlight w:val="none"/>
              </w:rPr>
            </w:pPr>
            <w:r>
              <w:rPr>
                <w:color w:val="auto"/>
                <w:highlight w:val="none"/>
              </w:rPr>
              <w:t>设备名称</w:t>
            </w:r>
          </w:p>
        </w:tc>
        <w:tc>
          <w:tcPr>
            <w:tcW w:w="823" w:type="pct"/>
            <w:noWrap w:val="0"/>
            <w:vAlign w:val="center"/>
          </w:tcPr>
          <w:p>
            <w:pPr>
              <w:jc w:val="center"/>
              <w:rPr>
                <w:strike/>
                <w:color w:val="auto"/>
                <w:highlight w:val="none"/>
              </w:rPr>
            </w:pPr>
            <w:r>
              <w:rPr>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28"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328" w:type="pct"/>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通风空调</w:t>
            </w:r>
          </w:p>
        </w:tc>
        <w:tc>
          <w:tcPr>
            <w:tcW w:w="2321" w:type="pct"/>
            <w:noWrap w:val="0"/>
            <w:vAlign w:val="center"/>
          </w:tcPr>
          <w:p>
            <w:pPr>
              <w:pStyle w:val="10"/>
              <w:ind w:left="0" w:leftChars="0"/>
              <w:rPr>
                <w:rFonts w:hint="eastAsia" w:hAnsi="宋体"/>
                <w:color w:val="auto"/>
                <w:szCs w:val="21"/>
                <w:highlight w:val="none"/>
              </w:rPr>
            </w:pPr>
            <w:r>
              <w:rPr>
                <w:rFonts w:hint="eastAsia" w:hAnsi="宋体"/>
                <w:color w:val="auto"/>
                <w:szCs w:val="21"/>
                <w:highlight w:val="none"/>
              </w:rPr>
              <w:t>空调制冷设备（含冷水机组、空调机组、冷却塔、空调水泵、</w:t>
            </w:r>
            <w:r>
              <w:rPr>
                <w:rFonts w:hint="eastAsia"/>
                <w:color w:val="auto"/>
                <w:szCs w:val="21"/>
                <w:highlight w:val="none"/>
              </w:rPr>
              <w:t>车站通风空调节能控制系统、</w:t>
            </w:r>
            <w:r>
              <w:rPr>
                <w:rFonts w:hint="eastAsia" w:hAnsi="宋体"/>
                <w:color w:val="auto"/>
                <w:szCs w:val="21"/>
                <w:highlight w:val="none"/>
              </w:rPr>
              <w:t>多联空调机组）</w:t>
            </w:r>
          </w:p>
        </w:tc>
        <w:tc>
          <w:tcPr>
            <w:tcW w:w="823" w:type="pct"/>
            <w:noWrap w:val="0"/>
            <w:vAlign w:val="center"/>
          </w:tcPr>
          <w:p>
            <w:pPr>
              <w:pStyle w:val="10"/>
              <w:ind w:left="0" w:leftChars="0"/>
              <w:jc w:val="center"/>
              <w:rPr>
                <w:rFonts w:hint="eastAsia" w:hAnsi="宋体"/>
                <w:color w:val="auto"/>
                <w:szCs w:val="21"/>
                <w:highlight w:val="none"/>
              </w:rPr>
            </w:pPr>
            <w:r>
              <w:rPr>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328" w:type="pct"/>
            <w:vMerge w:val="continue"/>
            <w:noWrap w:val="0"/>
            <w:vAlign w:val="top"/>
          </w:tcPr>
          <w:p>
            <w:pPr>
              <w:rPr>
                <w:rFonts w:hint="eastAsia" w:ascii="宋体" w:hAnsi="宋体"/>
                <w:color w:val="auto"/>
                <w:szCs w:val="21"/>
                <w:highlight w:val="none"/>
              </w:rPr>
            </w:pPr>
          </w:p>
        </w:tc>
        <w:tc>
          <w:tcPr>
            <w:tcW w:w="23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风机、风阀、消声器</w:t>
            </w:r>
          </w:p>
        </w:tc>
        <w:tc>
          <w:tcPr>
            <w:tcW w:w="823" w:type="pct"/>
            <w:noWrap w:val="0"/>
            <w:vAlign w:val="center"/>
          </w:tcPr>
          <w:p>
            <w:pPr>
              <w:jc w:val="center"/>
              <w:rPr>
                <w:rFonts w:hint="eastAsia" w:ascii="宋体" w:hAnsi="宋体"/>
                <w:color w:val="auto"/>
                <w:szCs w:val="21"/>
                <w:highlight w:val="none"/>
              </w:rPr>
            </w:pPr>
            <w:r>
              <w:rPr>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pct"/>
            <w:noWrap w:val="0"/>
            <w:vAlign w:val="center"/>
          </w:tcPr>
          <w:p>
            <w:pPr>
              <w:jc w:val="center"/>
              <w:rPr>
                <w:rFonts w:hint="eastAsia" w:ascii="宋体" w:hAnsi="宋体"/>
                <w:color w:val="auto"/>
                <w:szCs w:val="21"/>
                <w:highlight w:val="none"/>
              </w:rPr>
            </w:pPr>
            <w:r>
              <w:rPr>
                <w:rFonts w:ascii="宋体" w:hAnsi="宋体"/>
                <w:color w:val="auto"/>
                <w:szCs w:val="21"/>
                <w:highlight w:val="none"/>
              </w:rPr>
              <w:t>3</w:t>
            </w:r>
          </w:p>
        </w:tc>
        <w:tc>
          <w:tcPr>
            <w:tcW w:w="1328"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动力照明系统</w:t>
            </w:r>
          </w:p>
        </w:tc>
        <w:tc>
          <w:tcPr>
            <w:tcW w:w="23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低压配电设备（0.4kV低压开关柜 （包括变电所低压开关柜两段母线间的联络母线）、通风空调电控柜（包括开关柜两段母线间的联络母线）、配电箱（包括电源切换箱、配电箱、区间维修箱、车站维修箱、智能照明等）、应急照明电源装置、消防应急照明和疏散指示系统、消防电源监控系统、低压母线槽）及LED照明灯具</w:t>
            </w:r>
          </w:p>
        </w:tc>
        <w:tc>
          <w:tcPr>
            <w:tcW w:w="823" w:type="pct"/>
            <w:noWrap w:val="0"/>
            <w:vAlign w:val="center"/>
          </w:tcPr>
          <w:p>
            <w:pPr>
              <w:jc w:val="center"/>
              <w:rPr>
                <w:rFonts w:hint="eastAsia" w:ascii="宋体" w:hAnsi="宋体"/>
                <w:color w:val="auto"/>
                <w:szCs w:val="21"/>
                <w:highlight w:val="none"/>
              </w:rPr>
            </w:pPr>
            <w:r>
              <w:rPr>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pct"/>
            <w:noWrap w:val="0"/>
            <w:vAlign w:val="center"/>
          </w:tcPr>
          <w:p>
            <w:pPr>
              <w:jc w:val="center"/>
              <w:rPr>
                <w:rFonts w:hint="eastAsia" w:ascii="宋体" w:hAnsi="宋体"/>
                <w:color w:val="auto"/>
                <w:szCs w:val="21"/>
                <w:highlight w:val="none"/>
              </w:rPr>
            </w:pPr>
            <w:r>
              <w:rPr>
                <w:rFonts w:ascii="宋体" w:hAnsi="宋体"/>
                <w:color w:val="auto"/>
                <w:szCs w:val="21"/>
                <w:highlight w:val="none"/>
              </w:rPr>
              <w:t>4</w:t>
            </w:r>
          </w:p>
        </w:tc>
        <w:tc>
          <w:tcPr>
            <w:tcW w:w="1328" w:type="pct"/>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电扶梯</w:t>
            </w:r>
          </w:p>
        </w:tc>
        <w:tc>
          <w:tcPr>
            <w:tcW w:w="23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自动扶梯</w:t>
            </w:r>
          </w:p>
        </w:tc>
        <w:tc>
          <w:tcPr>
            <w:tcW w:w="823" w:type="pct"/>
            <w:noWrap w:val="0"/>
            <w:vAlign w:val="center"/>
          </w:tcPr>
          <w:p>
            <w:pPr>
              <w:jc w:val="center"/>
              <w:rPr>
                <w:rFonts w:hint="eastAsia" w:ascii="宋体" w:hAnsi="宋体"/>
                <w:color w:val="auto"/>
                <w:szCs w:val="21"/>
                <w:highlight w:val="none"/>
              </w:rPr>
            </w:pPr>
            <w:r>
              <w:rPr>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pct"/>
            <w:noWrap w:val="0"/>
            <w:vAlign w:val="center"/>
          </w:tcPr>
          <w:p>
            <w:pPr>
              <w:jc w:val="center"/>
              <w:rPr>
                <w:rFonts w:hint="eastAsia" w:ascii="宋体" w:hAnsi="宋体"/>
                <w:color w:val="auto"/>
                <w:szCs w:val="21"/>
                <w:highlight w:val="none"/>
              </w:rPr>
            </w:pPr>
            <w:r>
              <w:rPr>
                <w:rFonts w:ascii="宋体" w:hAnsi="宋体"/>
                <w:color w:val="auto"/>
                <w:szCs w:val="21"/>
                <w:highlight w:val="none"/>
              </w:rPr>
              <w:t>5</w:t>
            </w:r>
          </w:p>
        </w:tc>
        <w:tc>
          <w:tcPr>
            <w:tcW w:w="1328" w:type="pct"/>
            <w:vMerge w:val="continue"/>
            <w:noWrap w:val="0"/>
            <w:vAlign w:val="top"/>
          </w:tcPr>
          <w:p>
            <w:pPr>
              <w:rPr>
                <w:rFonts w:hint="eastAsia" w:ascii="宋体" w:hAnsi="宋体"/>
                <w:color w:val="auto"/>
                <w:szCs w:val="21"/>
                <w:highlight w:val="none"/>
              </w:rPr>
            </w:pPr>
          </w:p>
        </w:tc>
        <w:tc>
          <w:tcPr>
            <w:tcW w:w="23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电梯</w:t>
            </w:r>
          </w:p>
        </w:tc>
        <w:tc>
          <w:tcPr>
            <w:tcW w:w="823" w:type="pct"/>
            <w:noWrap w:val="0"/>
            <w:vAlign w:val="center"/>
          </w:tcPr>
          <w:p>
            <w:pPr>
              <w:jc w:val="center"/>
              <w:rPr>
                <w:rFonts w:hint="eastAsia" w:ascii="宋体" w:hAnsi="宋体"/>
                <w:color w:val="auto"/>
                <w:szCs w:val="21"/>
                <w:highlight w:val="none"/>
              </w:rPr>
            </w:pPr>
            <w:r>
              <w:rPr>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pct"/>
            <w:noWrap w:val="0"/>
            <w:vAlign w:val="center"/>
          </w:tcPr>
          <w:p>
            <w:pPr>
              <w:jc w:val="center"/>
              <w:rPr>
                <w:rFonts w:hint="eastAsia" w:ascii="宋体" w:hAnsi="宋体"/>
                <w:color w:val="auto"/>
                <w:szCs w:val="21"/>
                <w:highlight w:val="none"/>
              </w:rPr>
            </w:pPr>
            <w:r>
              <w:rPr>
                <w:rFonts w:ascii="宋体" w:hAnsi="宋体"/>
                <w:color w:val="auto"/>
                <w:szCs w:val="21"/>
                <w:highlight w:val="none"/>
              </w:rPr>
              <w:t>6</w:t>
            </w:r>
          </w:p>
        </w:tc>
        <w:tc>
          <w:tcPr>
            <w:tcW w:w="1328"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屏蔽门</w:t>
            </w:r>
          </w:p>
        </w:tc>
        <w:tc>
          <w:tcPr>
            <w:tcW w:w="23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屏蔽门</w:t>
            </w:r>
          </w:p>
        </w:tc>
        <w:tc>
          <w:tcPr>
            <w:tcW w:w="823" w:type="pct"/>
            <w:noWrap w:val="0"/>
            <w:vAlign w:val="center"/>
          </w:tcPr>
          <w:p>
            <w:pPr>
              <w:jc w:val="center"/>
              <w:rPr>
                <w:rFonts w:hint="eastAsia" w:ascii="宋体" w:hAnsi="宋体"/>
                <w:color w:val="auto"/>
                <w:szCs w:val="21"/>
                <w:highlight w:val="none"/>
              </w:rPr>
            </w:pPr>
            <w:r>
              <w:rPr>
                <w:color w:val="auto"/>
                <w:szCs w:val="21"/>
                <w:highlight w:val="none"/>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28"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1328"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装修材料</w:t>
            </w:r>
          </w:p>
        </w:tc>
        <w:tc>
          <w:tcPr>
            <w:tcW w:w="23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导向系统、广告灯箱</w:t>
            </w:r>
          </w:p>
        </w:tc>
        <w:tc>
          <w:tcPr>
            <w:tcW w:w="823" w:type="pct"/>
            <w:noWrap w:val="0"/>
            <w:vAlign w:val="center"/>
          </w:tcPr>
          <w:p>
            <w:pPr>
              <w:jc w:val="center"/>
              <w:rPr>
                <w:rFonts w:hint="eastAsia" w:ascii="宋体" w:hAnsi="宋体"/>
                <w:color w:val="auto"/>
                <w:szCs w:val="21"/>
                <w:highlight w:val="none"/>
              </w:rPr>
            </w:pPr>
            <w:r>
              <w:rPr>
                <w:color w:val="auto"/>
                <w:szCs w:val="21"/>
                <w:highlight w:val="none"/>
              </w:rPr>
              <w:t>甲供</w:t>
            </w:r>
          </w:p>
        </w:tc>
      </w:tr>
    </w:tbl>
    <w:p>
      <w:pPr>
        <w:pStyle w:val="12"/>
        <w:pBdr>
          <w:bottom w:val="none" w:color="auto" w:sz="0" w:space="0"/>
        </w:pBdr>
        <w:jc w:val="both"/>
        <w:rPr>
          <w:rFonts w:hint="eastAsia"/>
          <w:color w:val="auto"/>
          <w:highlight w:val="none"/>
        </w:rPr>
      </w:pPr>
    </w:p>
    <w:p>
      <w:pPr>
        <w:pStyle w:val="12"/>
        <w:pBdr>
          <w:bottom w:val="none" w:color="auto" w:sz="0" w:space="0"/>
        </w:pBdr>
        <w:jc w:val="both"/>
        <w:rPr>
          <w:rFonts w:hint="eastAsia"/>
          <w:color w:val="auto"/>
          <w:highlight w:val="none"/>
        </w:rPr>
      </w:pPr>
    </w:p>
    <w:p>
      <w:pPr>
        <w:pStyle w:val="4"/>
        <w:bidi w:val="0"/>
        <w:rPr>
          <w:rFonts w:hint="eastAsia" w:ascii="黑体" w:hAnsi="黑体" w:eastAsia="黑体" w:cs="黑体"/>
          <w:color w:val="auto"/>
          <w:sz w:val="21"/>
          <w:szCs w:val="21"/>
          <w:highlight w:val="none"/>
        </w:rPr>
      </w:pPr>
      <w:bookmarkStart w:id="2267" w:name="_Toc184763338"/>
      <w:bookmarkStart w:id="2268" w:name="_Toc4087"/>
      <w:r>
        <w:rPr>
          <w:rFonts w:hint="eastAsia" w:ascii="黑体" w:hAnsi="黑体" w:eastAsia="黑体" w:cs="黑体"/>
          <w:color w:val="auto"/>
          <w:sz w:val="21"/>
          <w:szCs w:val="21"/>
          <w:highlight w:val="none"/>
          <w:lang w:val="en-US" w:eastAsia="zh-CN"/>
        </w:rPr>
        <w:t>4.3</w:t>
      </w:r>
      <w:r>
        <w:rPr>
          <w:rFonts w:hint="eastAsia" w:ascii="黑体" w:hAnsi="黑体" w:eastAsia="黑体" w:cs="黑体"/>
          <w:color w:val="auto"/>
          <w:sz w:val="21"/>
          <w:szCs w:val="21"/>
          <w:highlight w:val="none"/>
        </w:rPr>
        <w:t>合同关系</w:t>
      </w:r>
      <w:bookmarkEnd w:id="2258"/>
      <w:bookmarkEnd w:id="2259"/>
      <w:bookmarkEnd w:id="2260"/>
      <w:bookmarkEnd w:id="2261"/>
      <w:bookmarkEnd w:id="2262"/>
      <w:bookmarkEnd w:id="2263"/>
      <w:bookmarkEnd w:id="2264"/>
      <w:bookmarkEnd w:id="2265"/>
      <w:bookmarkEnd w:id="2266"/>
      <w:bookmarkEnd w:id="2267"/>
      <w:bookmarkEnd w:id="2268"/>
    </w:p>
    <w:p>
      <w:pPr>
        <w:spacing w:line="360" w:lineRule="auto"/>
        <w:ind w:firstLine="420" w:firstLineChars="200"/>
        <w:rPr>
          <w:color w:val="auto"/>
          <w:highlight w:val="none"/>
        </w:rPr>
      </w:pPr>
      <w:r>
        <w:rPr>
          <w:color w:val="auto"/>
          <w:highlight w:val="none"/>
        </w:rPr>
        <w:t>在工程实施中，业主负责整个工程全过程的监督、检查、关键点控制及合同支付；设计单位负责工程的初步设计和施工图设计；施工单位负责工程的设备安装及乙供设备采购；集成服务商负责工程强</w:t>
      </w:r>
      <w:r>
        <w:rPr>
          <w:rFonts w:hint="eastAsia"/>
          <w:color w:val="auto"/>
          <w:highlight w:val="none"/>
        </w:rPr>
        <w:t>、弱</w:t>
      </w:r>
      <w:r>
        <w:rPr>
          <w:color w:val="auto"/>
          <w:highlight w:val="none"/>
        </w:rPr>
        <w:t>电系统及车站设备招标采购、合同谈判、设计联络、内外部接口协调、生产督造及检验、设备供货管理、安装调试管理（甲供及主要乙供设备，含单机调试、系统调试、144小时系统连续试验）、综合联调、试运行、保证期，直至通过业主最终验收等一系列与</w:t>
      </w:r>
      <w:r>
        <w:rPr>
          <w:rFonts w:hint="eastAsia"/>
          <w:color w:val="auto"/>
          <w:highlight w:val="none"/>
          <w:lang w:val="en-US" w:eastAsia="zh-CN"/>
        </w:rPr>
        <w:t>甲供</w:t>
      </w:r>
      <w:r>
        <w:rPr>
          <w:color w:val="auto"/>
          <w:highlight w:val="none"/>
        </w:rPr>
        <w:t>设备合同相关的一切设备的集成服务工作；强</w:t>
      </w:r>
      <w:r>
        <w:rPr>
          <w:rFonts w:hint="eastAsia"/>
          <w:color w:val="auto"/>
          <w:highlight w:val="none"/>
        </w:rPr>
        <w:t>、弱</w:t>
      </w:r>
      <w:r>
        <w:rPr>
          <w:color w:val="auto"/>
          <w:highlight w:val="none"/>
        </w:rPr>
        <w:t>电系统及车站设备系统的各供货商将负责相应专业的产品设计、内外部接口、工厂制造、设备供货、安装督导、综合联调、试运行、质保期、培训，以及通过业主最终验收后的备品备件长期供应等工作。</w:t>
      </w:r>
    </w:p>
    <w:p>
      <w:pPr>
        <w:spacing w:line="360" w:lineRule="auto"/>
        <w:ind w:firstLine="420" w:firstLineChars="200"/>
        <w:rPr>
          <w:color w:val="auto"/>
          <w:highlight w:val="none"/>
        </w:rPr>
      </w:pPr>
      <w:r>
        <w:rPr>
          <w:color w:val="auto"/>
          <w:highlight w:val="none"/>
        </w:rPr>
        <w:t>为确保合同的顺利执行，以及供货商对业主授权集成服务商所负责的工作的配合，在集成服务商负责的工作范围内，涉及业主对强</w:t>
      </w:r>
      <w:r>
        <w:rPr>
          <w:rFonts w:hint="eastAsia"/>
          <w:color w:val="auto"/>
          <w:highlight w:val="none"/>
        </w:rPr>
        <w:t>、弱</w:t>
      </w:r>
      <w:r>
        <w:rPr>
          <w:color w:val="auto"/>
          <w:highlight w:val="none"/>
        </w:rPr>
        <w:t>电系统及车站设备系统供货商工作的确认及合同的支付，必须先由集成服务商签名确认。</w:t>
      </w:r>
    </w:p>
    <w:p>
      <w:pPr>
        <w:spacing w:line="360" w:lineRule="auto"/>
        <w:ind w:firstLine="420" w:firstLineChars="200"/>
        <w:rPr>
          <w:color w:val="auto"/>
          <w:sz w:val="24"/>
          <w:highlight w:val="none"/>
        </w:rPr>
      </w:pPr>
      <w:r>
        <w:rPr>
          <w:color w:val="auto"/>
          <w:highlight w:val="none"/>
        </w:rPr>
        <w:t>业主将通过招标确定强</w:t>
      </w:r>
      <w:r>
        <w:rPr>
          <w:rFonts w:hint="eastAsia"/>
          <w:color w:val="auto"/>
          <w:highlight w:val="none"/>
        </w:rPr>
        <w:t>、弱</w:t>
      </w:r>
      <w:r>
        <w:rPr>
          <w:color w:val="auto"/>
          <w:highlight w:val="none"/>
        </w:rPr>
        <w:t>电系统及车站设备系统集成服务商、各专业设备供货商及施工承包商。即业主与集成服务商签订设备集成合同；业主、集成服务商与各设备供货商签订三方合同；业主与施工承包商签订施工合同；业主与监理单位签订施工监理服务合同。</w:t>
      </w:r>
    </w:p>
    <w:p>
      <w:pPr>
        <w:spacing w:line="360" w:lineRule="auto"/>
        <w:ind w:firstLine="420" w:firstLineChars="200"/>
        <w:rPr>
          <w:color w:val="auto"/>
          <w:highlight w:val="none"/>
        </w:rPr>
      </w:pPr>
      <w:r>
        <w:rPr>
          <w:color w:val="auto"/>
          <w:highlight w:val="none"/>
        </w:rPr>
        <w:t>详见下图：</w:t>
      </w:r>
    </w:p>
    <w:p>
      <w:pPr>
        <w:jc w:val="center"/>
        <w:rPr>
          <w:color w:val="auto"/>
          <w:highlight w:val="none"/>
        </w:rPr>
      </w:pPr>
      <w:r>
        <w:rPr>
          <w:color w:val="auto"/>
          <w:highlight w:val="none"/>
        </w:rPr>
        <w:object>
          <v:shape id="_x0000_i1025" o:spt="75" type="#_x0000_t75" style="height:195.85pt;width:225.5pt;" o:ole="t" filled="f" o:preferrelative="t" stroked="f" coordsize="21600,21600">
            <v:path/>
            <v:fill on="f" alignshape="1" focussize="0,0"/>
            <v:stroke on="f"/>
            <v:imagedata r:id="rId17" o:title=""/>
            <o:lock v:ext="edit" aspectratio="t"/>
            <w10:wrap type="none"/>
            <w10:anchorlock/>
          </v:shape>
          <o:OLEObject Type="Embed" ProgID="Visio.Drawing.11" ShapeID="_x0000_i1025" DrawAspect="Content" ObjectID="_1468075725" r:id="rId16">
            <o:LockedField>false</o:LockedField>
          </o:OLEObject>
        </w:object>
      </w:r>
    </w:p>
    <w:p>
      <w:pPr>
        <w:rPr>
          <w:color w:val="auto"/>
          <w:highlight w:val="none"/>
        </w:rPr>
      </w:pPr>
    </w:p>
    <w:p>
      <w:pPr>
        <w:pStyle w:val="3"/>
        <w:bidi w:val="0"/>
        <w:rPr>
          <w:color w:val="auto"/>
          <w:sz w:val="24"/>
          <w:szCs w:val="24"/>
          <w:highlight w:val="none"/>
        </w:rPr>
      </w:pPr>
      <w:bookmarkStart w:id="2269" w:name="_Toc309026907"/>
      <w:bookmarkStart w:id="2270" w:name="_Toc22551"/>
      <w:bookmarkStart w:id="2271" w:name="_Toc306091634"/>
      <w:bookmarkStart w:id="2272" w:name="_Toc1500"/>
      <w:bookmarkStart w:id="2273" w:name="_Toc1350"/>
      <w:bookmarkStart w:id="2274" w:name="_Toc130847128"/>
      <w:bookmarkStart w:id="2275" w:name="_Toc26516"/>
      <w:bookmarkStart w:id="2276" w:name="_Toc184763339"/>
      <w:bookmarkStart w:id="2277" w:name="_Toc23155"/>
      <w:bookmarkStart w:id="2278" w:name="_Toc14869"/>
      <w:bookmarkStart w:id="2279" w:name="_Toc309026513"/>
      <w:r>
        <w:rPr>
          <w:color w:val="auto"/>
          <w:sz w:val="24"/>
          <w:szCs w:val="24"/>
          <w:highlight w:val="none"/>
        </w:rPr>
        <w:t>五、服务范围及责任</w:t>
      </w:r>
      <w:bookmarkEnd w:id="2269"/>
      <w:bookmarkEnd w:id="2270"/>
      <w:bookmarkEnd w:id="2271"/>
      <w:bookmarkEnd w:id="2272"/>
      <w:bookmarkEnd w:id="2273"/>
      <w:bookmarkEnd w:id="2274"/>
      <w:bookmarkEnd w:id="2275"/>
      <w:bookmarkEnd w:id="2276"/>
      <w:bookmarkEnd w:id="2277"/>
      <w:bookmarkEnd w:id="2278"/>
      <w:bookmarkEnd w:id="2279"/>
    </w:p>
    <w:p>
      <w:pPr>
        <w:spacing w:line="360" w:lineRule="auto"/>
        <w:ind w:firstLine="420" w:firstLineChars="200"/>
        <w:rPr>
          <w:color w:val="auto"/>
          <w:szCs w:val="21"/>
          <w:highlight w:val="none"/>
        </w:rPr>
      </w:pPr>
      <w:r>
        <w:rPr>
          <w:color w:val="auto"/>
          <w:szCs w:val="21"/>
          <w:highlight w:val="none"/>
        </w:rPr>
        <w:t>为使集成服务商在集成服务中明确各阶段任务及职责，对项目实施的各项管理任务分配，用下述工作矩阵表示，集成服务商服务包含但不限于此。</w:t>
      </w:r>
    </w:p>
    <w:p>
      <w:pPr>
        <w:pStyle w:val="4"/>
        <w:bidi w:val="0"/>
        <w:rPr>
          <w:rFonts w:hint="eastAsia" w:ascii="黑体" w:hAnsi="黑体" w:eastAsia="黑体" w:cs="黑体"/>
          <w:color w:val="auto"/>
          <w:sz w:val="21"/>
          <w:szCs w:val="21"/>
          <w:highlight w:val="none"/>
        </w:rPr>
      </w:pPr>
      <w:bookmarkStart w:id="2280" w:name="_Toc309026514"/>
      <w:bookmarkStart w:id="2281" w:name="_Toc309026908"/>
      <w:bookmarkStart w:id="2282" w:name="_Toc306091635"/>
      <w:bookmarkStart w:id="2283" w:name="_Toc184763340"/>
      <w:bookmarkStart w:id="2284" w:name="_Toc20925"/>
      <w:bookmarkStart w:id="2285" w:name="_Toc16193"/>
      <w:bookmarkStart w:id="2286" w:name="_Toc21325"/>
      <w:bookmarkStart w:id="2287" w:name="_Toc130847129"/>
      <w:bookmarkStart w:id="2288" w:name="_Toc19145"/>
      <w:bookmarkStart w:id="2289" w:name="_Toc24145"/>
      <w:bookmarkStart w:id="2290" w:name="_Toc6273"/>
      <w:r>
        <w:rPr>
          <w:rFonts w:hint="eastAsia" w:ascii="黑体" w:hAnsi="黑体" w:eastAsia="黑体" w:cs="黑体"/>
          <w:color w:val="auto"/>
          <w:sz w:val="21"/>
          <w:szCs w:val="21"/>
          <w:highlight w:val="none"/>
          <w:lang w:val="en-US" w:eastAsia="zh-CN"/>
        </w:rPr>
        <w:t>5.1</w:t>
      </w:r>
      <w:r>
        <w:rPr>
          <w:rFonts w:hint="eastAsia" w:ascii="黑体" w:hAnsi="黑体" w:eastAsia="黑体" w:cs="黑体"/>
          <w:color w:val="auto"/>
          <w:sz w:val="21"/>
          <w:szCs w:val="21"/>
          <w:highlight w:val="none"/>
        </w:rPr>
        <w:t>责任定义</w:t>
      </w:r>
      <w:bookmarkEnd w:id="2280"/>
      <w:bookmarkEnd w:id="2281"/>
      <w:bookmarkEnd w:id="2282"/>
      <w:bookmarkEnd w:id="2283"/>
      <w:bookmarkEnd w:id="2284"/>
      <w:bookmarkEnd w:id="2285"/>
      <w:bookmarkEnd w:id="2286"/>
      <w:bookmarkEnd w:id="2287"/>
      <w:bookmarkEnd w:id="2288"/>
      <w:bookmarkEnd w:id="2289"/>
      <w:bookmarkEnd w:id="2290"/>
    </w:p>
    <w:p>
      <w:pPr>
        <w:spacing w:line="360" w:lineRule="auto"/>
        <w:ind w:left="582" w:hanging="581" w:hangingChars="277"/>
        <w:rPr>
          <w:color w:val="auto"/>
          <w:szCs w:val="21"/>
          <w:highlight w:val="none"/>
        </w:rPr>
      </w:pPr>
      <w:r>
        <w:rPr>
          <w:color w:val="auto"/>
          <w:szCs w:val="21"/>
          <w:highlight w:val="none"/>
        </w:rPr>
        <w:t>负责：指项目执行中的某一指定任务的组织、决定、操作并承担全部合同责任。</w:t>
      </w:r>
    </w:p>
    <w:p>
      <w:pPr>
        <w:spacing w:line="360" w:lineRule="auto"/>
        <w:ind w:left="582" w:hanging="581" w:hangingChars="277"/>
        <w:rPr>
          <w:color w:val="auto"/>
          <w:szCs w:val="21"/>
          <w:highlight w:val="none"/>
        </w:rPr>
      </w:pPr>
      <w:r>
        <w:rPr>
          <w:color w:val="auto"/>
          <w:szCs w:val="21"/>
          <w:highlight w:val="none"/>
        </w:rPr>
        <w:t>协助：包括所有在项目执行过程中，对已定义的任务提供所有支持活动。</w:t>
      </w:r>
    </w:p>
    <w:p>
      <w:pPr>
        <w:spacing w:line="360" w:lineRule="auto"/>
        <w:ind w:left="582" w:hanging="581" w:hangingChars="277"/>
        <w:rPr>
          <w:color w:val="auto"/>
          <w:szCs w:val="21"/>
          <w:highlight w:val="none"/>
        </w:rPr>
      </w:pPr>
      <w:r>
        <w:rPr>
          <w:color w:val="auto"/>
          <w:szCs w:val="21"/>
          <w:highlight w:val="none"/>
        </w:rPr>
        <w:t>检查：包括所有为了项目执行而展开的与被定义的任务相关的文件或原则进行详细核对的活动。</w:t>
      </w:r>
    </w:p>
    <w:p>
      <w:pPr>
        <w:spacing w:line="360" w:lineRule="auto"/>
        <w:ind w:left="582" w:hanging="581" w:hangingChars="277"/>
        <w:rPr>
          <w:color w:val="auto"/>
          <w:szCs w:val="21"/>
          <w:highlight w:val="none"/>
        </w:rPr>
      </w:pPr>
      <w:r>
        <w:rPr>
          <w:color w:val="auto"/>
          <w:szCs w:val="21"/>
          <w:highlight w:val="none"/>
        </w:rPr>
        <w:t>审批：包括对与项目相关的文件或其他原则的审查和批准的活动，目的是为了项目的执行实施。这是在项目执行中某一指定任务的最终步骤的标志。</w:t>
      </w:r>
    </w:p>
    <w:p>
      <w:pPr>
        <w:spacing w:line="360" w:lineRule="auto"/>
        <w:ind w:left="582" w:hanging="581" w:hangingChars="277"/>
        <w:rPr>
          <w:rFonts w:hint="eastAsia"/>
          <w:color w:val="auto"/>
          <w:szCs w:val="21"/>
          <w:highlight w:val="none"/>
        </w:rPr>
      </w:pPr>
      <w:r>
        <w:rPr>
          <w:rFonts w:hint="eastAsia"/>
          <w:color w:val="auto"/>
          <w:szCs w:val="21"/>
          <w:highlight w:val="none"/>
        </w:rPr>
        <w:t>管理：包括对与项目执行相关的指定任务的计划、组织和操作的活动。</w:t>
      </w:r>
    </w:p>
    <w:p>
      <w:pPr>
        <w:spacing w:line="360" w:lineRule="auto"/>
        <w:ind w:left="582" w:hanging="581" w:hangingChars="277"/>
        <w:rPr>
          <w:color w:val="auto"/>
          <w:szCs w:val="21"/>
          <w:highlight w:val="none"/>
        </w:rPr>
      </w:pPr>
      <w:r>
        <w:rPr>
          <w:color w:val="auto"/>
          <w:szCs w:val="21"/>
          <w:highlight w:val="none"/>
        </w:rPr>
        <w:t>参与：指在项目执行过程中参加某一指定任务的活动。</w:t>
      </w:r>
    </w:p>
    <w:p>
      <w:pPr>
        <w:spacing w:line="360" w:lineRule="auto"/>
        <w:ind w:left="582" w:hanging="581" w:hangingChars="277"/>
        <w:rPr>
          <w:color w:val="auto"/>
          <w:szCs w:val="21"/>
          <w:highlight w:val="none"/>
        </w:rPr>
      </w:pPr>
      <w:r>
        <w:rPr>
          <w:rFonts w:hint="eastAsia"/>
          <w:color w:val="auto"/>
          <w:szCs w:val="21"/>
          <w:highlight w:val="none"/>
        </w:rPr>
        <w:t>建议：包括所有在项目执行过程中，起草一个对已定义的任务相关的文件草案或其他概念性原则的各项活动。</w:t>
      </w:r>
    </w:p>
    <w:p>
      <w:pPr>
        <w:spacing w:line="360" w:lineRule="auto"/>
        <w:ind w:left="582" w:hanging="581" w:hangingChars="277"/>
        <w:rPr>
          <w:rFonts w:hint="eastAsia"/>
          <w:color w:val="auto"/>
          <w:szCs w:val="21"/>
          <w:highlight w:val="none"/>
        </w:rPr>
      </w:pPr>
      <w:r>
        <w:rPr>
          <w:rFonts w:hint="eastAsia"/>
          <w:color w:val="auto"/>
          <w:szCs w:val="21"/>
          <w:highlight w:val="none"/>
        </w:rPr>
        <w:t>督导：指对与工程项目的执行相关的指定任务的顺利开展而提供的控制和指示的所有活动。</w:t>
      </w:r>
    </w:p>
    <w:p>
      <w:pPr>
        <w:spacing w:line="360" w:lineRule="auto"/>
        <w:ind w:left="582" w:hanging="581" w:hangingChars="277"/>
        <w:rPr>
          <w:rFonts w:hint="eastAsia"/>
          <w:color w:val="auto"/>
          <w:szCs w:val="21"/>
          <w:highlight w:val="none"/>
        </w:rPr>
      </w:pPr>
      <w:r>
        <w:rPr>
          <w:rFonts w:hint="eastAsia"/>
          <w:color w:val="auto"/>
          <w:szCs w:val="21"/>
          <w:highlight w:val="none"/>
        </w:rPr>
        <w:t>实施：指项目执行中的某一指定任务的操作并承担相应合同责任的活动。</w:t>
      </w:r>
    </w:p>
    <w:p>
      <w:pPr>
        <w:spacing w:line="360" w:lineRule="auto"/>
        <w:ind w:left="582" w:hanging="581" w:hangingChars="277"/>
        <w:rPr>
          <w:rFonts w:hint="eastAsia"/>
          <w:color w:val="auto"/>
          <w:szCs w:val="21"/>
          <w:highlight w:val="none"/>
        </w:rPr>
      </w:pPr>
      <w:r>
        <w:rPr>
          <w:rFonts w:hint="eastAsia"/>
          <w:color w:val="auto"/>
          <w:szCs w:val="21"/>
          <w:highlight w:val="none"/>
        </w:rPr>
        <w:t>配合：指在项目执行过程中对已定义的任务提供的支持活动。</w:t>
      </w:r>
    </w:p>
    <w:p>
      <w:pPr>
        <w:spacing w:line="360" w:lineRule="auto"/>
        <w:ind w:left="582" w:hanging="581" w:hangingChars="277"/>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包括所有为了项目执行而制订出文件或其他与被定义任务有关的解决方案的活动。</w:t>
      </w:r>
    </w:p>
    <w:p>
      <w:pPr>
        <w:spacing w:line="360" w:lineRule="auto"/>
        <w:ind w:left="582" w:hanging="581" w:hangingChars="277"/>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指在项目执行过程中某一指定任务出现问题时进行协助解决的活动。</w:t>
      </w:r>
    </w:p>
    <w:p>
      <w:pPr>
        <w:spacing w:line="360" w:lineRule="auto"/>
        <w:ind w:left="582" w:hanging="581" w:hangingChars="27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注：各方职责甲方保留解释和调整权力</w:t>
      </w:r>
    </w:p>
    <w:p>
      <w:pPr>
        <w:pStyle w:val="4"/>
        <w:bidi w:val="0"/>
        <w:rPr>
          <w:rFonts w:hint="eastAsia" w:ascii="黑体" w:hAnsi="黑体" w:eastAsia="黑体" w:cs="黑体"/>
          <w:color w:val="auto"/>
          <w:sz w:val="21"/>
          <w:szCs w:val="21"/>
          <w:highlight w:val="none"/>
        </w:rPr>
      </w:pPr>
      <w:bookmarkStart w:id="2291" w:name="_Toc309026515"/>
      <w:bookmarkStart w:id="2292" w:name="_Toc4484"/>
      <w:bookmarkStart w:id="2293" w:name="_Toc309026909"/>
      <w:bookmarkStart w:id="2294" w:name="_Toc16576"/>
      <w:bookmarkStart w:id="2295" w:name="_Toc130847130"/>
      <w:bookmarkStart w:id="2296" w:name="_Toc306091636"/>
      <w:bookmarkStart w:id="2297" w:name="_Toc519"/>
      <w:bookmarkStart w:id="2298" w:name="_Toc5477"/>
      <w:bookmarkStart w:id="2299" w:name="_Toc19756"/>
      <w:bookmarkStart w:id="2300" w:name="_Toc184763341"/>
      <w:bookmarkStart w:id="2301" w:name="_Toc14260"/>
      <w:r>
        <w:rPr>
          <w:rFonts w:hint="eastAsia" w:ascii="黑体" w:hAnsi="黑体" w:eastAsia="黑体" w:cs="黑体"/>
          <w:color w:val="auto"/>
          <w:sz w:val="21"/>
          <w:szCs w:val="21"/>
          <w:highlight w:val="none"/>
          <w:lang w:val="en-US" w:eastAsia="zh-CN"/>
        </w:rPr>
        <w:t>5.2</w:t>
      </w:r>
      <w:r>
        <w:rPr>
          <w:rFonts w:hint="eastAsia" w:ascii="黑体" w:hAnsi="黑体" w:eastAsia="黑体" w:cs="黑体"/>
          <w:color w:val="auto"/>
          <w:sz w:val="21"/>
          <w:szCs w:val="21"/>
          <w:highlight w:val="none"/>
        </w:rPr>
        <w:t>集成服务职责矩阵</w:t>
      </w:r>
      <w:bookmarkEnd w:id="2291"/>
      <w:bookmarkEnd w:id="2292"/>
      <w:bookmarkEnd w:id="2293"/>
      <w:bookmarkEnd w:id="2294"/>
      <w:bookmarkEnd w:id="2295"/>
      <w:bookmarkEnd w:id="2296"/>
      <w:bookmarkEnd w:id="2297"/>
      <w:bookmarkEnd w:id="2298"/>
      <w:bookmarkEnd w:id="2299"/>
      <w:bookmarkEnd w:id="2300"/>
      <w:bookmarkEnd w:id="2301"/>
    </w:p>
    <w:p>
      <w:pPr>
        <w:spacing w:line="360" w:lineRule="auto"/>
        <w:ind w:firstLine="420" w:firstLineChars="200"/>
        <w:rPr>
          <w:color w:val="auto"/>
          <w:szCs w:val="21"/>
          <w:highlight w:val="none"/>
        </w:rPr>
      </w:pPr>
      <w:r>
        <w:rPr>
          <w:color w:val="auto"/>
          <w:szCs w:val="21"/>
          <w:highlight w:val="none"/>
        </w:rPr>
        <w:t>为清楚的表明本项目任务与参与各方的关系，采用下述工作矩阵的方式表示。需要说明的是，集成服务是从开始到结束的全过程管理，业主、集成服务商、供货商的任务和职责包括但不限于此：</w:t>
      </w:r>
    </w:p>
    <w:p>
      <w:pPr>
        <w:spacing w:line="360" w:lineRule="auto"/>
        <w:jc w:val="left"/>
        <w:rPr>
          <w:color w:val="auto"/>
          <w:szCs w:val="21"/>
          <w:highlight w:val="none"/>
        </w:rPr>
      </w:pPr>
      <w:r>
        <w:rPr>
          <w:color w:val="auto"/>
          <w:szCs w:val="21"/>
          <w:highlight w:val="none"/>
        </w:rPr>
        <w:t>5.2.1 甲供设备</w:t>
      </w:r>
      <w:r>
        <w:rPr>
          <w:rFonts w:hint="eastAsia"/>
          <w:color w:val="auto"/>
          <w:szCs w:val="21"/>
          <w:highlight w:val="none"/>
        </w:rPr>
        <w:t>/材料</w:t>
      </w:r>
    </w:p>
    <w:tbl>
      <w:tblPr>
        <w:tblStyle w:val="1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97" w:type="dxa"/>
          <w:bottom w:w="0" w:type="dxa"/>
          <w:right w:w="97" w:type="dxa"/>
        </w:tblCellMar>
      </w:tblPr>
      <w:tblGrid>
        <w:gridCol w:w="764"/>
        <w:gridCol w:w="4017"/>
        <w:gridCol w:w="1206"/>
        <w:gridCol w:w="1497"/>
        <w:gridCol w:w="15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blHeader/>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序号</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任务</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业主</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集成服务商</w:t>
            </w:r>
          </w:p>
        </w:tc>
        <w:tc>
          <w:tcPr>
            <w:tcW w:w="854" w:type="pct"/>
            <w:tcBorders>
              <w:top w:val="single" w:color="auto" w:sz="6" w:space="0"/>
              <w:left w:val="single" w:color="auto" w:sz="6" w:space="0"/>
              <w:bottom w:val="single" w:color="auto" w:sz="6" w:space="0"/>
              <w:right w:val="single" w:color="auto" w:sz="6" w:space="0"/>
            </w:tcBorders>
            <w:noWrap w:val="0"/>
            <w:vAlign w:val="top"/>
          </w:tcPr>
          <w:p>
            <w:pPr>
              <w:tabs>
                <w:tab w:val="center" w:pos="498"/>
              </w:tabs>
              <w:jc w:val="center"/>
              <w:rPr>
                <w:b/>
                <w:color w:val="auto"/>
                <w:highlight w:val="none"/>
              </w:rPr>
            </w:pPr>
            <w:r>
              <w:rPr>
                <w:rFonts w:hint="eastAsia"/>
                <w:b/>
                <w:color w:val="auto"/>
                <w:highlight w:val="none"/>
              </w:rPr>
              <w:t>供货商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设备需求</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2</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设备招标</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3</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设备合同</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4</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设备投资控制</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color w:val="auto"/>
                <w:highlight w:val="none"/>
                <w:lang w:eastAsia="zh-CN"/>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5</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设备合同保函</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6</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设备合同支付</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color w:val="auto"/>
                <w:highlight w:val="none"/>
                <w:lang w:eastAsia="zh-CN"/>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7</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项目计划</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val="en-US" w:eastAsia="zh-CN"/>
              </w:rPr>
            </w:pPr>
            <w:r>
              <w:rPr>
                <w:rFonts w:hint="eastAsia"/>
                <w:color w:val="auto"/>
                <w:highlight w:val="none"/>
                <w:lang w:val="en-US" w:eastAsia="zh-CN"/>
              </w:rPr>
              <w:t>制定</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8</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进度控制</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9</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设计联络</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管理</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10</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系统内接口</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管理</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11</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系统外接口</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管理</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12</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设备生产过程控制（样机试验、接口试验、设备监造、设备材料BIM管理等）</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54"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13</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设备质量控制</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color w:val="auto"/>
                <w:highlight w:val="none"/>
                <w:lang w:eastAsia="zh-CN"/>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14</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rFonts w:hint="eastAsia"/>
                <w:color w:val="auto"/>
                <w:highlight w:val="none"/>
              </w:rPr>
            </w:pPr>
            <w:r>
              <w:rPr>
                <w:color w:val="auto"/>
                <w:highlight w:val="none"/>
              </w:rPr>
              <w:t>设备出厂检验</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rPr>
              <w:t>管理</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15</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配合厂家完成第三方检验（出厂前）</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督导</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16</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设备培训</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管理</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17</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设备到货</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18</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设备安装、调试</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督导</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协助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19</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系统联调</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审批</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highlight w:val="none"/>
              </w:rPr>
            </w:pPr>
            <w:r>
              <w:rPr>
                <w:rFonts w:hint="eastAsia"/>
                <w:color w:val="auto"/>
                <w:highlight w:val="none"/>
              </w:rPr>
              <w:t>管理</w:t>
            </w:r>
          </w:p>
        </w:tc>
        <w:tc>
          <w:tcPr>
            <w:tcW w:w="854"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20</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rFonts w:hint="default" w:eastAsia="宋体"/>
                <w:color w:val="auto"/>
                <w:highlight w:val="none"/>
                <w:lang w:val="en-US" w:eastAsia="zh-CN"/>
              </w:rPr>
            </w:pPr>
            <w:r>
              <w:rPr>
                <w:rFonts w:hint="eastAsia"/>
                <w:color w:val="auto"/>
                <w:highlight w:val="none"/>
                <w:lang w:val="en-US" w:eastAsia="zh-CN"/>
              </w:rPr>
              <w:t>综合联调</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val="en-US" w:eastAsia="zh-CN"/>
              </w:rPr>
            </w:pPr>
            <w:r>
              <w:rPr>
                <w:rFonts w:hint="eastAsia"/>
                <w:color w:val="auto"/>
                <w:highlight w:val="none"/>
                <w:lang w:val="en-US" w:eastAsia="zh-CN"/>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管理</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default" w:eastAsia="宋体"/>
                <w:color w:val="auto"/>
                <w:highlight w:val="none"/>
                <w:lang w:val="en-US" w:eastAsia="zh-CN"/>
              </w:rPr>
            </w:pPr>
            <w:r>
              <w:rPr>
                <w:rFonts w:hint="eastAsia" w:eastAsia="宋体"/>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color w:val="auto"/>
                <w:kern w:val="2"/>
                <w:sz w:val="21"/>
                <w:szCs w:val="24"/>
                <w:highlight w:val="none"/>
                <w:lang w:val="en-US" w:eastAsia="zh-CN" w:bidi="ar-SA"/>
              </w:rPr>
            </w:pPr>
            <w:r>
              <w:rPr>
                <w:rFonts w:hint="eastAsia"/>
                <w:color w:val="auto"/>
                <w:highlight w:val="none"/>
                <w:lang w:val="en-US" w:eastAsia="zh-CN"/>
              </w:rPr>
              <w:t>21</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rFonts w:hint="eastAsia"/>
                <w:color w:val="auto"/>
                <w:kern w:val="2"/>
                <w:sz w:val="21"/>
                <w:szCs w:val="24"/>
                <w:highlight w:val="none"/>
                <w:lang w:val="en-US" w:eastAsia="zh-CN" w:bidi="ar-SA"/>
              </w:rPr>
            </w:pPr>
            <w:r>
              <w:rPr>
                <w:color w:val="auto"/>
                <w:highlight w:val="none"/>
              </w:rPr>
              <w:t>设备验收、移交</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管理</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764"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22</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rFonts w:hint="eastAsia"/>
                <w:color w:val="auto"/>
                <w:kern w:val="2"/>
                <w:sz w:val="21"/>
                <w:szCs w:val="24"/>
                <w:highlight w:val="none"/>
                <w:lang w:val="en-US" w:eastAsia="zh-CN" w:bidi="ar-SA"/>
              </w:rPr>
            </w:pPr>
            <w:r>
              <w:rPr>
                <w:color w:val="auto"/>
                <w:highlight w:val="none"/>
              </w:rPr>
              <w:t>试运行</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rFonts w:hint="eastAsia"/>
                <w:color w:val="auto"/>
                <w:highlight w:val="none"/>
                <w:lang w:val="en-US" w:eastAsia="zh-CN"/>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auto"/>
                <w:kern w:val="2"/>
                <w:sz w:val="21"/>
                <w:szCs w:val="24"/>
                <w:highlight w:val="none"/>
                <w:lang w:val="en-US" w:eastAsia="zh-CN" w:bidi="ar-SA"/>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764"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23</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竣工设备资料归档</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负责</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764"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24</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竣工设备合同结算</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审批</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负责</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color w:val="auto"/>
                <w:kern w:val="2"/>
                <w:sz w:val="21"/>
                <w:szCs w:val="24"/>
                <w:highlight w:val="none"/>
                <w:lang w:val="en-US" w:eastAsia="zh-CN" w:bidi="ar-SA"/>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764"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25</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设备质保期管理</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检查</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负责</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auto"/>
                <w:kern w:val="2"/>
                <w:sz w:val="21"/>
                <w:szCs w:val="24"/>
                <w:highlight w:val="none"/>
                <w:lang w:val="en-US" w:eastAsia="zh-CN" w:bidi="ar-SA"/>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764"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26</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设备合同国产化编制</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default" w:eastAsia="宋体"/>
                <w:color w:val="auto"/>
                <w:kern w:val="2"/>
                <w:sz w:val="21"/>
                <w:szCs w:val="24"/>
                <w:highlight w:val="none"/>
                <w:lang w:val="en-US" w:eastAsia="zh-CN" w:bidi="ar-SA"/>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jc w:val="center"/>
        </w:trPr>
        <w:tc>
          <w:tcPr>
            <w:tcW w:w="423"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color w:val="auto"/>
                <w:kern w:val="2"/>
                <w:sz w:val="21"/>
                <w:szCs w:val="24"/>
                <w:highlight w:val="none"/>
                <w:lang w:val="en-US" w:eastAsia="zh-CN" w:bidi="ar-SA"/>
              </w:rPr>
            </w:pPr>
            <w:bookmarkStart w:id="2302" w:name="_Toc25824"/>
            <w:bookmarkStart w:id="2303" w:name="_Toc24561"/>
            <w:bookmarkStart w:id="2304" w:name="_Toc5988"/>
            <w:bookmarkStart w:id="2305" w:name="_Toc309026910"/>
            <w:bookmarkStart w:id="2306" w:name="_Toc306091637"/>
            <w:bookmarkStart w:id="2307" w:name="_Toc20037"/>
            <w:bookmarkStart w:id="2308" w:name="_Toc309026516"/>
            <w:r>
              <w:rPr>
                <w:rFonts w:hint="eastAsia"/>
                <w:color w:val="auto"/>
                <w:kern w:val="2"/>
                <w:sz w:val="21"/>
                <w:szCs w:val="24"/>
                <w:highlight w:val="none"/>
                <w:lang w:val="en-US" w:eastAsia="zh-CN" w:bidi="ar-SA"/>
              </w:rPr>
              <w:t>27</w:t>
            </w:r>
          </w:p>
        </w:tc>
        <w:tc>
          <w:tcPr>
            <w:tcW w:w="2225"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设备合同纠纷处理</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负责</w:t>
            </w:r>
          </w:p>
        </w:tc>
        <w:tc>
          <w:tcPr>
            <w:tcW w:w="82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协助</w:t>
            </w:r>
          </w:p>
        </w:tc>
        <w:tc>
          <w:tcPr>
            <w:tcW w:w="854"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实施</w:t>
            </w:r>
          </w:p>
        </w:tc>
      </w:tr>
    </w:tbl>
    <w:p>
      <w:pPr>
        <w:spacing w:line="360" w:lineRule="auto"/>
        <w:jc w:val="left"/>
        <w:rPr>
          <w:color w:val="auto"/>
          <w:szCs w:val="21"/>
          <w:highlight w:val="none"/>
        </w:rPr>
      </w:pPr>
    </w:p>
    <w:p>
      <w:pPr>
        <w:spacing w:line="240" w:lineRule="auto"/>
        <w:jc w:val="left"/>
        <w:rPr>
          <w:color w:val="auto"/>
          <w:szCs w:val="21"/>
          <w:highlight w:val="none"/>
        </w:rPr>
      </w:pPr>
    </w:p>
    <w:p>
      <w:pPr>
        <w:spacing w:line="240" w:lineRule="auto"/>
        <w:jc w:val="left"/>
        <w:rPr>
          <w:color w:val="auto"/>
          <w:highlight w:val="none"/>
        </w:rPr>
      </w:pPr>
      <w:r>
        <w:rPr>
          <w:color w:val="auto"/>
          <w:szCs w:val="21"/>
          <w:highlight w:val="none"/>
        </w:rPr>
        <w:t xml:space="preserve">5.2.2 </w:t>
      </w:r>
      <w:r>
        <w:rPr>
          <w:rFonts w:hint="eastAsia"/>
          <w:color w:val="auto"/>
          <w:szCs w:val="21"/>
          <w:highlight w:val="none"/>
        </w:rPr>
        <w:t>主要</w:t>
      </w:r>
      <w:r>
        <w:rPr>
          <w:color w:val="auto"/>
          <w:szCs w:val="21"/>
          <w:highlight w:val="none"/>
        </w:rPr>
        <w:t>乙供设备/材料</w:t>
      </w:r>
    </w:p>
    <w:tbl>
      <w:tblPr>
        <w:tblStyle w:val="1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97" w:type="dxa"/>
          <w:bottom w:w="0" w:type="dxa"/>
          <w:right w:w="97" w:type="dxa"/>
        </w:tblCellMar>
      </w:tblPr>
      <w:tblGrid>
        <w:gridCol w:w="739"/>
        <w:gridCol w:w="4030"/>
        <w:gridCol w:w="1207"/>
        <w:gridCol w:w="1535"/>
        <w:gridCol w:w="1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szCs w:val="21"/>
                <w:highlight w:val="none"/>
              </w:rPr>
            </w:pPr>
            <w:bookmarkStart w:id="2309" w:name="_Hlk139268972"/>
            <w:r>
              <w:rPr>
                <w:b/>
                <w:color w:val="auto"/>
                <w:szCs w:val="21"/>
                <w:highlight w:val="none"/>
              </w:rPr>
              <w:t>序号</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szCs w:val="21"/>
                <w:highlight w:val="none"/>
              </w:rPr>
            </w:pPr>
            <w:r>
              <w:rPr>
                <w:b/>
                <w:color w:val="auto"/>
                <w:szCs w:val="21"/>
                <w:highlight w:val="none"/>
              </w:rPr>
              <w:t>任务</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szCs w:val="21"/>
                <w:highlight w:val="none"/>
              </w:rPr>
            </w:pPr>
            <w:r>
              <w:rPr>
                <w:b/>
                <w:color w:val="auto"/>
                <w:szCs w:val="21"/>
                <w:highlight w:val="none"/>
              </w:rPr>
              <w:t>业主</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szCs w:val="21"/>
                <w:highlight w:val="none"/>
              </w:rPr>
            </w:pPr>
            <w:r>
              <w:rPr>
                <w:b/>
                <w:color w:val="auto"/>
                <w:szCs w:val="21"/>
                <w:highlight w:val="none"/>
              </w:rPr>
              <w:t>集成服务商</w:t>
            </w:r>
          </w:p>
        </w:tc>
        <w:tc>
          <w:tcPr>
            <w:tcW w:w="83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b/>
                <w:color w:val="auto"/>
                <w:szCs w:val="21"/>
                <w:highlight w:val="none"/>
                <w:lang w:eastAsia="zh-CN"/>
              </w:rPr>
            </w:pPr>
            <w:r>
              <w:rPr>
                <w:rFonts w:hint="eastAsia"/>
                <w:b/>
                <w:color w:val="auto"/>
                <w:highlight w:val="none"/>
                <w:lang w:val="en-US" w:eastAsia="zh-CN"/>
              </w:rPr>
              <w:t>施工单位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 w:val="24"/>
                <w:highlight w:val="none"/>
              </w:rPr>
            </w:pPr>
            <w:r>
              <w:rPr>
                <w:color w:val="auto"/>
                <w:sz w:val="24"/>
                <w:highlight w:val="none"/>
              </w:rPr>
              <w:t>1</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Cs w:val="21"/>
                <w:highlight w:val="none"/>
              </w:rPr>
            </w:pPr>
            <w:r>
              <w:rPr>
                <w:color w:val="auto"/>
                <w:highlight w:val="none"/>
              </w:rPr>
              <w:t>设计联络</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Cs w:val="21"/>
                <w:highlight w:val="none"/>
              </w:rPr>
            </w:pPr>
            <w:r>
              <w:rPr>
                <w:color w:val="auto"/>
                <w:highlight w:val="none"/>
              </w:rPr>
              <w:t>负责</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rFonts w:hint="eastAsia"/>
                <w:color w:val="auto"/>
                <w:highlight w:val="none"/>
                <w:lang w:val="en-US" w:eastAsia="zh-CN"/>
              </w:rPr>
              <w:t>管理</w:t>
            </w:r>
          </w:p>
        </w:tc>
        <w:tc>
          <w:tcPr>
            <w:tcW w:w="839" w:type="pct"/>
            <w:tcBorders>
              <w:top w:val="single" w:color="auto" w:sz="6" w:space="0"/>
              <w:left w:val="single" w:color="auto" w:sz="6" w:space="0"/>
              <w:bottom w:val="single" w:color="auto" w:sz="6" w:space="0"/>
              <w:right w:val="single" w:color="auto" w:sz="6" w:space="0"/>
            </w:tcBorders>
            <w:noWrap w:val="0"/>
            <w:vAlign w:val="top"/>
          </w:tcPr>
          <w:p>
            <w:pPr>
              <w:jc w:val="center"/>
              <w:rPr>
                <w:color w:val="auto"/>
                <w:szCs w:val="21"/>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 w:val="24"/>
                <w:highlight w:val="none"/>
              </w:rPr>
            </w:pPr>
            <w:r>
              <w:rPr>
                <w:rFonts w:hint="eastAsia"/>
                <w:color w:val="auto"/>
                <w:sz w:val="24"/>
                <w:highlight w:val="none"/>
              </w:rPr>
              <w:t>2</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系统内接口</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检查</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lang w:val="en-US" w:eastAsia="zh-CN"/>
              </w:rPr>
              <w:t>管理</w:t>
            </w:r>
          </w:p>
        </w:tc>
        <w:tc>
          <w:tcPr>
            <w:tcW w:w="839"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 w:val="24"/>
                <w:highlight w:val="none"/>
              </w:rPr>
            </w:pPr>
            <w:r>
              <w:rPr>
                <w:rFonts w:hint="eastAsia"/>
                <w:color w:val="auto"/>
                <w:sz w:val="24"/>
                <w:highlight w:val="none"/>
              </w:rPr>
              <w:t>3</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系统外接口</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rFonts w:hint="eastAsia"/>
                <w:color w:val="auto"/>
                <w:highlight w:val="none"/>
              </w:rPr>
              <w:t>负责</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lang w:val="en-US" w:eastAsia="zh-CN"/>
              </w:rPr>
              <w:t>管理</w:t>
            </w:r>
          </w:p>
        </w:tc>
        <w:tc>
          <w:tcPr>
            <w:tcW w:w="839"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 w:val="24"/>
                <w:highlight w:val="none"/>
              </w:rPr>
            </w:pPr>
            <w:r>
              <w:rPr>
                <w:rFonts w:hint="eastAsia"/>
                <w:color w:val="auto"/>
                <w:sz w:val="24"/>
                <w:highlight w:val="none"/>
              </w:rPr>
              <w:t>4</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设备生产全过程控制（样机试验、接口试验、设备监造、设备材料BIM管理等）</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检查</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3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 w:val="24"/>
                <w:highlight w:val="none"/>
              </w:rPr>
            </w:pPr>
            <w:r>
              <w:rPr>
                <w:rFonts w:hint="eastAsia"/>
                <w:color w:val="auto"/>
                <w:sz w:val="24"/>
                <w:highlight w:val="none"/>
              </w:rPr>
              <w:t>5</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设备质量控制</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检查</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39"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color w:val="auto"/>
                <w:highlight w:val="none"/>
                <w:lang w:eastAsia="zh-CN"/>
              </w:rPr>
            </w:pPr>
            <w:r>
              <w:rPr>
                <w:rFonts w:hint="eastAsia"/>
                <w:color w:val="auto"/>
                <w:highlight w:val="none"/>
                <w:lang w:val="en-US" w:eastAsia="zh-CN"/>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 w:val="24"/>
                <w:highlight w:val="none"/>
              </w:rPr>
            </w:pPr>
            <w:r>
              <w:rPr>
                <w:rFonts w:hint="eastAsia"/>
                <w:color w:val="auto"/>
                <w:sz w:val="24"/>
                <w:highlight w:val="none"/>
              </w:rPr>
              <w:t>6</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设备出厂检验</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检查</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rPr>
              <w:t>管理</w:t>
            </w:r>
          </w:p>
        </w:tc>
        <w:tc>
          <w:tcPr>
            <w:tcW w:w="839"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sz w:val="24"/>
                <w:highlight w:val="none"/>
              </w:rPr>
            </w:pPr>
            <w:r>
              <w:rPr>
                <w:rFonts w:hint="eastAsia"/>
                <w:color w:val="auto"/>
                <w:sz w:val="24"/>
                <w:highlight w:val="none"/>
              </w:rPr>
              <w:t>7</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配合厂家完成第三方检验（出厂前）</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检查</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督导</w:t>
            </w:r>
          </w:p>
        </w:tc>
        <w:tc>
          <w:tcPr>
            <w:tcW w:w="839"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sz w:val="24"/>
                <w:highlight w:val="none"/>
              </w:rPr>
              <w:t>8</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设备培训</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highlight w:val="none"/>
                <w:lang w:eastAsia="zh-CN"/>
              </w:rPr>
            </w:pPr>
            <w:r>
              <w:rPr>
                <w:rFonts w:hint="eastAsia"/>
                <w:color w:val="auto"/>
                <w:highlight w:val="none"/>
                <w:lang w:val="en-US" w:eastAsia="zh-CN"/>
              </w:rPr>
              <w:t>管理</w:t>
            </w:r>
          </w:p>
        </w:tc>
        <w:tc>
          <w:tcPr>
            <w:tcW w:w="839"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97" w:type="dxa"/>
            <w:bottom w:w="0" w:type="dxa"/>
            <w:right w:w="97" w:type="dxa"/>
          </w:tblCellMar>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sz w:val="24"/>
                <w:highlight w:val="none"/>
              </w:rPr>
              <w:t>9</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设备到货</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检查</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负责</w:t>
            </w:r>
          </w:p>
        </w:tc>
        <w:tc>
          <w:tcPr>
            <w:tcW w:w="839"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color w:val="auto"/>
                <w:highlight w:val="none"/>
              </w:rPr>
              <w:t>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blHeader/>
          <w:jc w:val="center"/>
        </w:trPr>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sz w:val="24"/>
                <w:highlight w:val="none"/>
              </w:rPr>
              <w:t>10</w:t>
            </w:r>
          </w:p>
        </w:tc>
        <w:tc>
          <w:tcPr>
            <w:tcW w:w="223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rFonts w:hint="eastAsia"/>
                <w:color w:val="auto"/>
                <w:szCs w:val="21"/>
                <w:highlight w:val="none"/>
                <w:lang w:val="en-US" w:eastAsia="zh-CN"/>
              </w:rPr>
              <w:t>单</w:t>
            </w:r>
            <w:r>
              <w:rPr>
                <w:rFonts w:hint="eastAsia"/>
                <w:color w:val="auto"/>
                <w:szCs w:val="21"/>
                <w:highlight w:val="none"/>
              </w:rPr>
              <w:t>系统联调</w:t>
            </w:r>
          </w:p>
        </w:tc>
        <w:tc>
          <w:tcPr>
            <w:tcW w:w="6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审批</w:t>
            </w:r>
          </w:p>
        </w:tc>
        <w:tc>
          <w:tcPr>
            <w:tcW w:w="85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rPr>
              <w:t>管理</w:t>
            </w:r>
          </w:p>
        </w:tc>
        <w:tc>
          <w:tcPr>
            <w:tcW w:w="83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highlight w:val="none"/>
              </w:rPr>
            </w:pPr>
            <w:r>
              <w:rPr>
                <w:rFonts w:hint="eastAsia"/>
                <w:color w:val="auto"/>
                <w:highlight w:val="none"/>
              </w:rPr>
              <w:t>配合</w:t>
            </w:r>
          </w:p>
        </w:tc>
      </w:tr>
      <w:bookmarkEnd w:id="2309"/>
    </w:tbl>
    <w:p>
      <w:pPr>
        <w:bidi w:val="0"/>
        <w:rPr>
          <w:rFonts w:hint="eastAsia"/>
          <w:color w:val="auto"/>
          <w:highlight w:val="none"/>
          <w:lang w:val="en-US" w:eastAsia="zh-CN"/>
        </w:rPr>
      </w:pPr>
      <w:bookmarkStart w:id="2310" w:name="_Toc130847131"/>
      <w:bookmarkStart w:id="2311" w:name="_Toc184763342"/>
      <w:bookmarkStart w:id="2312" w:name="_Toc1859"/>
    </w:p>
    <w:p>
      <w:pPr>
        <w:pStyle w:val="4"/>
        <w:bidi w:val="0"/>
        <w:rPr>
          <w:rFonts w:hint="eastAsia" w:ascii="黑体" w:hAnsi="黑体" w:eastAsia="黑体" w:cs="黑体"/>
          <w:color w:val="auto"/>
          <w:sz w:val="21"/>
          <w:szCs w:val="21"/>
          <w:highlight w:val="none"/>
        </w:rPr>
      </w:pPr>
      <w:bookmarkStart w:id="2313" w:name="_Toc18025"/>
      <w:r>
        <w:rPr>
          <w:rFonts w:hint="eastAsia" w:ascii="黑体" w:hAnsi="黑体" w:eastAsia="黑体" w:cs="黑体"/>
          <w:color w:val="auto"/>
          <w:sz w:val="21"/>
          <w:szCs w:val="21"/>
          <w:highlight w:val="none"/>
          <w:lang w:val="en-US" w:eastAsia="zh-CN"/>
        </w:rPr>
        <w:t xml:space="preserve">5.3 </w:t>
      </w:r>
      <w:r>
        <w:rPr>
          <w:rFonts w:hint="eastAsia" w:ascii="黑体" w:hAnsi="黑体" w:eastAsia="黑体" w:cs="黑体"/>
          <w:color w:val="auto"/>
          <w:sz w:val="21"/>
          <w:szCs w:val="21"/>
          <w:highlight w:val="none"/>
        </w:rPr>
        <w:t>集成服务职责矩阵描述</w:t>
      </w:r>
      <w:bookmarkEnd w:id="2302"/>
      <w:bookmarkEnd w:id="2303"/>
      <w:bookmarkEnd w:id="2304"/>
      <w:bookmarkEnd w:id="2305"/>
      <w:bookmarkEnd w:id="2306"/>
      <w:bookmarkEnd w:id="2307"/>
      <w:bookmarkEnd w:id="2308"/>
      <w:bookmarkEnd w:id="2310"/>
      <w:bookmarkEnd w:id="2311"/>
      <w:bookmarkEnd w:id="2312"/>
      <w:bookmarkEnd w:id="2313"/>
    </w:p>
    <w:p>
      <w:pPr>
        <w:spacing w:line="360" w:lineRule="auto"/>
        <w:ind w:firstLine="420" w:firstLineChars="200"/>
        <w:rPr>
          <w:rFonts w:hint="eastAsia"/>
          <w:color w:val="auto"/>
          <w:highlight w:val="none"/>
        </w:rPr>
      </w:pPr>
      <w:r>
        <w:rPr>
          <w:color w:val="auto"/>
          <w:highlight w:val="none"/>
        </w:rPr>
        <w:t>业主、集成服务商、供货商在项目实施过程中各自任务和责任包括但不限于以下内容</w:t>
      </w:r>
      <w:r>
        <w:rPr>
          <w:rFonts w:hint="eastAsia"/>
          <w:color w:val="auto"/>
          <w:highlight w:val="none"/>
        </w:rPr>
        <w:t>：</w:t>
      </w:r>
    </w:p>
    <w:p>
      <w:pPr>
        <w:spacing w:line="360" w:lineRule="auto"/>
        <w:rPr>
          <w:color w:val="auto"/>
          <w:highlight w:val="none"/>
        </w:rPr>
      </w:pPr>
      <w:r>
        <w:rPr>
          <w:rFonts w:hint="eastAsia"/>
          <w:color w:val="auto"/>
          <w:highlight w:val="none"/>
        </w:rPr>
        <w:t>5.</w:t>
      </w:r>
      <w:r>
        <w:rPr>
          <w:color w:val="auto"/>
          <w:highlight w:val="none"/>
        </w:rPr>
        <w:t>3</w:t>
      </w:r>
      <w:r>
        <w:rPr>
          <w:rFonts w:hint="eastAsia"/>
          <w:color w:val="auto"/>
          <w:highlight w:val="none"/>
        </w:rPr>
        <w:t xml:space="preserve">.1 </w:t>
      </w:r>
      <w:r>
        <w:rPr>
          <w:color w:val="auto"/>
          <w:szCs w:val="21"/>
          <w:highlight w:val="none"/>
        </w:rPr>
        <w:t>甲供设备</w:t>
      </w:r>
      <w:r>
        <w:rPr>
          <w:rFonts w:hint="eastAsia"/>
          <w:color w:val="auto"/>
          <w:szCs w:val="21"/>
          <w:highlight w:val="none"/>
        </w:rPr>
        <w:t>/材料</w:t>
      </w:r>
    </w:p>
    <w:tbl>
      <w:tblPr>
        <w:tblStyle w:val="14"/>
        <w:tblW w:w="508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0" w:type="dxa"/>
          <w:bottom w:w="0" w:type="dxa"/>
          <w:right w:w="100" w:type="dxa"/>
        </w:tblCellMar>
      </w:tblPr>
      <w:tblGrid>
        <w:gridCol w:w="729"/>
        <w:gridCol w:w="1215"/>
        <w:gridCol w:w="2044"/>
        <w:gridCol w:w="2702"/>
        <w:gridCol w:w="2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tblHeader/>
          <w:jc w:val="center"/>
        </w:trPr>
        <w:tc>
          <w:tcPr>
            <w:tcW w:w="400" w:type="pct"/>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jc w:val="center"/>
              <w:rPr>
                <w:b/>
                <w:color w:val="auto"/>
                <w:highlight w:val="none"/>
              </w:rPr>
            </w:pPr>
            <w:bookmarkStart w:id="2314" w:name="_Hlk139269006"/>
            <w:r>
              <w:rPr>
                <w:b/>
                <w:color w:val="auto"/>
                <w:highlight w:val="none"/>
              </w:rPr>
              <w:t>序号</w:t>
            </w:r>
          </w:p>
        </w:tc>
        <w:tc>
          <w:tcPr>
            <w:tcW w:w="667"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任务</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业主</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集成服务商</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rFonts w:hint="eastAsia"/>
                <w:b/>
                <w:color w:val="auto"/>
                <w:highlight w:val="none"/>
              </w:rPr>
              <w:t>供货商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设备需求</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：负责组织设计单位编写设备用户需求书</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协助</w:t>
            </w:r>
            <w:r>
              <w:rPr>
                <w:color w:val="auto"/>
                <w:highlight w:val="none"/>
              </w:rPr>
              <w:t>：按业主需要进行协助和配合，并编制相应设备监造关键点</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2</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设备招标</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：负责设备招标全过程</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协助</w:t>
            </w:r>
            <w:r>
              <w:rPr>
                <w:color w:val="auto"/>
                <w:highlight w:val="none"/>
              </w:rPr>
              <w:t>：按业主需要进行协助和配合</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3</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设备合同</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：组织并主持合同谈判，并确认合同内容</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协助</w:t>
            </w:r>
            <w:r>
              <w:rPr>
                <w:color w:val="auto"/>
                <w:highlight w:val="none"/>
              </w:rPr>
              <w:t>：参加合同谈判，协助编制合同</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rPr>
              <w:t>实施：</w:t>
            </w:r>
            <w:r>
              <w:rPr>
                <w:rFonts w:hint="eastAsia"/>
                <w:color w:val="auto"/>
                <w:highlight w:val="none"/>
              </w:rPr>
              <w:t>供货商应根据投标文件及合同谈判具体内容编制合同文本。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4</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设备投资控制</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：通过招标控制投资和国产化率</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协助</w:t>
            </w:r>
            <w:r>
              <w:rPr>
                <w:color w:val="auto"/>
                <w:highlight w:val="none"/>
              </w:rPr>
              <w:t>：提供相应建议，节约投资和提高国产化率，并负责国产化率统计工作</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lang w:val="en-US" w:eastAsia="zh-CN"/>
              </w:rPr>
              <w:t>实施</w:t>
            </w:r>
            <w:r>
              <w:rPr>
                <w:rFonts w:hint="eastAsia"/>
                <w:b/>
                <w:bCs/>
                <w:color w:val="auto"/>
                <w:highlight w:val="none"/>
              </w:rPr>
              <w:t>：</w:t>
            </w:r>
            <w:r>
              <w:rPr>
                <w:rFonts w:hint="eastAsia"/>
                <w:color w:val="auto"/>
                <w:highlight w:val="none"/>
              </w:rPr>
              <w:t>提供相关资料，</w:t>
            </w:r>
            <w:r>
              <w:rPr>
                <w:rFonts w:hint="eastAsia"/>
                <w:color w:val="auto"/>
                <w:highlight w:val="none"/>
                <w:lang w:val="en-US" w:eastAsia="zh-CN"/>
              </w:rPr>
              <w:t>做好</w:t>
            </w:r>
            <w:r>
              <w:rPr>
                <w:rFonts w:hint="eastAsia"/>
                <w:color w:val="auto"/>
                <w:highlight w:val="none"/>
              </w:rPr>
              <w:t>设备投资控制工作。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5</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设备合同保函</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：按进度检查保函办理工作</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协助</w:t>
            </w:r>
            <w:r>
              <w:rPr>
                <w:color w:val="auto"/>
                <w:highlight w:val="none"/>
              </w:rPr>
              <w:t>：协助和督促设备供货商按要求办理保函</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left"/>
              <w:rPr>
                <w:rFonts w:hint="eastAsia" w:eastAsia="宋体"/>
                <w:b/>
                <w:color w:val="auto"/>
                <w:highlight w:val="none"/>
                <w:lang w:eastAsia="zh-CN"/>
              </w:rPr>
            </w:pPr>
            <w:r>
              <w:rPr>
                <w:rFonts w:hint="eastAsia"/>
                <w:b/>
                <w:bCs/>
                <w:color w:val="auto"/>
                <w:highlight w:val="none"/>
              </w:rPr>
              <w:t>实施：</w:t>
            </w:r>
            <w:r>
              <w:rPr>
                <w:color w:val="auto"/>
                <w:highlight w:val="none"/>
              </w:rPr>
              <w:t>按</w:t>
            </w:r>
            <w:r>
              <w:rPr>
                <w:rFonts w:hint="eastAsia"/>
                <w:color w:val="auto"/>
                <w:highlight w:val="none"/>
                <w:lang w:val="en-US" w:eastAsia="zh-CN"/>
              </w:rPr>
              <w:t>合同</w:t>
            </w:r>
            <w:r>
              <w:rPr>
                <w:color w:val="auto"/>
                <w:highlight w:val="none"/>
              </w:rPr>
              <w:t>要求办理保函</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6</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设备合同支付</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：进行支付</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协助</w:t>
            </w:r>
            <w:r>
              <w:rPr>
                <w:color w:val="auto"/>
                <w:highlight w:val="none"/>
              </w:rPr>
              <w:t>：按合同规定的格式审核支付申请</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lang w:val="en-US" w:eastAsia="zh-CN"/>
              </w:rPr>
              <w:t>实施</w:t>
            </w:r>
            <w:r>
              <w:rPr>
                <w:rFonts w:hint="eastAsia"/>
                <w:b/>
                <w:bCs/>
                <w:color w:val="auto"/>
                <w:highlight w:val="none"/>
              </w:rPr>
              <w:t>：</w:t>
            </w:r>
            <w:r>
              <w:rPr>
                <w:rFonts w:hint="eastAsia"/>
                <w:color w:val="auto"/>
                <w:highlight w:val="none"/>
                <w:lang w:val="en-US" w:eastAsia="zh-CN"/>
              </w:rPr>
              <w:t>按</w:t>
            </w:r>
            <w:r>
              <w:rPr>
                <w:rFonts w:hint="eastAsia"/>
                <w:color w:val="auto"/>
                <w:highlight w:val="none"/>
              </w:rPr>
              <w:t>合同支付。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7</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项目计划</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：根据市政府审批的总工期策划提出里程碑和节点</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bCs/>
                <w:color w:val="auto"/>
                <w:highlight w:val="none"/>
                <w:lang w:val="en-US" w:eastAsia="zh-CN"/>
              </w:rPr>
              <w:t>制定</w:t>
            </w:r>
            <w:r>
              <w:rPr>
                <w:color w:val="auto"/>
                <w:highlight w:val="none"/>
              </w:rPr>
              <w:t>：根椐总工期策划和里程碑要求制定设备项目各阶段的实施计划</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rFonts w:hint="eastAsia"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实施</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按项目计划开展项目工作</w:t>
            </w:r>
            <w:r>
              <w:rPr>
                <w:rFonts w:hint="eastAsia" w:ascii="Times New Roman" w:hAnsi="Times New Roman" w:eastAsia="宋体" w:cs="Times New Roman"/>
                <w:color w:val="auto"/>
                <w:highlight w:val="none"/>
              </w:rPr>
              <w:t>。</w:t>
            </w:r>
          </w:p>
          <w:p>
            <w:pPr>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8</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进度控制</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：根据最终审批的项目计划，对项执行过程中的各项任务进行检查。</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：根据最终审批的项目计划，对项目执行过程中的各项任务进行动态管理。</w:t>
            </w:r>
            <w:r>
              <w:rPr>
                <w:rFonts w:hint="eastAsia"/>
                <w:color w:val="auto"/>
                <w:highlight w:val="none"/>
              </w:rPr>
              <w:t>在工程进度因各种原因受阻时，集成服务商必须及时提出解决办法，并采取一切合理有效的措施尽量消除工期受阻造成的不良影响。</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rFonts w:hint="eastAsia"/>
                <w:b/>
                <w:color w:val="auto"/>
                <w:highlight w:val="none"/>
              </w:rPr>
              <w:t>实施:</w:t>
            </w:r>
            <w:r>
              <w:rPr>
                <w:rFonts w:hint="eastAsia"/>
                <w:bCs/>
                <w:color w:val="auto"/>
                <w:highlight w:val="none"/>
              </w:rPr>
              <w:t>根据最终审批的项目计划和集成服务商的要求严格执行。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9</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设计联络</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：根据工期安排设计联络计划，并主持设计联络。</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管理</w:t>
            </w:r>
            <w:r>
              <w:rPr>
                <w:color w:val="auto"/>
                <w:highlight w:val="none"/>
              </w:rPr>
              <w:t>：组织设计联络，督促各方提交资料和编制设计联络会议纪要</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rFonts w:hint="eastAsia"/>
                <w:b/>
                <w:bCs/>
                <w:color w:val="auto"/>
                <w:highlight w:val="none"/>
              </w:rPr>
              <w:t>实施:</w:t>
            </w:r>
            <w:r>
              <w:rPr>
                <w:rFonts w:hint="eastAsia"/>
                <w:color w:val="auto"/>
                <w:highlight w:val="none"/>
              </w:rPr>
              <w:t>供货商应按计划要求提前做好准备工作并参加设计联络。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10</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系统内接口</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：根据系统内设备的功能设计和接口方案，分阶段检查接口方案的落实情况</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管理</w:t>
            </w:r>
            <w:r>
              <w:rPr>
                <w:color w:val="auto"/>
                <w:highlight w:val="none"/>
              </w:rPr>
              <w:t>：组织系统内各接口设备供货商进行接口谈判，签订接口细则和接口文件，并负责管理所有接口方案的实施情况</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left"/>
              <w:rPr>
                <w:rFonts w:hint="eastAsia"/>
                <w:color w:val="auto"/>
                <w:highlight w:val="none"/>
              </w:rPr>
            </w:pPr>
            <w:r>
              <w:rPr>
                <w:rFonts w:hint="eastAsia"/>
                <w:b/>
                <w:bCs/>
                <w:color w:val="auto"/>
                <w:highlight w:val="none"/>
              </w:rPr>
              <w:t>实施:</w:t>
            </w:r>
            <w:r>
              <w:rPr>
                <w:rFonts w:hint="eastAsia"/>
                <w:color w:val="auto"/>
                <w:highlight w:val="none"/>
              </w:rPr>
              <w:t>根据接口解决方案的要求，完成本设备的接口任务。</w:t>
            </w:r>
          </w:p>
          <w:p>
            <w:pPr>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11</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系统外接口</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：组织其他系统同本系统各接口设备供货商进行接口谈判，签订接口细则和接口文件，并负责管理所有接口方案的实施情况</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管理</w:t>
            </w:r>
            <w:r>
              <w:rPr>
                <w:color w:val="auto"/>
                <w:highlight w:val="none"/>
              </w:rPr>
              <w:t>：根据接口方案和接口文件，全程监督本系统各接口设备供货商对接口方案的落实情况</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rFonts w:hint="eastAsia"/>
                <w:b/>
                <w:bCs/>
                <w:color w:val="auto"/>
                <w:highlight w:val="none"/>
              </w:rPr>
              <w:t>实施：</w:t>
            </w:r>
            <w:r>
              <w:rPr>
                <w:rFonts w:hint="eastAsia"/>
                <w:color w:val="auto"/>
                <w:highlight w:val="none"/>
              </w:rPr>
              <w:t>根据接口解决方案要求，完成本设备的接口任务,并提供技术资料实现与外部的接口配合。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12</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设备生产全过程控制（样机试验、接口试验、设备监造、设备材料BIM管理等）</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：对集成服务商的监造工作进行检查，并根据需要参加设备的监造</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：派遣有经验的技术工程师对所有甲供设备生产全过程进行监造，按进度制定监造报告交业主，审查各供货商试验建议并随时将监造中发现的问题以书面报业主</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lang w:val="en-US" w:eastAsia="zh-CN"/>
              </w:rPr>
              <w:t>实施</w:t>
            </w:r>
            <w:r>
              <w:rPr>
                <w:rFonts w:hint="eastAsia"/>
                <w:color w:val="auto"/>
                <w:highlight w:val="none"/>
              </w:rPr>
              <w:t>：供货商</w:t>
            </w:r>
            <w:r>
              <w:rPr>
                <w:rFonts w:hint="eastAsia"/>
                <w:color w:val="auto"/>
                <w:highlight w:val="none"/>
                <w:lang w:val="en-US" w:eastAsia="zh-CN"/>
              </w:rPr>
              <w:t>对生产的</w:t>
            </w:r>
            <w:r>
              <w:rPr>
                <w:rFonts w:hint="eastAsia"/>
                <w:color w:val="auto"/>
                <w:highlight w:val="none"/>
              </w:rPr>
              <w:t>设备全过程</w:t>
            </w:r>
            <w:r>
              <w:rPr>
                <w:rFonts w:hint="eastAsia"/>
                <w:color w:val="auto"/>
                <w:highlight w:val="none"/>
                <w:lang w:val="en-US" w:eastAsia="zh-CN"/>
              </w:rPr>
              <w:t>控制</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13</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设备质量控制</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：对各供货商设备的设计、制造、测试和试运行等过程根据需要进行检查</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按照ISO9000系列质量体系的要求实施，在项目执行过程中监督各供货商质量保证体系的执行情况。对各个阶段的检查验收及测试方法进行管理，对产品设计、生产制造、测试等阶段的质量制订保证监督措施，分阶段提交质量监督报告</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lang w:val="en-US" w:eastAsia="zh-CN"/>
              </w:rPr>
              <w:t>实施</w:t>
            </w:r>
            <w:r>
              <w:rPr>
                <w:rFonts w:hint="eastAsia"/>
                <w:b/>
                <w:bCs/>
                <w:color w:val="auto"/>
                <w:highlight w:val="none"/>
              </w:rPr>
              <w:t>：</w:t>
            </w:r>
            <w:r>
              <w:rPr>
                <w:rFonts w:hint="eastAsia"/>
                <w:color w:val="auto"/>
                <w:highlight w:val="none"/>
              </w:rPr>
              <w:t>供货商应建立严格的质量保证体系，按照ISO9000系列的要求实施，并接受集成服务商和委托方的监督检查。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14</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rFonts w:hint="eastAsia"/>
                <w:color w:val="auto"/>
                <w:highlight w:val="none"/>
              </w:rPr>
            </w:pPr>
            <w:r>
              <w:rPr>
                <w:color w:val="auto"/>
                <w:highlight w:val="none"/>
              </w:rPr>
              <w:t>设备出厂检验</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rFonts w:hint="eastAsia"/>
                <w:b/>
                <w:color w:val="auto"/>
                <w:highlight w:val="none"/>
              </w:rPr>
            </w:pPr>
            <w:r>
              <w:rPr>
                <w:b/>
                <w:color w:val="auto"/>
                <w:highlight w:val="none"/>
              </w:rPr>
              <w:t>检查</w:t>
            </w:r>
            <w:r>
              <w:rPr>
                <w:color w:val="auto"/>
                <w:highlight w:val="none"/>
              </w:rPr>
              <w:t>：对集成服务商的出厂检验监造工作进行检查，并根据需要参加设备的出厂检验</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rPr>
              <w:t>管理</w:t>
            </w:r>
            <w:r>
              <w:rPr>
                <w:color w:val="auto"/>
                <w:highlight w:val="none"/>
              </w:rPr>
              <w:t>：</w:t>
            </w:r>
            <w:r>
              <w:rPr>
                <w:rFonts w:hint="eastAsia"/>
                <w:color w:val="auto"/>
                <w:highlight w:val="none"/>
              </w:rPr>
              <w:t>派遣有经验的技术工程师对所有甲供设备出厂试验全过程进行监造，按进度制定监造报告交业主，审查各供货商试验建议并随时将试验中发现的问题以书面报业主。</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rPr>
              <w:t>负责：</w:t>
            </w:r>
            <w:r>
              <w:rPr>
                <w:rFonts w:hint="eastAsia"/>
                <w:color w:val="auto"/>
                <w:highlight w:val="none"/>
              </w:rPr>
              <w:t>供货商应按照批准的试验规格书的具体要求对设备进行严格的出厂检验，并随时接受委托方及集成服务商的检查。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15</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配合第三方检验</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b/>
                <w:bCs/>
                <w:color w:val="auto"/>
                <w:highlight w:val="none"/>
              </w:rPr>
              <w:t>检查：</w:t>
            </w:r>
            <w:r>
              <w:rPr>
                <w:color w:val="auto"/>
                <w:highlight w:val="none"/>
              </w:rPr>
              <w:t>检查并监督过程中的各项工作。</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rFonts w:hint="eastAsia"/>
                <w:b/>
                <w:bCs/>
                <w:color w:val="auto"/>
                <w:highlight w:val="none"/>
              </w:rPr>
              <w:t>督导</w:t>
            </w:r>
            <w:r>
              <w:rPr>
                <w:b/>
                <w:bCs/>
                <w:color w:val="auto"/>
                <w:highlight w:val="none"/>
              </w:rPr>
              <w:t>：</w:t>
            </w:r>
            <w:r>
              <w:rPr>
                <w:color w:val="auto"/>
                <w:highlight w:val="none"/>
              </w:rPr>
              <w:t>根据合同的要求，在设备出厂前，</w:t>
            </w:r>
            <w:r>
              <w:rPr>
                <w:rFonts w:hint="eastAsia"/>
                <w:color w:val="auto"/>
                <w:highlight w:val="none"/>
              </w:rPr>
              <w:t>督导供货商</w:t>
            </w:r>
            <w:r>
              <w:rPr>
                <w:color w:val="auto"/>
                <w:highlight w:val="none"/>
              </w:rPr>
              <w:t>将须送第三方检验的设备/材料，在各方见证下进行抽样、封样并送至第三方检测机构按合同规定的检验项目进行检验，检验报告上报业主备案。</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rFonts w:hint="eastAsia"/>
                <w:color w:val="auto"/>
                <w:highlight w:val="none"/>
              </w:rPr>
            </w:pPr>
            <w:r>
              <w:rPr>
                <w:rFonts w:hint="eastAsia"/>
                <w:b/>
                <w:bCs/>
                <w:color w:val="auto"/>
                <w:highlight w:val="none"/>
              </w:rPr>
              <w:t>实施</w:t>
            </w:r>
            <w:r>
              <w:rPr>
                <w:b/>
                <w:bCs/>
                <w:color w:val="auto"/>
                <w:highlight w:val="none"/>
              </w:rPr>
              <w:t>：</w:t>
            </w:r>
            <w:r>
              <w:rPr>
                <w:color w:val="auto"/>
                <w:highlight w:val="none"/>
              </w:rPr>
              <w:t>根据合同的要求，将须送第三方检验的设备/材料，在各方见证下进行抽样、封样并送至第三方检测机构按合同规定的检验项目进行检验，检验报告上报业主备案。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16</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设备培训</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：按计划安排有关人员参加培训并对培训结果进行检查</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rPr>
              <w:t>管理</w:t>
            </w:r>
            <w:r>
              <w:rPr>
                <w:color w:val="auto"/>
                <w:highlight w:val="none"/>
              </w:rPr>
              <w:t>：</w:t>
            </w:r>
            <w:r>
              <w:rPr>
                <w:rFonts w:hint="eastAsia"/>
                <w:color w:val="auto"/>
                <w:highlight w:val="none"/>
              </w:rPr>
              <w:t>制定总的培训安排，主要包括时间、人员、地点、项目、资料、设施等具体内容。组织、落实与培训相关的各项工作。</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rFonts w:hint="eastAsia"/>
                <w:b/>
                <w:color w:val="auto"/>
                <w:highlight w:val="none"/>
              </w:rPr>
              <w:t>负责：</w:t>
            </w:r>
            <w:r>
              <w:rPr>
                <w:rFonts w:hint="eastAsia"/>
                <w:bCs/>
                <w:color w:val="auto"/>
                <w:highlight w:val="none"/>
              </w:rPr>
              <w:t>做好培训前的准备及培训过程的组织、安排、服务等工作。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17</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设备到货</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：根据工期需要提出到货安排，并检查到货情况</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根据合同及运输要求对供货商产品的包装、储存、运输和标志过程进行控制，使之达到给定的要求（包括所使用的材料）。在设备运输到港（岸）、业主仓库或工地后组织进行各项检查工作，并做好详细记录。根据供货商提出的仓储条件对储存场地或库房进行检查。组织有关方进行开箱检查并派员参加做好记录及交接单</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bCs/>
                <w:color w:val="auto"/>
                <w:highlight w:val="none"/>
              </w:rPr>
            </w:pPr>
            <w:r>
              <w:rPr>
                <w:rFonts w:hint="eastAsia"/>
                <w:b/>
                <w:color w:val="auto"/>
                <w:highlight w:val="none"/>
              </w:rPr>
              <w:t>实施：</w:t>
            </w:r>
            <w:r>
              <w:rPr>
                <w:rFonts w:hint="eastAsia"/>
                <w:bCs/>
                <w:color w:val="auto"/>
                <w:highlight w:val="none"/>
              </w:rPr>
              <w:t>供货商负责组织设备运输到达指定地点，参加设备到货检查工作。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18</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设备安装调试</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：对设备安装、现场调试过程进行检查，对调试结果的最终认可。解决配合过程中可能出现的集成服务商无法协调的矛盾</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督导</w:t>
            </w:r>
            <w:r>
              <w:rPr>
                <w:color w:val="auto"/>
                <w:highlight w:val="none"/>
              </w:rPr>
              <w:t>：派出足够的经业主批准的现场技术服务管理人员，以监督供货商在合同设备的现场安装、调试、试运行等阶段技术支持工作。 根据工期安排制定相应的设备安装配合、现场调试配合计划，跟踪了解施工进度，及时修订配合计划。组织、监督供货商按期进行现场安装、调试配合，协调安装配合过程中的矛盾报业主解决。负责办理供货商服务人员出入工地、出入运营单位的证件。</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b/>
                <w:color w:val="auto"/>
                <w:highlight w:val="none"/>
              </w:rPr>
            </w:pPr>
            <w:r>
              <w:rPr>
                <w:rFonts w:hint="eastAsia"/>
                <w:b/>
                <w:color w:val="auto"/>
                <w:highlight w:val="none"/>
              </w:rPr>
              <w:t>协助</w:t>
            </w:r>
            <w:r>
              <w:rPr>
                <w:color w:val="auto"/>
                <w:highlight w:val="none"/>
              </w:rPr>
              <w:t>：对设备安装、现场调试过程进行检查，对调试结果的最终认可。解决配合过程中可能出现的集成服务商无法协调的矛盾</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19</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系统联调</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审批</w:t>
            </w:r>
            <w:r>
              <w:rPr>
                <w:color w:val="auto"/>
                <w:highlight w:val="none"/>
              </w:rPr>
              <w:t>：审批联调方案、联调计划、参与系统联调、确认联调结果</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rPr>
              <w:t>管理</w:t>
            </w:r>
            <w:r>
              <w:rPr>
                <w:color w:val="auto"/>
                <w:highlight w:val="none"/>
              </w:rPr>
              <w:t>：根据业主需要</w:t>
            </w:r>
            <w:r>
              <w:rPr>
                <w:rFonts w:hint="eastAsia"/>
                <w:color w:val="auto"/>
                <w:highlight w:val="none"/>
              </w:rPr>
              <w:t>牵头组织系统联调工作；编制各系统（</w:t>
            </w:r>
            <w:r>
              <w:rPr>
                <w:color w:val="auto"/>
                <w:highlight w:val="none"/>
              </w:rPr>
              <w:t>强电</w:t>
            </w:r>
            <w:r>
              <w:rPr>
                <w:rFonts w:hint="eastAsia"/>
                <w:color w:val="auto"/>
                <w:highlight w:val="none"/>
              </w:rPr>
              <w:t>、弱电、车辆</w:t>
            </w:r>
            <w:r>
              <w:rPr>
                <w:color w:val="auto"/>
                <w:highlight w:val="none"/>
              </w:rPr>
              <w:t>及车站设备</w:t>
            </w:r>
            <w:r>
              <w:rPr>
                <w:rFonts w:hint="eastAsia"/>
                <w:color w:val="auto"/>
                <w:highlight w:val="none"/>
              </w:rPr>
              <w:t>等）</w:t>
            </w:r>
            <w:r>
              <w:rPr>
                <w:color w:val="auto"/>
                <w:highlight w:val="none"/>
              </w:rPr>
              <w:t>联调方案、</w:t>
            </w:r>
            <w:r>
              <w:rPr>
                <w:rFonts w:hint="eastAsia"/>
                <w:color w:val="auto"/>
                <w:highlight w:val="none"/>
              </w:rPr>
              <w:t>联调</w:t>
            </w:r>
            <w:r>
              <w:rPr>
                <w:color w:val="auto"/>
                <w:highlight w:val="none"/>
              </w:rPr>
              <w:t>计划</w:t>
            </w:r>
            <w:r>
              <w:rPr>
                <w:rFonts w:hint="eastAsia"/>
                <w:color w:val="auto"/>
                <w:highlight w:val="none"/>
              </w:rPr>
              <w:t>及实施细则</w:t>
            </w:r>
            <w:r>
              <w:rPr>
                <w:color w:val="auto"/>
                <w:highlight w:val="none"/>
              </w:rPr>
              <w:t>报业主审批</w:t>
            </w:r>
            <w:r>
              <w:rPr>
                <w:rFonts w:hint="eastAsia"/>
                <w:color w:val="auto"/>
                <w:highlight w:val="none"/>
              </w:rPr>
              <w:t>；</w:t>
            </w:r>
            <w:r>
              <w:rPr>
                <w:color w:val="auto"/>
                <w:highlight w:val="none"/>
              </w:rPr>
              <w:t>负责组织安排有关</w:t>
            </w:r>
            <w:r>
              <w:rPr>
                <w:rFonts w:hint="eastAsia"/>
                <w:color w:val="auto"/>
                <w:highlight w:val="none"/>
              </w:rPr>
              <w:t>系统承包商、</w:t>
            </w:r>
            <w:r>
              <w:rPr>
                <w:color w:val="auto"/>
                <w:highlight w:val="none"/>
              </w:rPr>
              <w:t>供货商参与系统联调</w:t>
            </w:r>
            <w:r>
              <w:rPr>
                <w:rFonts w:hint="eastAsia"/>
                <w:color w:val="auto"/>
                <w:highlight w:val="none"/>
              </w:rPr>
              <w:t>；</w:t>
            </w:r>
            <w:r>
              <w:rPr>
                <w:color w:val="auto"/>
                <w:highlight w:val="none"/>
              </w:rPr>
              <w:t>负责解决系统联调过程中出现技术问题</w:t>
            </w:r>
            <w:r>
              <w:rPr>
                <w:rFonts w:hint="eastAsia"/>
                <w:color w:val="auto"/>
                <w:highlight w:val="none"/>
              </w:rPr>
              <w:t>；</w:t>
            </w:r>
            <w:r>
              <w:rPr>
                <w:color w:val="auto"/>
                <w:highlight w:val="none"/>
              </w:rPr>
              <w:t>提出联调中可能出现问题的解决建议方案</w:t>
            </w:r>
            <w:r>
              <w:rPr>
                <w:rFonts w:hint="eastAsia"/>
                <w:color w:val="auto"/>
                <w:highlight w:val="none"/>
              </w:rPr>
              <w:t>；编制联调报告。</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color w:val="auto"/>
                <w:highlight w:val="none"/>
              </w:rPr>
            </w:pPr>
            <w:r>
              <w:rPr>
                <w:rFonts w:hint="eastAsia"/>
                <w:color w:val="auto"/>
                <w:highlight w:val="none"/>
                <w:lang w:val="en-US" w:eastAsia="zh-CN"/>
              </w:rPr>
              <w:t>实施</w:t>
            </w:r>
            <w:r>
              <w:rPr>
                <w:color w:val="auto"/>
                <w:highlight w:val="none"/>
              </w:rPr>
              <w:t>：根据集成服务商的要求，</w:t>
            </w:r>
            <w:r>
              <w:rPr>
                <w:rFonts w:hint="eastAsia"/>
                <w:color w:val="auto"/>
                <w:highlight w:val="none"/>
                <w:lang w:val="en-US" w:eastAsia="zh-CN"/>
              </w:rPr>
              <w:t>实施</w:t>
            </w:r>
            <w:r>
              <w:rPr>
                <w:color w:val="auto"/>
                <w:highlight w:val="none"/>
              </w:rPr>
              <w:t>各类调试。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20</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rFonts w:hint="eastAsia" w:eastAsia="宋体"/>
                <w:color w:val="auto"/>
                <w:highlight w:val="none"/>
                <w:lang w:val="en-US" w:eastAsia="zh-CN"/>
              </w:rPr>
            </w:pPr>
            <w:r>
              <w:rPr>
                <w:rFonts w:hint="eastAsia"/>
                <w:color w:val="auto"/>
                <w:highlight w:val="none"/>
                <w:lang w:val="en-US" w:eastAsia="zh-CN"/>
              </w:rPr>
              <w:t>综合联调</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rFonts w:hint="default" w:eastAsia="宋体"/>
                <w:b/>
                <w:color w:val="auto"/>
                <w:highlight w:val="none"/>
                <w:lang w:val="en-US" w:eastAsia="zh-CN"/>
              </w:rPr>
            </w:pPr>
            <w:r>
              <w:rPr>
                <w:rFonts w:hint="eastAsia"/>
                <w:b/>
                <w:color w:val="auto"/>
                <w:highlight w:val="none"/>
                <w:lang w:val="en-US" w:eastAsia="zh-CN"/>
              </w:rPr>
              <w:t>负责：</w:t>
            </w:r>
            <w:r>
              <w:rPr>
                <w:rFonts w:hint="eastAsia"/>
                <w:b w:val="0"/>
                <w:bCs/>
                <w:color w:val="auto"/>
                <w:highlight w:val="none"/>
                <w:lang w:val="en-US" w:eastAsia="zh-CN"/>
              </w:rPr>
              <w:t>负责组织各系统开展综合联调</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color w:val="auto"/>
                <w:kern w:val="2"/>
                <w:sz w:val="21"/>
                <w:szCs w:val="24"/>
                <w:highlight w:val="none"/>
                <w:lang w:val="en-US" w:eastAsia="zh-CN" w:bidi="ar-SA"/>
              </w:rPr>
            </w:pPr>
            <w:r>
              <w:rPr>
                <w:rFonts w:hint="eastAsia" w:eastAsia="宋体"/>
                <w:b/>
                <w:bCs/>
                <w:color w:val="auto"/>
                <w:highlight w:val="none"/>
                <w:lang w:val="en-US" w:eastAsia="zh-CN"/>
              </w:rPr>
              <w:t>管理</w:t>
            </w:r>
            <w:r>
              <w:rPr>
                <w:rFonts w:hint="eastAsia" w:eastAsia="宋体"/>
                <w:color w:val="auto"/>
                <w:highlight w:val="none"/>
                <w:lang w:val="en-US" w:eastAsia="zh-CN"/>
              </w:rPr>
              <w:t>：编制综合联调方案、计划和细则报业主审批；协调管理相关系统参与综合联调，并编制综合联调报告。</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rFonts w:hint="default" w:eastAsia="宋体"/>
                <w:color w:val="auto"/>
                <w:kern w:val="2"/>
                <w:sz w:val="21"/>
                <w:szCs w:val="24"/>
                <w:highlight w:val="none"/>
                <w:lang w:val="en-US" w:eastAsia="zh-CN" w:bidi="ar-SA"/>
              </w:rPr>
            </w:pPr>
            <w:r>
              <w:rPr>
                <w:rFonts w:hint="eastAsia"/>
                <w:b/>
                <w:color w:val="auto"/>
                <w:highlight w:val="none"/>
                <w:lang w:val="en-US" w:eastAsia="zh-CN"/>
              </w:rPr>
              <w:t>实施</w:t>
            </w:r>
            <w:r>
              <w:rPr>
                <w:color w:val="auto"/>
                <w:highlight w:val="none"/>
              </w:rPr>
              <w:t>：根据集成服务商的要求，</w:t>
            </w:r>
            <w:r>
              <w:rPr>
                <w:rFonts w:hint="eastAsia"/>
                <w:color w:val="auto"/>
                <w:highlight w:val="none"/>
                <w:lang w:val="en-US" w:eastAsia="zh-CN"/>
              </w:rPr>
              <w:t>实施</w:t>
            </w:r>
            <w:r>
              <w:rPr>
                <w:color w:val="auto"/>
                <w:highlight w:val="none"/>
              </w:rPr>
              <w:t>各类调试。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21</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设备验收、移交</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负责</w:t>
            </w:r>
            <w:r>
              <w:rPr>
                <w:color w:val="auto"/>
                <w:highlight w:val="none"/>
              </w:rPr>
              <w:t>：组织进行各阶段的验收，制定验收计划并下发集成服务商，确定整改问题及要求，检查整改结果</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rFonts w:hint="default" w:eastAsia="宋体"/>
                <w:b/>
                <w:color w:val="auto"/>
                <w:kern w:val="2"/>
                <w:sz w:val="21"/>
                <w:szCs w:val="24"/>
                <w:highlight w:val="none"/>
                <w:lang w:val="en-US" w:eastAsia="zh-CN" w:bidi="ar-SA"/>
              </w:rPr>
            </w:pPr>
            <w:r>
              <w:rPr>
                <w:rFonts w:hint="eastAsia"/>
                <w:b/>
                <w:bCs/>
                <w:color w:val="auto"/>
                <w:highlight w:val="none"/>
                <w:lang w:val="en-US" w:eastAsia="zh-CN"/>
              </w:rPr>
              <w:t>管理</w:t>
            </w:r>
            <w:r>
              <w:rPr>
                <w:color w:val="auto"/>
                <w:highlight w:val="none"/>
              </w:rPr>
              <w:t>：参加各项验收活动、按验收计划组织供货商参加各项验收活动，对于验收中提出的设备问题按要求督促供货商整改</w:t>
            </w:r>
            <w:r>
              <w:rPr>
                <w:rFonts w:hint="eastAsia"/>
                <w:color w:val="auto"/>
                <w:highlight w:val="none"/>
              </w:rPr>
              <w:t>。</w:t>
            </w:r>
            <w:r>
              <w:rPr>
                <w:rFonts w:hint="eastAsia"/>
                <w:color w:val="auto"/>
                <w:highlight w:val="none"/>
                <w:lang w:val="en-US" w:eastAsia="zh-CN"/>
              </w:rPr>
              <w:t>组织管理甲供设备的三权移交。</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b/>
                <w:color w:val="auto"/>
                <w:kern w:val="2"/>
                <w:sz w:val="21"/>
                <w:szCs w:val="24"/>
                <w:highlight w:val="none"/>
                <w:lang w:val="en-US" w:eastAsia="zh-CN" w:bidi="ar-SA"/>
              </w:rPr>
            </w:pPr>
            <w:r>
              <w:rPr>
                <w:rFonts w:hint="eastAsia"/>
                <w:b/>
                <w:color w:val="auto"/>
                <w:highlight w:val="none"/>
              </w:rPr>
              <w:t>配合</w:t>
            </w:r>
            <w:r>
              <w:rPr>
                <w:color w:val="auto"/>
                <w:highlight w:val="none"/>
              </w:rPr>
              <w:t>：根据集成服务商的要求，</w:t>
            </w:r>
            <w:r>
              <w:rPr>
                <w:rFonts w:hint="eastAsia"/>
                <w:color w:val="auto"/>
                <w:highlight w:val="none"/>
              </w:rPr>
              <w:t>配合</w:t>
            </w:r>
            <w:r>
              <w:rPr>
                <w:color w:val="auto"/>
                <w:highlight w:val="none"/>
              </w:rPr>
              <w:t>各类设备验收、移交</w:t>
            </w:r>
            <w:r>
              <w:rPr>
                <w:rFonts w:hint="eastAsia"/>
                <w:color w:val="auto"/>
                <w:highlight w:val="none"/>
              </w:rPr>
              <w:t>工作</w:t>
            </w: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22</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试运行</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负责</w:t>
            </w:r>
            <w:r>
              <w:rPr>
                <w:color w:val="auto"/>
                <w:highlight w:val="none"/>
              </w:rPr>
              <w:t>：按照已批准的程序组织进行试运行，监控试运行全过程</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协助</w:t>
            </w:r>
            <w:r>
              <w:rPr>
                <w:color w:val="auto"/>
                <w:highlight w:val="none"/>
              </w:rPr>
              <w:t>：协助业主解决可能出现的与设备有关的问题，督促供货商解决问题</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b/>
                <w:color w:val="auto"/>
                <w:kern w:val="2"/>
                <w:sz w:val="21"/>
                <w:szCs w:val="24"/>
                <w:highlight w:val="none"/>
                <w:lang w:val="en-US" w:eastAsia="zh-CN" w:bidi="ar-SA"/>
              </w:rPr>
            </w:pPr>
            <w:r>
              <w:rPr>
                <w:rFonts w:hint="eastAsia"/>
                <w:b/>
                <w:color w:val="auto"/>
                <w:highlight w:val="none"/>
              </w:rPr>
              <w:t>配合</w:t>
            </w:r>
            <w:r>
              <w:rPr>
                <w:color w:val="auto"/>
                <w:highlight w:val="none"/>
              </w:rPr>
              <w:t>：</w:t>
            </w:r>
            <w:r>
              <w:rPr>
                <w:rFonts w:hint="eastAsia"/>
                <w:color w:val="auto"/>
                <w:highlight w:val="none"/>
              </w:rPr>
              <w:t>配合</w:t>
            </w:r>
            <w:r>
              <w:rPr>
                <w:color w:val="auto"/>
                <w:highlight w:val="none"/>
              </w:rPr>
              <w:t>解决可能出现的与设备有关的问题</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23</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竣工设备资料归档</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检查</w:t>
            </w:r>
            <w:r>
              <w:rPr>
                <w:color w:val="auto"/>
                <w:highlight w:val="none"/>
              </w:rPr>
              <w:t>：检查资料归档情况，协调相关工作</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负责</w:t>
            </w:r>
            <w:r>
              <w:rPr>
                <w:color w:val="auto"/>
                <w:highlight w:val="none"/>
              </w:rPr>
              <w:t>：将设备竣工移交资料整理后交至业主相关资料归档部门或指定归档单位</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b/>
                <w:color w:val="auto"/>
                <w:kern w:val="2"/>
                <w:sz w:val="21"/>
                <w:szCs w:val="24"/>
                <w:highlight w:val="none"/>
                <w:lang w:val="en-US" w:eastAsia="zh-CN" w:bidi="ar-SA"/>
              </w:rPr>
            </w:pPr>
            <w:r>
              <w:rPr>
                <w:rFonts w:hint="eastAsia"/>
                <w:b/>
                <w:color w:val="auto"/>
                <w:highlight w:val="none"/>
                <w:lang w:val="en-US" w:eastAsia="zh-CN"/>
              </w:rPr>
              <w:t>实施</w:t>
            </w:r>
            <w:r>
              <w:rPr>
                <w:color w:val="auto"/>
                <w:highlight w:val="none"/>
              </w:rPr>
              <w:t>：完成设备资料归档。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24</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竣工设备合同结算</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审批</w:t>
            </w:r>
            <w:r>
              <w:rPr>
                <w:color w:val="auto"/>
                <w:highlight w:val="none"/>
              </w:rPr>
              <w:t>：根据合同安排竣工结算工作</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负责</w:t>
            </w:r>
            <w:r>
              <w:rPr>
                <w:color w:val="auto"/>
                <w:highlight w:val="none"/>
              </w:rPr>
              <w:t>：根据进度安排、督促供货商及时提供相关资料</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rPr>
                <w:b/>
                <w:color w:val="auto"/>
                <w:kern w:val="2"/>
                <w:sz w:val="21"/>
                <w:szCs w:val="24"/>
                <w:highlight w:val="none"/>
                <w:lang w:val="en-US" w:eastAsia="zh-CN" w:bidi="ar-SA"/>
              </w:rPr>
            </w:pPr>
            <w:r>
              <w:rPr>
                <w:rFonts w:hint="eastAsia"/>
                <w:b/>
                <w:color w:val="auto"/>
                <w:highlight w:val="none"/>
              </w:rPr>
              <w:t>实施</w:t>
            </w:r>
            <w:r>
              <w:rPr>
                <w:b/>
                <w:color w:val="auto"/>
                <w:highlight w:val="none"/>
              </w:rPr>
              <w:t>：</w:t>
            </w:r>
            <w:r>
              <w:rPr>
                <w:color w:val="auto"/>
                <w:highlight w:val="none"/>
              </w:rPr>
              <w:t>根据合同安排</w:t>
            </w:r>
            <w:r>
              <w:rPr>
                <w:rFonts w:hint="eastAsia"/>
                <w:color w:val="auto"/>
                <w:highlight w:val="none"/>
              </w:rPr>
              <w:t>实施</w:t>
            </w:r>
            <w:r>
              <w:rPr>
                <w:color w:val="auto"/>
                <w:highlight w:val="none"/>
              </w:rPr>
              <w:t>竣工结算工作。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25</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设备质保期管理</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检查</w:t>
            </w:r>
            <w:r>
              <w:rPr>
                <w:color w:val="auto"/>
                <w:highlight w:val="none"/>
              </w:rPr>
              <w:t>：检查质保期内的设备质量及问题处理情况</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负责</w:t>
            </w:r>
            <w:r>
              <w:rPr>
                <w:color w:val="auto"/>
                <w:highlight w:val="none"/>
              </w:rPr>
              <w:t>：安排、督促供货商及时处理质保期内出现的任何设备质量问题。组织供货商回访等</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kern w:val="2"/>
                <w:sz w:val="21"/>
                <w:szCs w:val="24"/>
                <w:highlight w:val="none"/>
                <w:lang w:val="en-US" w:eastAsia="zh-CN" w:bidi="ar-SA"/>
              </w:rPr>
            </w:pPr>
            <w:r>
              <w:rPr>
                <w:rFonts w:hint="eastAsia"/>
                <w:b/>
                <w:color w:val="auto"/>
                <w:highlight w:val="none"/>
              </w:rPr>
              <w:t>实施</w:t>
            </w:r>
            <w:r>
              <w:rPr>
                <w:b/>
                <w:color w:val="auto"/>
                <w:highlight w:val="none"/>
              </w:rPr>
              <w:t>：</w:t>
            </w:r>
            <w:r>
              <w:rPr>
                <w:color w:val="auto"/>
                <w:highlight w:val="none"/>
              </w:rPr>
              <w:t>根据合同安排竣工结算工作。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kern w:val="2"/>
                <w:sz w:val="21"/>
                <w:szCs w:val="24"/>
                <w:highlight w:val="none"/>
                <w:lang w:val="en-US" w:eastAsia="zh-CN" w:bidi="ar-SA"/>
              </w:rPr>
            </w:pPr>
            <w:r>
              <w:rPr>
                <w:color w:val="auto"/>
                <w:highlight w:val="none"/>
              </w:rPr>
              <w:t>26</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设备合同国产化</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负责：</w:t>
            </w:r>
            <w:r>
              <w:rPr>
                <w:color w:val="auto"/>
                <w:highlight w:val="none"/>
              </w:rPr>
              <w:t>业主组织、主持强</w:t>
            </w:r>
            <w:r>
              <w:rPr>
                <w:rFonts w:hint="eastAsia"/>
                <w:color w:val="auto"/>
                <w:highlight w:val="none"/>
              </w:rPr>
              <w:t>、弱</w:t>
            </w:r>
            <w:r>
              <w:rPr>
                <w:color w:val="auto"/>
                <w:highlight w:val="none"/>
              </w:rPr>
              <w:t>电系统及车站设备系统国产化各种工作</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协助</w:t>
            </w:r>
            <w:r>
              <w:rPr>
                <w:color w:val="auto"/>
                <w:highlight w:val="none"/>
              </w:rPr>
              <w:t>：协助业主进行文件编制、审核等</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kern w:val="2"/>
                <w:sz w:val="21"/>
                <w:szCs w:val="24"/>
                <w:highlight w:val="none"/>
                <w:lang w:val="en-US" w:eastAsia="zh-CN" w:bidi="ar-SA"/>
              </w:rPr>
            </w:pPr>
            <w:r>
              <w:rPr>
                <w:rFonts w:hint="eastAsia"/>
                <w:b/>
                <w:color w:val="auto"/>
                <w:highlight w:val="none"/>
                <w:lang w:val="en-US" w:eastAsia="zh-CN"/>
              </w:rPr>
              <w:t>实施</w:t>
            </w:r>
            <w:r>
              <w:rPr>
                <w:color w:val="auto"/>
                <w:highlight w:val="none"/>
              </w:rPr>
              <w:t>：</w:t>
            </w:r>
            <w:r>
              <w:rPr>
                <w:rFonts w:hint="eastAsia"/>
                <w:color w:val="auto"/>
                <w:highlight w:val="none"/>
                <w:lang w:val="en-US" w:eastAsia="zh-CN"/>
              </w:rPr>
              <w:t>按合同</w:t>
            </w:r>
            <w:r>
              <w:rPr>
                <w:rFonts w:hint="eastAsia"/>
                <w:color w:val="auto"/>
                <w:highlight w:val="none"/>
              </w:rPr>
              <w:t>提供</w:t>
            </w:r>
            <w:r>
              <w:rPr>
                <w:rFonts w:hint="eastAsia"/>
                <w:color w:val="auto"/>
                <w:highlight w:val="none"/>
                <w:lang w:val="en-US" w:eastAsia="zh-CN"/>
              </w:rPr>
              <w:t>国产化</w:t>
            </w:r>
            <w:r>
              <w:rPr>
                <w:rFonts w:hint="eastAsia"/>
                <w:color w:val="auto"/>
                <w:highlight w:val="none"/>
              </w:rPr>
              <w:t>相关资料，</w:t>
            </w:r>
            <w:r>
              <w:rPr>
                <w:rFonts w:hint="eastAsia"/>
                <w:color w:val="auto"/>
                <w:highlight w:val="none"/>
                <w:lang w:val="en-US" w:eastAsia="zh-CN"/>
              </w:rPr>
              <w:t>并进行</w:t>
            </w:r>
            <w:r>
              <w:rPr>
                <w:color w:val="auto"/>
                <w:highlight w:val="none"/>
              </w:rPr>
              <w:t>文件编制</w:t>
            </w:r>
            <w:r>
              <w:rPr>
                <w:rFonts w:hint="eastAsia"/>
                <w:color w:val="auto"/>
                <w:highlight w:val="none"/>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color w:val="auto"/>
                <w:kern w:val="2"/>
                <w:sz w:val="21"/>
                <w:szCs w:val="24"/>
                <w:highlight w:val="none"/>
                <w:lang w:val="en-US" w:eastAsia="zh-CN" w:bidi="ar-SA"/>
              </w:rPr>
            </w:pPr>
            <w:r>
              <w:rPr>
                <w:rFonts w:hint="eastAsia"/>
                <w:color w:val="auto"/>
                <w:kern w:val="2"/>
                <w:sz w:val="21"/>
                <w:szCs w:val="24"/>
                <w:highlight w:val="none"/>
                <w:lang w:val="en-US" w:eastAsia="zh-CN" w:bidi="ar-SA"/>
              </w:rPr>
              <w:t>27</w:t>
            </w:r>
          </w:p>
        </w:tc>
        <w:tc>
          <w:tcPr>
            <w:tcW w:w="667" w:type="pct"/>
            <w:tcBorders>
              <w:top w:val="single" w:color="auto" w:sz="6" w:space="0"/>
              <w:left w:val="single" w:color="auto" w:sz="6" w:space="0"/>
              <w:bottom w:val="single" w:color="auto" w:sz="6" w:space="0"/>
              <w:right w:val="single" w:color="auto" w:sz="6" w:space="0"/>
            </w:tcBorders>
            <w:noWrap w:val="0"/>
            <w:vAlign w:val="center"/>
          </w:tcPr>
          <w:p>
            <w:pPr>
              <w:rPr>
                <w:color w:val="auto"/>
                <w:kern w:val="2"/>
                <w:sz w:val="21"/>
                <w:szCs w:val="24"/>
                <w:highlight w:val="none"/>
                <w:lang w:val="en-US" w:eastAsia="zh-CN" w:bidi="ar-SA"/>
              </w:rPr>
            </w:pPr>
            <w:r>
              <w:rPr>
                <w:color w:val="auto"/>
                <w:highlight w:val="none"/>
              </w:rPr>
              <w:t>设备合同纠纷处理</w:t>
            </w:r>
          </w:p>
        </w:tc>
        <w:tc>
          <w:tcPr>
            <w:tcW w:w="1122"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负责</w:t>
            </w:r>
            <w:r>
              <w:rPr>
                <w:color w:val="auto"/>
                <w:highlight w:val="none"/>
              </w:rPr>
              <w:t>：业主组织、主持解决强</w:t>
            </w:r>
            <w:r>
              <w:rPr>
                <w:rFonts w:hint="eastAsia"/>
                <w:color w:val="auto"/>
                <w:highlight w:val="none"/>
              </w:rPr>
              <w:t>、弱</w:t>
            </w:r>
            <w:r>
              <w:rPr>
                <w:color w:val="auto"/>
                <w:highlight w:val="none"/>
              </w:rPr>
              <w:t>电系统及车站设备系统内各种设备采购合同执行过程的各种纠纷</w:t>
            </w:r>
            <w:r>
              <w:rPr>
                <w:rFonts w:hint="eastAsia"/>
                <w:color w:val="auto"/>
                <w:highlight w:val="none"/>
              </w:rPr>
              <w:t>。</w:t>
            </w:r>
          </w:p>
        </w:tc>
        <w:tc>
          <w:tcPr>
            <w:tcW w:w="1483" w:type="pct"/>
            <w:tcBorders>
              <w:top w:val="single" w:color="auto" w:sz="6" w:space="0"/>
              <w:left w:val="single" w:color="auto" w:sz="6" w:space="0"/>
              <w:bottom w:val="single" w:color="auto" w:sz="6" w:space="0"/>
              <w:right w:val="single" w:color="auto" w:sz="6" w:space="0"/>
            </w:tcBorders>
            <w:noWrap w:val="0"/>
            <w:vAlign w:val="center"/>
          </w:tcPr>
          <w:p>
            <w:pPr>
              <w:rPr>
                <w:b/>
                <w:color w:val="auto"/>
                <w:kern w:val="2"/>
                <w:sz w:val="21"/>
                <w:szCs w:val="24"/>
                <w:highlight w:val="none"/>
                <w:lang w:val="en-US" w:eastAsia="zh-CN" w:bidi="ar-SA"/>
              </w:rPr>
            </w:pPr>
            <w:r>
              <w:rPr>
                <w:b/>
                <w:color w:val="auto"/>
                <w:highlight w:val="none"/>
              </w:rPr>
              <w:t>协助</w:t>
            </w:r>
            <w:r>
              <w:rPr>
                <w:color w:val="auto"/>
                <w:highlight w:val="none"/>
              </w:rPr>
              <w:t>：协助业主进行纠纷处理过程中各项事务性工作，提供纠纷处理需要的执行过程文件</w:t>
            </w:r>
            <w:r>
              <w:rPr>
                <w:rFonts w:hint="eastAsia"/>
                <w:color w:val="auto"/>
                <w:highlight w:val="none"/>
              </w:rPr>
              <w:t>。</w:t>
            </w:r>
          </w:p>
        </w:tc>
        <w:tc>
          <w:tcPr>
            <w:tcW w:w="1325"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b/>
                <w:color w:val="auto"/>
                <w:kern w:val="2"/>
                <w:sz w:val="21"/>
                <w:szCs w:val="24"/>
                <w:highlight w:val="none"/>
                <w:lang w:val="en-US" w:eastAsia="zh-CN" w:bidi="ar-SA"/>
              </w:rPr>
            </w:pPr>
            <w:r>
              <w:rPr>
                <w:rFonts w:hint="eastAsia"/>
                <w:b/>
                <w:color w:val="auto"/>
                <w:highlight w:val="none"/>
                <w:lang w:val="en-US" w:eastAsia="zh-CN"/>
              </w:rPr>
              <w:t>实施</w:t>
            </w:r>
            <w:r>
              <w:rPr>
                <w:rFonts w:hint="eastAsia"/>
                <w:b/>
                <w:color w:val="auto"/>
                <w:highlight w:val="none"/>
              </w:rPr>
              <w:t>：</w:t>
            </w:r>
            <w:r>
              <w:rPr>
                <w:rFonts w:hint="eastAsia"/>
                <w:color w:val="auto"/>
                <w:highlight w:val="none"/>
              </w:rPr>
              <w:t>提供相关资料，配合业主进行设备合同纠纷处理。</w:t>
            </w:r>
          </w:p>
        </w:tc>
      </w:tr>
      <w:bookmarkEnd w:id="2314"/>
    </w:tbl>
    <w:p>
      <w:pPr>
        <w:spacing w:line="360" w:lineRule="auto"/>
        <w:jc w:val="left"/>
        <w:rPr>
          <w:color w:val="auto"/>
          <w:szCs w:val="21"/>
          <w:highlight w:val="none"/>
        </w:rPr>
      </w:pPr>
    </w:p>
    <w:p>
      <w:pPr>
        <w:spacing w:line="360" w:lineRule="auto"/>
        <w:jc w:val="left"/>
        <w:rPr>
          <w:color w:val="auto"/>
          <w:szCs w:val="21"/>
          <w:highlight w:val="none"/>
        </w:rPr>
      </w:pPr>
    </w:p>
    <w:p>
      <w:pPr>
        <w:spacing w:line="360" w:lineRule="auto"/>
        <w:jc w:val="left"/>
        <w:rPr>
          <w:color w:val="auto"/>
          <w:szCs w:val="21"/>
          <w:highlight w:val="none"/>
        </w:rPr>
      </w:pPr>
    </w:p>
    <w:p>
      <w:pPr>
        <w:spacing w:line="360" w:lineRule="auto"/>
        <w:jc w:val="left"/>
        <w:rPr>
          <w:color w:val="auto"/>
          <w:highlight w:val="none"/>
        </w:rPr>
      </w:pPr>
      <w:r>
        <w:rPr>
          <w:color w:val="auto"/>
          <w:szCs w:val="21"/>
          <w:highlight w:val="none"/>
        </w:rPr>
        <w:t xml:space="preserve">5.3.2 </w:t>
      </w:r>
      <w:r>
        <w:rPr>
          <w:rFonts w:hint="eastAsia"/>
          <w:color w:val="auto"/>
          <w:szCs w:val="21"/>
          <w:highlight w:val="none"/>
        </w:rPr>
        <w:t>主要乙供设备</w:t>
      </w:r>
    </w:p>
    <w:tbl>
      <w:tblPr>
        <w:tblStyle w:val="14"/>
        <w:tblW w:w="504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0" w:type="dxa"/>
          <w:bottom w:w="0" w:type="dxa"/>
          <w:right w:w="100" w:type="dxa"/>
        </w:tblCellMar>
      </w:tblPr>
      <w:tblGrid>
        <w:gridCol w:w="770"/>
        <w:gridCol w:w="1350"/>
        <w:gridCol w:w="2205"/>
        <w:gridCol w:w="2912"/>
        <w:gridCol w:w="1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tblHeader/>
          <w:jc w:val="center"/>
        </w:trPr>
        <w:tc>
          <w:tcPr>
            <w:tcW w:w="426" w:type="pct"/>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jc w:val="center"/>
              <w:rPr>
                <w:b/>
                <w:color w:val="auto"/>
                <w:highlight w:val="none"/>
              </w:rPr>
            </w:pPr>
            <w:r>
              <w:rPr>
                <w:b/>
                <w:color w:val="auto"/>
                <w:highlight w:val="none"/>
              </w:rPr>
              <w:t>序号</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任务</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业主</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jc w:val="center"/>
              <w:rPr>
                <w:b/>
                <w:color w:val="auto"/>
                <w:highlight w:val="none"/>
              </w:rPr>
            </w:pPr>
            <w:r>
              <w:rPr>
                <w:b/>
                <w:color w:val="auto"/>
                <w:highlight w:val="none"/>
              </w:rPr>
              <w:t>集成服务商</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b/>
                <w:color w:val="auto"/>
                <w:highlight w:val="none"/>
                <w:lang w:eastAsia="zh-CN"/>
              </w:rPr>
            </w:pPr>
            <w:r>
              <w:rPr>
                <w:rFonts w:hint="eastAsia"/>
                <w:b/>
                <w:color w:val="auto"/>
                <w:highlight w:val="none"/>
                <w:lang w:val="en-US" w:eastAsia="zh-CN"/>
              </w:rPr>
              <w:t>施工单位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highlight w:val="none"/>
              </w:rPr>
              <w:t>1</w:t>
            </w:r>
          </w:p>
        </w:tc>
        <w:tc>
          <w:tcPr>
            <w:tcW w:w="747" w:type="pct"/>
            <w:tcBorders>
              <w:top w:val="single" w:color="auto" w:sz="6" w:space="0"/>
              <w:left w:val="single" w:color="auto" w:sz="6" w:space="0"/>
              <w:bottom w:val="single" w:color="auto" w:sz="6" w:space="0"/>
              <w:right w:val="single" w:color="auto" w:sz="6" w:space="0"/>
            </w:tcBorders>
            <w:noWrap w:val="0"/>
            <w:vAlign w:val="center"/>
          </w:tcPr>
          <w:p>
            <w:pPr>
              <w:rPr>
                <w:rFonts w:hint="eastAsia"/>
                <w:color w:val="auto"/>
                <w:szCs w:val="21"/>
                <w:highlight w:val="none"/>
              </w:rPr>
            </w:pPr>
            <w:r>
              <w:rPr>
                <w:color w:val="auto"/>
                <w:highlight w:val="none"/>
              </w:rPr>
              <w:t>设计联络</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：根据工期安排设计联络计划，并主持设计联络。</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管理</w:t>
            </w:r>
            <w:r>
              <w:rPr>
                <w:color w:val="auto"/>
                <w:highlight w:val="none"/>
              </w:rPr>
              <w:t>：组织设计联络，督促各方提交资料和编制设计联络会议纪要</w:t>
            </w:r>
            <w:r>
              <w:rPr>
                <w:rFonts w:hint="eastAsia"/>
                <w:color w:val="auto"/>
                <w:highlight w:val="none"/>
              </w:rPr>
              <w:t>。</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rFonts w:hint="eastAsia"/>
                <w:b/>
                <w:bCs/>
                <w:color w:val="auto"/>
                <w:highlight w:val="none"/>
              </w:rPr>
              <w:t>实施:</w:t>
            </w:r>
            <w:r>
              <w:rPr>
                <w:rFonts w:hint="eastAsia"/>
                <w:color w:val="auto"/>
                <w:highlight w:val="none"/>
              </w:rPr>
              <w:t>供货商应按计划要求提前做好准备工作并参加设计联络。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highlight w:val="none"/>
              </w:rPr>
              <w:t>2</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系统内接口</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：根据系统内设备的功能设计和接口方案，分阶段检查接口方案的落实情况</w:t>
            </w:r>
            <w:r>
              <w:rPr>
                <w:rFonts w:hint="eastAsia"/>
                <w:color w:val="auto"/>
                <w:highlight w:val="none"/>
              </w:rPr>
              <w:t>。</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管理</w:t>
            </w:r>
            <w:r>
              <w:rPr>
                <w:color w:val="auto"/>
                <w:highlight w:val="none"/>
              </w:rPr>
              <w:t>：组织系统内各接口设备供货商进行接口谈判，签订接口细则和接口文件，并负责管理所有接口方案的实施情况</w:t>
            </w:r>
            <w:r>
              <w:rPr>
                <w:rFonts w:hint="eastAsia"/>
                <w:color w:val="auto"/>
                <w:highlight w:val="none"/>
              </w:rPr>
              <w:t>。</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left"/>
              <w:rPr>
                <w:rFonts w:hint="eastAsia"/>
                <w:color w:val="auto"/>
                <w:highlight w:val="none"/>
              </w:rPr>
            </w:pPr>
            <w:r>
              <w:rPr>
                <w:rFonts w:hint="eastAsia"/>
                <w:b/>
                <w:bCs/>
                <w:color w:val="auto"/>
                <w:highlight w:val="none"/>
              </w:rPr>
              <w:t>实施:</w:t>
            </w:r>
            <w:r>
              <w:rPr>
                <w:rFonts w:hint="eastAsia"/>
                <w:color w:val="auto"/>
                <w:highlight w:val="none"/>
              </w:rPr>
              <w:t>根据接口解决方案的要求，完成本设备的接口任务。</w:t>
            </w:r>
          </w:p>
          <w:p>
            <w:pPr>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highlight w:val="none"/>
              </w:rPr>
              <w:t>3</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系统外接口</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：组织其他系统同本系统各接口设备供货商进行接口谈判，签订接口细则和接口文件，并负责管理所有接口方案的实施情况</w:t>
            </w:r>
            <w:r>
              <w:rPr>
                <w:rFonts w:hint="eastAsia"/>
                <w:color w:val="auto"/>
                <w:highlight w:val="none"/>
              </w:rPr>
              <w:t>。</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lang w:val="en-US" w:eastAsia="zh-CN"/>
              </w:rPr>
              <w:t>管理</w:t>
            </w:r>
            <w:r>
              <w:rPr>
                <w:color w:val="auto"/>
                <w:highlight w:val="none"/>
              </w:rPr>
              <w:t>：根据接口方案和接口文件，全程监督本系统各接口设备供货商对接口方案的落实情况</w:t>
            </w:r>
            <w:r>
              <w:rPr>
                <w:rFonts w:hint="eastAsia"/>
                <w:color w:val="auto"/>
                <w:highlight w:val="none"/>
              </w:rPr>
              <w:t>。</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center"/>
              <w:rPr>
                <w:b/>
                <w:color w:val="auto"/>
                <w:highlight w:val="none"/>
              </w:rPr>
            </w:pPr>
            <w:r>
              <w:rPr>
                <w:rFonts w:hint="eastAsia"/>
                <w:b/>
                <w:bCs/>
                <w:color w:val="auto"/>
                <w:highlight w:val="none"/>
              </w:rPr>
              <w:t>实施：</w:t>
            </w:r>
            <w:r>
              <w:rPr>
                <w:rFonts w:hint="eastAsia"/>
                <w:color w:val="auto"/>
                <w:highlight w:val="none"/>
              </w:rPr>
              <w:t>根据接口解决方案要求，完成本设备的接口任务,并提供技术资料实现与外部的接口配合。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highlight w:val="none"/>
              </w:rPr>
              <w:t>4</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设备生产全过程控制（样机试验、接口试验、设备监造、设备材料BIM管理等）</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：对集成服务商的监造工作进行检查，并根据需要参加设备的监造</w:t>
            </w:r>
            <w:r>
              <w:rPr>
                <w:rFonts w:hint="eastAsia"/>
                <w:color w:val="auto"/>
                <w:highlight w:val="none"/>
              </w:rPr>
              <w:t>。</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：派遣有经验的技术工程师对所有甲供设备生产全过程进行监造，按进度制定监造报告交业主，审查各供货商试验建议并随时将监造中发现的问题以书面报业主</w:t>
            </w:r>
            <w:r>
              <w:rPr>
                <w:rFonts w:hint="eastAsia"/>
                <w:color w:val="auto"/>
                <w:highlight w:val="none"/>
              </w:rPr>
              <w:t>。</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lang w:val="en-US" w:eastAsia="zh-CN"/>
              </w:rPr>
              <w:t>实施</w:t>
            </w:r>
            <w:r>
              <w:rPr>
                <w:rFonts w:hint="eastAsia"/>
                <w:color w:val="auto"/>
                <w:highlight w:val="none"/>
              </w:rPr>
              <w:t>：供货商</w:t>
            </w:r>
            <w:r>
              <w:rPr>
                <w:rFonts w:hint="eastAsia"/>
                <w:color w:val="auto"/>
                <w:highlight w:val="none"/>
                <w:lang w:val="en-US" w:eastAsia="zh-CN"/>
              </w:rPr>
              <w:t>对生产的</w:t>
            </w:r>
            <w:r>
              <w:rPr>
                <w:rFonts w:hint="eastAsia"/>
                <w:color w:val="auto"/>
                <w:highlight w:val="none"/>
              </w:rPr>
              <w:t>设备全过程</w:t>
            </w:r>
            <w:r>
              <w:rPr>
                <w:rFonts w:hint="eastAsia"/>
                <w:color w:val="auto"/>
                <w:highlight w:val="none"/>
                <w:lang w:val="en-US" w:eastAsia="zh-CN"/>
              </w:rPr>
              <w:t>控制</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highlight w:val="none"/>
              </w:rPr>
              <w:t>5</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设备质量控制</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：对各供货商设备的设计、制造、测试和试运行等过程根据需要进行检查</w:t>
            </w:r>
            <w:r>
              <w:rPr>
                <w:rFonts w:hint="eastAsia"/>
                <w:color w:val="auto"/>
                <w:highlight w:val="none"/>
              </w:rPr>
              <w:t>。</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负责</w:t>
            </w:r>
            <w:r>
              <w:rPr>
                <w:color w:val="auto"/>
                <w:highlight w:val="none"/>
              </w:rPr>
              <w:t>：按照ISO9000系列质量体系的要求实施，在项目执行过程中监督各供货商质量保证体系的执行情况。对各个阶段的检查验收及测试方法进行管理，对产品设计、生产制造、测试等阶段的质量制订保证监督措施，分阶段提交质量监督报告</w:t>
            </w:r>
            <w:r>
              <w:rPr>
                <w:rFonts w:hint="eastAsia"/>
                <w:color w:val="auto"/>
                <w:highlight w:val="none"/>
              </w:rPr>
              <w:t>。</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lang w:val="en-US" w:eastAsia="zh-CN"/>
              </w:rPr>
              <w:t>实施</w:t>
            </w:r>
            <w:r>
              <w:rPr>
                <w:rFonts w:hint="eastAsia"/>
                <w:b/>
                <w:bCs/>
                <w:color w:val="auto"/>
                <w:highlight w:val="none"/>
              </w:rPr>
              <w:t>：</w:t>
            </w:r>
            <w:r>
              <w:rPr>
                <w:rFonts w:hint="eastAsia"/>
                <w:color w:val="auto"/>
                <w:highlight w:val="none"/>
              </w:rPr>
              <w:t>供货商应建立严格的质量保证体系，按照ISO9000系列的要求实施，并接受集成服务商和委托方的监督检查。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highlight w:val="none"/>
              </w:rPr>
              <w:t>6</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设备出厂检验</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检查</w:t>
            </w:r>
            <w:r>
              <w:rPr>
                <w:color w:val="auto"/>
                <w:highlight w:val="none"/>
              </w:rPr>
              <w:t>：对集成服务商的出厂检验监造工作进行检查，并根据需要参加设备的出厂检验</w:t>
            </w:r>
            <w:r>
              <w:rPr>
                <w:rFonts w:hint="eastAsia"/>
                <w:color w:val="auto"/>
                <w:highlight w:val="none"/>
              </w:rPr>
              <w:t>。</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rPr>
              <w:t>管理</w:t>
            </w:r>
            <w:r>
              <w:rPr>
                <w:color w:val="auto"/>
                <w:highlight w:val="none"/>
              </w:rPr>
              <w:t>：</w:t>
            </w:r>
            <w:r>
              <w:rPr>
                <w:rFonts w:hint="eastAsia"/>
                <w:color w:val="auto"/>
                <w:highlight w:val="none"/>
              </w:rPr>
              <w:t>派遣有经验的技术工程师对所有甲供设备出厂试验全过程进行监造，按进度制定监造报告交业主，审查各供货商试验建议并随时将试验中发现的问题以书面报业主。</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left"/>
              <w:rPr>
                <w:b/>
                <w:color w:val="auto"/>
                <w:highlight w:val="none"/>
              </w:rPr>
            </w:pPr>
            <w:r>
              <w:rPr>
                <w:rFonts w:hint="eastAsia"/>
                <w:b/>
                <w:bCs/>
                <w:color w:val="auto"/>
                <w:highlight w:val="none"/>
              </w:rPr>
              <w:t>负责：</w:t>
            </w:r>
            <w:r>
              <w:rPr>
                <w:rFonts w:hint="eastAsia"/>
                <w:color w:val="auto"/>
                <w:highlight w:val="none"/>
              </w:rPr>
              <w:t>供货商应按照批准的试验规格书的具体要求对设备进行严格的出厂检验，并随时接受委托方及集成服务商的检查。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highlight w:val="none"/>
              </w:rPr>
              <w:t>7</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Cs w:val="21"/>
                <w:highlight w:val="none"/>
              </w:rPr>
            </w:pPr>
            <w:r>
              <w:rPr>
                <w:color w:val="auto"/>
                <w:highlight w:val="none"/>
              </w:rPr>
              <w:t>配合第三方检验</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bCs/>
                <w:color w:val="auto"/>
                <w:highlight w:val="none"/>
              </w:rPr>
              <w:t>检查：</w:t>
            </w:r>
            <w:r>
              <w:rPr>
                <w:color w:val="auto"/>
                <w:highlight w:val="none"/>
              </w:rPr>
              <w:t>检查并监督过程中的各项工作。</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bCs/>
                <w:color w:val="auto"/>
                <w:highlight w:val="none"/>
              </w:rPr>
              <w:t>督导</w:t>
            </w:r>
            <w:r>
              <w:rPr>
                <w:b/>
                <w:bCs/>
                <w:color w:val="auto"/>
                <w:highlight w:val="none"/>
              </w:rPr>
              <w:t>：</w:t>
            </w:r>
            <w:r>
              <w:rPr>
                <w:color w:val="auto"/>
                <w:highlight w:val="none"/>
              </w:rPr>
              <w:t>根据合同的要求，在设备出厂前，</w:t>
            </w:r>
            <w:r>
              <w:rPr>
                <w:rFonts w:hint="eastAsia"/>
                <w:color w:val="auto"/>
                <w:highlight w:val="none"/>
              </w:rPr>
              <w:t>督导供货商</w:t>
            </w:r>
            <w:r>
              <w:rPr>
                <w:color w:val="auto"/>
                <w:highlight w:val="none"/>
              </w:rPr>
              <w:t>将须送第三方检验的设备/材料，在各方见证下进行抽样、封样并送至第三方检测机构按合同规定的检验项目进行检验，检验报告上报业主备案。</w:t>
            </w:r>
          </w:p>
        </w:tc>
        <w:tc>
          <w:tcPr>
            <w:tcW w:w="993" w:type="pct"/>
            <w:tcBorders>
              <w:top w:val="single" w:color="auto" w:sz="6" w:space="0"/>
              <w:left w:val="single" w:color="auto" w:sz="6" w:space="0"/>
              <w:bottom w:val="single" w:color="auto" w:sz="6" w:space="0"/>
              <w:right w:val="single" w:color="auto" w:sz="6" w:space="0"/>
            </w:tcBorders>
            <w:noWrap w:val="0"/>
            <w:vAlign w:val="top"/>
          </w:tcPr>
          <w:p>
            <w:pPr>
              <w:rPr>
                <w:b/>
                <w:color w:val="auto"/>
                <w:highlight w:val="none"/>
              </w:rPr>
            </w:pPr>
            <w:r>
              <w:rPr>
                <w:rFonts w:hint="eastAsia"/>
                <w:b/>
                <w:bCs/>
                <w:color w:val="auto"/>
                <w:highlight w:val="none"/>
              </w:rPr>
              <w:t>实施</w:t>
            </w:r>
            <w:r>
              <w:rPr>
                <w:b/>
                <w:bCs/>
                <w:color w:val="auto"/>
                <w:highlight w:val="none"/>
              </w:rPr>
              <w:t>：</w:t>
            </w:r>
            <w:r>
              <w:rPr>
                <w:color w:val="auto"/>
                <w:highlight w:val="none"/>
              </w:rPr>
              <w:t>根据合同的要求，将须送第三方检验的设备/材料，在各方见证下进行抽样、封样并送至第三方检测机构按合同规定的检验项目进行检验，检验报告上报业主备案。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highlight w:val="none"/>
              </w:rPr>
            </w:pPr>
            <w:r>
              <w:rPr>
                <w:rFonts w:hint="eastAsia"/>
                <w:color w:val="auto"/>
                <w:highlight w:val="none"/>
              </w:rPr>
              <w:t>8</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设备培训</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bCs/>
                <w:color w:val="auto"/>
                <w:highlight w:val="none"/>
              </w:rPr>
            </w:pPr>
            <w:r>
              <w:rPr>
                <w:b/>
                <w:color w:val="auto"/>
                <w:highlight w:val="none"/>
              </w:rPr>
              <w:t>检查</w:t>
            </w:r>
            <w:r>
              <w:rPr>
                <w:color w:val="auto"/>
                <w:highlight w:val="none"/>
              </w:rPr>
              <w:t>：按计划安排有关人员参加培训并对培训结果进行检查</w:t>
            </w:r>
            <w:r>
              <w:rPr>
                <w:rFonts w:hint="eastAsia"/>
                <w:color w:val="auto"/>
                <w:highlight w:val="none"/>
              </w:rPr>
              <w:t>。</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bCs/>
                <w:color w:val="auto"/>
                <w:highlight w:val="none"/>
              </w:rPr>
            </w:pPr>
            <w:r>
              <w:rPr>
                <w:rFonts w:hint="eastAsia"/>
                <w:b/>
                <w:color w:val="auto"/>
                <w:highlight w:val="none"/>
              </w:rPr>
              <w:t>管理</w:t>
            </w:r>
            <w:r>
              <w:rPr>
                <w:color w:val="auto"/>
                <w:highlight w:val="none"/>
              </w:rPr>
              <w:t>：</w:t>
            </w:r>
            <w:r>
              <w:rPr>
                <w:rFonts w:hint="eastAsia"/>
                <w:color w:val="auto"/>
                <w:highlight w:val="none"/>
              </w:rPr>
              <w:t>制定总的培训安排，主要包括时间、人员、地点、项目、资料、设施等具体内容。组织、落实与培训相关的各项工作。</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center"/>
              <w:rPr>
                <w:color w:val="auto"/>
                <w:highlight w:val="none"/>
              </w:rPr>
            </w:pPr>
            <w:r>
              <w:rPr>
                <w:rFonts w:hint="eastAsia"/>
                <w:b/>
                <w:color w:val="auto"/>
                <w:highlight w:val="none"/>
              </w:rPr>
              <w:t>负责：</w:t>
            </w:r>
            <w:r>
              <w:rPr>
                <w:rFonts w:hint="eastAsia"/>
                <w:bCs/>
                <w:color w:val="auto"/>
                <w:highlight w:val="none"/>
              </w:rPr>
              <w:t>做好培训前的准备及培训过程的组织、安排、服务等工作。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highlight w:val="none"/>
              </w:rPr>
            </w:pPr>
            <w:r>
              <w:rPr>
                <w:rFonts w:hint="eastAsia"/>
                <w:color w:val="auto"/>
                <w:highlight w:val="none"/>
              </w:rPr>
              <w:t>9</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color w:val="auto"/>
                <w:highlight w:val="none"/>
              </w:rPr>
              <w:t>设备到货</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bCs/>
                <w:color w:val="auto"/>
                <w:highlight w:val="none"/>
              </w:rPr>
            </w:pPr>
            <w:r>
              <w:rPr>
                <w:b/>
                <w:color w:val="auto"/>
                <w:highlight w:val="none"/>
              </w:rPr>
              <w:t>检查</w:t>
            </w:r>
            <w:r>
              <w:rPr>
                <w:color w:val="auto"/>
                <w:highlight w:val="none"/>
              </w:rPr>
              <w:t>：根据工期需要提出到货安排，并检查到货情况</w:t>
            </w:r>
            <w:r>
              <w:rPr>
                <w:rFonts w:hint="eastAsia"/>
                <w:color w:val="auto"/>
                <w:highlight w:val="none"/>
              </w:rPr>
              <w:t>。</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bCs/>
                <w:color w:val="auto"/>
                <w:highlight w:val="none"/>
              </w:rPr>
            </w:pPr>
            <w:r>
              <w:rPr>
                <w:b/>
                <w:color w:val="auto"/>
                <w:highlight w:val="none"/>
              </w:rPr>
              <w:t>负责</w:t>
            </w:r>
            <w:r>
              <w:rPr>
                <w:color w:val="auto"/>
                <w:highlight w:val="none"/>
              </w:rPr>
              <w:t>：根据合同及运输要求对供货商产品的包装、储存、运输和标志过程进行控制，使之达到给定的要求（包括所使用的材料）。在设备运输到港（岸）、业主仓库或工地后组织进行各项检查工作，并做好详细记录。根据供货商提出的仓储条件对储存场地或库房进行检查。组织有关方进行开箱检查并派员参加做好记录及交接单</w:t>
            </w:r>
            <w:r>
              <w:rPr>
                <w:rFonts w:hint="eastAsia"/>
                <w:color w:val="auto"/>
                <w:highlight w:val="none"/>
              </w:rPr>
              <w:t>。</w:t>
            </w:r>
          </w:p>
        </w:tc>
        <w:tc>
          <w:tcPr>
            <w:tcW w:w="993" w:type="pct"/>
            <w:tcBorders>
              <w:top w:val="single" w:color="auto" w:sz="6" w:space="0"/>
              <w:left w:val="single" w:color="auto" w:sz="6" w:space="0"/>
              <w:bottom w:val="single" w:color="auto" w:sz="6" w:space="0"/>
              <w:right w:val="single" w:color="auto" w:sz="6" w:space="0"/>
            </w:tcBorders>
            <w:noWrap w:val="0"/>
            <w:vAlign w:val="top"/>
          </w:tcPr>
          <w:p>
            <w:pPr>
              <w:rPr>
                <w:color w:val="auto"/>
                <w:highlight w:val="none"/>
              </w:rPr>
            </w:pPr>
            <w:r>
              <w:rPr>
                <w:rFonts w:hint="eastAsia"/>
                <w:b/>
                <w:color w:val="auto"/>
                <w:highlight w:val="none"/>
              </w:rPr>
              <w:t>实施：</w:t>
            </w:r>
            <w:r>
              <w:rPr>
                <w:rFonts w:hint="eastAsia"/>
                <w:bCs/>
                <w:color w:val="auto"/>
                <w:highlight w:val="none"/>
              </w:rPr>
              <w:t>供货商负责组织设备运输到达指定地点，参加设备到货检查工作。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4"/>
                <w:highlight w:val="none"/>
              </w:rPr>
            </w:pPr>
            <w:r>
              <w:rPr>
                <w:rFonts w:hint="eastAsia"/>
                <w:color w:val="auto"/>
                <w:sz w:val="24"/>
                <w:highlight w:val="none"/>
              </w:rPr>
              <w:t>10</w:t>
            </w:r>
          </w:p>
        </w:tc>
        <w:tc>
          <w:tcPr>
            <w:tcW w:w="747" w:type="pct"/>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szCs w:val="21"/>
                <w:highlight w:val="none"/>
              </w:rPr>
              <w:t>系统联调</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b/>
                <w:color w:val="auto"/>
                <w:highlight w:val="none"/>
              </w:rPr>
              <w:t>审批</w:t>
            </w:r>
            <w:r>
              <w:rPr>
                <w:color w:val="auto"/>
                <w:highlight w:val="none"/>
              </w:rPr>
              <w:t>：审批联调方案、联调计划、参与系统联调、确认联调结果</w:t>
            </w:r>
            <w:r>
              <w:rPr>
                <w:rFonts w:hint="eastAsia"/>
                <w:color w:val="auto"/>
                <w:highlight w:val="none"/>
              </w:rPr>
              <w:t>。</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rPr>
                <w:b/>
                <w:color w:val="auto"/>
                <w:highlight w:val="none"/>
              </w:rPr>
            </w:pPr>
            <w:r>
              <w:rPr>
                <w:rFonts w:hint="eastAsia"/>
                <w:b/>
                <w:color w:val="auto"/>
                <w:highlight w:val="none"/>
              </w:rPr>
              <w:t>管理</w:t>
            </w:r>
            <w:r>
              <w:rPr>
                <w:color w:val="auto"/>
                <w:highlight w:val="none"/>
              </w:rPr>
              <w:t>：根据业主需要</w:t>
            </w:r>
            <w:r>
              <w:rPr>
                <w:rFonts w:hint="eastAsia"/>
                <w:color w:val="auto"/>
                <w:highlight w:val="none"/>
              </w:rPr>
              <w:t>牵头组织系统联调工作；编制各系统（</w:t>
            </w:r>
            <w:r>
              <w:rPr>
                <w:color w:val="auto"/>
                <w:highlight w:val="none"/>
              </w:rPr>
              <w:t>强电</w:t>
            </w:r>
            <w:r>
              <w:rPr>
                <w:rFonts w:hint="eastAsia"/>
                <w:color w:val="auto"/>
                <w:highlight w:val="none"/>
              </w:rPr>
              <w:t>、弱电、车辆</w:t>
            </w:r>
            <w:r>
              <w:rPr>
                <w:color w:val="auto"/>
                <w:highlight w:val="none"/>
              </w:rPr>
              <w:t>及车站设备</w:t>
            </w:r>
            <w:r>
              <w:rPr>
                <w:rFonts w:hint="eastAsia"/>
                <w:color w:val="auto"/>
                <w:highlight w:val="none"/>
              </w:rPr>
              <w:t>等）</w:t>
            </w:r>
            <w:r>
              <w:rPr>
                <w:color w:val="auto"/>
                <w:highlight w:val="none"/>
              </w:rPr>
              <w:t>联调方案、</w:t>
            </w:r>
            <w:r>
              <w:rPr>
                <w:rFonts w:hint="eastAsia"/>
                <w:color w:val="auto"/>
                <w:highlight w:val="none"/>
              </w:rPr>
              <w:t>联调</w:t>
            </w:r>
            <w:r>
              <w:rPr>
                <w:color w:val="auto"/>
                <w:highlight w:val="none"/>
              </w:rPr>
              <w:t>计划</w:t>
            </w:r>
            <w:r>
              <w:rPr>
                <w:rFonts w:hint="eastAsia"/>
                <w:color w:val="auto"/>
                <w:highlight w:val="none"/>
              </w:rPr>
              <w:t>及实施细则</w:t>
            </w:r>
            <w:r>
              <w:rPr>
                <w:color w:val="auto"/>
                <w:highlight w:val="none"/>
              </w:rPr>
              <w:t>报业主审批</w:t>
            </w:r>
            <w:r>
              <w:rPr>
                <w:rFonts w:hint="eastAsia"/>
                <w:color w:val="auto"/>
                <w:highlight w:val="none"/>
              </w:rPr>
              <w:t>；</w:t>
            </w:r>
            <w:r>
              <w:rPr>
                <w:color w:val="auto"/>
                <w:highlight w:val="none"/>
              </w:rPr>
              <w:t>负责组织安排有关</w:t>
            </w:r>
            <w:r>
              <w:rPr>
                <w:rFonts w:hint="eastAsia"/>
                <w:color w:val="auto"/>
                <w:highlight w:val="none"/>
              </w:rPr>
              <w:t>系统承包商、</w:t>
            </w:r>
            <w:r>
              <w:rPr>
                <w:color w:val="auto"/>
                <w:highlight w:val="none"/>
              </w:rPr>
              <w:t>供货商参与系统联调</w:t>
            </w:r>
            <w:r>
              <w:rPr>
                <w:rFonts w:hint="eastAsia"/>
                <w:color w:val="auto"/>
                <w:highlight w:val="none"/>
              </w:rPr>
              <w:t>；</w:t>
            </w:r>
            <w:r>
              <w:rPr>
                <w:color w:val="auto"/>
                <w:highlight w:val="none"/>
              </w:rPr>
              <w:t>负责解决系统联调过程中出现技术问题</w:t>
            </w:r>
            <w:r>
              <w:rPr>
                <w:rFonts w:hint="eastAsia"/>
                <w:color w:val="auto"/>
                <w:highlight w:val="none"/>
              </w:rPr>
              <w:t>；</w:t>
            </w:r>
            <w:r>
              <w:rPr>
                <w:color w:val="auto"/>
                <w:highlight w:val="none"/>
              </w:rPr>
              <w:t>提出联调中可能出现问题的解决建议方案</w:t>
            </w:r>
            <w:r>
              <w:rPr>
                <w:rFonts w:hint="eastAsia"/>
                <w:color w:val="auto"/>
                <w:highlight w:val="none"/>
              </w:rPr>
              <w:t>；编制联调报告。</w:t>
            </w:r>
          </w:p>
        </w:tc>
        <w:tc>
          <w:tcPr>
            <w:tcW w:w="993" w:type="pct"/>
            <w:tcBorders>
              <w:top w:val="single" w:color="auto" w:sz="6" w:space="0"/>
              <w:left w:val="single" w:color="auto" w:sz="6" w:space="0"/>
              <w:bottom w:val="single" w:color="auto" w:sz="6" w:space="0"/>
              <w:right w:val="single" w:color="auto" w:sz="6" w:space="0"/>
            </w:tcBorders>
            <w:noWrap w:val="0"/>
            <w:vAlign w:val="top"/>
          </w:tcPr>
          <w:p>
            <w:pPr>
              <w:rPr>
                <w:color w:val="auto"/>
                <w:highlight w:val="none"/>
              </w:rPr>
            </w:pPr>
            <w:r>
              <w:rPr>
                <w:rFonts w:hint="eastAsia"/>
                <w:b/>
                <w:color w:val="auto"/>
                <w:highlight w:val="none"/>
              </w:rPr>
              <w:t>配合</w:t>
            </w:r>
            <w:r>
              <w:rPr>
                <w:color w:val="auto"/>
                <w:highlight w:val="none"/>
              </w:rPr>
              <w:t>：根据集成服务商的要求，参与配合各类调试。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0" w:type="dxa"/>
            <w:bottom w:w="0" w:type="dxa"/>
            <w:right w:w="100" w:type="dxa"/>
          </w:tblCellMar>
        </w:tblPrEx>
        <w:trPr>
          <w:trHeight w:val="340" w:hRule="atLeast"/>
          <w:jc w:val="center"/>
        </w:trPr>
        <w:tc>
          <w:tcPr>
            <w:tcW w:w="42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11</w:t>
            </w:r>
          </w:p>
        </w:tc>
        <w:tc>
          <w:tcPr>
            <w:tcW w:w="747" w:type="pct"/>
            <w:tcBorders>
              <w:top w:val="single" w:color="auto" w:sz="6" w:space="0"/>
              <w:left w:val="single" w:color="auto" w:sz="6" w:space="0"/>
              <w:bottom w:val="single" w:color="auto" w:sz="6" w:space="0"/>
              <w:right w:val="single" w:color="auto" w:sz="6" w:space="0"/>
            </w:tcBorders>
            <w:noWrap w:val="0"/>
            <w:vAlign w:val="center"/>
          </w:tcPr>
          <w:p>
            <w:pPr>
              <w:rPr>
                <w:rFonts w:hint="eastAsia" w:eastAsia="宋体"/>
                <w:color w:val="auto"/>
                <w:kern w:val="2"/>
                <w:sz w:val="21"/>
                <w:szCs w:val="24"/>
                <w:highlight w:val="none"/>
                <w:lang w:val="en-US" w:eastAsia="zh-CN" w:bidi="ar-SA"/>
              </w:rPr>
            </w:pPr>
            <w:r>
              <w:rPr>
                <w:rFonts w:hint="eastAsia"/>
                <w:color w:val="auto"/>
                <w:highlight w:val="none"/>
                <w:lang w:val="en-US" w:eastAsia="zh-CN"/>
              </w:rPr>
              <w:t>综合联调</w:t>
            </w:r>
          </w:p>
        </w:tc>
        <w:tc>
          <w:tcPr>
            <w:tcW w:w="1220" w:type="pct"/>
            <w:tcBorders>
              <w:top w:val="single" w:color="auto" w:sz="6" w:space="0"/>
              <w:left w:val="single" w:color="auto" w:sz="6" w:space="0"/>
              <w:bottom w:val="single" w:color="auto" w:sz="6" w:space="0"/>
              <w:right w:val="single" w:color="auto" w:sz="6" w:space="0"/>
            </w:tcBorders>
            <w:noWrap w:val="0"/>
            <w:vAlign w:val="center"/>
          </w:tcPr>
          <w:p>
            <w:pPr>
              <w:rPr>
                <w:rFonts w:hint="default" w:eastAsia="宋体"/>
                <w:b/>
                <w:color w:val="auto"/>
                <w:kern w:val="2"/>
                <w:sz w:val="21"/>
                <w:szCs w:val="24"/>
                <w:highlight w:val="none"/>
                <w:lang w:val="en-US" w:eastAsia="zh-CN" w:bidi="ar-SA"/>
              </w:rPr>
            </w:pPr>
            <w:r>
              <w:rPr>
                <w:rFonts w:hint="eastAsia"/>
                <w:b/>
                <w:color w:val="auto"/>
                <w:highlight w:val="none"/>
                <w:lang w:val="en-US" w:eastAsia="zh-CN"/>
              </w:rPr>
              <w:t>负责：</w:t>
            </w:r>
            <w:r>
              <w:rPr>
                <w:rFonts w:hint="eastAsia"/>
                <w:b w:val="0"/>
                <w:bCs/>
                <w:color w:val="auto"/>
                <w:highlight w:val="none"/>
                <w:lang w:val="en-US" w:eastAsia="zh-CN"/>
              </w:rPr>
              <w:t>负责组织各系统开展综合联调</w:t>
            </w:r>
          </w:p>
        </w:tc>
        <w:tc>
          <w:tcPr>
            <w:tcW w:w="161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color w:val="auto"/>
                <w:kern w:val="2"/>
                <w:sz w:val="21"/>
                <w:szCs w:val="24"/>
                <w:highlight w:val="none"/>
                <w:lang w:val="en-US" w:eastAsia="zh-CN" w:bidi="ar-SA"/>
              </w:rPr>
            </w:pPr>
            <w:r>
              <w:rPr>
                <w:rFonts w:hint="eastAsia" w:eastAsia="宋体"/>
                <w:b/>
                <w:bCs/>
                <w:color w:val="auto"/>
                <w:highlight w:val="none"/>
                <w:lang w:val="en-US" w:eastAsia="zh-CN"/>
              </w:rPr>
              <w:t>管理：</w:t>
            </w:r>
            <w:r>
              <w:rPr>
                <w:rFonts w:hint="eastAsia" w:eastAsia="宋体"/>
                <w:color w:val="auto"/>
                <w:highlight w:val="none"/>
                <w:lang w:val="en-US" w:eastAsia="zh-CN"/>
              </w:rPr>
              <w:t>编制综合联调方案、计划和细则报业主审批；协调管理相关系统参与综合联调，并编制综合联调报告。</w:t>
            </w:r>
          </w:p>
        </w:tc>
        <w:tc>
          <w:tcPr>
            <w:tcW w:w="993"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eastAsia="宋体"/>
                <w:color w:val="auto"/>
                <w:kern w:val="2"/>
                <w:sz w:val="21"/>
                <w:szCs w:val="24"/>
                <w:highlight w:val="none"/>
                <w:lang w:val="en-US" w:eastAsia="zh-CN" w:bidi="ar-SA"/>
              </w:rPr>
            </w:pPr>
            <w:r>
              <w:rPr>
                <w:rFonts w:hint="eastAsia"/>
                <w:b/>
                <w:color w:val="auto"/>
                <w:highlight w:val="none"/>
                <w:lang w:val="en-US" w:eastAsia="zh-CN"/>
              </w:rPr>
              <w:t>实施</w:t>
            </w:r>
            <w:r>
              <w:rPr>
                <w:color w:val="auto"/>
                <w:highlight w:val="none"/>
              </w:rPr>
              <w:t>：根据集成服务商的要求，</w:t>
            </w:r>
            <w:r>
              <w:rPr>
                <w:rFonts w:hint="eastAsia"/>
                <w:color w:val="auto"/>
                <w:highlight w:val="none"/>
                <w:lang w:val="en-US" w:eastAsia="zh-CN"/>
              </w:rPr>
              <w:t>实施</w:t>
            </w:r>
            <w:r>
              <w:rPr>
                <w:color w:val="auto"/>
                <w:highlight w:val="none"/>
              </w:rPr>
              <w:t>各类调试。</w:t>
            </w:r>
          </w:p>
        </w:tc>
      </w:tr>
    </w:tbl>
    <w:p>
      <w:pPr>
        <w:pStyle w:val="12"/>
        <w:rPr>
          <w:color w:val="auto"/>
          <w:highlight w:val="none"/>
        </w:rPr>
        <w:sectPr>
          <w:headerReference r:id="rId13" w:type="default"/>
          <w:pgSz w:w="11906" w:h="16838"/>
          <w:pgMar w:top="1440" w:right="1274" w:bottom="1440" w:left="1800" w:header="851" w:footer="992" w:gutter="0"/>
          <w:pgNumType w:fmt="decimal"/>
          <w:cols w:space="720" w:num="1"/>
          <w:docGrid w:type="lines" w:linePitch="312" w:charSpace="0"/>
        </w:sectPr>
      </w:pPr>
    </w:p>
    <w:p>
      <w:pPr>
        <w:pStyle w:val="3"/>
        <w:bidi w:val="0"/>
        <w:rPr>
          <w:color w:val="auto"/>
          <w:sz w:val="24"/>
          <w:szCs w:val="24"/>
          <w:highlight w:val="none"/>
        </w:rPr>
      </w:pPr>
      <w:bookmarkStart w:id="2315" w:name="_Toc23325"/>
      <w:bookmarkStart w:id="2316" w:name="_Toc20092"/>
      <w:bookmarkStart w:id="2317" w:name="_Toc130847132"/>
      <w:bookmarkStart w:id="2318" w:name="_Toc309026517"/>
      <w:bookmarkStart w:id="2319" w:name="_Toc309026911"/>
      <w:bookmarkStart w:id="2320" w:name="_Toc184763343"/>
      <w:bookmarkStart w:id="2321" w:name="_Toc306091638"/>
      <w:bookmarkStart w:id="2322" w:name="_Toc18581"/>
      <w:bookmarkStart w:id="2323" w:name="_Toc26852"/>
      <w:bookmarkStart w:id="2324" w:name="_Toc27135"/>
      <w:bookmarkStart w:id="2325" w:name="_Toc27267"/>
      <w:r>
        <w:rPr>
          <w:color w:val="auto"/>
          <w:sz w:val="24"/>
          <w:szCs w:val="24"/>
          <w:highlight w:val="none"/>
        </w:rPr>
        <w:t>六、服务内容及要求</w:t>
      </w:r>
      <w:bookmarkEnd w:id="2315"/>
      <w:bookmarkEnd w:id="2316"/>
      <w:bookmarkEnd w:id="2317"/>
      <w:bookmarkEnd w:id="2318"/>
      <w:bookmarkEnd w:id="2319"/>
      <w:bookmarkEnd w:id="2320"/>
      <w:bookmarkEnd w:id="2321"/>
      <w:bookmarkEnd w:id="2322"/>
      <w:bookmarkEnd w:id="2323"/>
      <w:bookmarkEnd w:id="2324"/>
      <w:bookmarkEnd w:id="2325"/>
    </w:p>
    <w:p>
      <w:pPr>
        <w:bidi w:val="0"/>
        <w:rPr>
          <w:rFonts w:hint="eastAsia"/>
          <w:color w:val="auto"/>
          <w:highlight w:val="none"/>
          <w:lang w:val="en-US" w:eastAsia="zh-CN"/>
        </w:rPr>
      </w:pPr>
      <w:bookmarkStart w:id="2326" w:name="_Toc22869"/>
      <w:bookmarkStart w:id="2327" w:name="_Toc306091639"/>
      <w:bookmarkStart w:id="2328" w:name="_Toc130847133"/>
      <w:bookmarkStart w:id="2329" w:name="_Toc9840"/>
      <w:bookmarkStart w:id="2330" w:name="_Toc184763344"/>
      <w:bookmarkStart w:id="2331" w:name="_Toc309026912"/>
      <w:bookmarkStart w:id="2332" w:name="_Toc12129"/>
      <w:bookmarkStart w:id="2333" w:name="_Toc309026518"/>
      <w:bookmarkStart w:id="2334" w:name="_Toc24633"/>
      <w:bookmarkStart w:id="2335" w:name="_Toc14703"/>
    </w:p>
    <w:p>
      <w:pPr>
        <w:pStyle w:val="4"/>
        <w:bidi w:val="0"/>
        <w:rPr>
          <w:rFonts w:hint="eastAsia" w:ascii="黑体" w:hAnsi="黑体" w:eastAsia="黑体" w:cs="黑体"/>
          <w:color w:val="auto"/>
          <w:sz w:val="21"/>
          <w:szCs w:val="21"/>
          <w:highlight w:val="none"/>
        </w:rPr>
      </w:pPr>
      <w:bookmarkStart w:id="2336" w:name="_Toc7047"/>
      <w:r>
        <w:rPr>
          <w:rFonts w:hint="eastAsia" w:ascii="黑体" w:hAnsi="黑体" w:eastAsia="黑体" w:cs="黑体"/>
          <w:color w:val="auto"/>
          <w:sz w:val="21"/>
          <w:szCs w:val="21"/>
          <w:highlight w:val="none"/>
          <w:lang w:val="en-US" w:eastAsia="zh-CN"/>
        </w:rPr>
        <w:t>6.1</w:t>
      </w:r>
      <w:r>
        <w:rPr>
          <w:rFonts w:hint="eastAsia" w:ascii="黑体" w:hAnsi="黑体" w:eastAsia="黑体" w:cs="黑体"/>
          <w:color w:val="auto"/>
          <w:sz w:val="21"/>
          <w:szCs w:val="21"/>
          <w:highlight w:val="none"/>
        </w:rPr>
        <w:t>项目计划</w:t>
      </w:r>
      <w:bookmarkEnd w:id="2326"/>
      <w:bookmarkEnd w:id="2327"/>
      <w:bookmarkEnd w:id="2328"/>
      <w:bookmarkEnd w:id="2329"/>
      <w:bookmarkEnd w:id="2330"/>
      <w:bookmarkEnd w:id="2331"/>
      <w:bookmarkEnd w:id="2332"/>
      <w:bookmarkEnd w:id="2333"/>
      <w:bookmarkEnd w:id="2334"/>
      <w:bookmarkEnd w:id="2335"/>
      <w:bookmarkEnd w:id="2336"/>
    </w:p>
    <w:p>
      <w:pPr>
        <w:spacing w:line="360" w:lineRule="auto"/>
        <w:ind w:firstLine="420" w:firstLineChars="200"/>
        <w:rPr>
          <w:color w:val="auto"/>
          <w:szCs w:val="21"/>
          <w:highlight w:val="none"/>
        </w:rPr>
      </w:pPr>
      <w:r>
        <w:rPr>
          <w:color w:val="auto"/>
          <w:szCs w:val="21"/>
          <w:highlight w:val="none"/>
        </w:rPr>
        <w:t>集成服务商在投标时应提出如下计划建议，但不限于此：</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6.1.1 </w:t>
      </w:r>
      <w:r>
        <w:rPr>
          <w:color w:val="auto"/>
          <w:szCs w:val="21"/>
          <w:highlight w:val="none"/>
        </w:rPr>
        <w:t>设计联络进度计划：要求根据设备的情况，编排设计联络会议的先后次序，使各专业和设备的设计联络会议相互衔接。</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6.1.2 </w:t>
      </w:r>
      <w:r>
        <w:rPr>
          <w:color w:val="auto"/>
          <w:szCs w:val="21"/>
          <w:highlight w:val="none"/>
        </w:rPr>
        <w:t>图纸、文件提交计划：包括图纸、文件编制规定、提交时间等。</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6.1.3 </w:t>
      </w:r>
      <w:r>
        <w:rPr>
          <w:color w:val="auto"/>
          <w:szCs w:val="21"/>
          <w:highlight w:val="none"/>
        </w:rPr>
        <w:t>接口协调计划：包括接口内容、时间、责任等。</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6.1.4 </w:t>
      </w:r>
      <w:r>
        <w:rPr>
          <w:color w:val="auto"/>
          <w:szCs w:val="21"/>
          <w:highlight w:val="none"/>
        </w:rPr>
        <w:t>设备生产全过程进度计划：控制各设备软、硬件的生产及样机试验、接口试验、设备制造等，避免由于生产的不同步，造成接口不协调或出现难以解决的问题。</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6.1.5 </w:t>
      </w:r>
      <w:r>
        <w:rPr>
          <w:color w:val="auto"/>
          <w:szCs w:val="21"/>
          <w:highlight w:val="none"/>
        </w:rPr>
        <w:t>出厂检验计划：包括试验内容、地点、时间等。</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6.1.6 </w:t>
      </w:r>
      <w:r>
        <w:rPr>
          <w:color w:val="auto"/>
          <w:szCs w:val="21"/>
          <w:highlight w:val="none"/>
        </w:rPr>
        <w:t>到货管理计划：包括到货计划、包装要求、包装材料、运输方式、工具、仓储条件、开箱检查等。</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6.1.7</w:t>
      </w:r>
      <w:r>
        <w:rPr>
          <w:color w:val="auto"/>
          <w:szCs w:val="21"/>
          <w:highlight w:val="none"/>
        </w:rPr>
        <w:t>设备安装、调试及督导计划：包括安装、调试计划，监控、协调内容，督导程序等。</w:t>
      </w:r>
    </w:p>
    <w:p>
      <w:pPr>
        <w:numPr>
          <w:ilvl w:val="0"/>
          <w:numId w:val="0"/>
        </w:numPr>
        <w:tabs>
          <w:tab w:val="left" w:pos="840"/>
        </w:tabs>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6.1.7.1 </w:t>
      </w:r>
      <w:r>
        <w:rPr>
          <w:color w:val="auto"/>
          <w:szCs w:val="21"/>
          <w:highlight w:val="none"/>
        </w:rPr>
        <w:t>单机调试</w:t>
      </w:r>
    </w:p>
    <w:p>
      <w:pPr>
        <w:spacing w:line="360" w:lineRule="auto"/>
        <w:ind w:left="850" w:leftChars="405"/>
        <w:rPr>
          <w:color w:val="auto"/>
          <w:szCs w:val="21"/>
          <w:highlight w:val="none"/>
        </w:rPr>
      </w:pPr>
      <w:r>
        <w:rPr>
          <w:color w:val="auto"/>
          <w:szCs w:val="21"/>
          <w:highlight w:val="none"/>
        </w:rPr>
        <w:t>（1）单机调试在设备安装验收后进行，目的是保证设备经远距离运输和安装后不发生损坏。</w:t>
      </w:r>
    </w:p>
    <w:p>
      <w:pPr>
        <w:spacing w:line="360" w:lineRule="auto"/>
        <w:ind w:left="1060" w:leftChars="405" w:hanging="210" w:hangingChars="100"/>
        <w:rPr>
          <w:color w:val="auto"/>
          <w:szCs w:val="21"/>
          <w:highlight w:val="none"/>
        </w:rPr>
      </w:pPr>
      <w:r>
        <w:rPr>
          <w:color w:val="auto"/>
          <w:szCs w:val="21"/>
          <w:highlight w:val="none"/>
        </w:rPr>
        <w:t>（2）所有系统单机设备的测试都应按合同的规定进行。</w:t>
      </w:r>
    </w:p>
    <w:p>
      <w:pPr>
        <w:spacing w:line="360" w:lineRule="auto"/>
        <w:ind w:left="850" w:leftChars="405"/>
        <w:rPr>
          <w:color w:val="auto"/>
          <w:szCs w:val="21"/>
          <w:highlight w:val="none"/>
        </w:rPr>
      </w:pPr>
      <w:r>
        <w:rPr>
          <w:color w:val="auto"/>
          <w:szCs w:val="21"/>
          <w:highlight w:val="none"/>
        </w:rPr>
        <w:t>（3）供货商负责现场单机设备调试，如单机设备达不到调试要求，供货商应负责无条件修理和更换，并承担所需的全部费用。</w:t>
      </w:r>
    </w:p>
    <w:p>
      <w:pPr>
        <w:spacing w:line="360" w:lineRule="auto"/>
        <w:ind w:firstLine="420" w:firstLineChars="200"/>
        <w:rPr>
          <w:color w:val="auto"/>
          <w:szCs w:val="21"/>
          <w:highlight w:val="none"/>
        </w:rPr>
      </w:pPr>
      <w:r>
        <w:rPr>
          <w:color w:val="auto"/>
          <w:szCs w:val="21"/>
          <w:highlight w:val="none"/>
        </w:rPr>
        <w:t>6.1.7.2系统调试</w:t>
      </w:r>
    </w:p>
    <w:p>
      <w:pPr>
        <w:spacing w:line="360" w:lineRule="auto"/>
        <w:ind w:left="850" w:leftChars="405"/>
        <w:rPr>
          <w:color w:val="auto"/>
          <w:szCs w:val="21"/>
          <w:highlight w:val="none"/>
        </w:rPr>
      </w:pPr>
      <w:r>
        <w:rPr>
          <w:color w:val="auto"/>
          <w:szCs w:val="21"/>
          <w:highlight w:val="none"/>
        </w:rPr>
        <w:t>（1）单机调试合格后，强</w:t>
      </w:r>
      <w:r>
        <w:rPr>
          <w:rFonts w:hint="eastAsia"/>
          <w:color w:val="auto"/>
          <w:szCs w:val="21"/>
          <w:highlight w:val="none"/>
        </w:rPr>
        <w:t>、弱</w:t>
      </w:r>
      <w:r>
        <w:rPr>
          <w:color w:val="auto"/>
          <w:szCs w:val="21"/>
          <w:highlight w:val="none"/>
        </w:rPr>
        <w:t>电系统及车站设备可开始系统调试。</w:t>
      </w:r>
    </w:p>
    <w:p>
      <w:pPr>
        <w:spacing w:line="360" w:lineRule="auto"/>
        <w:ind w:left="850" w:leftChars="405"/>
        <w:rPr>
          <w:color w:val="auto"/>
          <w:szCs w:val="21"/>
          <w:highlight w:val="none"/>
        </w:rPr>
      </w:pPr>
      <w:r>
        <w:rPr>
          <w:color w:val="auto"/>
          <w:szCs w:val="21"/>
          <w:highlight w:val="none"/>
        </w:rPr>
        <w:t>（2）系统调试包括各子系统的调试、整个系统的联调。</w:t>
      </w:r>
    </w:p>
    <w:p>
      <w:pPr>
        <w:spacing w:line="360" w:lineRule="auto"/>
        <w:ind w:left="850" w:leftChars="405"/>
        <w:rPr>
          <w:color w:val="auto"/>
          <w:szCs w:val="21"/>
          <w:highlight w:val="none"/>
        </w:rPr>
      </w:pPr>
      <w:r>
        <w:rPr>
          <w:color w:val="auto"/>
          <w:szCs w:val="21"/>
          <w:highlight w:val="none"/>
        </w:rPr>
        <w:t>（3）系统调试要进行子系统功能测试，并要达到合同规定的要求。</w:t>
      </w:r>
    </w:p>
    <w:p>
      <w:pPr>
        <w:spacing w:line="360" w:lineRule="auto"/>
        <w:ind w:left="850" w:leftChars="405"/>
        <w:rPr>
          <w:color w:val="auto"/>
          <w:szCs w:val="21"/>
          <w:highlight w:val="none"/>
        </w:rPr>
      </w:pPr>
      <w:r>
        <w:rPr>
          <w:color w:val="auto"/>
          <w:szCs w:val="21"/>
          <w:highlight w:val="none"/>
        </w:rPr>
        <w:t>（4）集成商应对测试中可能出现的问题，并提出相应的解决建议方案。</w:t>
      </w:r>
    </w:p>
    <w:p>
      <w:pPr>
        <w:spacing w:line="360" w:lineRule="auto"/>
        <w:ind w:left="850" w:leftChars="405"/>
        <w:rPr>
          <w:color w:val="auto"/>
          <w:szCs w:val="21"/>
          <w:highlight w:val="none"/>
        </w:rPr>
      </w:pPr>
      <w:r>
        <w:rPr>
          <w:color w:val="auto"/>
          <w:szCs w:val="21"/>
          <w:highlight w:val="none"/>
        </w:rPr>
        <w:t>（5）集成商应负责协调解决系统联调过程中出现的技术、接口等问题。</w:t>
      </w:r>
    </w:p>
    <w:p>
      <w:pPr>
        <w:spacing w:line="360" w:lineRule="auto"/>
        <w:ind w:firstLine="420" w:firstLineChars="200"/>
        <w:rPr>
          <w:rFonts w:hint="default" w:eastAsia="宋体"/>
          <w:color w:val="auto"/>
          <w:szCs w:val="21"/>
          <w:highlight w:val="none"/>
          <w:lang w:val="en-US" w:eastAsia="zh-CN"/>
        </w:rPr>
      </w:pPr>
      <w:r>
        <w:rPr>
          <w:color w:val="auto"/>
          <w:szCs w:val="21"/>
          <w:highlight w:val="none"/>
        </w:rPr>
        <w:t>6.1.7.</w:t>
      </w:r>
      <w:r>
        <w:rPr>
          <w:rFonts w:hint="eastAsia"/>
          <w:color w:val="auto"/>
          <w:szCs w:val="21"/>
          <w:highlight w:val="none"/>
          <w:lang w:val="en-US" w:eastAsia="zh-CN"/>
        </w:rPr>
        <w:t>3综合联调</w:t>
      </w:r>
    </w:p>
    <w:p>
      <w:pPr>
        <w:spacing w:line="360" w:lineRule="auto"/>
        <w:ind w:left="850" w:leftChars="405"/>
        <w:rPr>
          <w:color w:val="auto"/>
          <w:szCs w:val="21"/>
          <w:highlight w:val="none"/>
        </w:rPr>
      </w:pPr>
      <w:r>
        <w:rPr>
          <w:color w:val="auto"/>
          <w:szCs w:val="21"/>
          <w:highlight w:val="none"/>
        </w:rPr>
        <w:t>（1）</w:t>
      </w:r>
      <w:r>
        <w:rPr>
          <w:rFonts w:hint="eastAsia"/>
          <w:color w:val="auto"/>
          <w:szCs w:val="21"/>
          <w:highlight w:val="none"/>
          <w:lang w:val="en-US" w:eastAsia="zh-CN"/>
        </w:rPr>
        <w:t>系统调试</w:t>
      </w:r>
      <w:r>
        <w:rPr>
          <w:color w:val="auto"/>
          <w:szCs w:val="21"/>
          <w:highlight w:val="none"/>
        </w:rPr>
        <w:t>合格后，强</w:t>
      </w:r>
      <w:r>
        <w:rPr>
          <w:rFonts w:hint="eastAsia"/>
          <w:color w:val="auto"/>
          <w:szCs w:val="21"/>
          <w:highlight w:val="none"/>
        </w:rPr>
        <w:t>、弱</w:t>
      </w:r>
      <w:r>
        <w:rPr>
          <w:color w:val="auto"/>
          <w:szCs w:val="21"/>
          <w:highlight w:val="none"/>
        </w:rPr>
        <w:t>电系统及车站设备可开始</w:t>
      </w:r>
      <w:r>
        <w:rPr>
          <w:rFonts w:hint="eastAsia"/>
          <w:color w:val="auto"/>
          <w:szCs w:val="21"/>
          <w:highlight w:val="none"/>
          <w:lang w:val="en-US" w:eastAsia="zh-CN"/>
        </w:rPr>
        <w:t>综合联调</w:t>
      </w:r>
      <w:r>
        <w:rPr>
          <w:color w:val="auto"/>
          <w:szCs w:val="21"/>
          <w:highlight w:val="none"/>
        </w:rPr>
        <w:t>。</w:t>
      </w:r>
    </w:p>
    <w:p>
      <w:pPr>
        <w:spacing w:line="360" w:lineRule="auto"/>
        <w:ind w:left="850" w:leftChars="405"/>
        <w:rPr>
          <w:color w:val="auto"/>
          <w:szCs w:val="21"/>
          <w:highlight w:val="none"/>
        </w:rPr>
      </w:pPr>
      <w:r>
        <w:rPr>
          <w:color w:val="auto"/>
          <w:szCs w:val="21"/>
          <w:highlight w:val="none"/>
        </w:rPr>
        <w:t>（2）</w:t>
      </w:r>
      <w:r>
        <w:rPr>
          <w:rFonts w:hint="eastAsia"/>
          <w:color w:val="auto"/>
          <w:szCs w:val="21"/>
          <w:highlight w:val="none"/>
          <w:lang w:val="en-US" w:eastAsia="zh-CN"/>
        </w:rPr>
        <w:t>集成商需要制定明确的联调目标、范围、时间表和责任分工</w:t>
      </w:r>
      <w:r>
        <w:rPr>
          <w:color w:val="auto"/>
          <w:szCs w:val="21"/>
          <w:highlight w:val="none"/>
        </w:rPr>
        <w:t>。</w:t>
      </w:r>
    </w:p>
    <w:p>
      <w:pPr>
        <w:spacing w:line="360" w:lineRule="auto"/>
        <w:ind w:left="850" w:leftChars="405"/>
        <w:rPr>
          <w:color w:val="auto"/>
          <w:szCs w:val="21"/>
          <w:highlight w:val="none"/>
        </w:rPr>
      </w:pPr>
      <w:r>
        <w:rPr>
          <w:color w:val="auto"/>
          <w:szCs w:val="21"/>
          <w:highlight w:val="none"/>
        </w:rPr>
        <w:t>（3）</w:t>
      </w:r>
      <w:r>
        <w:rPr>
          <w:rFonts w:hint="eastAsia"/>
          <w:color w:val="auto"/>
          <w:szCs w:val="21"/>
          <w:highlight w:val="none"/>
          <w:lang w:val="en-US" w:eastAsia="zh-CN"/>
        </w:rPr>
        <w:t>集成商负责协调检查联调前各系统具备联调能力</w:t>
      </w:r>
      <w:r>
        <w:rPr>
          <w:color w:val="auto"/>
          <w:szCs w:val="21"/>
          <w:highlight w:val="none"/>
        </w:rPr>
        <w:t>。</w:t>
      </w:r>
    </w:p>
    <w:p>
      <w:pPr>
        <w:spacing w:line="360" w:lineRule="auto"/>
        <w:ind w:left="850" w:leftChars="405"/>
        <w:rPr>
          <w:color w:val="auto"/>
          <w:szCs w:val="21"/>
          <w:highlight w:val="none"/>
        </w:rPr>
      </w:pPr>
      <w:r>
        <w:rPr>
          <w:color w:val="auto"/>
          <w:szCs w:val="21"/>
          <w:highlight w:val="none"/>
        </w:rPr>
        <w:t>（4）集成商应对</w:t>
      </w:r>
      <w:r>
        <w:rPr>
          <w:rFonts w:hint="eastAsia"/>
          <w:color w:val="auto"/>
          <w:szCs w:val="21"/>
          <w:highlight w:val="none"/>
          <w:lang w:val="en-US" w:eastAsia="zh-CN"/>
        </w:rPr>
        <w:t>综合联调</w:t>
      </w:r>
      <w:r>
        <w:rPr>
          <w:color w:val="auto"/>
          <w:szCs w:val="21"/>
          <w:highlight w:val="none"/>
        </w:rPr>
        <w:t>中可能出现的问题，并提出相应的解决建议方案。</w:t>
      </w:r>
    </w:p>
    <w:p>
      <w:pPr>
        <w:spacing w:line="360" w:lineRule="auto"/>
        <w:ind w:left="850" w:leftChars="405"/>
        <w:rPr>
          <w:color w:val="auto"/>
          <w:szCs w:val="21"/>
          <w:highlight w:val="none"/>
        </w:rPr>
      </w:pPr>
      <w:r>
        <w:rPr>
          <w:color w:val="auto"/>
          <w:szCs w:val="21"/>
          <w:highlight w:val="none"/>
        </w:rPr>
        <w:t>（5）集成商应负责</w:t>
      </w:r>
      <w:r>
        <w:rPr>
          <w:rFonts w:hint="eastAsia"/>
          <w:color w:val="auto"/>
          <w:szCs w:val="21"/>
          <w:highlight w:val="none"/>
          <w:lang w:val="en-US" w:eastAsia="zh-CN"/>
        </w:rPr>
        <w:t>编写综合联调报告</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6.1.7.</w:t>
      </w:r>
      <w:r>
        <w:rPr>
          <w:rFonts w:hint="eastAsia"/>
          <w:color w:val="auto"/>
          <w:szCs w:val="21"/>
          <w:highlight w:val="none"/>
          <w:lang w:val="en-US" w:eastAsia="zh-CN"/>
        </w:rPr>
        <w:t>4</w:t>
      </w:r>
      <w:r>
        <w:rPr>
          <w:color w:val="auto"/>
          <w:szCs w:val="21"/>
          <w:highlight w:val="none"/>
        </w:rPr>
        <w:t xml:space="preserve">  144小时连续试验</w:t>
      </w:r>
    </w:p>
    <w:p>
      <w:pPr>
        <w:spacing w:line="360" w:lineRule="auto"/>
        <w:ind w:left="850" w:leftChars="405"/>
        <w:rPr>
          <w:color w:val="auto"/>
          <w:szCs w:val="21"/>
          <w:highlight w:val="none"/>
        </w:rPr>
      </w:pPr>
      <w:r>
        <w:rPr>
          <w:color w:val="auto"/>
          <w:szCs w:val="21"/>
          <w:highlight w:val="none"/>
        </w:rPr>
        <w:t>（1）系统调试合格后，所有系统设备连接起来进行不间断联合功能试验。</w:t>
      </w:r>
    </w:p>
    <w:p>
      <w:pPr>
        <w:spacing w:line="360" w:lineRule="auto"/>
        <w:ind w:left="850" w:leftChars="405"/>
        <w:rPr>
          <w:color w:val="auto"/>
          <w:szCs w:val="21"/>
          <w:highlight w:val="none"/>
        </w:rPr>
      </w:pPr>
      <w:r>
        <w:rPr>
          <w:color w:val="auto"/>
          <w:szCs w:val="21"/>
          <w:highlight w:val="none"/>
        </w:rPr>
        <w:t>（2）144小时连续试验应在业主和集成商认为系统调试成功结束时开始。</w:t>
      </w:r>
    </w:p>
    <w:p>
      <w:pPr>
        <w:spacing w:line="360" w:lineRule="auto"/>
        <w:ind w:left="850" w:leftChars="405"/>
        <w:rPr>
          <w:color w:val="auto"/>
          <w:szCs w:val="21"/>
          <w:highlight w:val="none"/>
        </w:rPr>
      </w:pPr>
      <w:r>
        <w:rPr>
          <w:color w:val="auto"/>
          <w:szCs w:val="21"/>
          <w:highlight w:val="none"/>
        </w:rPr>
        <w:t>（3）集成商负责协调解决系统144小时连续试验过程中出现的技术、接口等问题，并负责落实。</w:t>
      </w:r>
    </w:p>
    <w:p>
      <w:pPr>
        <w:spacing w:line="360" w:lineRule="auto"/>
        <w:ind w:left="850" w:leftChars="405"/>
        <w:rPr>
          <w:color w:val="auto"/>
          <w:szCs w:val="21"/>
          <w:highlight w:val="none"/>
        </w:rPr>
      </w:pPr>
      <w:r>
        <w:rPr>
          <w:color w:val="auto"/>
          <w:szCs w:val="21"/>
          <w:highlight w:val="none"/>
        </w:rPr>
        <w:t>（4）试验过程中，下列现象不认为是系统故障：自然灾害；外部电源停电时间超过规定值；其他系统导致本子系统中断引起的故障。</w:t>
      </w:r>
    </w:p>
    <w:p>
      <w:pPr>
        <w:spacing w:line="360" w:lineRule="auto"/>
        <w:ind w:left="850" w:leftChars="405"/>
        <w:rPr>
          <w:color w:val="auto"/>
          <w:szCs w:val="21"/>
          <w:highlight w:val="none"/>
        </w:rPr>
      </w:pPr>
      <w:r>
        <w:rPr>
          <w:color w:val="auto"/>
          <w:szCs w:val="21"/>
          <w:highlight w:val="none"/>
        </w:rPr>
        <w:t>（5）试验期间，不允许出现系统故障，如出现则终止试验，供货商负责及时修复和更换，包括按合同规定承担所需费用。然后再重新开始144小时的试验，直至144小时试验通过。</w:t>
      </w:r>
    </w:p>
    <w:p>
      <w:pPr>
        <w:spacing w:line="360" w:lineRule="auto"/>
        <w:ind w:left="850" w:leftChars="405"/>
        <w:rPr>
          <w:color w:val="auto"/>
          <w:szCs w:val="21"/>
          <w:highlight w:val="none"/>
        </w:rPr>
      </w:pPr>
      <w:r>
        <w:rPr>
          <w:color w:val="auto"/>
          <w:szCs w:val="21"/>
          <w:highlight w:val="none"/>
        </w:rPr>
        <w:t>（6）供货商应承担由于上述故障造成的工期延误、直接和间接损失，按合同规定承担所涉及的所有费用。</w:t>
      </w:r>
    </w:p>
    <w:p>
      <w:pPr>
        <w:spacing w:line="360" w:lineRule="auto"/>
        <w:ind w:left="850" w:leftChars="405"/>
        <w:rPr>
          <w:color w:val="auto"/>
          <w:szCs w:val="21"/>
          <w:highlight w:val="none"/>
        </w:rPr>
      </w:pPr>
      <w:r>
        <w:rPr>
          <w:color w:val="auto"/>
          <w:szCs w:val="21"/>
          <w:highlight w:val="none"/>
        </w:rPr>
        <w:t>（7）如果第3次144小时试验仍通不过，则该子系统设备将视为不符合合同要求的子系统设备。除对供货商处以合同规定的罚款外，合同双方将另行商量其善后措施。但供货商有责任迅速采取有效措施，包括更换主要设备等。由此引起业主的损失，包括工期延误及运营的一切损失由供货商承担。</w:t>
      </w:r>
    </w:p>
    <w:p>
      <w:pPr>
        <w:numPr>
          <w:ilvl w:val="0"/>
          <w:numId w:val="0"/>
        </w:numPr>
        <w:spacing w:line="360" w:lineRule="auto"/>
        <w:ind w:leftChars="0" w:firstLine="420" w:firstLineChars="200"/>
        <w:rPr>
          <w:color w:val="auto"/>
          <w:szCs w:val="21"/>
          <w:highlight w:val="none"/>
        </w:rPr>
      </w:pPr>
      <w:r>
        <w:rPr>
          <w:color w:val="auto"/>
          <w:szCs w:val="21"/>
          <w:highlight w:val="none"/>
        </w:rPr>
        <w:t>6.1.7.</w:t>
      </w:r>
      <w:r>
        <w:rPr>
          <w:rFonts w:hint="eastAsia"/>
          <w:color w:val="auto"/>
          <w:szCs w:val="21"/>
          <w:highlight w:val="none"/>
          <w:lang w:val="en-US" w:eastAsia="zh-CN"/>
        </w:rPr>
        <w:t xml:space="preserve">5 </w:t>
      </w:r>
      <w:r>
        <w:rPr>
          <w:color w:val="auto"/>
          <w:szCs w:val="21"/>
          <w:highlight w:val="none"/>
        </w:rPr>
        <w:t>联调、试运行计划：包括编制联调方案、</w:t>
      </w:r>
      <w:r>
        <w:rPr>
          <w:rFonts w:hint="eastAsia"/>
          <w:color w:val="auto"/>
          <w:szCs w:val="21"/>
          <w:highlight w:val="none"/>
        </w:rPr>
        <w:t>联调</w:t>
      </w:r>
      <w:r>
        <w:rPr>
          <w:color w:val="auto"/>
          <w:szCs w:val="21"/>
          <w:highlight w:val="none"/>
        </w:rPr>
        <w:t>计划</w:t>
      </w:r>
      <w:r>
        <w:rPr>
          <w:rFonts w:hint="eastAsia"/>
          <w:color w:val="auto"/>
          <w:szCs w:val="21"/>
          <w:highlight w:val="none"/>
        </w:rPr>
        <w:t>、实施细则</w:t>
      </w:r>
      <w:r>
        <w:rPr>
          <w:color w:val="auto"/>
          <w:szCs w:val="21"/>
          <w:highlight w:val="none"/>
        </w:rPr>
        <w:t>报业主审批，牵头组织安排所有相关专业（包括强电、弱电、</w:t>
      </w:r>
      <w:r>
        <w:rPr>
          <w:rFonts w:hint="eastAsia"/>
          <w:color w:val="auto"/>
          <w:szCs w:val="21"/>
          <w:highlight w:val="none"/>
        </w:rPr>
        <w:t>车辆、</w:t>
      </w:r>
      <w:r>
        <w:rPr>
          <w:color w:val="auto"/>
          <w:szCs w:val="21"/>
          <w:highlight w:val="none"/>
        </w:rPr>
        <w:t>车站设备等）</w:t>
      </w:r>
      <w:r>
        <w:rPr>
          <w:rFonts w:hint="eastAsia"/>
          <w:color w:val="auto"/>
          <w:szCs w:val="21"/>
          <w:highlight w:val="none"/>
        </w:rPr>
        <w:t>系统承包商</w:t>
      </w:r>
      <w:r>
        <w:rPr>
          <w:color w:val="auto"/>
          <w:szCs w:val="21"/>
          <w:highlight w:val="none"/>
        </w:rPr>
        <w:t>、供货商参与系统联调</w:t>
      </w:r>
      <w:r>
        <w:rPr>
          <w:rFonts w:hint="eastAsia"/>
          <w:color w:val="auto"/>
          <w:szCs w:val="21"/>
          <w:highlight w:val="none"/>
          <w:lang w:eastAsia="zh-CN"/>
        </w:rPr>
        <w:t>、</w:t>
      </w:r>
      <w:r>
        <w:rPr>
          <w:rFonts w:hint="eastAsia"/>
          <w:color w:val="auto"/>
          <w:szCs w:val="21"/>
          <w:highlight w:val="none"/>
          <w:lang w:val="en-US" w:eastAsia="zh-CN"/>
        </w:rPr>
        <w:t>综合联调</w:t>
      </w:r>
      <w:r>
        <w:rPr>
          <w:color w:val="auto"/>
          <w:szCs w:val="21"/>
          <w:highlight w:val="none"/>
        </w:rPr>
        <w:t>，</w:t>
      </w:r>
      <w:r>
        <w:rPr>
          <w:rFonts w:hint="eastAsia"/>
          <w:color w:val="auto"/>
          <w:szCs w:val="21"/>
          <w:highlight w:val="none"/>
          <w:lang w:val="en-US" w:eastAsia="zh-CN"/>
        </w:rPr>
        <w:t>协调</w:t>
      </w:r>
      <w:r>
        <w:rPr>
          <w:color w:val="auto"/>
          <w:szCs w:val="21"/>
          <w:highlight w:val="none"/>
        </w:rPr>
        <w:t>解决联调和试运行过程中出现的技术问题，提出联调和试运行过程中可能出现问题的解决方案。</w:t>
      </w:r>
    </w:p>
    <w:p>
      <w:pPr>
        <w:numPr>
          <w:ilvl w:val="0"/>
          <w:numId w:val="0"/>
        </w:numPr>
        <w:spacing w:line="360" w:lineRule="auto"/>
        <w:ind w:leftChars="0" w:firstLine="420" w:firstLineChars="200"/>
        <w:rPr>
          <w:color w:val="auto"/>
          <w:szCs w:val="21"/>
          <w:highlight w:val="none"/>
        </w:rPr>
      </w:pPr>
      <w:r>
        <w:rPr>
          <w:color w:val="auto"/>
          <w:szCs w:val="21"/>
          <w:highlight w:val="none"/>
        </w:rPr>
        <w:t>6.1.7.</w:t>
      </w:r>
      <w:r>
        <w:rPr>
          <w:rFonts w:hint="eastAsia"/>
          <w:color w:val="auto"/>
          <w:szCs w:val="21"/>
          <w:highlight w:val="none"/>
          <w:lang w:val="en-US" w:eastAsia="zh-CN"/>
        </w:rPr>
        <w:t>6</w:t>
      </w:r>
      <w:r>
        <w:rPr>
          <w:color w:val="auto"/>
          <w:szCs w:val="21"/>
          <w:highlight w:val="none"/>
        </w:rPr>
        <w:t>设备培训计划：包括制定总的培训安排，组织、落实与培训相关的各项工作。</w:t>
      </w:r>
    </w:p>
    <w:p>
      <w:pPr>
        <w:numPr>
          <w:ilvl w:val="0"/>
          <w:numId w:val="0"/>
        </w:numPr>
        <w:spacing w:line="360" w:lineRule="auto"/>
        <w:ind w:leftChars="0" w:firstLine="420" w:firstLineChars="200"/>
        <w:rPr>
          <w:color w:val="auto"/>
          <w:szCs w:val="21"/>
          <w:highlight w:val="none"/>
        </w:rPr>
      </w:pPr>
      <w:r>
        <w:rPr>
          <w:color w:val="auto"/>
          <w:szCs w:val="21"/>
          <w:highlight w:val="none"/>
        </w:rPr>
        <w:t>6.1.7.</w:t>
      </w:r>
      <w:r>
        <w:rPr>
          <w:rFonts w:hint="eastAsia"/>
          <w:color w:val="auto"/>
          <w:szCs w:val="21"/>
          <w:highlight w:val="none"/>
          <w:lang w:val="en-US" w:eastAsia="zh-CN"/>
        </w:rPr>
        <w:t>7</w:t>
      </w:r>
      <w:r>
        <w:rPr>
          <w:color w:val="auto"/>
          <w:szCs w:val="21"/>
          <w:highlight w:val="none"/>
        </w:rPr>
        <w:t>项目实施过程中月、季度、年度项目计划：集成服务商根据工程的工期要求和业主工程计划，应制定切实可行的月、季度、年度项目计划，报业主确认批准。</w:t>
      </w:r>
    </w:p>
    <w:p>
      <w:pPr>
        <w:numPr>
          <w:ilvl w:val="0"/>
          <w:numId w:val="0"/>
        </w:numPr>
        <w:spacing w:line="360" w:lineRule="auto"/>
        <w:ind w:leftChars="0" w:firstLine="420" w:firstLineChars="200"/>
        <w:rPr>
          <w:color w:val="auto"/>
          <w:szCs w:val="21"/>
          <w:highlight w:val="none"/>
        </w:rPr>
      </w:pPr>
      <w:r>
        <w:rPr>
          <w:color w:val="auto"/>
          <w:szCs w:val="21"/>
          <w:highlight w:val="none"/>
        </w:rPr>
        <w:t>6.1.7.</w:t>
      </w:r>
      <w:r>
        <w:rPr>
          <w:rFonts w:hint="eastAsia"/>
          <w:color w:val="auto"/>
          <w:szCs w:val="21"/>
          <w:highlight w:val="none"/>
          <w:lang w:val="en-US" w:eastAsia="zh-CN"/>
        </w:rPr>
        <w:t>8</w:t>
      </w:r>
      <w:r>
        <w:rPr>
          <w:color w:val="auto"/>
          <w:szCs w:val="21"/>
          <w:highlight w:val="none"/>
        </w:rPr>
        <w:t>进度控制验收：各计划全面，并得到贯彻执行，经业主评定通过后，方可认为此项工作的完成。</w:t>
      </w:r>
    </w:p>
    <w:p>
      <w:pPr>
        <w:pStyle w:val="4"/>
        <w:bidi w:val="0"/>
        <w:rPr>
          <w:rFonts w:hint="eastAsia" w:ascii="黑体" w:hAnsi="黑体" w:eastAsia="黑体" w:cs="黑体"/>
          <w:color w:val="auto"/>
          <w:sz w:val="21"/>
          <w:szCs w:val="21"/>
          <w:highlight w:val="none"/>
        </w:rPr>
      </w:pPr>
      <w:bookmarkStart w:id="2337" w:name="_Toc306091640"/>
      <w:bookmarkStart w:id="2338" w:name="_Toc130847134"/>
      <w:bookmarkStart w:id="2339" w:name="_Toc11777"/>
      <w:bookmarkStart w:id="2340" w:name="_Toc28214"/>
      <w:bookmarkStart w:id="2341" w:name="_Toc6528"/>
      <w:bookmarkStart w:id="2342" w:name="_Toc184763345"/>
      <w:bookmarkStart w:id="2343" w:name="_Toc309026913"/>
      <w:bookmarkStart w:id="2344" w:name="_Toc4995"/>
      <w:bookmarkStart w:id="2345" w:name="_Toc17975"/>
      <w:bookmarkStart w:id="2346" w:name="_Toc7840"/>
      <w:bookmarkStart w:id="2347" w:name="_Toc309026519"/>
      <w:r>
        <w:rPr>
          <w:rFonts w:hint="eastAsia" w:ascii="黑体" w:hAnsi="黑体" w:eastAsia="黑体" w:cs="黑体"/>
          <w:color w:val="auto"/>
          <w:sz w:val="21"/>
          <w:szCs w:val="21"/>
          <w:highlight w:val="none"/>
          <w:lang w:val="en-US" w:eastAsia="zh-CN"/>
        </w:rPr>
        <w:t>6.2</w:t>
      </w:r>
      <w:r>
        <w:rPr>
          <w:rFonts w:hint="eastAsia" w:ascii="黑体" w:hAnsi="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质量控制</w:t>
      </w:r>
      <w:bookmarkEnd w:id="2337"/>
      <w:bookmarkEnd w:id="2338"/>
      <w:bookmarkEnd w:id="2339"/>
      <w:bookmarkEnd w:id="2340"/>
      <w:bookmarkEnd w:id="2341"/>
      <w:bookmarkEnd w:id="2342"/>
      <w:bookmarkEnd w:id="2343"/>
      <w:bookmarkEnd w:id="2344"/>
      <w:bookmarkEnd w:id="2345"/>
      <w:bookmarkEnd w:id="2346"/>
      <w:bookmarkEnd w:id="2347"/>
    </w:p>
    <w:p>
      <w:pPr>
        <w:spacing w:line="360" w:lineRule="auto"/>
        <w:ind w:firstLine="420" w:firstLineChars="200"/>
        <w:rPr>
          <w:color w:val="auto"/>
          <w:szCs w:val="21"/>
          <w:highlight w:val="none"/>
        </w:rPr>
      </w:pPr>
      <w:r>
        <w:rPr>
          <w:color w:val="auto"/>
          <w:szCs w:val="21"/>
          <w:highlight w:val="none"/>
        </w:rPr>
        <w:t>集成服务商应严格按照ISO9000质量体系的规定，制定项目质量控制标准，保证在项目执行的各个阶段，质量均得到有效控制，所有质量控制过程均应有质量记录，以便进行产品质量的追溯。</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6.2.1 </w:t>
      </w:r>
      <w:r>
        <w:rPr>
          <w:color w:val="auto"/>
          <w:szCs w:val="21"/>
          <w:highlight w:val="none"/>
        </w:rPr>
        <w:t>设计、生产制造、测试等阶段的控制</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6.2.1.2 </w:t>
      </w:r>
      <w:r>
        <w:rPr>
          <w:color w:val="auto"/>
          <w:szCs w:val="21"/>
          <w:highlight w:val="none"/>
        </w:rPr>
        <w:t>对于合同的各个阶段（供货商设备的设计、生产制造、测试等阶段）集成服务商必须制订和执行质量保证监督计划，清楚地阐明对各个阶段的检查验收及测试方法，确保供货商交付的各项设备和提供的各项服务均达到合同的要求。</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6.2.1.3 </w:t>
      </w:r>
      <w:r>
        <w:rPr>
          <w:color w:val="auto"/>
          <w:szCs w:val="21"/>
          <w:highlight w:val="none"/>
        </w:rPr>
        <w:t>集成服务商在发出开工指令后的5天内，应制定设备监造实施计划（包括但不限于时间、内容、人数、业主配合），并交业主确认。</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6.2.1.4 </w:t>
      </w:r>
      <w:r>
        <w:rPr>
          <w:color w:val="auto"/>
          <w:szCs w:val="21"/>
          <w:highlight w:val="none"/>
        </w:rPr>
        <w:t>集成服务商应对直接影响质量的制造和装配过程进行鉴定和制定计划，并应保证这些过程应在被控制的条件下进行，控制条件包括如下：</w:t>
      </w:r>
    </w:p>
    <w:p>
      <w:pPr>
        <w:numPr>
          <w:ilvl w:val="0"/>
          <w:numId w:val="0"/>
        </w:numPr>
        <w:spacing w:line="360" w:lineRule="auto"/>
        <w:ind w:left="804"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集成服务商应要求供货商明文规定的操作规程应详细说明制造和装配方法，缺少这些规程，将会影响质量。使用合适的制造和装配设备，合适的工作环境，符合所参照的标准/规程和质量计划。</w:t>
      </w:r>
    </w:p>
    <w:p>
      <w:pPr>
        <w:numPr>
          <w:ilvl w:val="0"/>
          <w:numId w:val="0"/>
        </w:numPr>
        <w:spacing w:line="360" w:lineRule="auto"/>
        <w:ind w:left="804"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集成服务商在供货商产品制造和装配期间，对生产工艺和产品性能进行监督和控制。</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6.2.1.5 </w:t>
      </w:r>
      <w:r>
        <w:rPr>
          <w:color w:val="auto"/>
          <w:szCs w:val="21"/>
          <w:highlight w:val="none"/>
        </w:rPr>
        <w:t>集成服务商必须说明将如何对其质检员工进行适当的培训，保证质检员工合格上岗，顺利地完成本职工作。</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6.2.1.6 </w:t>
      </w:r>
      <w:r>
        <w:rPr>
          <w:color w:val="auto"/>
          <w:szCs w:val="21"/>
          <w:highlight w:val="none"/>
        </w:rPr>
        <w:t>集成服务商在供货商设备的设计、生产制造、测试等阶段，应对各设备之间的接口进行梳理、协调和配合，以使各设备间接口关系明晰、合理，接口责任清楚，确保各设备质量。</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6.2.2 </w:t>
      </w:r>
      <w:r>
        <w:rPr>
          <w:color w:val="auto"/>
          <w:szCs w:val="21"/>
          <w:highlight w:val="none"/>
        </w:rPr>
        <w:t>检查和试验</w:t>
      </w:r>
    </w:p>
    <w:p>
      <w:pPr>
        <w:spacing w:line="360" w:lineRule="auto"/>
        <w:ind w:firstLine="420" w:firstLineChars="200"/>
        <w:rPr>
          <w:color w:val="auto"/>
          <w:szCs w:val="21"/>
          <w:highlight w:val="none"/>
        </w:rPr>
      </w:pPr>
      <w:r>
        <w:rPr>
          <w:color w:val="auto"/>
          <w:szCs w:val="21"/>
          <w:highlight w:val="none"/>
        </w:rPr>
        <w:t>集成服务商应保证未经检查或鉴定是否符合所规定要求的产品不得使用或加工。鉴定应按质量计划或明文规定的规程进行。</w:t>
      </w:r>
    </w:p>
    <w:p>
      <w:pPr>
        <w:spacing w:line="360" w:lineRule="auto"/>
        <w:ind w:firstLine="420" w:firstLineChars="200"/>
        <w:rPr>
          <w:color w:val="auto"/>
          <w:szCs w:val="21"/>
          <w:highlight w:val="none"/>
        </w:rPr>
      </w:pPr>
      <w:r>
        <w:rPr>
          <w:color w:val="auto"/>
          <w:szCs w:val="21"/>
          <w:highlight w:val="none"/>
        </w:rPr>
        <w:t>集成服务商应在设备出厂试验、验收前3个月要求供货商提交试验、验收文件（包括但不限于检验项目、检验方法、检验标准等）和计划，予以审核后，报业主确认批准。</w:t>
      </w:r>
    </w:p>
    <w:p>
      <w:pPr>
        <w:spacing w:line="360" w:lineRule="auto"/>
        <w:ind w:firstLine="420" w:firstLineChars="200"/>
        <w:rPr>
          <w:color w:val="auto"/>
          <w:szCs w:val="21"/>
          <w:highlight w:val="none"/>
        </w:rPr>
      </w:pPr>
      <w:r>
        <w:rPr>
          <w:color w:val="auto"/>
          <w:szCs w:val="21"/>
          <w:highlight w:val="none"/>
        </w:rPr>
        <w:t>集成服务商应派足够的人力监督供货商在本阶段的工作，检查供货商是否按照出厂试验、验收规格书进行相应的试验，要求供货商不得以任何借口减少试验项目和内容。</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6.2.2 .1 </w:t>
      </w:r>
      <w:r>
        <w:rPr>
          <w:color w:val="auto"/>
          <w:szCs w:val="21"/>
          <w:highlight w:val="none"/>
        </w:rPr>
        <w:t>加工过程中的检查和试验：按质量计划或明文规定的规程检查、试验和鉴定供货商的工作。</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 xml:space="preserve">6.2.2 .2 </w:t>
      </w:r>
      <w:r>
        <w:rPr>
          <w:color w:val="auto"/>
          <w:szCs w:val="21"/>
          <w:highlight w:val="none"/>
        </w:rPr>
        <w:t>检查、测量和试验设备：集成服务商应要求供货商对其检查、测量和试验的设备进行定期控制、校核和维护，以显示这些产品与规定的要求相一致。</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6.2.2 .3</w:t>
      </w:r>
      <w:r>
        <w:rPr>
          <w:color w:val="auto"/>
          <w:szCs w:val="21"/>
          <w:highlight w:val="none"/>
        </w:rPr>
        <w:t>检查和试验状态：集成服务商应要求供货商对其产品的检查和试验状态应用标记，规定授权的印章、标签、标识、卡片，检查记录，试验软件，物体的放置或其它合格的手段加以识别，表明其经过检查，试验是合格还是不合格。上述识别标记应在产品的制造、安装过程中一直保存，以保证只有通过所需检查，试验的产品才能发放，使用或安装。记录上应明确合格产品发放的授权检查单位。</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6.2.2 .4</w:t>
      </w:r>
      <w:r>
        <w:rPr>
          <w:color w:val="auto"/>
          <w:szCs w:val="21"/>
          <w:highlight w:val="none"/>
        </w:rPr>
        <w:t>最终检查：集成服务商应按照质量计划和成文的规程的规定，执行所有的最终检查并最后确认供货商所完成的产品满足合同技术规格书和各次设计联络会议纪要的要求。</w:t>
      </w:r>
    </w:p>
    <w:p>
      <w:pPr>
        <w:numPr>
          <w:ilvl w:val="0"/>
          <w:numId w:val="0"/>
        </w:numPr>
        <w:spacing w:line="360" w:lineRule="auto"/>
        <w:ind w:leftChars="0" w:firstLine="420" w:firstLineChars="200"/>
        <w:rPr>
          <w:color w:val="auto"/>
          <w:szCs w:val="21"/>
          <w:highlight w:val="none"/>
        </w:rPr>
      </w:pPr>
      <w:r>
        <w:rPr>
          <w:rFonts w:hint="eastAsia"/>
          <w:color w:val="auto"/>
          <w:szCs w:val="21"/>
          <w:highlight w:val="none"/>
          <w:lang w:val="en-US" w:eastAsia="zh-CN"/>
        </w:rPr>
        <w:t>6.2.2 .5</w:t>
      </w:r>
      <w:r>
        <w:rPr>
          <w:color w:val="auto"/>
          <w:szCs w:val="21"/>
          <w:highlight w:val="none"/>
        </w:rPr>
        <w:t>集成服务商应编制和保存证明产品已按规定的验收条件通过了检查和试验的记录。</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6.2.3 </w:t>
      </w:r>
      <w:r>
        <w:rPr>
          <w:color w:val="auto"/>
          <w:szCs w:val="21"/>
          <w:highlight w:val="none"/>
        </w:rPr>
        <w:t>质量审核</w:t>
      </w:r>
    </w:p>
    <w:p>
      <w:pPr>
        <w:spacing w:line="360" w:lineRule="auto"/>
        <w:ind w:firstLine="420" w:firstLineChars="200"/>
        <w:rPr>
          <w:color w:val="auto"/>
          <w:szCs w:val="21"/>
          <w:highlight w:val="none"/>
        </w:rPr>
      </w:pPr>
      <w:r>
        <w:rPr>
          <w:color w:val="auto"/>
          <w:szCs w:val="21"/>
          <w:highlight w:val="none"/>
        </w:rPr>
        <w:t>集成服务商应落实一个有计划的和有文件规定的综合的内部质量审核体系，用以审核其质量保证监督措施是否与计划安排的相一致，并用以决定质量体系的有效性。</w:t>
      </w:r>
    </w:p>
    <w:p>
      <w:pPr>
        <w:spacing w:line="360" w:lineRule="auto"/>
        <w:ind w:firstLine="420" w:firstLineChars="200"/>
        <w:rPr>
          <w:color w:val="auto"/>
          <w:szCs w:val="21"/>
          <w:highlight w:val="none"/>
        </w:rPr>
      </w:pPr>
      <w:r>
        <w:rPr>
          <w:color w:val="auto"/>
          <w:szCs w:val="21"/>
          <w:highlight w:val="none"/>
        </w:rPr>
        <w:t>审核工作应根据其活动的重要性和状态进行安排。</w:t>
      </w:r>
    </w:p>
    <w:p>
      <w:pPr>
        <w:spacing w:line="360" w:lineRule="auto"/>
        <w:ind w:firstLine="420" w:firstLineChars="200"/>
        <w:rPr>
          <w:color w:val="auto"/>
          <w:szCs w:val="21"/>
          <w:highlight w:val="none"/>
        </w:rPr>
      </w:pPr>
      <w:r>
        <w:rPr>
          <w:color w:val="auto"/>
          <w:szCs w:val="21"/>
          <w:highlight w:val="none"/>
        </w:rPr>
        <w:t>审核及随之而来的活动应根据文件规定的程序进行。</w:t>
      </w:r>
    </w:p>
    <w:p>
      <w:pPr>
        <w:spacing w:line="360" w:lineRule="auto"/>
        <w:ind w:firstLine="420" w:firstLineChars="200"/>
        <w:rPr>
          <w:color w:val="auto"/>
          <w:szCs w:val="21"/>
          <w:highlight w:val="none"/>
        </w:rPr>
      </w:pPr>
      <w:r>
        <w:rPr>
          <w:color w:val="auto"/>
          <w:szCs w:val="21"/>
          <w:highlight w:val="none"/>
        </w:rPr>
        <w:t>应使审核结果及形成的文件引起被审核的有关部门负责人的注意，该部门的负责人员应对所发现的问题及时采取措施。</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6.2.4 </w:t>
      </w:r>
      <w:r>
        <w:rPr>
          <w:color w:val="auto"/>
          <w:szCs w:val="21"/>
          <w:highlight w:val="none"/>
        </w:rPr>
        <w:t>质量记录控制</w:t>
      </w:r>
    </w:p>
    <w:p>
      <w:pPr>
        <w:spacing w:line="360" w:lineRule="auto"/>
        <w:ind w:firstLine="420" w:firstLineChars="200"/>
        <w:rPr>
          <w:color w:val="auto"/>
          <w:szCs w:val="21"/>
          <w:highlight w:val="none"/>
        </w:rPr>
      </w:pPr>
      <w:r>
        <w:rPr>
          <w:color w:val="auto"/>
          <w:szCs w:val="21"/>
          <w:highlight w:val="none"/>
        </w:rPr>
        <w:t>集成服务商应要求供货商做好产品质量记录，以证明产品达到所需要的质量要求。</w:t>
      </w:r>
    </w:p>
    <w:p>
      <w:pPr>
        <w:spacing w:line="360" w:lineRule="auto"/>
        <w:rPr>
          <w:color w:val="auto"/>
          <w:szCs w:val="21"/>
          <w:highlight w:val="none"/>
        </w:rPr>
      </w:pPr>
      <w:r>
        <w:rPr>
          <w:color w:val="auto"/>
          <w:szCs w:val="21"/>
          <w:highlight w:val="none"/>
        </w:rPr>
        <w:t>所有产品的质量记录应清晰可辨。</w:t>
      </w:r>
    </w:p>
    <w:p>
      <w:pPr>
        <w:spacing w:line="360" w:lineRule="auto"/>
        <w:ind w:left="582" w:leftChars="277"/>
        <w:rPr>
          <w:color w:val="auto"/>
          <w:szCs w:val="21"/>
          <w:highlight w:val="none"/>
        </w:rPr>
      </w:pPr>
      <w:r>
        <w:rPr>
          <w:color w:val="auto"/>
          <w:szCs w:val="21"/>
          <w:highlight w:val="none"/>
        </w:rPr>
        <w:t>如业主需要，应可得到这些记录。</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6.2.5 </w:t>
      </w:r>
      <w:r>
        <w:rPr>
          <w:color w:val="auto"/>
          <w:szCs w:val="21"/>
          <w:highlight w:val="none"/>
        </w:rPr>
        <w:t>质量控制验收</w:t>
      </w:r>
    </w:p>
    <w:p>
      <w:pPr>
        <w:spacing w:line="360" w:lineRule="auto"/>
        <w:ind w:firstLine="420" w:firstLineChars="200"/>
        <w:rPr>
          <w:color w:val="auto"/>
          <w:szCs w:val="21"/>
          <w:highlight w:val="none"/>
        </w:rPr>
      </w:pPr>
      <w:r>
        <w:rPr>
          <w:color w:val="auto"/>
          <w:szCs w:val="21"/>
          <w:highlight w:val="none"/>
        </w:rPr>
        <w:t>上述质量控制管理文件和工作经业主评定通过后，方可认为此项工作的完成。</w:t>
      </w:r>
    </w:p>
    <w:p>
      <w:pPr>
        <w:pStyle w:val="4"/>
        <w:bidi w:val="0"/>
        <w:spacing w:before="0" w:after="0" w:line="240" w:lineRule="auto"/>
        <w:rPr>
          <w:rFonts w:hint="eastAsia"/>
          <w:color w:val="auto"/>
          <w:highlight w:val="none"/>
        </w:rPr>
      </w:pPr>
      <w:bookmarkStart w:id="2348" w:name="_Toc14193"/>
      <w:bookmarkStart w:id="2349" w:name="_Toc19047"/>
      <w:bookmarkStart w:id="2350" w:name="_Toc30926"/>
      <w:bookmarkStart w:id="2351" w:name="_Toc306091641"/>
      <w:bookmarkStart w:id="2352" w:name="_Toc8582"/>
      <w:bookmarkStart w:id="2353" w:name="_Toc309026914"/>
      <w:bookmarkStart w:id="2354" w:name="_Toc130847135"/>
      <w:bookmarkStart w:id="2355" w:name="_Toc15801"/>
      <w:bookmarkStart w:id="2356" w:name="_Toc309026520"/>
      <w:bookmarkStart w:id="2357" w:name="_Toc184763346"/>
      <w:r>
        <w:rPr>
          <w:rFonts w:hint="eastAsia" w:ascii="黑体" w:hAnsi="黑体" w:eastAsia="黑体" w:cs="黑体"/>
          <w:color w:val="auto"/>
          <w:sz w:val="21"/>
          <w:szCs w:val="21"/>
          <w:highlight w:val="none"/>
          <w:lang w:val="en-US" w:eastAsia="zh-CN"/>
        </w:rPr>
        <w:t xml:space="preserve">6.3 </w:t>
      </w:r>
      <w:r>
        <w:rPr>
          <w:rFonts w:hint="eastAsia" w:ascii="黑体" w:hAnsi="黑体" w:eastAsia="黑体" w:cs="黑体"/>
          <w:color w:val="auto"/>
          <w:sz w:val="21"/>
          <w:szCs w:val="21"/>
          <w:highlight w:val="none"/>
        </w:rPr>
        <w:t>投资控制</w:t>
      </w:r>
      <w:bookmarkEnd w:id="2348"/>
      <w:bookmarkEnd w:id="2349"/>
      <w:bookmarkEnd w:id="2350"/>
      <w:bookmarkEnd w:id="2351"/>
      <w:bookmarkEnd w:id="2352"/>
      <w:bookmarkEnd w:id="2353"/>
      <w:bookmarkEnd w:id="2354"/>
      <w:bookmarkEnd w:id="2355"/>
      <w:bookmarkEnd w:id="2356"/>
      <w:bookmarkEnd w:id="2357"/>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6.3.1 </w:t>
      </w:r>
      <w:r>
        <w:rPr>
          <w:color w:val="auto"/>
          <w:szCs w:val="21"/>
          <w:highlight w:val="none"/>
        </w:rPr>
        <w:t>集成服务商应制定项目实施各阶段详细的投资控制计划，协助业主进行工程投资控制与管理，对控制工程成本给出合理化建议，制定有关实施措施交由业主确认。组织供货商制定合理的资金使用方案，报业主审批。</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6.3.2 </w:t>
      </w:r>
      <w:r>
        <w:rPr>
          <w:color w:val="auto"/>
          <w:szCs w:val="21"/>
          <w:highlight w:val="none"/>
        </w:rPr>
        <w:t>集成服务商应协助业主执行投资管理措施，协调有关各方保证有关措施的贯彻。</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6.3.3 </w:t>
      </w:r>
      <w:r>
        <w:rPr>
          <w:color w:val="auto"/>
          <w:szCs w:val="21"/>
          <w:highlight w:val="none"/>
        </w:rPr>
        <w:t>集成服务商应对工程结算书进行审查，并向业主提交审查意见。</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6.3.4 </w:t>
      </w:r>
      <w:r>
        <w:rPr>
          <w:color w:val="auto"/>
          <w:szCs w:val="21"/>
          <w:highlight w:val="none"/>
        </w:rPr>
        <w:t>投资控制验收：所有投资均在控制金额之内，经业主评定通过后，方可认为此项工作的完成。</w:t>
      </w:r>
    </w:p>
    <w:p>
      <w:pPr>
        <w:pStyle w:val="4"/>
        <w:bidi w:val="0"/>
        <w:rPr>
          <w:rFonts w:hint="eastAsia" w:ascii="黑体" w:hAnsi="黑体" w:eastAsia="黑体" w:cs="黑体"/>
          <w:color w:val="auto"/>
          <w:sz w:val="21"/>
          <w:szCs w:val="21"/>
          <w:highlight w:val="none"/>
        </w:rPr>
      </w:pPr>
      <w:bookmarkStart w:id="2358" w:name="_Toc20980"/>
      <w:bookmarkStart w:id="2359" w:name="_Toc130847136"/>
      <w:bookmarkStart w:id="2360" w:name="_Toc12662"/>
      <w:bookmarkStart w:id="2361" w:name="_Toc649"/>
      <w:bookmarkStart w:id="2362" w:name="_Toc184763347"/>
      <w:bookmarkStart w:id="2363" w:name="_Toc15629"/>
      <w:bookmarkStart w:id="2364" w:name="_Toc31041"/>
      <w:bookmarkStart w:id="2365" w:name="_Toc306091642"/>
      <w:bookmarkStart w:id="2366" w:name="_Toc7941"/>
      <w:bookmarkStart w:id="2367" w:name="_Toc309026915"/>
      <w:bookmarkStart w:id="2368" w:name="_Toc309026521"/>
      <w:r>
        <w:rPr>
          <w:rFonts w:hint="eastAsia" w:ascii="黑体" w:hAnsi="黑体" w:eastAsia="黑体" w:cs="黑体"/>
          <w:color w:val="auto"/>
          <w:sz w:val="21"/>
          <w:szCs w:val="21"/>
          <w:highlight w:val="none"/>
          <w:lang w:val="en-US" w:eastAsia="zh-CN"/>
        </w:rPr>
        <w:t xml:space="preserve">6.4 </w:t>
      </w:r>
      <w:r>
        <w:rPr>
          <w:rFonts w:hint="eastAsia" w:ascii="黑体" w:hAnsi="黑体" w:eastAsia="黑体" w:cs="黑体"/>
          <w:color w:val="auto"/>
          <w:sz w:val="21"/>
          <w:szCs w:val="21"/>
          <w:highlight w:val="none"/>
        </w:rPr>
        <w:t>进度控制</w:t>
      </w:r>
      <w:bookmarkEnd w:id="2358"/>
      <w:bookmarkEnd w:id="2359"/>
      <w:bookmarkEnd w:id="2360"/>
      <w:bookmarkEnd w:id="2361"/>
      <w:bookmarkEnd w:id="2362"/>
      <w:bookmarkEnd w:id="2363"/>
      <w:bookmarkEnd w:id="2364"/>
      <w:bookmarkEnd w:id="2365"/>
      <w:bookmarkEnd w:id="2366"/>
      <w:bookmarkEnd w:id="2367"/>
      <w:bookmarkEnd w:id="2368"/>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6.4.1 </w:t>
      </w:r>
      <w:r>
        <w:rPr>
          <w:color w:val="auto"/>
          <w:szCs w:val="21"/>
          <w:highlight w:val="none"/>
        </w:rPr>
        <w:t>集成服务商应对工程的进度进行监督、检查和全过程控制。</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6.4.2 </w:t>
      </w:r>
      <w:r>
        <w:rPr>
          <w:color w:val="auto"/>
          <w:szCs w:val="21"/>
          <w:highlight w:val="none"/>
        </w:rPr>
        <w:t>集成服务商应采取各种控制手段保证项目的各个阶段按计划开始和结束，并记录相应的时间和完成程度。</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6.4.3 </w:t>
      </w:r>
      <w:r>
        <w:rPr>
          <w:color w:val="auto"/>
          <w:szCs w:val="21"/>
          <w:highlight w:val="none"/>
        </w:rPr>
        <w:t>集成服务商应密切注视制造进度，出现可能引起重大延误时必须立即向供货商提出，敦促其采取有效措施解决并通报业主。</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6.4.4 </w:t>
      </w:r>
      <w:r>
        <w:rPr>
          <w:color w:val="auto"/>
          <w:szCs w:val="21"/>
          <w:highlight w:val="none"/>
        </w:rPr>
        <w:t>各阶段工作结束时，应结合工期、成本、质量评价项目进度状况，分析其中的问题，并提出下一阶段工作安排。</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6.4.5 </w:t>
      </w:r>
      <w:r>
        <w:rPr>
          <w:color w:val="auto"/>
          <w:szCs w:val="21"/>
          <w:highlight w:val="none"/>
        </w:rPr>
        <w:t>集成服务商应采用图表的方式表达各阶段进度情况。</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6.4.6 </w:t>
      </w:r>
      <w:r>
        <w:rPr>
          <w:color w:val="auto"/>
          <w:szCs w:val="21"/>
          <w:highlight w:val="none"/>
        </w:rPr>
        <w:t>对于未完成的工作，应说明原因，并制定采取措施和完成计划。</w:t>
      </w:r>
    </w:p>
    <w:p>
      <w:pPr>
        <w:pStyle w:val="4"/>
        <w:bidi w:val="0"/>
        <w:rPr>
          <w:rFonts w:hint="eastAsia" w:ascii="黑体" w:hAnsi="黑体" w:eastAsia="黑体" w:cs="黑体"/>
          <w:color w:val="auto"/>
          <w:sz w:val="21"/>
          <w:szCs w:val="21"/>
          <w:highlight w:val="none"/>
        </w:rPr>
      </w:pPr>
      <w:bookmarkStart w:id="2369" w:name="_Toc184763348"/>
      <w:bookmarkStart w:id="2370" w:name="_Toc309026916"/>
      <w:bookmarkStart w:id="2371" w:name="_Toc306091643"/>
      <w:bookmarkStart w:id="2372" w:name="_Toc2142"/>
      <w:bookmarkStart w:id="2373" w:name="_Toc3182"/>
      <w:bookmarkStart w:id="2374" w:name="_Toc3898"/>
      <w:bookmarkStart w:id="2375" w:name="_Toc26638"/>
      <w:bookmarkStart w:id="2376" w:name="_Toc130847137"/>
      <w:bookmarkStart w:id="2377" w:name="_Toc14220"/>
      <w:bookmarkStart w:id="2378" w:name="_Toc17318"/>
      <w:bookmarkStart w:id="2379" w:name="_Toc309026522"/>
      <w:r>
        <w:rPr>
          <w:rFonts w:hint="eastAsia" w:ascii="黑体" w:hAnsi="黑体" w:eastAsia="黑体" w:cs="黑体"/>
          <w:color w:val="auto"/>
          <w:sz w:val="21"/>
          <w:szCs w:val="21"/>
          <w:highlight w:val="none"/>
          <w:lang w:val="en-US" w:eastAsia="zh-CN"/>
        </w:rPr>
        <w:t xml:space="preserve">6.5 </w:t>
      </w:r>
      <w:r>
        <w:rPr>
          <w:rFonts w:hint="eastAsia" w:ascii="黑体" w:hAnsi="黑体" w:eastAsia="黑体" w:cs="黑体"/>
          <w:color w:val="auto"/>
          <w:sz w:val="21"/>
          <w:szCs w:val="21"/>
          <w:highlight w:val="none"/>
        </w:rPr>
        <w:t>产品设计管理（含设计联络和确认）</w:t>
      </w:r>
      <w:bookmarkEnd w:id="2369"/>
      <w:bookmarkEnd w:id="2370"/>
      <w:bookmarkEnd w:id="2371"/>
      <w:bookmarkEnd w:id="2372"/>
      <w:bookmarkEnd w:id="2373"/>
      <w:bookmarkEnd w:id="2374"/>
      <w:bookmarkEnd w:id="2375"/>
      <w:bookmarkEnd w:id="2376"/>
      <w:bookmarkEnd w:id="2377"/>
      <w:bookmarkEnd w:id="2378"/>
      <w:bookmarkEnd w:id="2379"/>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6.5.1 </w:t>
      </w:r>
      <w:r>
        <w:rPr>
          <w:color w:val="auto"/>
          <w:szCs w:val="21"/>
          <w:highlight w:val="none"/>
        </w:rPr>
        <w:t>设计控制</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6.5.1.1 </w:t>
      </w:r>
      <w:r>
        <w:rPr>
          <w:color w:val="auto"/>
          <w:szCs w:val="21"/>
          <w:highlight w:val="none"/>
        </w:rPr>
        <w:t>为了保证供货商提供设备满足合同要求，集成服务商应建立和贯彻控制和鉴定供货商产品设计的监督程序，并报业主批准。</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6.5.1.2 </w:t>
      </w:r>
      <w:r>
        <w:rPr>
          <w:color w:val="auto"/>
          <w:szCs w:val="21"/>
          <w:highlight w:val="none"/>
        </w:rPr>
        <w:t>为了监督供货商产品的设计质量，集成服务商应配备足够的装备和资格人员，并拟定明确的责任。</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6.5.1.3 </w:t>
      </w:r>
      <w:r>
        <w:rPr>
          <w:color w:val="auto"/>
          <w:szCs w:val="21"/>
          <w:highlight w:val="none"/>
        </w:rPr>
        <w:t>与产品有关的设计要求应是明确的、成文的并经过集成服务商精心审核、应与制定这些要求的责任者澄清一切不完整、含糊或矛盾的要求。</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6.5.1.4 </w:t>
      </w:r>
      <w:r>
        <w:rPr>
          <w:color w:val="auto"/>
          <w:szCs w:val="21"/>
          <w:highlight w:val="none"/>
        </w:rPr>
        <w:t>集成服务商应规定供货商的设计输出以图纸、方案、规格、要求、计算或分析等表示。</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6.5.1.5 </w:t>
      </w:r>
      <w:r>
        <w:rPr>
          <w:color w:val="auto"/>
          <w:szCs w:val="21"/>
          <w:highlight w:val="none"/>
        </w:rPr>
        <w:t>为了保证设备安装的正确性，集成服务商也应对业主的安装设计进行校核。</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6.5.1.6 </w:t>
      </w:r>
      <w:r>
        <w:rPr>
          <w:color w:val="auto"/>
          <w:szCs w:val="21"/>
          <w:highlight w:val="none"/>
        </w:rPr>
        <w:t>设计控制验收：设计控制管理文件和相关组织工作经业主评定通过后，方可认为此项工作的完成。</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 </w:t>
      </w:r>
      <w:r>
        <w:rPr>
          <w:color w:val="auto"/>
          <w:szCs w:val="21"/>
          <w:highlight w:val="none"/>
        </w:rPr>
        <w:t>设计联络</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6.5.2.1 </w:t>
      </w:r>
      <w:r>
        <w:rPr>
          <w:color w:val="auto"/>
          <w:szCs w:val="21"/>
          <w:highlight w:val="none"/>
        </w:rPr>
        <w:t>设计联络的目的为各方交流设计思想，澄清技术问题，在此阶段集成服务商应及时组织供货商与业主、设计单位举行设计联络会议，确认供货商设计方案。设计联络会由集成服务商主持，并形成会议纪要。</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6.5.2.2 </w:t>
      </w:r>
      <w:r>
        <w:rPr>
          <w:color w:val="auto"/>
          <w:szCs w:val="21"/>
          <w:highlight w:val="none"/>
        </w:rPr>
        <w:t>设计的确认</w:t>
      </w:r>
    </w:p>
    <w:p>
      <w:pPr>
        <w:numPr>
          <w:ilvl w:val="0"/>
          <w:numId w:val="0"/>
        </w:numPr>
        <w:spacing w:line="360" w:lineRule="auto"/>
        <w:ind w:left="679"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设计联络会的确认需由集成服务商先行确认，后由业主确认。</w:t>
      </w:r>
    </w:p>
    <w:p>
      <w:pPr>
        <w:numPr>
          <w:ilvl w:val="0"/>
          <w:numId w:val="0"/>
        </w:numPr>
        <w:spacing w:line="360" w:lineRule="auto"/>
        <w:ind w:left="679"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供货商的设计</w:t>
      </w:r>
      <w:r>
        <w:rPr>
          <w:rFonts w:hint="eastAsia"/>
          <w:color w:val="auto"/>
          <w:szCs w:val="21"/>
          <w:highlight w:val="none"/>
          <w:lang w:val="en-US" w:eastAsia="zh-CN"/>
        </w:rPr>
        <w:t>文件</w:t>
      </w:r>
      <w:r>
        <w:rPr>
          <w:color w:val="auto"/>
          <w:szCs w:val="21"/>
          <w:highlight w:val="none"/>
        </w:rPr>
        <w:t>应由集成服务商先行确认，再交业主确认。</w:t>
      </w:r>
    </w:p>
    <w:p>
      <w:pPr>
        <w:numPr>
          <w:ilvl w:val="0"/>
          <w:numId w:val="0"/>
        </w:numPr>
        <w:spacing w:line="360" w:lineRule="auto"/>
        <w:ind w:left="679"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合同执行过程中发生的设计修改，必须由集成服务商确认后交业主确认。</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6.5.2.3 </w:t>
      </w:r>
      <w:r>
        <w:rPr>
          <w:color w:val="auto"/>
          <w:szCs w:val="21"/>
          <w:highlight w:val="none"/>
        </w:rPr>
        <w:t>设计资料保存</w:t>
      </w:r>
    </w:p>
    <w:p>
      <w:pPr>
        <w:spacing w:line="360" w:lineRule="auto"/>
        <w:ind w:left="968" w:leftChars="461"/>
        <w:rPr>
          <w:color w:val="auto"/>
          <w:szCs w:val="21"/>
          <w:highlight w:val="none"/>
        </w:rPr>
      </w:pPr>
      <w:r>
        <w:rPr>
          <w:color w:val="auto"/>
          <w:szCs w:val="21"/>
          <w:highlight w:val="none"/>
        </w:rPr>
        <w:t>设计单位和供货商提交的设计资料（图纸、文件、表格等），集成服务商都必须保存完整，在工程竣工时按档案管理的相关要求整理装订移交业主档案管理部门。</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6.5.2.4 </w:t>
      </w:r>
      <w:r>
        <w:rPr>
          <w:color w:val="auto"/>
          <w:szCs w:val="21"/>
          <w:highlight w:val="none"/>
        </w:rPr>
        <w:t>设计建议</w:t>
      </w:r>
    </w:p>
    <w:p>
      <w:pPr>
        <w:numPr>
          <w:ilvl w:val="0"/>
          <w:numId w:val="0"/>
        </w:numPr>
        <w:spacing w:line="360" w:lineRule="auto"/>
        <w:ind w:left="707"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集成服务商应发挥自身的技术能力，对供货商的设计或设计修改作出评价，提出建议，交供货商或设计单位确认。</w:t>
      </w:r>
    </w:p>
    <w:p>
      <w:pPr>
        <w:numPr>
          <w:ilvl w:val="0"/>
          <w:numId w:val="0"/>
        </w:numPr>
        <w:spacing w:line="360" w:lineRule="auto"/>
        <w:ind w:left="707"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集成服务商的评价和建议将作为业主评价集成服务商服务深度优劣的一个因素。集成服务商的设计建议不管被采纳与否，都不能免除供货商或设计单位在其合同项下的责任。</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6.5.2.5 </w:t>
      </w:r>
      <w:r>
        <w:rPr>
          <w:color w:val="auto"/>
          <w:szCs w:val="21"/>
          <w:highlight w:val="none"/>
        </w:rPr>
        <w:t>集成服务商应根据</w:t>
      </w:r>
      <w:r>
        <w:rPr>
          <w:color w:val="auto"/>
          <w:highlight w:val="none"/>
        </w:rPr>
        <w:t>强</w:t>
      </w:r>
      <w:r>
        <w:rPr>
          <w:rFonts w:hint="eastAsia"/>
          <w:color w:val="auto"/>
          <w:highlight w:val="none"/>
        </w:rPr>
        <w:t>、弱</w:t>
      </w:r>
      <w:r>
        <w:rPr>
          <w:color w:val="auto"/>
          <w:highlight w:val="none"/>
        </w:rPr>
        <w:t>电系统及车站</w:t>
      </w:r>
      <w:r>
        <w:rPr>
          <w:color w:val="auto"/>
          <w:szCs w:val="21"/>
          <w:highlight w:val="none"/>
        </w:rPr>
        <w:t>设备情况、设计进程和时间表的要求，提出需要设计联络的内容、次数、时间、地点的建议书，并组织业主及相关人员参加设计联络会。集成服务人员参加设计联络的有关费用应包含在投标报价中。</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6.5.2.6 </w:t>
      </w:r>
      <w:r>
        <w:rPr>
          <w:color w:val="auto"/>
          <w:szCs w:val="21"/>
          <w:highlight w:val="none"/>
        </w:rPr>
        <w:t>有关设计联络会议：设计联络会议的次数、会议的目的、内容、时间、地点、人数将在合同谈判时最终确定。</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6.5.2.7 </w:t>
      </w:r>
      <w:r>
        <w:rPr>
          <w:color w:val="auto"/>
          <w:szCs w:val="21"/>
          <w:highlight w:val="none"/>
        </w:rPr>
        <w:t>业主派出人员在国外，除有权行使商务条件中规定的权利外，有权决定设计、检验相关事项，有权签署试验报告。</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6.5.2.8 </w:t>
      </w:r>
      <w:r>
        <w:rPr>
          <w:color w:val="auto"/>
          <w:szCs w:val="21"/>
          <w:highlight w:val="none"/>
        </w:rPr>
        <w:t>业主派出人员有权向集成服务商提出质疑并召开会议讨论有关事项，集成服务商应澄清业主提出的问题。</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6.5.2.9 </w:t>
      </w:r>
      <w:r>
        <w:rPr>
          <w:color w:val="auto"/>
          <w:szCs w:val="21"/>
          <w:highlight w:val="none"/>
        </w:rPr>
        <w:t>设计联络会议的次数要求一般为三次（但不限于此）：</w:t>
      </w:r>
    </w:p>
    <w:p>
      <w:pPr>
        <w:spacing w:line="360" w:lineRule="auto"/>
        <w:ind w:left="445" w:leftChars="212" w:firstLine="420" w:firstLineChars="200"/>
        <w:rPr>
          <w:color w:val="auto"/>
          <w:szCs w:val="21"/>
          <w:highlight w:val="none"/>
        </w:rPr>
      </w:pPr>
      <w:r>
        <w:rPr>
          <w:color w:val="auto"/>
          <w:szCs w:val="21"/>
          <w:highlight w:val="none"/>
        </w:rPr>
        <w:t>第一次联络会议：双方互提基础资料，确认系统和设备功能和技术参数，业主人员考察供货商的工厂和设备应用现场。</w:t>
      </w:r>
    </w:p>
    <w:p>
      <w:pPr>
        <w:spacing w:line="360" w:lineRule="auto"/>
        <w:ind w:left="445" w:leftChars="212" w:firstLine="420" w:firstLineChars="200"/>
        <w:rPr>
          <w:color w:val="auto"/>
          <w:szCs w:val="21"/>
          <w:highlight w:val="none"/>
        </w:rPr>
      </w:pPr>
      <w:r>
        <w:rPr>
          <w:color w:val="auto"/>
          <w:szCs w:val="21"/>
          <w:highlight w:val="none"/>
        </w:rPr>
        <w:t>第二次联络会议：业主审核供货商技术规格书，讨论确定技术方案、讨论澄清接口问题。</w:t>
      </w:r>
    </w:p>
    <w:p>
      <w:pPr>
        <w:spacing w:line="360" w:lineRule="auto"/>
        <w:ind w:left="445" w:leftChars="212" w:firstLine="420" w:firstLineChars="200"/>
        <w:rPr>
          <w:color w:val="auto"/>
          <w:szCs w:val="21"/>
          <w:highlight w:val="none"/>
        </w:rPr>
      </w:pPr>
      <w:r>
        <w:rPr>
          <w:color w:val="auto"/>
          <w:szCs w:val="21"/>
          <w:highlight w:val="none"/>
        </w:rPr>
        <w:t>第三次联络会议：业主确认供货商技术文件，进一步澄清接口，讨论设备试验和出厂验收等事宜。</w:t>
      </w:r>
    </w:p>
    <w:p>
      <w:pPr>
        <w:spacing w:line="360" w:lineRule="auto"/>
        <w:ind w:left="445" w:leftChars="212" w:firstLine="420" w:firstLineChars="200"/>
        <w:rPr>
          <w:color w:val="auto"/>
          <w:highlight w:val="none"/>
        </w:rPr>
      </w:pP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9"/>
        <w:gridCol w:w="4814"/>
        <w:gridCol w:w="4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451" w:type="pct"/>
            <w:noWrap w:val="0"/>
            <w:vAlign w:val="center"/>
          </w:tcPr>
          <w:p>
            <w:pPr>
              <w:snapToGrid w:val="0"/>
              <w:jc w:val="center"/>
              <w:rPr>
                <w:color w:val="auto"/>
                <w:highlight w:val="none"/>
              </w:rPr>
            </w:pPr>
            <w:r>
              <w:rPr>
                <w:color w:val="auto"/>
                <w:highlight w:val="none"/>
              </w:rPr>
              <w:t>序号</w:t>
            </w:r>
          </w:p>
        </w:tc>
        <w:tc>
          <w:tcPr>
            <w:tcW w:w="2442" w:type="pct"/>
            <w:noWrap w:val="0"/>
            <w:vAlign w:val="center"/>
          </w:tcPr>
          <w:p>
            <w:pPr>
              <w:snapToGrid w:val="0"/>
              <w:jc w:val="center"/>
              <w:rPr>
                <w:color w:val="auto"/>
                <w:highlight w:val="none"/>
              </w:rPr>
            </w:pPr>
            <w:r>
              <w:rPr>
                <w:color w:val="auto"/>
                <w:highlight w:val="none"/>
              </w:rPr>
              <w:t>项目</w:t>
            </w:r>
          </w:p>
        </w:tc>
        <w:tc>
          <w:tcPr>
            <w:tcW w:w="2106" w:type="pct"/>
            <w:noWrap w:val="0"/>
            <w:vAlign w:val="center"/>
          </w:tcPr>
          <w:p>
            <w:pPr>
              <w:snapToGrid w:val="0"/>
              <w:jc w:val="center"/>
              <w:rPr>
                <w:color w:val="auto"/>
                <w:highlight w:val="none"/>
              </w:rPr>
            </w:pPr>
            <w:r>
              <w:rPr>
                <w:color w:val="auto"/>
                <w:highlight w:val="none"/>
              </w:rPr>
              <w:t>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1</w:t>
            </w:r>
          </w:p>
        </w:tc>
        <w:tc>
          <w:tcPr>
            <w:tcW w:w="2442" w:type="pct"/>
            <w:vMerge w:val="restart"/>
            <w:noWrap w:val="0"/>
            <w:vAlign w:val="center"/>
          </w:tcPr>
          <w:p>
            <w:pPr>
              <w:snapToGrid w:val="0"/>
              <w:jc w:val="center"/>
              <w:rPr>
                <w:color w:val="auto"/>
                <w:highlight w:val="none"/>
              </w:rPr>
            </w:pPr>
            <w:r>
              <w:rPr>
                <w:rFonts w:hint="eastAsia"/>
                <w:color w:val="auto"/>
                <w:highlight w:val="none"/>
              </w:rPr>
              <w:t>整流变压器。</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2</w:t>
            </w:r>
          </w:p>
        </w:tc>
        <w:tc>
          <w:tcPr>
            <w:tcW w:w="2442" w:type="pct"/>
            <w:vMerge w:val="restart"/>
            <w:noWrap w:val="0"/>
            <w:vAlign w:val="center"/>
          </w:tcPr>
          <w:p>
            <w:pPr>
              <w:snapToGrid w:val="0"/>
              <w:jc w:val="center"/>
              <w:rPr>
                <w:color w:val="auto"/>
                <w:highlight w:val="none"/>
              </w:rPr>
            </w:pPr>
            <w:r>
              <w:rPr>
                <w:rFonts w:hint="eastAsia"/>
                <w:color w:val="auto"/>
                <w:highlight w:val="none"/>
              </w:rPr>
              <w:t>35kV动力变压器（</w:t>
            </w:r>
            <w:r>
              <w:rPr>
                <w:rFonts w:hint="eastAsia"/>
                <w:color w:val="auto"/>
                <w:highlight w:val="none"/>
                <w:lang w:val="en-US" w:eastAsia="zh-CN"/>
              </w:rPr>
              <w:t>强电安装标采购</w:t>
            </w:r>
            <w:r>
              <w:rPr>
                <w:rFonts w:hint="eastAsia"/>
                <w:color w:val="auto"/>
                <w:highlight w:val="none"/>
              </w:rPr>
              <w:t>）</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3</w:t>
            </w:r>
          </w:p>
        </w:tc>
        <w:tc>
          <w:tcPr>
            <w:tcW w:w="2442" w:type="pct"/>
            <w:vMerge w:val="restart"/>
            <w:noWrap w:val="0"/>
            <w:vAlign w:val="center"/>
          </w:tcPr>
          <w:p>
            <w:pPr>
              <w:snapToGrid w:val="0"/>
              <w:jc w:val="center"/>
              <w:rPr>
                <w:rFonts w:hint="eastAsia"/>
                <w:color w:val="auto"/>
                <w:highlight w:val="none"/>
              </w:rPr>
            </w:pPr>
            <w:r>
              <w:rPr>
                <w:rFonts w:hint="eastAsia"/>
                <w:color w:val="auto"/>
                <w:highlight w:val="none"/>
              </w:rPr>
              <w:t>35kV开关柜（含主所）</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4</w:t>
            </w:r>
          </w:p>
        </w:tc>
        <w:tc>
          <w:tcPr>
            <w:tcW w:w="2442" w:type="pct"/>
            <w:vMerge w:val="restart"/>
            <w:noWrap w:val="0"/>
            <w:vAlign w:val="center"/>
          </w:tcPr>
          <w:p>
            <w:pPr>
              <w:snapToGrid w:val="0"/>
              <w:jc w:val="center"/>
              <w:rPr>
                <w:color w:val="auto"/>
                <w:highlight w:val="none"/>
              </w:rPr>
            </w:pPr>
            <w:r>
              <w:rPr>
                <w:rFonts w:hint="eastAsia"/>
                <w:color w:val="auto"/>
                <w:highlight w:val="none"/>
              </w:rPr>
              <w:t>整流器</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5</w:t>
            </w:r>
          </w:p>
        </w:tc>
        <w:tc>
          <w:tcPr>
            <w:tcW w:w="2442" w:type="pct"/>
            <w:vMerge w:val="restart"/>
            <w:noWrap w:val="0"/>
            <w:vAlign w:val="center"/>
          </w:tcPr>
          <w:p>
            <w:pPr>
              <w:tabs>
                <w:tab w:val="center" w:pos="2162"/>
                <w:tab w:val="right" w:pos="4205"/>
              </w:tabs>
              <w:snapToGrid w:val="0"/>
              <w:jc w:val="left"/>
              <w:rPr>
                <w:rFonts w:hint="eastAsia"/>
                <w:color w:val="auto"/>
                <w:highlight w:val="none"/>
              </w:rPr>
            </w:pPr>
            <w:r>
              <w:rPr>
                <w:rFonts w:hint="eastAsia"/>
                <w:color w:val="auto"/>
                <w:highlight w:val="none"/>
              </w:rPr>
              <w:tab/>
            </w:r>
            <w:r>
              <w:rPr>
                <w:rFonts w:hint="eastAsia"/>
                <w:color w:val="auto"/>
                <w:highlight w:val="none"/>
              </w:rPr>
              <w:t>1500V直流开关柜（含钢轨电位限制装置）</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6</w:t>
            </w:r>
          </w:p>
        </w:tc>
        <w:tc>
          <w:tcPr>
            <w:tcW w:w="2442" w:type="pct"/>
            <w:vMerge w:val="restart"/>
            <w:noWrap w:val="0"/>
            <w:vAlign w:val="center"/>
          </w:tcPr>
          <w:p>
            <w:pPr>
              <w:snapToGrid w:val="0"/>
              <w:jc w:val="center"/>
              <w:rPr>
                <w:color w:val="auto"/>
                <w:highlight w:val="none"/>
              </w:rPr>
            </w:pPr>
            <w:r>
              <w:rPr>
                <w:color w:val="auto"/>
                <w:highlight w:val="none"/>
              </w:rPr>
              <w:t>0.4kV低压开关柜、电气火灾监控系统、</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7</w:t>
            </w:r>
          </w:p>
        </w:tc>
        <w:tc>
          <w:tcPr>
            <w:tcW w:w="2442" w:type="pct"/>
            <w:vMerge w:val="restart"/>
            <w:noWrap w:val="0"/>
            <w:vAlign w:val="center"/>
          </w:tcPr>
          <w:p>
            <w:pPr>
              <w:snapToGrid w:val="0"/>
              <w:jc w:val="center"/>
              <w:rPr>
                <w:color w:val="auto"/>
                <w:highlight w:val="none"/>
              </w:rPr>
            </w:pPr>
            <w:r>
              <w:rPr>
                <w:rFonts w:hint="eastAsia" w:cs="宋体"/>
                <w:color w:val="auto"/>
                <w:highlight w:val="none"/>
              </w:rPr>
              <w:t>专用通信系统</w:t>
            </w:r>
          </w:p>
        </w:tc>
        <w:tc>
          <w:tcPr>
            <w:tcW w:w="2106" w:type="pct"/>
            <w:noWrap w:val="0"/>
            <w:vAlign w:val="center"/>
          </w:tcPr>
          <w:p>
            <w:pPr>
              <w:snapToGrid w:val="0"/>
              <w:jc w:val="center"/>
              <w:rPr>
                <w:color w:val="auto"/>
                <w:highlight w:val="none"/>
              </w:rPr>
            </w:pPr>
            <w:r>
              <w:rPr>
                <w:rFonts w:hint="eastAsia"/>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8</w:t>
            </w:r>
          </w:p>
        </w:tc>
        <w:tc>
          <w:tcPr>
            <w:tcW w:w="2442" w:type="pct"/>
            <w:vMerge w:val="restart"/>
            <w:noWrap w:val="0"/>
            <w:vAlign w:val="center"/>
          </w:tcPr>
          <w:p>
            <w:pPr>
              <w:snapToGrid w:val="0"/>
              <w:jc w:val="center"/>
              <w:rPr>
                <w:color w:val="auto"/>
                <w:highlight w:val="none"/>
              </w:rPr>
            </w:pPr>
            <w:r>
              <w:rPr>
                <w:rFonts w:hint="eastAsia" w:cs="宋体"/>
                <w:color w:val="auto"/>
                <w:highlight w:val="none"/>
              </w:rPr>
              <w:t>公安通信系统</w:t>
            </w:r>
          </w:p>
        </w:tc>
        <w:tc>
          <w:tcPr>
            <w:tcW w:w="2106" w:type="pct"/>
            <w:noWrap w:val="0"/>
            <w:vAlign w:val="center"/>
          </w:tcPr>
          <w:p>
            <w:pPr>
              <w:snapToGrid w:val="0"/>
              <w:jc w:val="center"/>
              <w:rPr>
                <w:color w:val="auto"/>
                <w:highlight w:val="none"/>
              </w:rPr>
            </w:pPr>
            <w:r>
              <w:rPr>
                <w:rFonts w:hint="eastAsia"/>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9</w:t>
            </w:r>
          </w:p>
        </w:tc>
        <w:tc>
          <w:tcPr>
            <w:tcW w:w="2442" w:type="pct"/>
            <w:vMerge w:val="restart"/>
            <w:noWrap w:val="0"/>
            <w:vAlign w:val="center"/>
          </w:tcPr>
          <w:p>
            <w:pPr>
              <w:snapToGrid w:val="0"/>
              <w:jc w:val="center"/>
              <w:rPr>
                <w:color w:val="auto"/>
                <w:highlight w:val="none"/>
              </w:rPr>
            </w:pPr>
            <w:r>
              <w:rPr>
                <w:rFonts w:hint="eastAsia" w:cs="宋体"/>
                <w:color w:val="auto"/>
                <w:highlight w:val="none"/>
              </w:rPr>
              <w:t>计算机网络系统</w:t>
            </w:r>
          </w:p>
        </w:tc>
        <w:tc>
          <w:tcPr>
            <w:tcW w:w="2106" w:type="pct"/>
            <w:noWrap w:val="0"/>
            <w:vAlign w:val="center"/>
          </w:tcPr>
          <w:p>
            <w:pPr>
              <w:snapToGrid w:val="0"/>
              <w:jc w:val="center"/>
              <w:rPr>
                <w:color w:val="auto"/>
                <w:highlight w:val="none"/>
              </w:rPr>
            </w:pPr>
            <w:r>
              <w:rPr>
                <w:rFonts w:hint="eastAsia"/>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10</w:t>
            </w:r>
          </w:p>
        </w:tc>
        <w:tc>
          <w:tcPr>
            <w:tcW w:w="2442" w:type="pct"/>
            <w:vMerge w:val="restart"/>
            <w:noWrap w:val="0"/>
            <w:vAlign w:val="center"/>
          </w:tcPr>
          <w:p>
            <w:pPr>
              <w:snapToGrid w:val="0"/>
              <w:jc w:val="center"/>
              <w:rPr>
                <w:color w:val="auto"/>
                <w:highlight w:val="none"/>
              </w:rPr>
            </w:pPr>
            <w:r>
              <w:rPr>
                <w:rFonts w:hint="eastAsia" w:cs="宋体"/>
                <w:color w:val="auto"/>
                <w:highlight w:val="none"/>
              </w:rPr>
              <w:t>信号系统</w:t>
            </w:r>
          </w:p>
        </w:tc>
        <w:tc>
          <w:tcPr>
            <w:tcW w:w="2106" w:type="pct"/>
            <w:noWrap w:val="0"/>
            <w:vAlign w:val="center"/>
          </w:tcPr>
          <w:p>
            <w:pPr>
              <w:snapToGrid w:val="0"/>
              <w:jc w:val="center"/>
              <w:rPr>
                <w:color w:val="auto"/>
                <w:highlight w:val="none"/>
              </w:rPr>
            </w:pPr>
            <w:r>
              <w:rPr>
                <w:rFonts w:hint="eastAsia"/>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szCs w:val="21"/>
                <w:highlight w:val="none"/>
              </w:rPr>
            </w:pPr>
          </w:p>
        </w:tc>
        <w:tc>
          <w:tcPr>
            <w:tcW w:w="2106" w:type="pct"/>
            <w:noWrap w:val="0"/>
            <w:vAlign w:val="center"/>
          </w:tcPr>
          <w:p>
            <w:pPr>
              <w:snapToGrid w:val="0"/>
              <w:jc w:val="center"/>
              <w:rPr>
                <w:color w:val="auto"/>
                <w:highlight w:val="none"/>
              </w:rPr>
            </w:pPr>
            <w:r>
              <w:rPr>
                <w:rFonts w:hint="eastAsia"/>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szCs w:val="21"/>
                <w:highlight w:val="none"/>
              </w:rPr>
            </w:pPr>
          </w:p>
        </w:tc>
        <w:tc>
          <w:tcPr>
            <w:tcW w:w="2106" w:type="pct"/>
            <w:noWrap w:val="0"/>
            <w:vAlign w:val="center"/>
          </w:tcPr>
          <w:p>
            <w:pPr>
              <w:snapToGrid w:val="0"/>
              <w:jc w:val="center"/>
              <w:rPr>
                <w:color w:val="auto"/>
                <w:highlight w:val="none"/>
              </w:rPr>
            </w:pPr>
            <w:r>
              <w:rPr>
                <w:rFonts w:hint="eastAsia"/>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106" w:type="pct"/>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rFonts w:hint="eastAsia"/>
                <w:color w:val="auto"/>
                <w:highlight w:val="none"/>
              </w:rPr>
              <w:t>1</w:t>
            </w:r>
            <w:r>
              <w:rPr>
                <w:color w:val="auto"/>
                <w:highlight w:val="none"/>
              </w:rPr>
              <w:t>1</w:t>
            </w:r>
          </w:p>
        </w:tc>
        <w:tc>
          <w:tcPr>
            <w:tcW w:w="2442" w:type="pct"/>
            <w:vMerge w:val="restart"/>
            <w:noWrap w:val="0"/>
            <w:vAlign w:val="center"/>
          </w:tcPr>
          <w:p>
            <w:pPr>
              <w:snapToGrid w:val="0"/>
              <w:jc w:val="center"/>
              <w:rPr>
                <w:color w:val="auto"/>
                <w:szCs w:val="21"/>
                <w:highlight w:val="none"/>
              </w:rPr>
            </w:pPr>
            <w:r>
              <w:rPr>
                <w:rFonts w:hint="eastAsia" w:cs="宋体"/>
                <w:color w:val="auto"/>
                <w:highlight w:val="none"/>
              </w:rPr>
              <w:t>综合监控系统</w:t>
            </w:r>
          </w:p>
        </w:tc>
        <w:tc>
          <w:tcPr>
            <w:tcW w:w="2106" w:type="pct"/>
            <w:noWrap w:val="0"/>
            <w:vAlign w:val="center"/>
          </w:tcPr>
          <w:p>
            <w:pPr>
              <w:snapToGrid w:val="0"/>
              <w:jc w:val="center"/>
              <w:rPr>
                <w:color w:val="auto"/>
                <w:highlight w:val="none"/>
              </w:rPr>
            </w:pPr>
            <w:r>
              <w:rPr>
                <w:rFonts w:hint="eastAsia"/>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12</w:t>
            </w:r>
          </w:p>
        </w:tc>
        <w:tc>
          <w:tcPr>
            <w:tcW w:w="2442" w:type="pct"/>
            <w:vMerge w:val="restart"/>
            <w:noWrap w:val="0"/>
            <w:vAlign w:val="center"/>
          </w:tcPr>
          <w:p>
            <w:pPr>
              <w:snapToGrid w:val="0"/>
              <w:jc w:val="center"/>
              <w:rPr>
                <w:color w:val="auto"/>
                <w:highlight w:val="none"/>
              </w:rPr>
            </w:pPr>
            <w:r>
              <w:rPr>
                <w:rFonts w:hint="eastAsia" w:cs="宋体"/>
                <w:color w:val="auto"/>
                <w:highlight w:val="none"/>
              </w:rPr>
              <w:t>火灾自动报警系统</w:t>
            </w:r>
          </w:p>
        </w:tc>
        <w:tc>
          <w:tcPr>
            <w:tcW w:w="2106" w:type="pct"/>
            <w:noWrap w:val="0"/>
            <w:vAlign w:val="center"/>
          </w:tcPr>
          <w:p>
            <w:pPr>
              <w:snapToGrid w:val="0"/>
              <w:jc w:val="center"/>
              <w:rPr>
                <w:color w:val="auto"/>
                <w:highlight w:val="none"/>
              </w:rPr>
            </w:pPr>
            <w:r>
              <w:rPr>
                <w:rFonts w:hint="eastAsia"/>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szCs w:val="21"/>
                <w:highlight w:val="none"/>
              </w:rPr>
            </w:pPr>
          </w:p>
        </w:tc>
        <w:tc>
          <w:tcPr>
            <w:tcW w:w="2106" w:type="pct"/>
            <w:noWrap w:val="0"/>
            <w:vAlign w:val="center"/>
          </w:tcPr>
          <w:p>
            <w:pPr>
              <w:snapToGrid w:val="0"/>
              <w:jc w:val="center"/>
              <w:rPr>
                <w:color w:val="auto"/>
                <w:highlight w:val="none"/>
              </w:rPr>
            </w:pPr>
            <w:r>
              <w:rPr>
                <w:rFonts w:hint="eastAsia"/>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13</w:t>
            </w:r>
          </w:p>
        </w:tc>
        <w:tc>
          <w:tcPr>
            <w:tcW w:w="2442" w:type="pct"/>
            <w:vMerge w:val="restart"/>
            <w:noWrap w:val="0"/>
            <w:vAlign w:val="center"/>
          </w:tcPr>
          <w:p>
            <w:pPr>
              <w:snapToGrid w:val="0"/>
              <w:jc w:val="center"/>
              <w:rPr>
                <w:color w:val="auto"/>
                <w:highlight w:val="none"/>
              </w:rPr>
            </w:pPr>
            <w:r>
              <w:rPr>
                <w:rFonts w:hint="eastAsia" w:cs="宋体"/>
                <w:color w:val="auto"/>
                <w:highlight w:val="none"/>
              </w:rPr>
              <w:t>安防系统（含安检设备）</w:t>
            </w:r>
          </w:p>
        </w:tc>
        <w:tc>
          <w:tcPr>
            <w:tcW w:w="2106" w:type="pct"/>
            <w:noWrap w:val="0"/>
            <w:vAlign w:val="center"/>
          </w:tcPr>
          <w:p>
            <w:pPr>
              <w:snapToGrid w:val="0"/>
              <w:jc w:val="center"/>
              <w:rPr>
                <w:color w:val="auto"/>
                <w:highlight w:val="none"/>
              </w:rPr>
            </w:pPr>
            <w:r>
              <w:rPr>
                <w:rFonts w:hint="eastAsia"/>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14</w:t>
            </w:r>
          </w:p>
        </w:tc>
        <w:tc>
          <w:tcPr>
            <w:tcW w:w="2442" w:type="pct"/>
            <w:vMerge w:val="restart"/>
            <w:noWrap w:val="0"/>
            <w:vAlign w:val="center"/>
          </w:tcPr>
          <w:p>
            <w:pPr>
              <w:snapToGrid w:val="0"/>
              <w:jc w:val="center"/>
              <w:rPr>
                <w:color w:val="auto"/>
                <w:highlight w:val="none"/>
              </w:rPr>
            </w:pPr>
            <w:r>
              <w:rPr>
                <w:rFonts w:hint="eastAsia" w:cs="宋体"/>
                <w:color w:val="auto"/>
                <w:highlight w:val="none"/>
              </w:rPr>
              <w:t>自动售检票系统</w:t>
            </w:r>
          </w:p>
        </w:tc>
        <w:tc>
          <w:tcPr>
            <w:tcW w:w="2106" w:type="pct"/>
            <w:noWrap w:val="0"/>
            <w:vAlign w:val="center"/>
          </w:tcPr>
          <w:p>
            <w:pPr>
              <w:snapToGrid w:val="0"/>
              <w:jc w:val="center"/>
              <w:rPr>
                <w:color w:val="auto"/>
                <w:highlight w:val="none"/>
              </w:rPr>
            </w:pPr>
            <w:r>
              <w:rPr>
                <w:rFonts w:hint="eastAsia"/>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rFonts w:hint="eastAsia"/>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rFonts w:hint="eastAsia"/>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15</w:t>
            </w:r>
          </w:p>
        </w:tc>
        <w:tc>
          <w:tcPr>
            <w:tcW w:w="2442" w:type="pct"/>
            <w:vMerge w:val="restart"/>
            <w:noWrap w:val="0"/>
            <w:vAlign w:val="center"/>
          </w:tcPr>
          <w:p>
            <w:pPr>
              <w:snapToGrid w:val="0"/>
              <w:jc w:val="center"/>
              <w:rPr>
                <w:color w:val="auto"/>
                <w:highlight w:val="none"/>
              </w:rPr>
            </w:pPr>
            <w:r>
              <w:rPr>
                <w:color w:val="auto"/>
                <w:highlight w:val="none"/>
              </w:rPr>
              <w:t>环控电控柜、密集母线槽</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16</w:t>
            </w:r>
          </w:p>
        </w:tc>
        <w:tc>
          <w:tcPr>
            <w:tcW w:w="2442" w:type="pct"/>
            <w:vMerge w:val="restart"/>
            <w:noWrap w:val="0"/>
            <w:vAlign w:val="center"/>
          </w:tcPr>
          <w:p>
            <w:pPr>
              <w:snapToGrid w:val="0"/>
              <w:jc w:val="center"/>
              <w:rPr>
                <w:color w:val="auto"/>
                <w:highlight w:val="none"/>
              </w:rPr>
            </w:pPr>
            <w:r>
              <w:rPr>
                <w:color w:val="auto"/>
                <w:highlight w:val="none"/>
              </w:rPr>
              <w:t>配电箱、控制箱、消防设备电源监控系统</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17</w:t>
            </w:r>
          </w:p>
        </w:tc>
        <w:tc>
          <w:tcPr>
            <w:tcW w:w="2442" w:type="pct"/>
            <w:vMerge w:val="restart"/>
            <w:noWrap w:val="0"/>
            <w:vAlign w:val="center"/>
          </w:tcPr>
          <w:p>
            <w:pPr>
              <w:snapToGrid w:val="0"/>
              <w:jc w:val="center"/>
              <w:rPr>
                <w:color w:val="auto"/>
                <w:highlight w:val="none"/>
              </w:rPr>
            </w:pPr>
            <w:r>
              <w:rPr>
                <w:color w:val="auto"/>
                <w:highlight w:val="none"/>
              </w:rPr>
              <w:t>消防应急照明和疏散指示系统、LED</w:t>
            </w:r>
            <w:r>
              <w:rPr>
                <w:rFonts w:hint="eastAsia"/>
                <w:color w:val="auto"/>
                <w:highlight w:val="none"/>
                <w:lang w:val="en-US" w:eastAsia="zh-CN"/>
              </w:rPr>
              <w:t>照明</w:t>
            </w:r>
            <w:r>
              <w:rPr>
                <w:color w:val="auto"/>
                <w:highlight w:val="none"/>
              </w:rPr>
              <w:t>灯具</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rFonts w:hint="eastAsia"/>
                <w:color w:val="auto"/>
                <w:highlight w:val="none"/>
              </w:rPr>
            </w:pPr>
            <w:r>
              <w:rPr>
                <w:color w:val="auto"/>
                <w:highlight w:val="none"/>
              </w:rPr>
              <w:t>18</w:t>
            </w:r>
          </w:p>
        </w:tc>
        <w:tc>
          <w:tcPr>
            <w:tcW w:w="2442" w:type="pct"/>
            <w:vMerge w:val="restart"/>
            <w:noWrap w:val="0"/>
            <w:vAlign w:val="center"/>
          </w:tcPr>
          <w:p>
            <w:pPr>
              <w:snapToGrid w:val="0"/>
              <w:jc w:val="center"/>
              <w:rPr>
                <w:color w:val="auto"/>
                <w:highlight w:val="none"/>
              </w:rPr>
            </w:pPr>
            <w:r>
              <w:rPr>
                <w:color w:val="auto"/>
                <w:szCs w:val="21"/>
                <w:highlight w:val="none"/>
              </w:rPr>
              <w:t>制冷设备（冷水机组、节能控制系统、空气处理设备、水泵、冷却塔、多联机）</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rFonts w:hint="eastAsia"/>
                <w:color w:val="auto"/>
                <w:highlight w:val="none"/>
              </w:rPr>
            </w:pPr>
            <w:r>
              <w:rPr>
                <w:color w:val="auto"/>
                <w:highlight w:val="none"/>
              </w:rPr>
              <w:t>19</w:t>
            </w:r>
          </w:p>
        </w:tc>
        <w:tc>
          <w:tcPr>
            <w:tcW w:w="2442" w:type="pct"/>
            <w:vMerge w:val="restart"/>
            <w:noWrap w:val="0"/>
            <w:vAlign w:val="center"/>
          </w:tcPr>
          <w:p>
            <w:pPr>
              <w:snapToGrid w:val="0"/>
              <w:jc w:val="center"/>
              <w:rPr>
                <w:color w:val="auto"/>
                <w:highlight w:val="none"/>
              </w:rPr>
            </w:pPr>
            <w:r>
              <w:rPr>
                <w:color w:val="auto"/>
                <w:szCs w:val="21"/>
                <w:highlight w:val="none"/>
              </w:rPr>
              <w:t>风机、风阀、消声设备</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20</w:t>
            </w:r>
          </w:p>
        </w:tc>
        <w:tc>
          <w:tcPr>
            <w:tcW w:w="2442" w:type="pct"/>
            <w:vMerge w:val="restart"/>
            <w:noWrap w:val="0"/>
            <w:vAlign w:val="center"/>
          </w:tcPr>
          <w:p>
            <w:pPr>
              <w:snapToGrid w:val="0"/>
              <w:jc w:val="center"/>
              <w:rPr>
                <w:color w:val="auto"/>
                <w:highlight w:val="none"/>
              </w:rPr>
            </w:pPr>
            <w:r>
              <w:rPr>
                <w:color w:val="auto"/>
                <w:szCs w:val="21"/>
                <w:highlight w:val="none"/>
              </w:rPr>
              <w:t>电扶梯系统（电梯、自动扶梯）</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21</w:t>
            </w:r>
          </w:p>
        </w:tc>
        <w:tc>
          <w:tcPr>
            <w:tcW w:w="2442" w:type="pct"/>
            <w:vMerge w:val="restart"/>
            <w:noWrap w:val="0"/>
            <w:vAlign w:val="center"/>
          </w:tcPr>
          <w:p>
            <w:pPr>
              <w:snapToGrid w:val="0"/>
              <w:jc w:val="center"/>
              <w:rPr>
                <w:color w:val="auto"/>
                <w:highlight w:val="none"/>
              </w:rPr>
            </w:pPr>
            <w:r>
              <w:rPr>
                <w:color w:val="auto"/>
                <w:highlight w:val="none"/>
              </w:rPr>
              <w:t>站台门系统</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第三次设计联络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restart"/>
            <w:noWrap w:val="0"/>
            <w:vAlign w:val="center"/>
          </w:tcPr>
          <w:p>
            <w:pPr>
              <w:snapToGrid w:val="0"/>
              <w:jc w:val="center"/>
              <w:rPr>
                <w:color w:val="auto"/>
                <w:highlight w:val="none"/>
              </w:rPr>
            </w:pPr>
            <w:r>
              <w:rPr>
                <w:color w:val="auto"/>
                <w:highlight w:val="none"/>
              </w:rPr>
              <w:t>22</w:t>
            </w:r>
          </w:p>
        </w:tc>
        <w:tc>
          <w:tcPr>
            <w:tcW w:w="2442" w:type="pct"/>
            <w:vMerge w:val="restart"/>
            <w:noWrap w:val="0"/>
            <w:vAlign w:val="center"/>
          </w:tcPr>
          <w:p>
            <w:pPr>
              <w:snapToGrid w:val="0"/>
              <w:jc w:val="center"/>
              <w:rPr>
                <w:color w:val="auto"/>
                <w:highlight w:val="none"/>
              </w:rPr>
            </w:pPr>
            <w:r>
              <w:rPr>
                <w:rFonts w:hint="eastAsia"/>
                <w:color w:val="auto"/>
                <w:highlight w:val="none"/>
              </w:rPr>
              <w:t>装修材料</w:t>
            </w:r>
          </w:p>
        </w:tc>
        <w:tc>
          <w:tcPr>
            <w:tcW w:w="2106" w:type="pct"/>
            <w:noWrap w:val="0"/>
            <w:vAlign w:val="center"/>
          </w:tcPr>
          <w:p>
            <w:pPr>
              <w:snapToGrid w:val="0"/>
              <w:jc w:val="center"/>
              <w:rPr>
                <w:color w:val="auto"/>
                <w:highlight w:val="none"/>
              </w:rPr>
            </w:pPr>
            <w:r>
              <w:rPr>
                <w:color w:val="auto"/>
                <w:highlight w:val="none"/>
              </w:rPr>
              <w:t>第一次设计联络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1" w:type="pct"/>
            <w:vMerge w:val="continue"/>
            <w:noWrap w:val="0"/>
            <w:vAlign w:val="center"/>
          </w:tcPr>
          <w:p>
            <w:pPr>
              <w:snapToGrid w:val="0"/>
              <w:jc w:val="center"/>
              <w:rPr>
                <w:color w:val="auto"/>
                <w:highlight w:val="none"/>
              </w:rPr>
            </w:pPr>
          </w:p>
        </w:tc>
        <w:tc>
          <w:tcPr>
            <w:tcW w:w="2442" w:type="pct"/>
            <w:vMerge w:val="continue"/>
            <w:noWrap w:val="0"/>
            <w:vAlign w:val="center"/>
          </w:tcPr>
          <w:p>
            <w:pPr>
              <w:snapToGrid w:val="0"/>
              <w:jc w:val="center"/>
              <w:rPr>
                <w:color w:val="auto"/>
                <w:highlight w:val="none"/>
              </w:rPr>
            </w:pPr>
          </w:p>
        </w:tc>
        <w:tc>
          <w:tcPr>
            <w:tcW w:w="2106" w:type="pct"/>
            <w:noWrap w:val="0"/>
            <w:vAlign w:val="center"/>
          </w:tcPr>
          <w:p>
            <w:pPr>
              <w:snapToGrid w:val="0"/>
              <w:jc w:val="center"/>
              <w:rPr>
                <w:color w:val="auto"/>
                <w:highlight w:val="none"/>
              </w:rPr>
            </w:pPr>
            <w:r>
              <w:rPr>
                <w:color w:val="auto"/>
                <w:highlight w:val="none"/>
              </w:rPr>
              <w:t>第二次设计联络</w:t>
            </w:r>
          </w:p>
        </w:tc>
      </w:tr>
    </w:tbl>
    <w:p>
      <w:pPr>
        <w:spacing w:line="360" w:lineRule="auto"/>
        <w:ind w:left="445" w:leftChars="212"/>
        <w:rPr>
          <w:color w:val="auto"/>
          <w:highlight w:val="none"/>
        </w:rPr>
      </w:pPr>
      <w:r>
        <w:rPr>
          <w:color w:val="auto"/>
          <w:szCs w:val="21"/>
          <w:highlight w:val="none"/>
        </w:rPr>
        <w:t>备注：三次设计联络，其中</w:t>
      </w:r>
      <w:r>
        <w:rPr>
          <w:rFonts w:hint="eastAsia"/>
          <w:color w:val="auto"/>
          <w:szCs w:val="21"/>
          <w:highlight w:val="none"/>
        </w:rPr>
        <w:t>两</w:t>
      </w:r>
      <w:r>
        <w:rPr>
          <w:color w:val="auto"/>
          <w:szCs w:val="21"/>
          <w:highlight w:val="none"/>
        </w:rPr>
        <w:t>次设计联络的地点按买方所在地考虑；另</w:t>
      </w:r>
      <w:r>
        <w:rPr>
          <w:rFonts w:hint="eastAsia"/>
          <w:color w:val="auto"/>
          <w:szCs w:val="21"/>
          <w:highlight w:val="none"/>
        </w:rPr>
        <w:t>一</w:t>
      </w:r>
      <w:r>
        <w:rPr>
          <w:color w:val="auto"/>
          <w:szCs w:val="21"/>
          <w:highlight w:val="none"/>
        </w:rPr>
        <w:t>次安排在供货商的关键设备制造厂，设计联络期间除完成相关技术内容外还将考察供货商的制造厂,以上设备</w:t>
      </w:r>
      <w:r>
        <w:rPr>
          <w:rFonts w:hint="eastAsia"/>
          <w:color w:val="auto"/>
          <w:szCs w:val="21"/>
          <w:highlight w:val="none"/>
          <w:lang w:val="en-US" w:eastAsia="zh-CN"/>
        </w:rPr>
        <w:t>系统</w:t>
      </w:r>
      <w:r>
        <w:rPr>
          <w:color w:val="auto"/>
          <w:szCs w:val="21"/>
          <w:highlight w:val="none"/>
        </w:rPr>
        <w:t>包括但不限于此，对设计联络次数及地点的安排，业主可根据项目</w:t>
      </w:r>
      <w:r>
        <w:rPr>
          <w:rFonts w:hint="eastAsia"/>
          <w:color w:val="auto"/>
          <w:szCs w:val="21"/>
          <w:highlight w:val="none"/>
          <w:lang w:val="en-US" w:eastAsia="zh-CN"/>
        </w:rPr>
        <w:t>具体</w:t>
      </w:r>
      <w:r>
        <w:rPr>
          <w:color w:val="auto"/>
          <w:szCs w:val="21"/>
          <w:highlight w:val="none"/>
        </w:rPr>
        <w:t>情况调整，集成服务商需无条件响应。</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6.5.2.10 </w:t>
      </w:r>
      <w:r>
        <w:rPr>
          <w:color w:val="auto"/>
          <w:szCs w:val="21"/>
          <w:highlight w:val="none"/>
        </w:rPr>
        <w:t>集成服务商应派出合格的技术人员参加设计联络会议。</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6.5.2.11 </w:t>
      </w:r>
      <w:r>
        <w:rPr>
          <w:color w:val="auto"/>
          <w:szCs w:val="21"/>
          <w:highlight w:val="none"/>
        </w:rPr>
        <w:t>设计联络验收：设计联络</w:t>
      </w:r>
      <w:r>
        <w:rPr>
          <w:rFonts w:hint="eastAsia"/>
          <w:color w:val="auto"/>
          <w:szCs w:val="21"/>
          <w:highlight w:val="none"/>
        </w:rPr>
        <w:t>会议纪要各方签署完成</w:t>
      </w:r>
      <w:r>
        <w:rPr>
          <w:color w:val="auto"/>
          <w:szCs w:val="21"/>
          <w:highlight w:val="none"/>
        </w:rPr>
        <w:t>后，方可认为此项工作的完成。</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6.5.2.12 </w:t>
      </w:r>
      <w:r>
        <w:rPr>
          <w:color w:val="auto"/>
          <w:szCs w:val="21"/>
          <w:highlight w:val="none"/>
        </w:rPr>
        <w:t>投标人还应充分考虑部分进口关键设备的境外设计联络（如有），集成服务人员的所有参加设计联络的相关费用应包含在投标价内。</w:t>
      </w:r>
    </w:p>
    <w:p>
      <w:pPr>
        <w:pStyle w:val="4"/>
        <w:bidi w:val="0"/>
        <w:spacing w:before="0" w:after="0" w:line="240" w:lineRule="auto"/>
        <w:rPr>
          <w:rFonts w:hint="eastAsia" w:ascii="黑体" w:hAnsi="黑体" w:eastAsia="黑体" w:cs="黑体"/>
          <w:color w:val="auto"/>
          <w:sz w:val="21"/>
          <w:szCs w:val="21"/>
          <w:highlight w:val="none"/>
        </w:rPr>
      </w:pPr>
      <w:bookmarkStart w:id="2380" w:name="_Toc309026917"/>
      <w:bookmarkStart w:id="2381" w:name="_Toc20943"/>
      <w:bookmarkStart w:id="2382" w:name="_Toc306091644"/>
      <w:bookmarkStart w:id="2383" w:name="_Toc4168"/>
      <w:bookmarkStart w:id="2384" w:name="_Toc130847138"/>
      <w:bookmarkStart w:id="2385" w:name="_Toc309026523"/>
      <w:bookmarkStart w:id="2386" w:name="_Toc25811"/>
      <w:bookmarkStart w:id="2387" w:name="_Toc184763349"/>
      <w:bookmarkStart w:id="2388" w:name="_Toc24243"/>
      <w:bookmarkStart w:id="2389" w:name="_Toc31365"/>
      <w:bookmarkStart w:id="2390" w:name="_Toc5782"/>
      <w:r>
        <w:rPr>
          <w:rFonts w:hint="eastAsia" w:ascii="黑体" w:hAnsi="黑体" w:eastAsia="黑体" w:cs="黑体"/>
          <w:color w:val="auto"/>
          <w:sz w:val="21"/>
          <w:szCs w:val="21"/>
          <w:highlight w:val="none"/>
          <w:lang w:val="en-US" w:eastAsia="zh-CN"/>
        </w:rPr>
        <w:t xml:space="preserve">6.6 </w:t>
      </w:r>
      <w:r>
        <w:rPr>
          <w:rFonts w:hint="eastAsia" w:ascii="黑体" w:hAnsi="黑体" w:eastAsia="黑体" w:cs="黑体"/>
          <w:color w:val="auto"/>
          <w:sz w:val="21"/>
          <w:szCs w:val="21"/>
          <w:highlight w:val="none"/>
        </w:rPr>
        <w:t>图纸文件管理</w:t>
      </w:r>
      <w:bookmarkEnd w:id="2380"/>
      <w:bookmarkEnd w:id="2381"/>
      <w:bookmarkEnd w:id="2382"/>
      <w:bookmarkEnd w:id="2383"/>
      <w:bookmarkEnd w:id="2384"/>
      <w:bookmarkEnd w:id="2385"/>
      <w:bookmarkEnd w:id="2386"/>
      <w:bookmarkEnd w:id="2387"/>
      <w:bookmarkEnd w:id="2388"/>
      <w:bookmarkEnd w:id="2389"/>
      <w:bookmarkEnd w:id="2390"/>
    </w:p>
    <w:p>
      <w:pPr>
        <w:numPr>
          <w:ilvl w:val="0"/>
          <w:numId w:val="0"/>
        </w:numPr>
        <w:spacing w:line="360" w:lineRule="auto"/>
        <w:ind w:leftChars="0"/>
        <w:rPr>
          <w:color w:val="auto"/>
          <w:szCs w:val="21"/>
          <w:highlight w:val="none"/>
        </w:rPr>
      </w:pPr>
      <w:r>
        <w:rPr>
          <w:rFonts w:hint="eastAsia"/>
          <w:color w:val="auto"/>
          <w:szCs w:val="21"/>
          <w:highlight w:val="none"/>
          <w:lang w:val="en-US" w:eastAsia="zh-CN"/>
        </w:rPr>
        <w:t>6.6.1</w:t>
      </w:r>
      <w:r>
        <w:rPr>
          <w:color w:val="auto"/>
          <w:szCs w:val="21"/>
          <w:highlight w:val="none"/>
        </w:rPr>
        <w:t>集成服务商应建立和贯彻一定程序来控制供货商所有图纸、文件，这些文件颁发之前应经授权的人员审查和认可。所有的图纸、文件最终均需报业主审核、批准、加盖图章，方可正式用。</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6.6.2 </w:t>
      </w:r>
      <w:r>
        <w:rPr>
          <w:color w:val="auto"/>
          <w:szCs w:val="21"/>
          <w:highlight w:val="none"/>
        </w:rPr>
        <w:t>集成服务商应制定供货商向业主提供的图纸、文件的各项规定，规定中除应包括具体内容外，还应包括国标符号及缩写的使用，图纸、文件的表达方式等。例如：图纸、文件应采用与国际接轨的模块化表达方式等。</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6.6.3 </w:t>
      </w:r>
      <w:r>
        <w:rPr>
          <w:color w:val="auto"/>
          <w:szCs w:val="21"/>
          <w:highlight w:val="none"/>
        </w:rPr>
        <w:t>供货商的所有图纸、文件均应首先由集成服务商接收、确认、并登记造册后，提交业主审核批准。供货商提交的图纸、文件包括但不限于设备的设计说明书、使用手册、维护手册、培训手册、各种试验规格书、设备原理图、安装图、装配图、主要部件外型图等。</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6.6.4 </w:t>
      </w:r>
      <w:r>
        <w:rPr>
          <w:color w:val="auto"/>
          <w:szCs w:val="21"/>
          <w:highlight w:val="none"/>
        </w:rPr>
        <w:t>集成服务商应要求供货商对发送的文件要在发送单上列出目录，文件以硬件（签字的图纸、文件）和光盘电子文件的形式提供，采用的电子文件应为AutoCAD2000、Word2000、Excel2000、Project2000等（或更高版本）。</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6.6.5 </w:t>
      </w:r>
      <w:r>
        <w:rPr>
          <w:color w:val="auto"/>
          <w:szCs w:val="21"/>
          <w:highlight w:val="none"/>
        </w:rPr>
        <w:t>集成服务商对所接收的文件开具收据。无论业主对文件是否提出意见，都要在自文件接收之日起规定的时间内将审核或批准意见返回给供货商，超过期限文件接收将被供货商视为通过。</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6.6.6</w:t>
      </w:r>
      <w:r>
        <w:rPr>
          <w:color w:val="auto"/>
          <w:szCs w:val="21"/>
          <w:highlight w:val="none"/>
        </w:rPr>
        <w:t>除非另有规定，供货商文件的更改应由集成服务商审查和认可。在可能条件下，在文件或相应的附件上应有更改的缘由说明，应建立起一个总明细表和相应的文件控制程序以区分现在待审批的修订文件，防止使用不合适的文件，总明细表应提交业主。</w:t>
      </w:r>
    </w:p>
    <w:p>
      <w:pPr>
        <w:numPr>
          <w:ilvl w:val="0"/>
          <w:numId w:val="0"/>
        </w:numPr>
        <w:spacing w:line="360" w:lineRule="auto"/>
        <w:ind w:leftChars="0"/>
        <w:rPr>
          <w:rFonts w:hint="eastAsia"/>
          <w:color w:val="auto"/>
          <w:szCs w:val="21"/>
          <w:highlight w:val="none"/>
          <w:lang w:eastAsia="zh-CN"/>
        </w:rPr>
      </w:pPr>
      <w:r>
        <w:rPr>
          <w:rFonts w:hint="eastAsia"/>
          <w:color w:val="auto"/>
          <w:szCs w:val="21"/>
          <w:highlight w:val="none"/>
          <w:lang w:val="en-US" w:eastAsia="zh-CN"/>
        </w:rPr>
        <w:t xml:space="preserve">6.6.7 </w:t>
      </w:r>
      <w:r>
        <w:rPr>
          <w:color w:val="auto"/>
          <w:szCs w:val="21"/>
          <w:highlight w:val="none"/>
        </w:rPr>
        <w:t>图纸文件接收程序</w:t>
      </w:r>
      <w:r>
        <w:rPr>
          <w:rFonts w:hint="eastAsia"/>
          <w:color w:val="auto"/>
          <w:szCs w:val="21"/>
          <w:highlight w:val="none"/>
          <w:lang w:eastAsia="zh-CN"/>
        </w:rPr>
        <w:t>：</w:t>
      </w:r>
    </w:p>
    <w:p>
      <w:pPr>
        <w:numPr>
          <w:ilvl w:val="0"/>
          <w:numId w:val="0"/>
        </w:numPr>
        <w:spacing w:line="360" w:lineRule="auto"/>
        <w:ind w:leftChars="0" w:firstLine="420" w:firstLineChars="200"/>
        <w:rPr>
          <w:color w:val="auto"/>
          <w:szCs w:val="21"/>
          <w:highlight w:val="none"/>
        </w:rPr>
      </w:pPr>
      <w:r>
        <w:rPr>
          <w:color w:val="auto"/>
          <w:szCs w:val="21"/>
          <w:highlight w:val="none"/>
        </w:rPr>
        <w:t>集成服务商提交给业主的文件要在发送单上列出目录，文件形式可以为纸张文件和电子文件。无论业主对集成服务商文件是否提出意见，都应在自文件接收之日起一个月内将其中一份文件返回给集成服务商。超过期限将被集成服务商视为业主已经批准。</w:t>
      </w:r>
    </w:p>
    <w:p>
      <w:pPr>
        <w:spacing w:line="360" w:lineRule="auto"/>
        <w:ind w:firstLine="420" w:firstLineChars="200"/>
        <w:rPr>
          <w:color w:val="auto"/>
          <w:szCs w:val="21"/>
          <w:highlight w:val="none"/>
        </w:rPr>
      </w:pPr>
      <w:r>
        <w:rPr>
          <w:color w:val="auto"/>
          <w:kern w:val="0"/>
          <w:szCs w:val="21"/>
          <w:highlight w:val="none"/>
        </w:rPr>
        <w:t>返回文件状态时，需业主确认的文件，业主将以工作联系单的形式给予回复，当业主认为文件需要修改和完善时，业主将在工作联系单中提出供货商应对文件进行修改的意见，或在进行工作时须改进或注意的事项，供货商必须将修改后的文件重新报业主确认，业主确认文件后，供货商才可以开展实质性工作。</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6.6.8 </w:t>
      </w:r>
      <w:r>
        <w:rPr>
          <w:color w:val="auto"/>
          <w:szCs w:val="21"/>
          <w:highlight w:val="none"/>
        </w:rPr>
        <w:t>图纸文件控制验收：各管理规定全面、详细，并得到贯彻执行，经业主评定通过后，方可认为此项工作的完成。</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6.6.9 </w:t>
      </w:r>
      <w:r>
        <w:rPr>
          <w:color w:val="auto"/>
          <w:szCs w:val="21"/>
          <w:highlight w:val="none"/>
        </w:rPr>
        <w:t>集成服务商须按业主颁发的信息化管理相关规定配合业主信息化管理工作，协助推广和使用业主所提供的信息化系统并按时按质提交项目管理电子文档资料，作为业主工程验收和合同支付工作的重要参考依据。业主有权要求对集成服务商上传的资料和数据进行全面检查和核实，如有错误和缺失，集成服务商需按照管理规定，在整改通知1周内修正和补充相关资料，否则视为未按照管理规定完成工程、服务和设备交付工作。</w:t>
      </w:r>
      <w:r>
        <w:rPr>
          <w:color w:val="auto"/>
          <w:szCs w:val="21"/>
          <w:highlight w:val="none"/>
        </w:rPr>
        <w:br w:type="textWrapping"/>
      </w:r>
      <w:r>
        <w:rPr>
          <w:color w:val="auto"/>
          <w:szCs w:val="21"/>
          <w:highlight w:val="none"/>
        </w:rPr>
        <w:t>如集成服务商不按照甲方上述工程管理信息化要求，进行工程项目资料填报、上传和审核工作，业主有权视为集成服务商工作未按合同要求完成工作的情况进行处理，接到整改通知逾期不予执行的，业主有权暂停、中止或者取消相关工程、设备和服务的验收和支付。</w:t>
      </w:r>
    </w:p>
    <w:p>
      <w:pPr>
        <w:pStyle w:val="4"/>
        <w:bidi w:val="0"/>
        <w:rPr>
          <w:rFonts w:hint="eastAsia" w:ascii="黑体" w:hAnsi="黑体" w:eastAsia="黑体" w:cs="黑体"/>
          <w:color w:val="auto"/>
          <w:sz w:val="21"/>
          <w:szCs w:val="21"/>
          <w:highlight w:val="none"/>
        </w:rPr>
      </w:pPr>
      <w:bookmarkStart w:id="2391" w:name="_Toc306091645"/>
      <w:bookmarkStart w:id="2392" w:name="_Toc15595"/>
      <w:bookmarkStart w:id="2393" w:name="_Toc14781"/>
      <w:bookmarkStart w:id="2394" w:name="_Toc184763350"/>
      <w:bookmarkStart w:id="2395" w:name="_Toc130847139"/>
      <w:bookmarkStart w:id="2396" w:name="_Toc309026918"/>
      <w:bookmarkStart w:id="2397" w:name="_Toc29628"/>
      <w:bookmarkStart w:id="2398" w:name="_Toc309026524"/>
      <w:bookmarkStart w:id="2399" w:name="_Toc15034"/>
      <w:bookmarkStart w:id="2400" w:name="_Toc12982"/>
      <w:r>
        <w:rPr>
          <w:rFonts w:hint="eastAsia" w:ascii="黑体" w:hAnsi="黑体" w:eastAsia="黑体" w:cs="黑体"/>
          <w:color w:val="auto"/>
          <w:sz w:val="21"/>
          <w:szCs w:val="21"/>
          <w:highlight w:val="none"/>
          <w:lang w:val="en-US" w:eastAsia="zh-CN"/>
        </w:rPr>
        <w:t xml:space="preserve">6.7 </w:t>
      </w:r>
      <w:r>
        <w:rPr>
          <w:rFonts w:hint="eastAsia" w:ascii="黑体" w:hAnsi="黑体" w:eastAsia="黑体" w:cs="黑体"/>
          <w:color w:val="auto"/>
          <w:sz w:val="21"/>
          <w:szCs w:val="21"/>
          <w:highlight w:val="none"/>
        </w:rPr>
        <w:t>接口控制</w:t>
      </w:r>
      <w:bookmarkEnd w:id="2391"/>
      <w:bookmarkEnd w:id="2392"/>
      <w:bookmarkEnd w:id="2393"/>
      <w:bookmarkEnd w:id="2394"/>
      <w:bookmarkEnd w:id="2395"/>
      <w:bookmarkEnd w:id="2396"/>
      <w:bookmarkEnd w:id="2397"/>
      <w:bookmarkEnd w:id="2398"/>
      <w:bookmarkEnd w:id="2399"/>
      <w:bookmarkEnd w:id="2400"/>
    </w:p>
    <w:p>
      <w:pPr>
        <w:numPr>
          <w:ilvl w:val="2"/>
          <w:numId w:val="7"/>
        </w:numPr>
        <w:spacing w:line="360" w:lineRule="auto"/>
        <w:rPr>
          <w:color w:val="auto"/>
          <w:szCs w:val="21"/>
          <w:highlight w:val="none"/>
        </w:rPr>
      </w:pPr>
      <w:r>
        <w:rPr>
          <w:color w:val="auto"/>
          <w:szCs w:val="21"/>
          <w:highlight w:val="none"/>
        </w:rPr>
        <w:t>投标人在投标时，应根据业主提供的系统构成示意图和以往的工程经验，描述各专业设备间存在的接口内容。</w:t>
      </w:r>
    </w:p>
    <w:p>
      <w:pPr>
        <w:numPr>
          <w:ilvl w:val="2"/>
          <w:numId w:val="7"/>
        </w:numPr>
        <w:spacing w:line="360" w:lineRule="auto"/>
        <w:rPr>
          <w:color w:val="auto"/>
          <w:szCs w:val="21"/>
          <w:highlight w:val="none"/>
        </w:rPr>
      </w:pPr>
      <w:r>
        <w:rPr>
          <w:color w:val="auto"/>
          <w:szCs w:val="21"/>
          <w:highlight w:val="none"/>
        </w:rPr>
        <w:t>集成服务商应组织供货商制定各专业设备间技术接口细则和方案，明确供货商之间的技术接口责任，成文后定期检查。</w:t>
      </w:r>
    </w:p>
    <w:p>
      <w:pPr>
        <w:numPr>
          <w:ilvl w:val="2"/>
          <w:numId w:val="7"/>
        </w:numPr>
        <w:spacing w:line="360" w:lineRule="auto"/>
        <w:rPr>
          <w:color w:val="auto"/>
          <w:szCs w:val="21"/>
          <w:highlight w:val="none"/>
        </w:rPr>
      </w:pPr>
      <w:r>
        <w:rPr>
          <w:color w:val="auto"/>
          <w:szCs w:val="21"/>
          <w:highlight w:val="none"/>
        </w:rPr>
        <w:t>各专业设备间的接口在联调时出现配合问题，由集成服务商负责协调、修改，直至符合系统设备要求。</w:t>
      </w:r>
    </w:p>
    <w:p>
      <w:pPr>
        <w:numPr>
          <w:ilvl w:val="2"/>
          <w:numId w:val="7"/>
        </w:numPr>
        <w:spacing w:line="360" w:lineRule="auto"/>
        <w:rPr>
          <w:color w:val="auto"/>
          <w:szCs w:val="21"/>
          <w:highlight w:val="none"/>
        </w:rPr>
      </w:pPr>
      <w:r>
        <w:rPr>
          <w:color w:val="auto"/>
          <w:szCs w:val="21"/>
          <w:highlight w:val="none"/>
        </w:rPr>
        <w:t>集成服务商有责任与轨道交通其他系统供货商进行接口配合，提供双方所需相关资料。</w:t>
      </w:r>
    </w:p>
    <w:p>
      <w:pPr>
        <w:numPr>
          <w:ilvl w:val="2"/>
          <w:numId w:val="7"/>
        </w:numPr>
        <w:spacing w:line="360" w:lineRule="auto"/>
        <w:rPr>
          <w:color w:val="auto"/>
          <w:szCs w:val="21"/>
          <w:highlight w:val="none"/>
        </w:rPr>
      </w:pPr>
      <w:r>
        <w:rPr>
          <w:color w:val="auto"/>
          <w:szCs w:val="21"/>
          <w:highlight w:val="none"/>
        </w:rPr>
        <w:t>接口控制验收：接口文件正确、并在具体工作中得到了实施，</w:t>
      </w:r>
      <w:r>
        <w:rPr>
          <w:rFonts w:hint="eastAsia"/>
          <w:color w:val="auto"/>
          <w:szCs w:val="21"/>
          <w:highlight w:val="none"/>
        </w:rPr>
        <w:t>试运营安全评估</w:t>
      </w:r>
      <w:r>
        <w:rPr>
          <w:rFonts w:hint="eastAsia"/>
          <w:color w:val="auto"/>
          <w:szCs w:val="21"/>
          <w:highlight w:val="none"/>
          <w:lang w:val="en-US" w:eastAsia="zh-CN"/>
        </w:rPr>
        <w:t>后</w:t>
      </w:r>
      <w:r>
        <w:rPr>
          <w:color w:val="auto"/>
          <w:szCs w:val="21"/>
          <w:highlight w:val="none"/>
        </w:rPr>
        <w:t>，方可认为此项工作的完成。</w:t>
      </w:r>
    </w:p>
    <w:p>
      <w:pPr>
        <w:pStyle w:val="4"/>
        <w:bidi w:val="0"/>
        <w:rPr>
          <w:rFonts w:hint="eastAsia" w:ascii="黑体" w:hAnsi="黑体" w:eastAsia="黑体" w:cs="黑体"/>
          <w:color w:val="auto"/>
          <w:sz w:val="21"/>
          <w:szCs w:val="21"/>
          <w:highlight w:val="none"/>
        </w:rPr>
      </w:pPr>
      <w:bookmarkStart w:id="2401" w:name="_Toc309026525"/>
      <w:bookmarkStart w:id="2402" w:name="_Toc22237"/>
      <w:bookmarkStart w:id="2403" w:name="_Toc6078"/>
      <w:bookmarkStart w:id="2404" w:name="_Toc30264"/>
      <w:bookmarkStart w:id="2405" w:name="_Toc306091646"/>
      <w:bookmarkStart w:id="2406" w:name="_Toc130847140"/>
      <w:bookmarkStart w:id="2407" w:name="_Toc309026919"/>
      <w:bookmarkStart w:id="2408" w:name="_Toc26324"/>
      <w:bookmarkStart w:id="2409" w:name="_Toc20965"/>
      <w:bookmarkStart w:id="2410" w:name="_Toc184763351"/>
      <w:bookmarkStart w:id="2411" w:name="_Toc1148"/>
      <w:r>
        <w:rPr>
          <w:rFonts w:hint="eastAsia" w:ascii="黑体" w:hAnsi="黑体" w:eastAsia="黑体" w:cs="黑体"/>
          <w:color w:val="auto"/>
          <w:sz w:val="21"/>
          <w:szCs w:val="21"/>
          <w:highlight w:val="none"/>
          <w:lang w:val="en-US" w:eastAsia="zh-CN"/>
        </w:rPr>
        <w:t xml:space="preserve">6.8 </w:t>
      </w:r>
      <w:r>
        <w:rPr>
          <w:rFonts w:hint="eastAsia" w:ascii="黑体" w:hAnsi="黑体" w:eastAsia="黑体" w:cs="黑体"/>
          <w:color w:val="auto"/>
          <w:sz w:val="21"/>
          <w:szCs w:val="21"/>
          <w:highlight w:val="none"/>
        </w:rPr>
        <w:t>设备生产全过程控制</w:t>
      </w:r>
      <w:bookmarkEnd w:id="2401"/>
      <w:bookmarkEnd w:id="2402"/>
      <w:bookmarkEnd w:id="2403"/>
      <w:bookmarkEnd w:id="2404"/>
      <w:bookmarkEnd w:id="2405"/>
      <w:bookmarkEnd w:id="2406"/>
      <w:bookmarkEnd w:id="2407"/>
      <w:bookmarkEnd w:id="2408"/>
      <w:bookmarkEnd w:id="2409"/>
      <w:bookmarkEnd w:id="2410"/>
      <w:bookmarkEnd w:id="2411"/>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6.8.1 </w:t>
      </w:r>
      <w:r>
        <w:rPr>
          <w:color w:val="auto"/>
          <w:szCs w:val="21"/>
          <w:highlight w:val="none"/>
        </w:rPr>
        <w:t>集成服务商应根据业主的工期计划，制定相应的设备生产全过程控制方案（含样机试验、接口试验、设备监造等）报业主确认。</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6.8.2 </w:t>
      </w:r>
      <w:r>
        <w:rPr>
          <w:color w:val="auto"/>
          <w:szCs w:val="21"/>
          <w:highlight w:val="none"/>
        </w:rPr>
        <w:t>必须派遣有经验的人员对主要设备生产全过程进行监造，按生产进度制定监造报告交业主。</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6.8.3 </w:t>
      </w:r>
      <w:r>
        <w:rPr>
          <w:color w:val="auto"/>
          <w:szCs w:val="21"/>
          <w:highlight w:val="none"/>
        </w:rPr>
        <w:t>集成服务商必须审查各供货商试验建议并随时将监造、试验中发现的问题以书面通知业主。</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6.8.4 </w:t>
      </w:r>
      <w:r>
        <w:rPr>
          <w:color w:val="auto"/>
          <w:szCs w:val="21"/>
          <w:highlight w:val="none"/>
        </w:rPr>
        <w:t>设备生产全过程控制验收：设备生产全过程控制计划合理、可行，并在具体工作中得到了实施，经业主评定通过后，方可认为此项工作的完成。</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6.8.5 </w:t>
      </w:r>
      <w:r>
        <w:rPr>
          <w:color w:val="auto"/>
          <w:szCs w:val="21"/>
          <w:highlight w:val="none"/>
        </w:rPr>
        <w:t>集成服务商在主要元器件及材料进厂检验、设备出厂试验和工厂验收中，应组织业主等相关人员参加设备监造，且集成服务商应派出合格的技术人员参加设备监造。设备监造为全程监造，集成服务人员的所有设备监造相关费用应包含在投标价内。</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6.8.6 </w:t>
      </w:r>
      <w:r>
        <w:rPr>
          <w:color w:val="auto"/>
          <w:szCs w:val="21"/>
          <w:highlight w:val="none"/>
        </w:rPr>
        <w:t>集成服务商应组织业主等相关人员参加出厂检验，且集成服务商应派出合格的技术人员参加出厂检验。集成服务人员的所有出厂检验相关费用包含在投标价内。出厂检验的相关内容（样机验收、出厂验收及批次验收</w:t>
      </w:r>
      <w:r>
        <w:rPr>
          <w:rFonts w:hint="eastAsia"/>
          <w:color w:val="auto"/>
          <w:szCs w:val="21"/>
          <w:highlight w:val="none"/>
          <w:lang w:val="en-US" w:eastAsia="zh-CN"/>
        </w:rPr>
        <w:t>等</w:t>
      </w:r>
      <w:r>
        <w:rPr>
          <w:color w:val="auto"/>
          <w:szCs w:val="21"/>
          <w:highlight w:val="none"/>
        </w:rPr>
        <w:t>）及</w:t>
      </w:r>
      <w:r>
        <w:rPr>
          <w:rFonts w:hint="eastAsia"/>
          <w:color w:val="auto"/>
          <w:szCs w:val="21"/>
          <w:highlight w:val="none"/>
          <w:lang w:val="en-US" w:eastAsia="zh-CN"/>
        </w:rPr>
        <w:t>初步</w:t>
      </w:r>
      <w:r>
        <w:rPr>
          <w:color w:val="auto"/>
          <w:szCs w:val="21"/>
          <w:highlight w:val="none"/>
        </w:rPr>
        <w:t>安排如下</w:t>
      </w:r>
      <w:r>
        <w:rPr>
          <w:rFonts w:hint="eastAsia"/>
          <w:color w:val="auto"/>
          <w:highlight w:val="none"/>
        </w:rPr>
        <w:t>，具体次数及天数根据工程进度情况及业主安排确定</w:t>
      </w:r>
      <w:r>
        <w:rPr>
          <w:color w:val="auto"/>
          <w:szCs w:val="21"/>
          <w:highlight w:val="none"/>
        </w:rPr>
        <w:t>：</w:t>
      </w:r>
    </w:p>
    <w:tbl>
      <w:tblPr>
        <w:tblStyle w:val="14"/>
        <w:tblW w:w="43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0"/>
        <w:gridCol w:w="2404"/>
        <w:gridCol w:w="2426"/>
        <w:gridCol w:w="122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1" w:type="pct"/>
            <w:gridSpan w:val="2"/>
            <w:tcBorders>
              <w:bottom w:val="single" w:color="auto" w:sz="4" w:space="0"/>
            </w:tcBorders>
            <w:noWrap w:val="0"/>
            <w:vAlign w:val="center"/>
          </w:tcPr>
          <w:p>
            <w:pPr>
              <w:snapToGrid w:val="0"/>
              <w:jc w:val="center"/>
              <w:rPr>
                <w:color w:val="auto"/>
                <w:highlight w:val="none"/>
              </w:rPr>
            </w:pPr>
            <w:r>
              <w:rPr>
                <w:color w:val="auto"/>
                <w:highlight w:val="none"/>
              </w:rPr>
              <w:t>序号</w:t>
            </w:r>
          </w:p>
        </w:tc>
        <w:tc>
          <w:tcPr>
            <w:tcW w:w="2831" w:type="pct"/>
            <w:gridSpan w:val="2"/>
            <w:tcBorders>
              <w:bottom w:val="single" w:color="auto" w:sz="4" w:space="0"/>
            </w:tcBorders>
            <w:noWrap w:val="0"/>
            <w:vAlign w:val="center"/>
          </w:tcPr>
          <w:p>
            <w:pPr>
              <w:snapToGrid w:val="0"/>
              <w:jc w:val="center"/>
              <w:rPr>
                <w:color w:val="auto"/>
                <w:highlight w:val="none"/>
              </w:rPr>
            </w:pPr>
            <w:r>
              <w:rPr>
                <w:color w:val="auto"/>
                <w:highlight w:val="none"/>
              </w:rPr>
              <w:t>项目</w:t>
            </w:r>
          </w:p>
        </w:tc>
        <w:tc>
          <w:tcPr>
            <w:tcW w:w="720" w:type="pct"/>
            <w:tcBorders>
              <w:bottom w:val="single" w:color="auto" w:sz="4" w:space="0"/>
            </w:tcBorders>
            <w:noWrap w:val="0"/>
            <w:vAlign w:val="center"/>
          </w:tcPr>
          <w:p>
            <w:pPr>
              <w:snapToGrid w:val="0"/>
              <w:jc w:val="center"/>
              <w:rPr>
                <w:color w:val="auto"/>
                <w:highlight w:val="none"/>
              </w:rPr>
            </w:pPr>
            <w:r>
              <w:rPr>
                <w:color w:val="auto"/>
                <w:highlight w:val="none"/>
              </w:rPr>
              <w:t>次数</w:t>
            </w:r>
          </w:p>
        </w:tc>
        <w:tc>
          <w:tcPr>
            <w:tcW w:w="977" w:type="pct"/>
            <w:tcBorders>
              <w:bottom w:val="single" w:color="auto" w:sz="4" w:space="0"/>
            </w:tcBorders>
            <w:noWrap w:val="0"/>
            <w:vAlign w:val="center"/>
          </w:tcPr>
          <w:p>
            <w:pPr>
              <w:snapToGrid w:val="0"/>
              <w:jc w:val="center"/>
              <w:rPr>
                <w:color w:val="auto"/>
                <w:highlight w:val="none"/>
              </w:rPr>
            </w:pPr>
            <w:r>
              <w:rPr>
                <w:color w:val="auto"/>
                <w:highlight w:val="none"/>
              </w:rPr>
              <w:t>天数/每次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 w:type="pct"/>
            <w:gridSpan w:val="2"/>
            <w:noWrap w:val="0"/>
            <w:vAlign w:val="center"/>
          </w:tcPr>
          <w:p>
            <w:pPr>
              <w:snapToGrid w:val="0"/>
              <w:jc w:val="center"/>
              <w:rPr>
                <w:color w:val="auto"/>
                <w:highlight w:val="none"/>
              </w:rPr>
            </w:pPr>
            <w:r>
              <w:rPr>
                <w:color w:val="auto"/>
                <w:highlight w:val="none"/>
              </w:rPr>
              <w:t>1</w:t>
            </w:r>
          </w:p>
        </w:tc>
        <w:tc>
          <w:tcPr>
            <w:tcW w:w="2831" w:type="pct"/>
            <w:gridSpan w:val="2"/>
            <w:noWrap w:val="0"/>
            <w:vAlign w:val="center"/>
          </w:tcPr>
          <w:p>
            <w:pPr>
              <w:snapToGrid w:val="0"/>
              <w:jc w:val="center"/>
              <w:rPr>
                <w:color w:val="auto"/>
                <w:highlight w:val="none"/>
              </w:rPr>
            </w:pPr>
            <w:r>
              <w:rPr>
                <w:rFonts w:hint="eastAsia"/>
                <w:color w:val="auto"/>
                <w:highlight w:val="none"/>
              </w:rPr>
              <w:t>整流变压器</w:t>
            </w:r>
          </w:p>
        </w:tc>
        <w:tc>
          <w:tcPr>
            <w:tcW w:w="720" w:type="pct"/>
            <w:noWrap w:val="0"/>
            <w:vAlign w:val="center"/>
          </w:tcPr>
          <w:p>
            <w:pPr>
              <w:snapToGrid w:val="0"/>
              <w:jc w:val="center"/>
              <w:rPr>
                <w:color w:val="auto"/>
                <w:highlight w:val="none"/>
              </w:rPr>
            </w:pPr>
            <w:r>
              <w:rPr>
                <w:color w:val="auto"/>
                <w:highlight w:val="none"/>
              </w:rPr>
              <w:t>3</w:t>
            </w:r>
          </w:p>
        </w:tc>
        <w:tc>
          <w:tcPr>
            <w:tcW w:w="977" w:type="pct"/>
            <w:noWrap w:val="0"/>
            <w:vAlign w:val="center"/>
          </w:tcPr>
          <w:p>
            <w:pPr>
              <w:snapToGrid w:val="0"/>
              <w:jc w:val="center"/>
              <w:rPr>
                <w:color w:val="auto"/>
                <w:highlight w:val="none"/>
              </w:rPr>
            </w:pPr>
            <w:r>
              <w:rPr>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 w:type="pct"/>
            <w:gridSpan w:val="2"/>
            <w:noWrap w:val="0"/>
            <w:vAlign w:val="center"/>
          </w:tcPr>
          <w:p>
            <w:pPr>
              <w:snapToGrid w:val="0"/>
              <w:jc w:val="center"/>
              <w:rPr>
                <w:color w:val="auto"/>
                <w:highlight w:val="none"/>
              </w:rPr>
            </w:pPr>
            <w:r>
              <w:rPr>
                <w:color w:val="auto"/>
                <w:highlight w:val="none"/>
              </w:rPr>
              <w:t>2</w:t>
            </w:r>
          </w:p>
        </w:tc>
        <w:tc>
          <w:tcPr>
            <w:tcW w:w="2831" w:type="pct"/>
            <w:gridSpan w:val="2"/>
            <w:noWrap w:val="0"/>
            <w:vAlign w:val="center"/>
          </w:tcPr>
          <w:p>
            <w:pPr>
              <w:snapToGrid w:val="0"/>
              <w:jc w:val="center"/>
              <w:rPr>
                <w:rFonts w:hint="eastAsia"/>
                <w:color w:val="auto"/>
                <w:highlight w:val="none"/>
              </w:rPr>
            </w:pPr>
            <w:r>
              <w:rPr>
                <w:rFonts w:hint="eastAsia"/>
                <w:color w:val="auto"/>
                <w:highlight w:val="none"/>
              </w:rPr>
              <w:t>3</w:t>
            </w:r>
            <w:r>
              <w:rPr>
                <w:color w:val="auto"/>
                <w:highlight w:val="none"/>
              </w:rPr>
              <w:t>5</w:t>
            </w:r>
            <w:r>
              <w:rPr>
                <w:rFonts w:hint="eastAsia"/>
                <w:color w:val="auto"/>
                <w:highlight w:val="none"/>
              </w:rPr>
              <w:t>k</w:t>
            </w:r>
            <w:r>
              <w:rPr>
                <w:color w:val="auto"/>
                <w:highlight w:val="none"/>
              </w:rPr>
              <w:t>V</w:t>
            </w:r>
            <w:r>
              <w:rPr>
                <w:rFonts w:hint="eastAsia"/>
                <w:color w:val="auto"/>
                <w:highlight w:val="none"/>
              </w:rPr>
              <w:t>动力变压器（含主所）</w:t>
            </w:r>
          </w:p>
        </w:tc>
        <w:tc>
          <w:tcPr>
            <w:tcW w:w="720" w:type="pct"/>
            <w:noWrap w:val="0"/>
            <w:vAlign w:val="center"/>
          </w:tcPr>
          <w:p>
            <w:pPr>
              <w:snapToGrid w:val="0"/>
              <w:jc w:val="center"/>
              <w:rPr>
                <w:color w:val="auto"/>
                <w:highlight w:val="none"/>
              </w:rPr>
            </w:pPr>
            <w:r>
              <w:rPr>
                <w:color w:val="auto"/>
                <w:highlight w:val="none"/>
              </w:rPr>
              <w:t>3</w:t>
            </w:r>
          </w:p>
        </w:tc>
        <w:tc>
          <w:tcPr>
            <w:tcW w:w="977" w:type="pct"/>
            <w:noWrap w:val="0"/>
            <w:vAlign w:val="center"/>
          </w:tcPr>
          <w:p>
            <w:pPr>
              <w:snapToGrid w:val="0"/>
              <w:jc w:val="center"/>
              <w:rPr>
                <w:color w:val="auto"/>
                <w:highlight w:val="none"/>
              </w:rPr>
            </w:pPr>
            <w:r>
              <w:rPr>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 w:type="pct"/>
            <w:gridSpan w:val="2"/>
            <w:noWrap w:val="0"/>
            <w:vAlign w:val="center"/>
          </w:tcPr>
          <w:p>
            <w:pPr>
              <w:snapToGrid w:val="0"/>
              <w:jc w:val="center"/>
              <w:rPr>
                <w:color w:val="auto"/>
                <w:highlight w:val="none"/>
              </w:rPr>
            </w:pPr>
            <w:r>
              <w:rPr>
                <w:color w:val="auto"/>
                <w:highlight w:val="none"/>
              </w:rPr>
              <w:t>3</w:t>
            </w:r>
          </w:p>
        </w:tc>
        <w:tc>
          <w:tcPr>
            <w:tcW w:w="2831" w:type="pct"/>
            <w:gridSpan w:val="2"/>
            <w:noWrap w:val="0"/>
            <w:vAlign w:val="center"/>
          </w:tcPr>
          <w:p>
            <w:pPr>
              <w:snapToGrid w:val="0"/>
              <w:jc w:val="center"/>
              <w:rPr>
                <w:rFonts w:hint="eastAsia"/>
                <w:color w:val="auto"/>
                <w:highlight w:val="none"/>
              </w:rPr>
            </w:pPr>
            <w:r>
              <w:rPr>
                <w:rFonts w:hint="eastAsia"/>
                <w:color w:val="auto"/>
                <w:highlight w:val="none"/>
              </w:rPr>
              <w:t>整流器</w:t>
            </w:r>
          </w:p>
        </w:tc>
        <w:tc>
          <w:tcPr>
            <w:tcW w:w="720" w:type="pct"/>
            <w:noWrap w:val="0"/>
            <w:vAlign w:val="center"/>
          </w:tcPr>
          <w:p>
            <w:pPr>
              <w:snapToGrid w:val="0"/>
              <w:jc w:val="center"/>
              <w:rPr>
                <w:color w:val="auto"/>
                <w:highlight w:val="none"/>
              </w:rPr>
            </w:pPr>
            <w:r>
              <w:rPr>
                <w:color w:val="auto"/>
                <w:highlight w:val="none"/>
              </w:rPr>
              <w:t>3</w:t>
            </w:r>
          </w:p>
        </w:tc>
        <w:tc>
          <w:tcPr>
            <w:tcW w:w="977" w:type="pct"/>
            <w:noWrap w:val="0"/>
            <w:vAlign w:val="center"/>
          </w:tcPr>
          <w:p>
            <w:pPr>
              <w:snapToGrid w:val="0"/>
              <w:jc w:val="center"/>
              <w:rPr>
                <w:color w:val="auto"/>
                <w:highlight w:val="none"/>
              </w:rPr>
            </w:pPr>
            <w:r>
              <w:rPr>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 w:type="pct"/>
            <w:gridSpan w:val="2"/>
            <w:noWrap w:val="0"/>
            <w:vAlign w:val="center"/>
          </w:tcPr>
          <w:p>
            <w:pPr>
              <w:snapToGrid w:val="0"/>
              <w:jc w:val="center"/>
              <w:rPr>
                <w:color w:val="auto"/>
                <w:highlight w:val="none"/>
              </w:rPr>
            </w:pPr>
            <w:r>
              <w:rPr>
                <w:color w:val="auto"/>
                <w:highlight w:val="none"/>
              </w:rPr>
              <w:t>4</w:t>
            </w:r>
          </w:p>
        </w:tc>
        <w:tc>
          <w:tcPr>
            <w:tcW w:w="2831" w:type="pct"/>
            <w:gridSpan w:val="2"/>
            <w:noWrap w:val="0"/>
            <w:vAlign w:val="center"/>
          </w:tcPr>
          <w:p>
            <w:pPr>
              <w:snapToGrid w:val="0"/>
              <w:jc w:val="center"/>
              <w:rPr>
                <w:color w:val="auto"/>
                <w:highlight w:val="none"/>
              </w:rPr>
            </w:pPr>
            <w:r>
              <w:rPr>
                <w:color w:val="auto"/>
                <w:highlight w:val="none"/>
              </w:rPr>
              <w:t>35</w:t>
            </w:r>
            <w:r>
              <w:rPr>
                <w:rFonts w:hint="eastAsia"/>
                <w:color w:val="auto"/>
                <w:highlight w:val="none"/>
              </w:rPr>
              <w:t>kV开关柜（含主所）</w:t>
            </w:r>
          </w:p>
        </w:tc>
        <w:tc>
          <w:tcPr>
            <w:tcW w:w="720" w:type="pct"/>
            <w:noWrap w:val="0"/>
            <w:vAlign w:val="center"/>
          </w:tcPr>
          <w:p>
            <w:pPr>
              <w:jc w:val="center"/>
              <w:rPr>
                <w:color w:val="auto"/>
                <w:highlight w:val="none"/>
              </w:rPr>
            </w:pPr>
            <w:r>
              <w:rPr>
                <w:color w:val="auto"/>
                <w:highlight w:val="none"/>
              </w:rPr>
              <w:t>3</w:t>
            </w:r>
          </w:p>
        </w:tc>
        <w:tc>
          <w:tcPr>
            <w:tcW w:w="977" w:type="pct"/>
            <w:noWrap w:val="0"/>
            <w:vAlign w:val="center"/>
          </w:tcPr>
          <w:p>
            <w:pPr>
              <w:jc w:val="center"/>
              <w:rPr>
                <w:color w:val="auto"/>
                <w:highlight w:val="none"/>
              </w:rPr>
            </w:pPr>
            <w:r>
              <w:rPr>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 w:type="pct"/>
            <w:gridSpan w:val="2"/>
            <w:noWrap w:val="0"/>
            <w:vAlign w:val="center"/>
          </w:tcPr>
          <w:p>
            <w:pPr>
              <w:snapToGrid w:val="0"/>
              <w:jc w:val="center"/>
              <w:rPr>
                <w:color w:val="auto"/>
                <w:highlight w:val="none"/>
              </w:rPr>
            </w:pPr>
            <w:r>
              <w:rPr>
                <w:color w:val="auto"/>
                <w:highlight w:val="none"/>
              </w:rPr>
              <w:t>5</w:t>
            </w:r>
          </w:p>
        </w:tc>
        <w:tc>
          <w:tcPr>
            <w:tcW w:w="2831" w:type="pct"/>
            <w:gridSpan w:val="2"/>
            <w:noWrap w:val="0"/>
            <w:vAlign w:val="center"/>
          </w:tcPr>
          <w:p>
            <w:pPr>
              <w:snapToGrid w:val="0"/>
              <w:jc w:val="center"/>
              <w:rPr>
                <w:color w:val="auto"/>
                <w:highlight w:val="none"/>
              </w:rPr>
            </w:pPr>
            <w:r>
              <w:rPr>
                <w:rFonts w:hint="eastAsia"/>
                <w:color w:val="auto"/>
                <w:highlight w:val="none"/>
              </w:rPr>
              <w:t>1500V直流开关柜（含钢轨电位限制装置）</w:t>
            </w:r>
          </w:p>
        </w:tc>
        <w:tc>
          <w:tcPr>
            <w:tcW w:w="720" w:type="pct"/>
            <w:noWrap w:val="0"/>
            <w:vAlign w:val="center"/>
          </w:tcPr>
          <w:p>
            <w:pPr>
              <w:snapToGrid w:val="0"/>
              <w:jc w:val="center"/>
              <w:rPr>
                <w:color w:val="auto"/>
                <w:highlight w:val="none"/>
              </w:rPr>
            </w:pPr>
            <w:r>
              <w:rPr>
                <w:color w:val="auto"/>
                <w:highlight w:val="none"/>
              </w:rPr>
              <w:t>3</w:t>
            </w:r>
          </w:p>
        </w:tc>
        <w:tc>
          <w:tcPr>
            <w:tcW w:w="977" w:type="pct"/>
            <w:noWrap w:val="0"/>
            <w:vAlign w:val="center"/>
          </w:tcPr>
          <w:p>
            <w:pPr>
              <w:snapToGrid w:val="0"/>
              <w:jc w:val="center"/>
              <w:rPr>
                <w:color w:val="auto"/>
                <w:highlight w:val="none"/>
              </w:rPr>
            </w:pPr>
            <w:r>
              <w:rPr>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 w:type="pct"/>
            <w:gridSpan w:val="2"/>
            <w:noWrap w:val="0"/>
            <w:vAlign w:val="center"/>
          </w:tcPr>
          <w:p>
            <w:pPr>
              <w:snapToGrid w:val="0"/>
              <w:jc w:val="center"/>
              <w:rPr>
                <w:color w:val="auto"/>
                <w:highlight w:val="none"/>
              </w:rPr>
            </w:pPr>
            <w:r>
              <w:rPr>
                <w:color w:val="auto"/>
                <w:sz w:val="22"/>
                <w:szCs w:val="22"/>
                <w:highlight w:val="none"/>
              </w:rPr>
              <w:t>6</w:t>
            </w:r>
          </w:p>
        </w:tc>
        <w:tc>
          <w:tcPr>
            <w:tcW w:w="2831" w:type="pct"/>
            <w:gridSpan w:val="2"/>
            <w:noWrap w:val="0"/>
            <w:vAlign w:val="center"/>
          </w:tcPr>
          <w:p>
            <w:pPr>
              <w:snapToGrid w:val="0"/>
              <w:jc w:val="center"/>
              <w:rPr>
                <w:color w:val="auto"/>
                <w:highlight w:val="none"/>
              </w:rPr>
            </w:pPr>
            <w:r>
              <w:rPr>
                <w:color w:val="auto"/>
                <w:highlight w:val="none"/>
              </w:rPr>
              <w:t>0.4kV低压开关柜、电气火灾监控系统、</w:t>
            </w:r>
          </w:p>
        </w:tc>
        <w:tc>
          <w:tcPr>
            <w:tcW w:w="720" w:type="pct"/>
            <w:noWrap w:val="0"/>
            <w:vAlign w:val="center"/>
          </w:tcPr>
          <w:p>
            <w:pPr>
              <w:snapToGrid w:val="0"/>
              <w:jc w:val="center"/>
              <w:rPr>
                <w:color w:val="auto"/>
                <w:highlight w:val="none"/>
              </w:rPr>
            </w:pPr>
            <w:r>
              <w:rPr>
                <w:color w:val="auto"/>
                <w:highlight w:val="none"/>
              </w:rPr>
              <w:t>2</w:t>
            </w:r>
          </w:p>
        </w:tc>
        <w:tc>
          <w:tcPr>
            <w:tcW w:w="977" w:type="pct"/>
            <w:noWrap w:val="0"/>
            <w:vAlign w:val="center"/>
          </w:tcPr>
          <w:p>
            <w:pPr>
              <w:snapToGrid w:val="0"/>
              <w:jc w:val="center"/>
              <w:rPr>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eastAsia="宋体"/>
                <w:color w:val="auto"/>
                <w:sz w:val="22"/>
                <w:szCs w:val="22"/>
                <w:highlight w:val="none"/>
                <w:lang w:eastAsia="zh-CN"/>
              </w:rPr>
            </w:pPr>
            <w:r>
              <w:rPr>
                <w:rFonts w:hint="eastAsia"/>
                <w:color w:val="auto"/>
                <w:sz w:val="22"/>
                <w:szCs w:val="22"/>
                <w:highlight w:val="none"/>
                <w:lang w:val="en-US" w:eastAsia="zh-CN"/>
              </w:rPr>
              <w:t>7</w:t>
            </w:r>
          </w:p>
        </w:tc>
        <w:tc>
          <w:tcPr>
            <w:tcW w:w="2837" w:type="pct"/>
            <w:gridSpan w:val="3"/>
            <w:noWrap w:val="0"/>
            <w:vAlign w:val="center"/>
          </w:tcPr>
          <w:p>
            <w:pPr>
              <w:snapToGrid w:val="0"/>
              <w:jc w:val="center"/>
              <w:rPr>
                <w:color w:val="auto"/>
                <w:highlight w:val="none"/>
              </w:rPr>
            </w:pPr>
            <w:r>
              <w:rPr>
                <w:rFonts w:hint="eastAsia"/>
                <w:color w:val="auto"/>
                <w:highlight w:val="none"/>
              </w:rPr>
              <w:t>专用通信传输设备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eastAsia="宋体"/>
                <w:color w:val="auto"/>
                <w:sz w:val="22"/>
                <w:szCs w:val="22"/>
                <w:highlight w:val="none"/>
                <w:lang w:eastAsia="zh-CN"/>
              </w:rPr>
            </w:pPr>
            <w:r>
              <w:rPr>
                <w:rFonts w:hint="eastAsia"/>
                <w:color w:val="auto"/>
                <w:sz w:val="22"/>
                <w:szCs w:val="22"/>
                <w:highlight w:val="none"/>
                <w:lang w:val="en-US" w:eastAsia="zh-CN"/>
              </w:rPr>
              <w:t>8</w:t>
            </w:r>
          </w:p>
        </w:tc>
        <w:tc>
          <w:tcPr>
            <w:tcW w:w="2837" w:type="pct"/>
            <w:gridSpan w:val="3"/>
            <w:noWrap w:val="0"/>
            <w:vAlign w:val="center"/>
          </w:tcPr>
          <w:p>
            <w:pPr>
              <w:snapToGrid w:val="0"/>
              <w:jc w:val="center"/>
              <w:rPr>
                <w:color w:val="auto"/>
                <w:highlight w:val="none"/>
              </w:rPr>
            </w:pPr>
            <w:r>
              <w:rPr>
                <w:rFonts w:hint="eastAsia"/>
                <w:color w:val="auto"/>
                <w:highlight w:val="none"/>
              </w:rPr>
              <w:t>公务电话系统设备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eastAsia="宋体"/>
                <w:color w:val="auto"/>
                <w:sz w:val="22"/>
                <w:szCs w:val="22"/>
                <w:highlight w:val="none"/>
                <w:lang w:eastAsia="zh-CN"/>
              </w:rPr>
            </w:pPr>
            <w:r>
              <w:rPr>
                <w:rFonts w:hint="eastAsia"/>
                <w:color w:val="auto"/>
                <w:sz w:val="22"/>
                <w:szCs w:val="22"/>
                <w:highlight w:val="none"/>
                <w:lang w:val="en-US" w:eastAsia="zh-CN"/>
              </w:rPr>
              <w:t>9</w:t>
            </w:r>
          </w:p>
        </w:tc>
        <w:tc>
          <w:tcPr>
            <w:tcW w:w="2837" w:type="pct"/>
            <w:gridSpan w:val="3"/>
            <w:noWrap w:val="0"/>
            <w:vAlign w:val="center"/>
          </w:tcPr>
          <w:p>
            <w:pPr>
              <w:snapToGrid w:val="0"/>
              <w:jc w:val="center"/>
              <w:rPr>
                <w:color w:val="auto"/>
                <w:highlight w:val="none"/>
              </w:rPr>
            </w:pPr>
            <w:r>
              <w:rPr>
                <w:rFonts w:hint="eastAsia"/>
                <w:color w:val="auto"/>
                <w:highlight w:val="none"/>
              </w:rPr>
              <w:t>无线通信系统设备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10</w:t>
            </w:r>
          </w:p>
        </w:tc>
        <w:tc>
          <w:tcPr>
            <w:tcW w:w="2837" w:type="pct"/>
            <w:gridSpan w:val="3"/>
            <w:noWrap w:val="0"/>
            <w:vAlign w:val="center"/>
          </w:tcPr>
          <w:p>
            <w:pPr>
              <w:snapToGrid w:val="0"/>
              <w:jc w:val="center"/>
              <w:rPr>
                <w:color w:val="auto"/>
                <w:highlight w:val="none"/>
              </w:rPr>
            </w:pPr>
            <w:r>
              <w:rPr>
                <w:rFonts w:hint="eastAsia"/>
                <w:color w:val="auto"/>
                <w:highlight w:val="none"/>
              </w:rPr>
              <w:t>专用电话系统设备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11</w:t>
            </w:r>
          </w:p>
        </w:tc>
        <w:tc>
          <w:tcPr>
            <w:tcW w:w="2837" w:type="pct"/>
            <w:gridSpan w:val="3"/>
            <w:noWrap w:val="0"/>
            <w:vAlign w:val="center"/>
          </w:tcPr>
          <w:p>
            <w:pPr>
              <w:snapToGrid w:val="0"/>
              <w:jc w:val="center"/>
              <w:rPr>
                <w:color w:val="auto"/>
                <w:highlight w:val="none"/>
              </w:rPr>
            </w:pPr>
            <w:r>
              <w:rPr>
                <w:rFonts w:hint="eastAsia"/>
                <w:color w:val="auto"/>
                <w:highlight w:val="none"/>
              </w:rPr>
              <w:t>广播系统设备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12</w:t>
            </w:r>
          </w:p>
        </w:tc>
        <w:tc>
          <w:tcPr>
            <w:tcW w:w="2837" w:type="pct"/>
            <w:gridSpan w:val="3"/>
            <w:noWrap w:val="0"/>
            <w:vAlign w:val="center"/>
          </w:tcPr>
          <w:p>
            <w:pPr>
              <w:snapToGrid w:val="0"/>
              <w:jc w:val="center"/>
              <w:rPr>
                <w:color w:val="auto"/>
                <w:highlight w:val="none"/>
              </w:rPr>
            </w:pPr>
            <w:r>
              <w:rPr>
                <w:rFonts w:hint="eastAsia"/>
                <w:color w:val="auto"/>
                <w:highlight w:val="none"/>
              </w:rPr>
              <w:t>时钟系统设备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13</w:t>
            </w:r>
          </w:p>
        </w:tc>
        <w:tc>
          <w:tcPr>
            <w:tcW w:w="2837" w:type="pct"/>
            <w:gridSpan w:val="3"/>
            <w:noWrap w:val="0"/>
            <w:vAlign w:val="center"/>
          </w:tcPr>
          <w:p>
            <w:pPr>
              <w:snapToGrid w:val="0"/>
              <w:jc w:val="center"/>
              <w:rPr>
                <w:color w:val="auto"/>
                <w:highlight w:val="none"/>
              </w:rPr>
            </w:pPr>
            <w:r>
              <w:rPr>
                <w:rFonts w:hint="eastAsia"/>
                <w:color w:val="auto"/>
                <w:highlight w:val="none"/>
              </w:rPr>
              <w:t>集中录音设备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14</w:t>
            </w:r>
          </w:p>
        </w:tc>
        <w:tc>
          <w:tcPr>
            <w:tcW w:w="2837" w:type="pct"/>
            <w:gridSpan w:val="3"/>
            <w:noWrap w:val="0"/>
            <w:vAlign w:val="center"/>
          </w:tcPr>
          <w:p>
            <w:pPr>
              <w:snapToGrid w:val="0"/>
              <w:jc w:val="center"/>
              <w:rPr>
                <w:color w:val="auto"/>
                <w:highlight w:val="none"/>
              </w:rPr>
            </w:pPr>
            <w:r>
              <w:rPr>
                <w:rFonts w:hint="eastAsia"/>
                <w:color w:val="auto"/>
                <w:highlight w:val="none"/>
              </w:rPr>
              <w:t>视频会议设备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15</w:t>
            </w:r>
          </w:p>
        </w:tc>
        <w:tc>
          <w:tcPr>
            <w:tcW w:w="2837" w:type="pct"/>
            <w:gridSpan w:val="3"/>
            <w:noWrap w:val="0"/>
            <w:vAlign w:val="center"/>
          </w:tcPr>
          <w:p>
            <w:pPr>
              <w:snapToGrid w:val="0"/>
              <w:jc w:val="center"/>
              <w:rPr>
                <w:color w:val="auto"/>
                <w:highlight w:val="none"/>
              </w:rPr>
            </w:pPr>
            <w:r>
              <w:rPr>
                <w:rFonts w:hint="eastAsia"/>
                <w:color w:val="auto"/>
                <w:highlight w:val="none"/>
              </w:rPr>
              <w:t>乘客信息系统中心设备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16</w:t>
            </w:r>
          </w:p>
        </w:tc>
        <w:tc>
          <w:tcPr>
            <w:tcW w:w="2837" w:type="pct"/>
            <w:gridSpan w:val="3"/>
            <w:noWrap w:val="0"/>
            <w:vAlign w:val="center"/>
          </w:tcPr>
          <w:p>
            <w:pPr>
              <w:snapToGrid w:val="0"/>
              <w:jc w:val="center"/>
              <w:rPr>
                <w:color w:val="auto"/>
                <w:highlight w:val="none"/>
              </w:rPr>
            </w:pPr>
            <w:r>
              <w:rPr>
                <w:rFonts w:hint="eastAsia"/>
                <w:color w:val="auto"/>
                <w:highlight w:val="none"/>
              </w:rPr>
              <w:t>乘客信息系统车站设备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17</w:t>
            </w:r>
          </w:p>
        </w:tc>
        <w:tc>
          <w:tcPr>
            <w:tcW w:w="2837" w:type="pct"/>
            <w:gridSpan w:val="3"/>
            <w:noWrap w:val="0"/>
            <w:vAlign w:val="center"/>
          </w:tcPr>
          <w:p>
            <w:pPr>
              <w:snapToGrid w:val="0"/>
              <w:jc w:val="center"/>
              <w:rPr>
                <w:color w:val="auto"/>
                <w:highlight w:val="none"/>
              </w:rPr>
            </w:pPr>
            <w:r>
              <w:rPr>
                <w:rFonts w:hint="eastAsia"/>
                <w:color w:val="auto"/>
                <w:highlight w:val="none"/>
              </w:rPr>
              <w:t>乘客信息车载设备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18</w:t>
            </w:r>
          </w:p>
        </w:tc>
        <w:tc>
          <w:tcPr>
            <w:tcW w:w="2837" w:type="pct"/>
            <w:gridSpan w:val="3"/>
            <w:noWrap w:val="0"/>
            <w:vAlign w:val="center"/>
          </w:tcPr>
          <w:p>
            <w:pPr>
              <w:snapToGrid w:val="0"/>
              <w:jc w:val="center"/>
              <w:rPr>
                <w:color w:val="auto"/>
                <w:highlight w:val="none"/>
              </w:rPr>
            </w:pPr>
            <w:r>
              <w:rPr>
                <w:rFonts w:hint="eastAsia"/>
                <w:color w:val="auto"/>
                <w:highlight w:val="none"/>
              </w:rPr>
              <w:t>公安传输设备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19</w:t>
            </w:r>
          </w:p>
        </w:tc>
        <w:tc>
          <w:tcPr>
            <w:tcW w:w="2837" w:type="pct"/>
            <w:gridSpan w:val="3"/>
            <w:noWrap w:val="0"/>
            <w:vAlign w:val="center"/>
          </w:tcPr>
          <w:p>
            <w:pPr>
              <w:snapToGrid w:val="0"/>
              <w:jc w:val="center"/>
              <w:rPr>
                <w:color w:val="auto"/>
                <w:highlight w:val="none"/>
              </w:rPr>
            </w:pPr>
            <w:r>
              <w:rPr>
                <w:rFonts w:hint="eastAsia"/>
                <w:color w:val="auto"/>
                <w:highlight w:val="none"/>
              </w:rPr>
              <w:t>公安视频监控设备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20</w:t>
            </w:r>
          </w:p>
        </w:tc>
        <w:tc>
          <w:tcPr>
            <w:tcW w:w="2837" w:type="pct"/>
            <w:gridSpan w:val="3"/>
            <w:noWrap w:val="0"/>
            <w:vAlign w:val="center"/>
          </w:tcPr>
          <w:p>
            <w:pPr>
              <w:snapToGrid w:val="0"/>
              <w:jc w:val="center"/>
              <w:rPr>
                <w:color w:val="auto"/>
                <w:highlight w:val="none"/>
              </w:rPr>
            </w:pPr>
            <w:r>
              <w:rPr>
                <w:rFonts w:hint="eastAsia"/>
                <w:color w:val="auto"/>
                <w:highlight w:val="none"/>
              </w:rPr>
              <w:t>公安无线设备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21</w:t>
            </w:r>
          </w:p>
        </w:tc>
        <w:tc>
          <w:tcPr>
            <w:tcW w:w="2837" w:type="pct"/>
            <w:gridSpan w:val="3"/>
            <w:noWrap w:val="0"/>
            <w:vAlign w:val="center"/>
          </w:tcPr>
          <w:p>
            <w:pPr>
              <w:snapToGrid w:val="0"/>
              <w:jc w:val="center"/>
              <w:rPr>
                <w:color w:val="auto"/>
                <w:highlight w:val="none"/>
              </w:rPr>
            </w:pPr>
            <w:r>
              <w:rPr>
                <w:rFonts w:hint="eastAsia"/>
                <w:color w:val="auto"/>
                <w:highlight w:val="none"/>
              </w:rPr>
              <w:t>公安网络及电话设备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22</w:t>
            </w:r>
          </w:p>
        </w:tc>
        <w:tc>
          <w:tcPr>
            <w:tcW w:w="2837" w:type="pct"/>
            <w:gridSpan w:val="3"/>
            <w:noWrap w:val="0"/>
            <w:vAlign w:val="center"/>
          </w:tcPr>
          <w:p>
            <w:pPr>
              <w:snapToGrid w:val="0"/>
              <w:jc w:val="center"/>
              <w:rPr>
                <w:color w:val="auto"/>
                <w:highlight w:val="none"/>
              </w:rPr>
            </w:pPr>
            <w:r>
              <w:rPr>
                <w:rFonts w:hint="eastAsia"/>
                <w:color w:val="auto"/>
                <w:highlight w:val="none"/>
              </w:rPr>
              <w:t>一键报警设备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23</w:t>
            </w:r>
          </w:p>
        </w:tc>
        <w:tc>
          <w:tcPr>
            <w:tcW w:w="2837" w:type="pct"/>
            <w:gridSpan w:val="3"/>
            <w:noWrap w:val="0"/>
            <w:vAlign w:val="center"/>
          </w:tcPr>
          <w:p>
            <w:pPr>
              <w:snapToGrid w:val="0"/>
              <w:jc w:val="center"/>
              <w:rPr>
                <w:color w:val="auto"/>
                <w:highlight w:val="none"/>
              </w:rPr>
            </w:pPr>
            <w:r>
              <w:rPr>
                <w:rFonts w:hint="eastAsia"/>
                <w:color w:val="auto"/>
                <w:highlight w:val="none"/>
              </w:rPr>
              <w:t>公安电源设备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24</w:t>
            </w:r>
          </w:p>
        </w:tc>
        <w:tc>
          <w:tcPr>
            <w:tcW w:w="2837" w:type="pct"/>
            <w:gridSpan w:val="3"/>
            <w:noWrap w:val="0"/>
            <w:vAlign w:val="center"/>
          </w:tcPr>
          <w:p>
            <w:pPr>
              <w:snapToGrid w:val="0"/>
              <w:jc w:val="center"/>
              <w:rPr>
                <w:color w:val="auto"/>
                <w:highlight w:val="none"/>
              </w:rPr>
            </w:pPr>
            <w:r>
              <w:rPr>
                <w:rFonts w:hint="eastAsia"/>
                <w:color w:val="auto"/>
                <w:highlight w:val="none"/>
              </w:rPr>
              <w:t>计算机网络设备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25</w:t>
            </w:r>
          </w:p>
        </w:tc>
        <w:tc>
          <w:tcPr>
            <w:tcW w:w="2837" w:type="pct"/>
            <w:gridSpan w:val="3"/>
            <w:noWrap w:val="0"/>
            <w:vAlign w:val="center"/>
          </w:tcPr>
          <w:p>
            <w:pPr>
              <w:snapToGrid w:val="0"/>
              <w:jc w:val="center"/>
              <w:rPr>
                <w:color w:val="auto"/>
                <w:highlight w:val="none"/>
              </w:rPr>
            </w:pPr>
            <w:r>
              <w:rPr>
                <w:rFonts w:hint="eastAsia"/>
                <w:color w:val="auto"/>
                <w:highlight w:val="none"/>
              </w:rPr>
              <w:t>光缆、电缆、漏缆</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26</w:t>
            </w:r>
          </w:p>
        </w:tc>
        <w:tc>
          <w:tcPr>
            <w:tcW w:w="2837" w:type="pct"/>
            <w:gridSpan w:val="3"/>
            <w:noWrap w:val="0"/>
            <w:vAlign w:val="center"/>
          </w:tcPr>
          <w:p>
            <w:pPr>
              <w:snapToGrid w:val="0"/>
              <w:jc w:val="center"/>
              <w:rPr>
                <w:color w:val="auto"/>
                <w:highlight w:val="none"/>
              </w:rPr>
            </w:pPr>
            <w:r>
              <w:rPr>
                <w:rFonts w:hint="eastAsia"/>
                <w:color w:val="auto"/>
                <w:highlight w:val="none"/>
              </w:rPr>
              <w:t>通信安全等保设备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27</w:t>
            </w:r>
          </w:p>
        </w:tc>
        <w:tc>
          <w:tcPr>
            <w:tcW w:w="2837" w:type="pct"/>
            <w:gridSpan w:val="3"/>
            <w:noWrap w:val="0"/>
            <w:vAlign w:val="center"/>
          </w:tcPr>
          <w:p>
            <w:pPr>
              <w:snapToGrid w:val="0"/>
              <w:jc w:val="center"/>
              <w:rPr>
                <w:color w:val="auto"/>
                <w:highlight w:val="none"/>
              </w:rPr>
            </w:pPr>
            <w:r>
              <w:rPr>
                <w:rFonts w:hint="eastAsia"/>
                <w:color w:val="auto"/>
                <w:highlight w:val="none"/>
              </w:rPr>
              <w:t>正线信号系统</w:t>
            </w:r>
          </w:p>
        </w:tc>
        <w:tc>
          <w:tcPr>
            <w:tcW w:w="720" w:type="pct"/>
            <w:noWrap w:val="0"/>
            <w:vAlign w:val="center"/>
          </w:tcPr>
          <w:p>
            <w:pPr>
              <w:snapToGrid w:val="0"/>
              <w:jc w:val="center"/>
              <w:rPr>
                <w:color w:val="auto"/>
                <w:highlight w:val="none"/>
              </w:rPr>
            </w:pPr>
            <w:r>
              <w:rPr>
                <w:rFonts w:hint="eastAsia"/>
                <w:color w:val="auto"/>
                <w:highlight w:val="none"/>
              </w:rPr>
              <w:t>2</w:t>
            </w:r>
          </w:p>
        </w:tc>
        <w:tc>
          <w:tcPr>
            <w:tcW w:w="977" w:type="pct"/>
            <w:noWrap w:val="0"/>
            <w:vAlign w:val="center"/>
          </w:tcPr>
          <w:p>
            <w:pPr>
              <w:snapToGrid w:val="0"/>
              <w:jc w:val="center"/>
              <w:rPr>
                <w:rFonts w:hint="eastAsia"/>
                <w:color w:val="auto"/>
                <w:highlight w:val="none"/>
              </w:rPr>
            </w:pPr>
            <w:r>
              <w:rPr>
                <w:color w:val="auto"/>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28</w:t>
            </w:r>
          </w:p>
        </w:tc>
        <w:tc>
          <w:tcPr>
            <w:tcW w:w="2837" w:type="pct"/>
            <w:gridSpan w:val="3"/>
            <w:noWrap w:val="0"/>
            <w:vAlign w:val="center"/>
          </w:tcPr>
          <w:p>
            <w:pPr>
              <w:snapToGrid w:val="0"/>
              <w:jc w:val="center"/>
              <w:rPr>
                <w:color w:val="auto"/>
                <w:highlight w:val="none"/>
              </w:rPr>
            </w:pPr>
            <w:r>
              <w:rPr>
                <w:rFonts w:hint="eastAsia"/>
                <w:color w:val="auto"/>
                <w:highlight w:val="none"/>
              </w:rPr>
              <w:t>停车场信号系统</w:t>
            </w:r>
          </w:p>
        </w:tc>
        <w:tc>
          <w:tcPr>
            <w:tcW w:w="720" w:type="pct"/>
            <w:noWrap w:val="0"/>
            <w:vAlign w:val="center"/>
          </w:tcPr>
          <w:p>
            <w:pPr>
              <w:snapToGrid w:val="0"/>
              <w:jc w:val="center"/>
              <w:rPr>
                <w:color w:val="auto"/>
                <w:highlight w:val="none"/>
              </w:rPr>
            </w:pPr>
            <w:r>
              <w:rPr>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29</w:t>
            </w:r>
          </w:p>
        </w:tc>
        <w:tc>
          <w:tcPr>
            <w:tcW w:w="2837" w:type="pct"/>
            <w:gridSpan w:val="3"/>
            <w:noWrap w:val="0"/>
            <w:vAlign w:val="center"/>
          </w:tcPr>
          <w:p>
            <w:pPr>
              <w:snapToGrid w:val="0"/>
              <w:jc w:val="center"/>
              <w:rPr>
                <w:color w:val="auto"/>
                <w:highlight w:val="none"/>
              </w:rPr>
            </w:pPr>
            <w:r>
              <w:rPr>
                <w:rFonts w:hint="eastAsia"/>
                <w:color w:val="auto"/>
                <w:highlight w:val="none"/>
              </w:rPr>
              <w:t>信号DCS设备</w:t>
            </w:r>
          </w:p>
        </w:tc>
        <w:tc>
          <w:tcPr>
            <w:tcW w:w="720" w:type="pct"/>
            <w:noWrap w:val="0"/>
            <w:vAlign w:val="center"/>
          </w:tcPr>
          <w:p>
            <w:pPr>
              <w:snapToGrid w:val="0"/>
              <w:jc w:val="center"/>
              <w:rPr>
                <w:color w:val="auto"/>
                <w:highlight w:val="none"/>
              </w:rPr>
            </w:pPr>
            <w:r>
              <w:rPr>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30</w:t>
            </w:r>
          </w:p>
        </w:tc>
        <w:tc>
          <w:tcPr>
            <w:tcW w:w="2837" w:type="pct"/>
            <w:gridSpan w:val="3"/>
            <w:noWrap w:val="0"/>
            <w:vAlign w:val="center"/>
          </w:tcPr>
          <w:p>
            <w:pPr>
              <w:snapToGrid w:val="0"/>
              <w:jc w:val="center"/>
              <w:rPr>
                <w:color w:val="auto"/>
                <w:highlight w:val="none"/>
              </w:rPr>
            </w:pPr>
            <w:r>
              <w:rPr>
                <w:rFonts w:hint="eastAsia"/>
                <w:color w:val="auto"/>
                <w:highlight w:val="none"/>
              </w:rPr>
              <w:t>信号电源屏及UPS</w:t>
            </w:r>
          </w:p>
        </w:tc>
        <w:tc>
          <w:tcPr>
            <w:tcW w:w="720" w:type="pct"/>
            <w:noWrap w:val="0"/>
            <w:vAlign w:val="center"/>
          </w:tcPr>
          <w:p>
            <w:pPr>
              <w:snapToGrid w:val="0"/>
              <w:jc w:val="center"/>
              <w:rPr>
                <w:color w:val="auto"/>
                <w:highlight w:val="none"/>
              </w:rPr>
            </w:pPr>
            <w:r>
              <w:rPr>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color w:val="auto"/>
                <w:sz w:val="22"/>
                <w:szCs w:val="22"/>
                <w:highlight w:val="none"/>
                <w:lang w:val="en-US"/>
              </w:rPr>
            </w:pPr>
            <w:r>
              <w:rPr>
                <w:rFonts w:hint="eastAsia"/>
                <w:color w:val="auto"/>
                <w:sz w:val="22"/>
                <w:szCs w:val="22"/>
                <w:highlight w:val="none"/>
                <w:lang w:val="en-US" w:eastAsia="zh-CN"/>
              </w:rPr>
              <w:t>31</w:t>
            </w:r>
          </w:p>
        </w:tc>
        <w:tc>
          <w:tcPr>
            <w:tcW w:w="2837" w:type="pct"/>
            <w:gridSpan w:val="3"/>
            <w:noWrap w:val="0"/>
            <w:vAlign w:val="center"/>
          </w:tcPr>
          <w:p>
            <w:pPr>
              <w:snapToGrid w:val="0"/>
              <w:jc w:val="center"/>
              <w:rPr>
                <w:rFonts w:hint="eastAsia"/>
                <w:color w:val="auto"/>
                <w:highlight w:val="none"/>
              </w:rPr>
            </w:pPr>
            <w:r>
              <w:rPr>
                <w:rFonts w:hint="eastAsia"/>
                <w:color w:val="auto"/>
                <w:highlight w:val="none"/>
              </w:rPr>
              <w:t>信号安全等保设备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color w:val="auto"/>
                <w:sz w:val="22"/>
                <w:szCs w:val="22"/>
                <w:highlight w:val="none"/>
                <w:lang w:val="en-US"/>
              </w:rPr>
            </w:pPr>
            <w:r>
              <w:rPr>
                <w:rFonts w:hint="eastAsia"/>
                <w:color w:val="auto"/>
                <w:sz w:val="22"/>
                <w:szCs w:val="22"/>
                <w:highlight w:val="none"/>
                <w:lang w:val="en-US" w:eastAsia="zh-CN"/>
              </w:rPr>
              <w:t>32</w:t>
            </w:r>
          </w:p>
        </w:tc>
        <w:tc>
          <w:tcPr>
            <w:tcW w:w="2837" w:type="pct"/>
            <w:gridSpan w:val="3"/>
            <w:noWrap w:val="0"/>
            <w:vAlign w:val="center"/>
          </w:tcPr>
          <w:p>
            <w:pPr>
              <w:snapToGrid w:val="0"/>
              <w:jc w:val="center"/>
              <w:rPr>
                <w:color w:val="auto"/>
                <w:highlight w:val="none"/>
              </w:rPr>
            </w:pPr>
            <w:r>
              <w:rPr>
                <w:rFonts w:hint="eastAsia"/>
                <w:color w:val="auto"/>
                <w:highlight w:val="none"/>
              </w:rPr>
              <w:t>计轴设备</w:t>
            </w:r>
          </w:p>
        </w:tc>
        <w:tc>
          <w:tcPr>
            <w:tcW w:w="720" w:type="pct"/>
            <w:noWrap w:val="0"/>
            <w:vAlign w:val="center"/>
          </w:tcPr>
          <w:p>
            <w:pPr>
              <w:snapToGrid w:val="0"/>
              <w:jc w:val="center"/>
              <w:rPr>
                <w:color w:val="auto"/>
                <w:highlight w:val="none"/>
              </w:rPr>
            </w:pPr>
            <w:r>
              <w:rPr>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33</w:t>
            </w:r>
          </w:p>
        </w:tc>
        <w:tc>
          <w:tcPr>
            <w:tcW w:w="2837" w:type="pct"/>
            <w:gridSpan w:val="3"/>
            <w:noWrap w:val="0"/>
            <w:vAlign w:val="center"/>
          </w:tcPr>
          <w:p>
            <w:pPr>
              <w:snapToGrid w:val="0"/>
              <w:jc w:val="center"/>
              <w:rPr>
                <w:color w:val="auto"/>
                <w:highlight w:val="none"/>
              </w:rPr>
            </w:pPr>
            <w:r>
              <w:rPr>
                <w:rFonts w:hint="eastAsia"/>
                <w:color w:val="auto"/>
                <w:highlight w:val="none"/>
              </w:rPr>
              <w:t>售票机、验票机、检票机</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34</w:t>
            </w:r>
          </w:p>
        </w:tc>
        <w:tc>
          <w:tcPr>
            <w:tcW w:w="2837" w:type="pct"/>
            <w:gridSpan w:val="3"/>
            <w:noWrap w:val="0"/>
            <w:vAlign w:val="center"/>
          </w:tcPr>
          <w:p>
            <w:pPr>
              <w:snapToGrid w:val="0"/>
              <w:jc w:val="center"/>
              <w:rPr>
                <w:color w:val="auto"/>
                <w:highlight w:val="none"/>
              </w:rPr>
            </w:pPr>
            <w:r>
              <w:rPr>
                <w:rFonts w:hint="eastAsia"/>
                <w:color w:val="auto"/>
                <w:highlight w:val="none"/>
              </w:rPr>
              <w:t>智能客服中心</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35</w:t>
            </w:r>
          </w:p>
        </w:tc>
        <w:tc>
          <w:tcPr>
            <w:tcW w:w="2837" w:type="pct"/>
            <w:gridSpan w:val="3"/>
            <w:noWrap w:val="0"/>
            <w:vAlign w:val="center"/>
          </w:tcPr>
          <w:p>
            <w:pPr>
              <w:snapToGrid w:val="0"/>
              <w:jc w:val="center"/>
              <w:rPr>
                <w:color w:val="auto"/>
                <w:highlight w:val="none"/>
              </w:rPr>
            </w:pPr>
            <w:r>
              <w:rPr>
                <w:rFonts w:hint="eastAsia"/>
                <w:color w:val="auto"/>
                <w:highlight w:val="none"/>
              </w:rPr>
              <w:t>闸机扇门</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36</w:t>
            </w:r>
          </w:p>
        </w:tc>
        <w:tc>
          <w:tcPr>
            <w:tcW w:w="2837" w:type="pct"/>
            <w:gridSpan w:val="3"/>
            <w:noWrap w:val="0"/>
            <w:vAlign w:val="center"/>
          </w:tcPr>
          <w:p>
            <w:pPr>
              <w:snapToGrid w:val="0"/>
              <w:jc w:val="center"/>
              <w:rPr>
                <w:color w:val="auto"/>
                <w:highlight w:val="none"/>
              </w:rPr>
            </w:pPr>
            <w:r>
              <w:rPr>
                <w:rFonts w:hint="eastAsia"/>
                <w:color w:val="auto"/>
                <w:highlight w:val="none"/>
              </w:rPr>
              <w:t>纸币模块</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37</w:t>
            </w:r>
          </w:p>
        </w:tc>
        <w:tc>
          <w:tcPr>
            <w:tcW w:w="2837" w:type="pct"/>
            <w:gridSpan w:val="3"/>
            <w:noWrap w:val="0"/>
            <w:vAlign w:val="center"/>
          </w:tcPr>
          <w:p>
            <w:pPr>
              <w:snapToGrid w:val="0"/>
              <w:jc w:val="center"/>
              <w:rPr>
                <w:color w:val="auto"/>
                <w:highlight w:val="none"/>
              </w:rPr>
            </w:pPr>
            <w:r>
              <w:rPr>
                <w:rFonts w:hint="eastAsia"/>
                <w:color w:val="auto"/>
                <w:highlight w:val="none"/>
              </w:rPr>
              <w:t>网络设备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38</w:t>
            </w:r>
          </w:p>
        </w:tc>
        <w:tc>
          <w:tcPr>
            <w:tcW w:w="2837" w:type="pct"/>
            <w:gridSpan w:val="3"/>
            <w:noWrap w:val="0"/>
            <w:vAlign w:val="center"/>
          </w:tcPr>
          <w:p>
            <w:pPr>
              <w:snapToGrid w:val="0"/>
              <w:jc w:val="center"/>
              <w:rPr>
                <w:color w:val="auto"/>
                <w:highlight w:val="none"/>
              </w:rPr>
            </w:pPr>
            <w:r>
              <w:rPr>
                <w:rFonts w:hint="eastAsia"/>
                <w:color w:val="auto"/>
                <w:highlight w:val="none"/>
              </w:rPr>
              <w:t>AFC电源设备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color w:val="auto"/>
                <w:sz w:val="22"/>
                <w:szCs w:val="22"/>
                <w:highlight w:val="none"/>
                <w:lang w:val="en-US"/>
              </w:rPr>
            </w:pPr>
            <w:r>
              <w:rPr>
                <w:rFonts w:hint="eastAsia"/>
                <w:color w:val="auto"/>
                <w:sz w:val="22"/>
                <w:szCs w:val="22"/>
                <w:highlight w:val="none"/>
                <w:lang w:val="en-US" w:eastAsia="zh-CN"/>
              </w:rPr>
              <w:t>39</w:t>
            </w:r>
          </w:p>
        </w:tc>
        <w:tc>
          <w:tcPr>
            <w:tcW w:w="2837" w:type="pct"/>
            <w:gridSpan w:val="3"/>
            <w:noWrap w:val="0"/>
            <w:vAlign w:val="center"/>
          </w:tcPr>
          <w:p>
            <w:pPr>
              <w:snapToGrid w:val="0"/>
              <w:jc w:val="center"/>
              <w:rPr>
                <w:color w:val="auto"/>
                <w:highlight w:val="none"/>
              </w:rPr>
            </w:pPr>
            <w:r>
              <w:rPr>
                <w:rFonts w:hint="eastAsia"/>
                <w:color w:val="auto"/>
                <w:highlight w:val="none"/>
              </w:rPr>
              <w:t>AFC安全等保设备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40</w:t>
            </w:r>
          </w:p>
        </w:tc>
        <w:tc>
          <w:tcPr>
            <w:tcW w:w="2837" w:type="pct"/>
            <w:gridSpan w:val="3"/>
            <w:noWrap w:val="0"/>
            <w:vAlign w:val="center"/>
          </w:tcPr>
          <w:p>
            <w:pPr>
              <w:snapToGrid w:val="0"/>
              <w:jc w:val="center"/>
              <w:rPr>
                <w:color w:val="auto"/>
                <w:highlight w:val="none"/>
              </w:rPr>
            </w:pPr>
            <w:r>
              <w:rPr>
                <w:rFonts w:hint="eastAsia"/>
                <w:color w:val="auto"/>
                <w:highlight w:val="none"/>
              </w:rPr>
              <w:t>综合监控系统服务器、工作站、交换机、FEP</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color w:val="auto"/>
                <w:sz w:val="22"/>
                <w:szCs w:val="22"/>
                <w:highlight w:val="none"/>
                <w:lang w:val="en-US"/>
              </w:rPr>
            </w:pPr>
            <w:r>
              <w:rPr>
                <w:rFonts w:hint="eastAsia"/>
                <w:color w:val="auto"/>
                <w:sz w:val="22"/>
                <w:szCs w:val="22"/>
                <w:highlight w:val="none"/>
                <w:lang w:val="en-US" w:eastAsia="zh-CN"/>
              </w:rPr>
              <w:t>41</w:t>
            </w:r>
          </w:p>
        </w:tc>
        <w:tc>
          <w:tcPr>
            <w:tcW w:w="2837" w:type="pct"/>
            <w:gridSpan w:val="3"/>
            <w:noWrap w:val="0"/>
            <w:vAlign w:val="center"/>
          </w:tcPr>
          <w:p>
            <w:pPr>
              <w:snapToGrid w:val="0"/>
              <w:jc w:val="center"/>
              <w:rPr>
                <w:rFonts w:hint="eastAsia"/>
                <w:color w:val="auto"/>
                <w:highlight w:val="none"/>
              </w:rPr>
            </w:pPr>
            <w:r>
              <w:rPr>
                <w:rFonts w:hint="eastAsia"/>
                <w:color w:val="auto"/>
                <w:highlight w:val="none"/>
              </w:rPr>
              <w:t>PSCADA设备</w:t>
            </w:r>
          </w:p>
        </w:tc>
        <w:tc>
          <w:tcPr>
            <w:tcW w:w="720" w:type="pct"/>
            <w:noWrap w:val="0"/>
            <w:vAlign w:val="center"/>
          </w:tcPr>
          <w:p>
            <w:pPr>
              <w:snapToGrid w:val="0"/>
              <w:jc w:val="center"/>
              <w:rPr>
                <w:rFonts w:hint="eastAsia"/>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42</w:t>
            </w:r>
          </w:p>
        </w:tc>
        <w:tc>
          <w:tcPr>
            <w:tcW w:w="2837" w:type="pct"/>
            <w:gridSpan w:val="3"/>
            <w:noWrap w:val="0"/>
            <w:vAlign w:val="center"/>
          </w:tcPr>
          <w:p>
            <w:pPr>
              <w:snapToGrid w:val="0"/>
              <w:jc w:val="center"/>
              <w:rPr>
                <w:rFonts w:hint="eastAsia"/>
                <w:color w:val="auto"/>
                <w:highlight w:val="none"/>
              </w:rPr>
            </w:pPr>
            <w:r>
              <w:rPr>
                <w:rFonts w:hint="eastAsia"/>
                <w:color w:val="auto"/>
                <w:highlight w:val="none"/>
              </w:rPr>
              <w:t>IBP盘</w:t>
            </w:r>
          </w:p>
        </w:tc>
        <w:tc>
          <w:tcPr>
            <w:tcW w:w="720" w:type="pct"/>
            <w:noWrap w:val="0"/>
            <w:vAlign w:val="center"/>
          </w:tcPr>
          <w:p>
            <w:pPr>
              <w:snapToGrid w:val="0"/>
              <w:jc w:val="center"/>
              <w:rPr>
                <w:rFonts w:hint="eastAsia"/>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43</w:t>
            </w:r>
          </w:p>
        </w:tc>
        <w:tc>
          <w:tcPr>
            <w:tcW w:w="2837" w:type="pct"/>
            <w:gridSpan w:val="3"/>
            <w:noWrap w:val="0"/>
            <w:vAlign w:val="center"/>
          </w:tcPr>
          <w:p>
            <w:pPr>
              <w:snapToGrid w:val="0"/>
              <w:jc w:val="center"/>
              <w:rPr>
                <w:rFonts w:hint="eastAsia"/>
                <w:color w:val="auto"/>
                <w:highlight w:val="none"/>
              </w:rPr>
            </w:pPr>
            <w:r>
              <w:rPr>
                <w:rFonts w:hint="eastAsia"/>
                <w:color w:val="auto"/>
                <w:highlight w:val="none"/>
              </w:rPr>
              <w:t>弱电综合UPS设备</w:t>
            </w:r>
          </w:p>
        </w:tc>
        <w:tc>
          <w:tcPr>
            <w:tcW w:w="720" w:type="pct"/>
            <w:noWrap w:val="0"/>
            <w:vAlign w:val="center"/>
          </w:tcPr>
          <w:p>
            <w:pPr>
              <w:snapToGrid w:val="0"/>
              <w:jc w:val="center"/>
              <w:rPr>
                <w:rFonts w:hint="eastAsia"/>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44</w:t>
            </w:r>
          </w:p>
        </w:tc>
        <w:tc>
          <w:tcPr>
            <w:tcW w:w="2837" w:type="pct"/>
            <w:gridSpan w:val="3"/>
            <w:noWrap w:val="0"/>
            <w:vAlign w:val="center"/>
          </w:tcPr>
          <w:p>
            <w:pPr>
              <w:snapToGrid w:val="0"/>
              <w:jc w:val="center"/>
              <w:rPr>
                <w:color w:val="auto"/>
                <w:highlight w:val="none"/>
              </w:rPr>
            </w:pPr>
            <w:r>
              <w:rPr>
                <w:color w:val="auto"/>
                <w:highlight w:val="none"/>
              </w:rPr>
              <w:t>FAS/TFDS/EFAS</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45</w:t>
            </w:r>
          </w:p>
        </w:tc>
        <w:tc>
          <w:tcPr>
            <w:tcW w:w="2837" w:type="pct"/>
            <w:gridSpan w:val="3"/>
            <w:noWrap w:val="0"/>
            <w:vAlign w:val="center"/>
          </w:tcPr>
          <w:p>
            <w:pPr>
              <w:snapToGrid w:val="0"/>
              <w:jc w:val="center"/>
              <w:rPr>
                <w:color w:val="auto"/>
                <w:highlight w:val="none"/>
              </w:rPr>
            </w:pPr>
            <w:r>
              <w:rPr>
                <w:rFonts w:hint="eastAsia"/>
                <w:color w:val="auto"/>
                <w:highlight w:val="none"/>
              </w:rPr>
              <w:t>BAS设备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46</w:t>
            </w:r>
          </w:p>
        </w:tc>
        <w:tc>
          <w:tcPr>
            <w:tcW w:w="2837" w:type="pct"/>
            <w:gridSpan w:val="3"/>
            <w:noWrap w:val="0"/>
            <w:vAlign w:val="center"/>
          </w:tcPr>
          <w:p>
            <w:pPr>
              <w:snapToGrid w:val="0"/>
              <w:jc w:val="center"/>
              <w:rPr>
                <w:color w:val="auto"/>
                <w:highlight w:val="none"/>
              </w:rPr>
            </w:pPr>
            <w:r>
              <w:rPr>
                <w:rFonts w:hint="eastAsia"/>
                <w:color w:val="auto"/>
                <w:highlight w:val="none"/>
              </w:rPr>
              <w:t>气灭（含管网）</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47</w:t>
            </w:r>
          </w:p>
        </w:tc>
        <w:tc>
          <w:tcPr>
            <w:tcW w:w="2837" w:type="pct"/>
            <w:gridSpan w:val="3"/>
            <w:noWrap w:val="0"/>
            <w:vAlign w:val="center"/>
          </w:tcPr>
          <w:p>
            <w:pPr>
              <w:snapToGrid w:val="0"/>
              <w:jc w:val="center"/>
              <w:rPr>
                <w:rFonts w:hint="eastAsia"/>
                <w:color w:val="auto"/>
                <w:highlight w:val="none"/>
              </w:rPr>
            </w:pPr>
            <w:r>
              <w:rPr>
                <w:rFonts w:hint="eastAsia"/>
                <w:color w:val="auto"/>
                <w:highlight w:val="none"/>
              </w:rPr>
              <w:t>感温光纤</w:t>
            </w:r>
          </w:p>
        </w:tc>
        <w:tc>
          <w:tcPr>
            <w:tcW w:w="720" w:type="pct"/>
            <w:noWrap w:val="0"/>
            <w:vAlign w:val="center"/>
          </w:tcPr>
          <w:p>
            <w:pPr>
              <w:snapToGrid w:val="0"/>
              <w:jc w:val="center"/>
              <w:rPr>
                <w:rFonts w:hint="eastAsia"/>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48</w:t>
            </w:r>
          </w:p>
        </w:tc>
        <w:tc>
          <w:tcPr>
            <w:tcW w:w="2837" w:type="pct"/>
            <w:gridSpan w:val="3"/>
            <w:noWrap w:val="0"/>
            <w:vAlign w:val="center"/>
          </w:tcPr>
          <w:p>
            <w:pPr>
              <w:snapToGrid w:val="0"/>
              <w:jc w:val="center"/>
              <w:rPr>
                <w:rFonts w:hint="eastAsia"/>
                <w:color w:val="auto"/>
                <w:highlight w:val="none"/>
              </w:rPr>
            </w:pPr>
            <w:r>
              <w:rPr>
                <w:rFonts w:hint="eastAsia"/>
                <w:color w:val="auto"/>
                <w:highlight w:val="none"/>
              </w:rPr>
              <w:t>综合监控等保设备</w:t>
            </w:r>
          </w:p>
        </w:tc>
        <w:tc>
          <w:tcPr>
            <w:tcW w:w="720" w:type="pct"/>
            <w:noWrap w:val="0"/>
            <w:vAlign w:val="center"/>
          </w:tcPr>
          <w:p>
            <w:pPr>
              <w:snapToGrid w:val="0"/>
              <w:jc w:val="center"/>
              <w:rPr>
                <w:rFonts w:hint="eastAsia"/>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49</w:t>
            </w:r>
          </w:p>
        </w:tc>
        <w:tc>
          <w:tcPr>
            <w:tcW w:w="2837" w:type="pct"/>
            <w:gridSpan w:val="3"/>
            <w:noWrap w:val="0"/>
            <w:vAlign w:val="center"/>
          </w:tcPr>
          <w:p>
            <w:pPr>
              <w:snapToGrid w:val="0"/>
              <w:jc w:val="center"/>
              <w:rPr>
                <w:color w:val="auto"/>
                <w:highlight w:val="none"/>
              </w:rPr>
            </w:pPr>
            <w:r>
              <w:rPr>
                <w:rFonts w:hint="eastAsia"/>
                <w:color w:val="auto"/>
                <w:highlight w:val="none"/>
              </w:rPr>
              <w:t>安防平台</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50</w:t>
            </w:r>
          </w:p>
        </w:tc>
        <w:tc>
          <w:tcPr>
            <w:tcW w:w="2837" w:type="pct"/>
            <w:gridSpan w:val="3"/>
            <w:noWrap w:val="0"/>
            <w:vAlign w:val="center"/>
          </w:tcPr>
          <w:p>
            <w:pPr>
              <w:snapToGrid w:val="0"/>
              <w:jc w:val="center"/>
              <w:rPr>
                <w:color w:val="auto"/>
                <w:highlight w:val="none"/>
              </w:rPr>
            </w:pPr>
            <w:r>
              <w:rPr>
                <w:rFonts w:hint="eastAsia"/>
                <w:color w:val="auto"/>
                <w:highlight w:val="none"/>
              </w:rPr>
              <w:t>视频监控设备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color w:val="auto"/>
                <w:sz w:val="22"/>
                <w:szCs w:val="22"/>
                <w:highlight w:val="none"/>
                <w:lang w:val="en-US"/>
              </w:rPr>
            </w:pPr>
            <w:r>
              <w:rPr>
                <w:rFonts w:hint="eastAsia"/>
                <w:color w:val="auto"/>
                <w:sz w:val="22"/>
                <w:szCs w:val="22"/>
                <w:highlight w:val="none"/>
                <w:lang w:val="en-US" w:eastAsia="zh-CN"/>
              </w:rPr>
              <w:t>51</w:t>
            </w:r>
          </w:p>
        </w:tc>
        <w:tc>
          <w:tcPr>
            <w:tcW w:w="2837" w:type="pct"/>
            <w:gridSpan w:val="3"/>
            <w:noWrap w:val="0"/>
            <w:vAlign w:val="center"/>
          </w:tcPr>
          <w:p>
            <w:pPr>
              <w:snapToGrid w:val="0"/>
              <w:jc w:val="center"/>
              <w:rPr>
                <w:color w:val="auto"/>
                <w:highlight w:val="none"/>
              </w:rPr>
            </w:pPr>
            <w:r>
              <w:rPr>
                <w:rFonts w:hint="eastAsia"/>
                <w:color w:val="auto"/>
                <w:highlight w:val="none"/>
              </w:rPr>
              <w:t>门禁设备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52</w:t>
            </w:r>
          </w:p>
        </w:tc>
        <w:tc>
          <w:tcPr>
            <w:tcW w:w="2837" w:type="pct"/>
            <w:gridSpan w:val="3"/>
            <w:noWrap w:val="0"/>
            <w:vAlign w:val="center"/>
          </w:tcPr>
          <w:p>
            <w:pPr>
              <w:snapToGrid w:val="0"/>
              <w:jc w:val="center"/>
              <w:rPr>
                <w:color w:val="auto"/>
                <w:highlight w:val="none"/>
              </w:rPr>
            </w:pPr>
            <w:r>
              <w:rPr>
                <w:rFonts w:hint="eastAsia"/>
                <w:color w:val="auto"/>
                <w:highlight w:val="none"/>
              </w:rPr>
              <w:t>安检设备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53</w:t>
            </w:r>
          </w:p>
        </w:tc>
        <w:tc>
          <w:tcPr>
            <w:tcW w:w="2837" w:type="pct"/>
            <w:gridSpan w:val="3"/>
            <w:noWrap w:val="0"/>
            <w:vAlign w:val="center"/>
          </w:tcPr>
          <w:p>
            <w:pPr>
              <w:snapToGrid w:val="0"/>
              <w:jc w:val="center"/>
              <w:rPr>
                <w:color w:val="auto"/>
                <w:highlight w:val="none"/>
              </w:rPr>
            </w:pPr>
            <w:r>
              <w:rPr>
                <w:rFonts w:hint="eastAsia"/>
                <w:color w:val="auto"/>
                <w:highlight w:val="none"/>
              </w:rPr>
              <w:t>乘客求助告警设备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54</w:t>
            </w:r>
          </w:p>
        </w:tc>
        <w:tc>
          <w:tcPr>
            <w:tcW w:w="2837" w:type="pct"/>
            <w:gridSpan w:val="3"/>
            <w:noWrap w:val="0"/>
            <w:vAlign w:val="center"/>
          </w:tcPr>
          <w:p>
            <w:pPr>
              <w:snapToGrid w:val="0"/>
              <w:jc w:val="center"/>
              <w:rPr>
                <w:color w:val="auto"/>
                <w:highlight w:val="none"/>
              </w:rPr>
            </w:pPr>
            <w:r>
              <w:rPr>
                <w:rFonts w:hint="eastAsia"/>
                <w:color w:val="auto"/>
                <w:highlight w:val="none"/>
              </w:rPr>
              <w:t>周界防护设备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55</w:t>
            </w:r>
          </w:p>
        </w:tc>
        <w:tc>
          <w:tcPr>
            <w:tcW w:w="2837" w:type="pct"/>
            <w:gridSpan w:val="3"/>
            <w:noWrap w:val="0"/>
            <w:vAlign w:val="center"/>
          </w:tcPr>
          <w:p>
            <w:pPr>
              <w:snapToGrid w:val="0"/>
              <w:jc w:val="center"/>
              <w:rPr>
                <w:color w:val="auto"/>
                <w:highlight w:val="none"/>
              </w:rPr>
            </w:pPr>
            <w:r>
              <w:rPr>
                <w:rFonts w:hint="eastAsia"/>
                <w:color w:val="auto"/>
                <w:highlight w:val="none"/>
              </w:rPr>
              <w:t>出入口管理设备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56</w:t>
            </w:r>
          </w:p>
        </w:tc>
        <w:tc>
          <w:tcPr>
            <w:tcW w:w="2837" w:type="pct"/>
            <w:gridSpan w:val="3"/>
            <w:noWrap w:val="0"/>
            <w:vAlign w:val="center"/>
          </w:tcPr>
          <w:p>
            <w:pPr>
              <w:snapToGrid w:val="0"/>
              <w:jc w:val="center"/>
              <w:rPr>
                <w:color w:val="auto"/>
                <w:highlight w:val="none"/>
              </w:rPr>
            </w:pPr>
            <w:r>
              <w:rPr>
                <w:rFonts w:hint="eastAsia"/>
                <w:color w:val="auto"/>
                <w:highlight w:val="none"/>
              </w:rPr>
              <w:t>安防系统安全等保设备</w:t>
            </w:r>
          </w:p>
        </w:tc>
        <w:tc>
          <w:tcPr>
            <w:tcW w:w="720" w:type="pct"/>
            <w:noWrap w:val="0"/>
            <w:vAlign w:val="center"/>
          </w:tcPr>
          <w:p>
            <w:pPr>
              <w:snapToGrid w:val="0"/>
              <w:jc w:val="center"/>
              <w:rPr>
                <w:color w:val="auto"/>
                <w:highlight w:val="none"/>
              </w:rPr>
            </w:pPr>
            <w:r>
              <w:rPr>
                <w:rFonts w:hint="eastAsia"/>
                <w:color w:val="auto"/>
                <w:highlight w:val="none"/>
              </w:rPr>
              <w:t>1</w:t>
            </w:r>
          </w:p>
        </w:tc>
        <w:tc>
          <w:tcPr>
            <w:tcW w:w="977" w:type="pct"/>
            <w:noWrap w:val="0"/>
            <w:vAlign w:val="center"/>
          </w:tcPr>
          <w:p>
            <w:pPr>
              <w:snapToGrid w:val="0"/>
              <w:jc w:val="center"/>
              <w:rPr>
                <w:rFonts w:hint="eastAsia"/>
                <w:color w:val="auto"/>
                <w:highlight w:val="none"/>
              </w:rPr>
            </w:pPr>
            <w:r>
              <w:rPr>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57</w:t>
            </w:r>
          </w:p>
        </w:tc>
        <w:tc>
          <w:tcPr>
            <w:tcW w:w="2837" w:type="pct"/>
            <w:gridSpan w:val="3"/>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lang w:val="en-US" w:eastAsia="zh-CN"/>
              </w:rPr>
              <w:t>低压柜、</w:t>
            </w:r>
            <w:r>
              <w:rPr>
                <w:color w:val="auto"/>
                <w:highlight w:val="none"/>
              </w:rPr>
              <w:t>环控电控柜、密集母线槽</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color w:val="auto"/>
                <w:highlight w:val="none"/>
              </w:rPr>
              <w:t>2</w:t>
            </w:r>
          </w:p>
        </w:tc>
        <w:tc>
          <w:tcPr>
            <w:tcW w:w="977" w:type="pct"/>
            <w:noWrap w:val="0"/>
            <w:vAlign w:val="center"/>
          </w:tcPr>
          <w:p>
            <w:pPr>
              <w:snapToGrid w:val="0"/>
              <w:jc w:val="center"/>
              <w:rPr>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58</w:t>
            </w:r>
          </w:p>
        </w:tc>
        <w:tc>
          <w:tcPr>
            <w:tcW w:w="2837" w:type="pct"/>
            <w:gridSpan w:val="3"/>
            <w:noWrap w:val="0"/>
            <w:vAlign w:val="center"/>
          </w:tcPr>
          <w:p>
            <w:pPr>
              <w:snapToGrid w:val="0"/>
              <w:jc w:val="center"/>
              <w:rPr>
                <w:rFonts w:hint="eastAsia"/>
                <w:color w:val="auto"/>
                <w:kern w:val="2"/>
                <w:sz w:val="21"/>
                <w:szCs w:val="24"/>
                <w:highlight w:val="none"/>
                <w:lang w:val="en-US" w:eastAsia="zh-CN" w:bidi="ar-SA"/>
              </w:rPr>
            </w:pPr>
            <w:r>
              <w:rPr>
                <w:color w:val="auto"/>
                <w:highlight w:val="none"/>
              </w:rPr>
              <w:t>配电箱、控制箱、消防设备电源监控系统</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color w:val="auto"/>
                <w:highlight w:val="none"/>
              </w:rPr>
              <w:t>2</w:t>
            </w:r>
          </w:p>
        </w:tc>
        <w:tc>
          <w:tcPr>
            <w:tcW w:w="977" w:type="pct"/>
            <w:noWrap w:val="0"/>
            <w:vAlign w:val="center"/>
          </w:tcPr>
          <w:p>
            <w:pPr>
              <w:snapToGrid w:val="0"/>
              <w:jc w:val="center"/>
              <w:rPr>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59</w:t>
            </w:r>
          </w:p>
        </w:tc>
        <w:tc>
          <w:tcPr>
            <w:tcW w:w="2837" w:type="pct"/>
            <w:gridSpan w:val="3"/>
            <w:noWrap w:val="0"/>
            <w:vAlign w:val="center"/>
          </w:tcPr>
          <w:p>
            <w:pPr>
              <w:snapToGrid w:val="0"/>
              <w:jc w:val="center"/>
              <w:rPr>
                <w:rFonts w:hint="eastAsia"/>
                <w:color w:val="auto"/>
                <w:kern w:val="2"/>
                <w:sz w:val="21"/>
                <w:szCs w:val="24"/>
                <w:highlight w:val="none"/>
                <w:lang w:val="en-US" w:eastAsia="zh-CN" w:bidi="ar-SA"/>
              </w:rPr>
            </w:pPr>
            <w:r>
              <w:rPr>
                <w:color w:val="auto"/>
                <w:highlight w:val="none"/>
              </w:rPr>
              <w:t>消防应急照明和疏散指示系统、LED灯具</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color w:val="auto"/>
                <w:highlight w:val="none"/>
              </w:rPr>
              <w:t>2</w:t>
            </w:r>
          </w:p>
        </w:tc>
        <w:tc>
          <w:tcPr>
            <w:tcW w:w="977" w:type="pct"/>
            <w:noWrap w:val="0"/>
            <w:vAlign w:val="center"/>
          </w:tcPr>
          <w:p>
            <w:pPr>
              <w:snapToGrid w:val="0"/>
              <w:jc w:val="center"/>
              <w:rPr>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60</w:t>
            </w:r>
          </w:p>
        </w:tc>
        <w:tc>
          <w:tcPr>
            <w:tcW w:w="1415" w:type="pct"/>
            <w:gridSpan w:val="2"/>
            <w:vMerge w:val="restart"/>
            <w:noWrap w:val="0"/>
            <w:vAlign w:val="center"/>
          </w:tcPr>
          <w:p>
            <w:pPr>
              <w:snapToGrid w:val="0"/>
              <w:jc w:val="center"/>
              <w:rPr>
                <w:rFonts w:hint="eastAsia"/>
                <w:color w:val="auto"/>
                <w:kern w:val="2"/>
                <w:sz w:val="21"/>
                <w:szCs w:val="24"/>
                <w:highlight w:val="none"/>
                <w:lang w:val="en-US" w:eastAsia="zh-CN" w:bidi="ar-SA"/>
              </w:rPr>
            </w:pPr>
            <w:r>
              <w:rPr>
                <w:rFonts w:hint="eastAsia"/>
                <w:color w:val="auto"/>
                <w:szCs w:val="21"/>
                <w:highlight w:val="none"/>
              </w:rPr>
              <w:t>空调</w:t>
            </w:r>
            <w:r>
              <w:rPr>
                <w:color w:val="auto"/>
                <w:szCs w:val="21"/>
                <w:highlight w:val="none"/>
              </w:rPr>
              <w:t>制冷设备</w:t>
            </w:r>
          </w:p>
          <w:p>
            <w:pPr>
              <w:snapToGrid w:val="0"/>
              <w:jc w:val="center"/>
              <w:rPr>
                <w:rFonts w:hint="eastAsia"/>
                <w:color w:val="auto"/>
                <w:highlight w:val="none"/>
              </w:rPr>
            </w:pPr>
          </w:p>
        </w:tc>
        <w:tc>
          <w:tcPr>
            <w:tcW w:w="1421" w:type="pct"/>
            <w:noWrap w:val="0"/>
            <w:vAlign w:val="center"/>
          </w:tcPr>
          <w:p>
            <w:pPr>
              <w:snapToGrid w:val="0"/>
              <w:jc w:val="center"/>
              <w:rPr>
                <w:rFonts w:hint="eastAsia"/>
                <w:color w:val="auto"/>
                <w:kern w:val="2"/>
                <w:sz w:val="21"/>
                <w:szCs w:val="24"/>
                <w:highlight w:val="none"/>
                <w:lang w:val="en-US" w:eastAsia="zh-CN" w:bidi="ar-SA"/>
              </w:rPr>
            </w:pPr>
            <w:r>
              <w:rPr>
                <w:color w:val="auto"/>
                <w:szCs w:val="21"/>
                <w:highlight w:val="none"/>
              </w:rPr>
              <w:t>冷水机组</w:t>
            </w:r>
          </w:p>
        </w:tc>
        <w:tc>
          <w:tcPr>
            <w:tcW w:w="720" w:type="pct"/>
            <w:vMerge w:val="restart"/>
            <w:noWrap w:val="0"/>
            <w:vAlign w:val="center"/>
          </w:tcPr>
          <w:p>
            <w:pPr>
              <w:snapToGrid w:val="0"/>
              <w:jc w:val="center"/>
              <w:rPr>
                <w:color w:val="auto"/>
                <w:kern w:val="2"/>
                <w:sz w:val="21"/>
                <w:szCs w:val="24"/>
                <w:highlight w:val="none"/>
                <w:lang w:val="en-US" w:eastAsia="zh-CN" w:bidi="ar-SA"/>
              </w:rPr>
            </w:pPr>
            <w:r>
              <w:rPr>
                <w:rFonts w:hint="eastAsia"/>
                <w:color w:val="auto"/>
                <w:highlight w:val="none"/>
              </w:rPr>
              <w:t>3</w:t>
            </w:r>
          </w:p>
          <w:p>
            <w:pPr>
              <w:snapToGrid w:val="0"/>
              <w:jc w:val="center"/>
              <w:rPr>
                <w:rFonts w:hint="eastAsia"/>
                <w:color w:val="auto"/>
                <w:highlight w:val="none"/>
              </w:rPr>
            </w:pPr>
          </w:p>
        </w:tc>
        <w:tc>
          <w:tcPr>
            <w:tcW w:w="977" w:type="pct"/>
            <w:noWrap w:val="0"/>
            <w:vAlign w:val="top"/>
          </w:tcPr>
          <w:p>
            <w:pPr>
              <w:snapToGrid w:val="0"/>
              <w:jc w:val="center"/>
              <w:rPr>
                <w:rFonts w:hint="eastAsia"/>
                <w:bCs/>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65" w:type="pct"/>
            <w:noWrap w:val="0"/>
            <w:vAlign w:val="center"/>
          </w:tcPr>
          <w:p>
            <w:pPr>
              <w:snapToGrid w:val="0"/>
              <w:jc w:val="center"/>
              <w:rPr>
                <w:rFonts w:hint="default"/>
                <w:color w:val="auto"/>
                <w:kern w:val="2"/>
                <w:sz w:val="22"/>
                <w:szCs w:val="22"/>
                <w:highlight w:val="none"/>
                <w:lang w:val="en-US" w:eastAsia="zh-CN" w:bidi="ar-SA"/>
              </w:rPr>
            </w:pPr>
            <w:r>
              <w:rPr>
                <w:rFonts w:hint="eastAsia"/>
                <w:color w:val="auto"/>
                <w:sz w:val="22"/>
                <w:szCs w:val="22"/>
                <w:highlight w:val="none"/>
                <w:lang w:val="en-US" w:eastAsia="zh-CN"/>
              </w:rPr>
              <w:t>61</w:t>
            </w:r>
          </w:p>
        </w:tc>
        <w:tc>
          <w:tcPr>
            <w:tcW w:w="1415" w:type="pct"/>
            <w:gridSpan w:val="2"/>
            <w:vMerge w:val="continue"/>
            <w:noWrap w:val="0"/>
            <w:vAlign w:val="center"/>
          </w:tcPr>
          <w:p>
            <w:pPr>
              <w:snapToGrid w:val="0"/>
              <w:jc w:val="center"/>
              <w:rPr>
                <w:color w:val="auto"/>
                <w:highlight w:val="none"/>
              </w:rPr>
            </w:pPr>
          </w:p>
        </w:tc>
        <w:tc>
          <w:tcPr>
            <w:tcW w:w="1421" w:type="pct"/>
            <w:noWrap w:val="0"/>
            <w:vAlign w:val="center"/>
          </w:tcPr>
          <w:p>
            <w:pPr>
              <w:snapToGrid w:val="0"/>
              <w:jc w:val="center"/>
              <w:rPr>
                <w:rFonts w:hint="eastAsia"/>
                <w:color w:val="auto"/>
                <w:kern w:val="2"/>
                <w:sz w:val="21"/>
                <w:szCs w:val="21"/>
                <w:highlight w:val="none"/>
                <w:lang w:val="en-US" w:eastAsia="zh-CN" w:bidi="ar-SA"/>
              </w:rPr>
            </w:pPr>
            <w:r>
              <w:rPr>
                <w:rFonts w:hint="eastAsia"/>
                <w:color w:val="auto"/>
                <w:szCs w:val="21"/>
                <w:highlight w:val="none"/>
              </w:rPr>
              <w:t>节</w:t>
            </w:r>
            <w:r>
              <w:rPr>
                <w:color w:val="auto"/>
                <w:szCs w:val="21"/>
                <w:highlight w:val="none"/>
              </w:rPr>
              <w:t>能控制系统</w:t>
            </w:r>
          </w:p>
        </w:tc>
        <w:tc>
          <w:tcPr>
            <w:tcW w:w="720" w:type="pct"/>
            <w:vMerge w:val="continue"/>
            <w:noWrap w:val="0"/>
            <w:vAlign w:val="center"/>
          </w:tcPr>
          <w:p>
            <w:pPr>
              <w:snapToGrid w:val="0"/>
              <w:jc w:val="center"/>
              <w:rPr>
                <w:rFonts w:hint="eastAsia"/>
                <w:color w:val="auto"/>
                <w:highlight w:val="none"/>
              </w:rPr>
            </w:pPr>
          </w:p>
        </w:tc>
        <w:tc>
          <w:tcPr>
            <w:tcW w:w="977" w:type="pct"/>
            <w:noWrap w:val="0"/>
            <w:vAlign w:val="top"/>
          </w:tcPr>
          <w:p>
            <w:pPr>
              <w:snapToGrid w:val="0"/>
              <w:jc w:val="center"/>
              <w:rPr>
                <w:rFonts w:hint="eastAsia"/>
                <w:bCs/>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65" w:type="pct"/>
            <w:noWrap w:val="0"/>
            <w:vAlign w:val="center"/>
          </w:tcPr>
          <w:p>
            <w:pPr>
              <w:snapToGrid w:val="0"/>
              <w:jc w:val="center"/>
              <w:rPr>
                <w:rFonts w:hint="eastAsia"/>
                <w:color w:val="auto"/>
                <w:kern w:val="2"/>
                <w:sz w:val="22"/>
                <w:szCs w:val="22"/>
                <w:highlight w:val="none"/>
                <w:lang w:val="en-US" w:eastAsia="zh-CN" w:bidi="ar-SA"/>
              </w:rPr>
            </w:pPr>
            <w:r>
              <w:rPr>
                <w:rFonts w:hint="eastAsia"/>
                <w:color w:val="auto"/>
                <w:sz w:val="22"/>
                <w:szCs w:val="22"/>
                <w:highlight w:val="none"/>
                <w:lang w:val="en-US" w:eastAsia="zh-CN"/>
              </w:rPr>
              <w:t>62</w:t>
            </w:r>
          </w:p>
        </w:tc>
        <w:tc>
          <w:tcPr>
            <w:tcW w:w="1415" w:type="pct"/>
            <w:gridSpan w:val="2"/>
            <w:vMerge w:val="continue"/>
            <w:noWrap w:val="0"/>
            <w:vAlign w:val="center"/>
          </w:tcPr>
          <w:p>
            <w:pPr>
              <w:snapToGrid w:val="0"/>
              <w:jc w:val="center"/>
              <w:rPr>
                <w:rFonts w:hint="eastAsia"/>
                <w:color w:val="auto"/>
                <w:kern w:val="2"/>
                <w:sz w:val="21"/>
                <w:szCs w:val="24"/>
                <w:highlight w:val="none"/>
                <w:lang w:val="en-US" w:eastAsia="zh-CN" w:bidi="ar-SA"/>
              </w:rPr>
            </w:pPr>
          </w:p>
        </w:tc>
        <w:tc>
          <w:tcPr>
            <w:tcW w:w="1421" w:type="pct"/>
            <w:noWrap w:val="0"/>
            <w:vAlign w:val="center"/>
          </w:tcPr>
          <w:p>
            <w:pPr>
              <w:snapToGrid w:val="0"/>
              <w:jc w:val="center"/>
              <w:rPr>
                <w:rFonts w:hint="eastAsia"/>
                <w:color w:val="auto"/>
                <w:kern w:val="2"/>
                <w:sz w:val="21"/>
                <w:szCs w:val="21"/>
                <w:highlight w:val="none"/>
                <w:lang w:val="en-US" w:eastAsia="zh-CN" w:bidi="ar-SA"/>
              </w:rPr>
            </w:pPr>
            <w:r>
              <w:rPr>
                <w:color w:val="auto"/>
                <w:szCs w:val="21"/>
                <w:highlight w:val="none"/>
              </w:rPr>
              <w:t>空气处理设备</w:t>
            </w:r>
          </w:p>
        </w:tc>
        <w:tc>
          <w:tcPr>
            <w:tcW w:w="720" w:type="pct"/>
            <w:vMerge w:val="continue"/>
            <w:noWrap w:val="0"/>
            <w:vAlign w:val="center"/>
          </w:tcPr>
          <w:p>
            <w:pPr>
              <w:snapToGrid w:val="0"/>
              <w:jc w:val="center"/>
              <w:rPr>
                <w:rFonts w:hint="eastAsia"/>
                <w:color w:val="auto"/>
                <w:highlight w:val="none"/>
              </w:rPr>
            </w:pPr>
          </w:p>
        </w:tc>
        <w:tc>
          <w:tcPr>
            <w:tcW w:w="977" w:type="pct"/>
            <w:noWrap w:val="0"/>
            <w:vAlign w:val="top"/>
          </w:tcPr>
          <w:p>
            <w:pPr>
              <w:snapToGrid w:val="0"/>
              <w:jc w:val="center"/>
              <w:rPr>
                <w:rFonts w:hint="eastAsia"/>
                <w:bCs/>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jc w:val="center"/>
        </w:trPr>
        <w:tc>
          <w:tcPr>
            <w:tcW w:w="465" w:type="pct"/>
            <w:noWrap w:val="0"/>
            <w:vAlign w:val="center"/>
          </w:tcPr>
          <w:p>
            <w:pPr>
              <w:snapToGrid w:val="0"/>
              <w:jc w:val="center"/>
              <w:rPr>
                <w:rFonts w:hint="eastAsia"/>
                <w:color w:val="auto"/>
                <w:kern w:val="2"/>
                <w:sz w:val="22"/>
                <w:szCs w:val="22"/>
                <w:highlight w:val="none"/>
                <w:lang w:val="en-US" w:eastAsia="zh-CN" w:bidi="ar-SA"/>
              </w:rPr>
            </w:pPr>
            <w:r>
              <w:rPr>
                <w:rFonts w:hint="eastAsia"/>
                <w:color w:val="auto"/>
                <w:sz w:val="22"/>
                <w:szCs w:val="22"/>
                <w:highlight w:val="none"/>
                <w:lang w:val="en-US" w:eastAsia="zh-CN"/>
              </w:rPr>
              <w:t>63</w:t>
            </w:r>
          </w:p>
        </w:tc>
        <w:tc>
          <w:tcPr>
            <w:tcW w:w="1415" w:type="pct"/>
            <w:gridSpan w:val="2"/>
            <w:vMerge w:val="continue"/>
            <w:noWrap w:val="0"/>
            <w:vAlign w:val="center"/>
          </w:tcPr>
          <w:p>
            <w:pPr>
              <w:snapToGrid w:val="0"/>
              <w:jc w:val="center"/>
              <w:rPr>
                <w:rFonts w:hint="eastAsia"/>
                <w:color w:val="auto"/>
                <w:highlight w:val="none"/>
              </w:rPr>
            </w:pPr>
          </w:p>
        </w:tc>
        <w:tc>
          <w:tcPr>
            <w:tcW w:w="1421" w:type="pct"/>
            <w:noWrap w:val="0"/>
            <w:vAlign w:val="center"/>
          </w:tcPr>
          <w:p>
            <w:pPr>
              <w:snapToGrid w:val="0"/>
              <w:jc w:val="center"/>
              <w:rPr>
                <w:rFonts w:hint="eastAsia"/>
                <w:color w:val="auto"/>
                <w:kern w:val="2"/>
                <w:sz w:val="21"/>
                <w:szCs w:val="21"/>
                <w:highlight w:val="none"/>
                <w:lang w:val="en-US" w:eastAsia="zh-CN" w:bidi="ar-SA"/>
              </w:rPr>
            </w:pPr>
            <w:r>
              <w:rPr>
                <w:rFonts w:hint="eastAsia"/>
                <w:color w:val="auto"/>
                <w:szCs w:val="21"/>
                <w:highlight w:val="none"/>
              </w:rPr>
              <w:t>空调</w:t>
            </w:r>
            <w:r>
              <w:rPr>
                <w:color w:val="auto"/>
                <w:szCs w:val="21"/>
                <w:highlight w:val="none"/>
              </w:rPr>
              <w:t>水泵</w:t>
            </w:r>
          </w:p>
        </w:tc>
        <w:tc>
          <w:tcPr>
            <w:tcW w:w="720" w:type="pct"/>
            <w:vMerge w:val="continue"/>
            <w:noWrap w:val="0"/>
            <w:vAlign w:val="center"/>
          </w:tcPr>
          <w:p>
            <w:pPr>
              <w:snapToGrid w:val="0"/>
              <w:jc w:val="center"/>
              <w:rPr>
                <w:rFonts w:hint="eastAsia"/>
                <w:color w:val="auto"/>
                <w:highlight w:val="none"/>
              </w:rPr>
            </w:pPr>
          </w:p>
        </w:tc>
        <w:tc>
          <w:tcPr>
            <w:tcW w:w="977" w:type="pct"/>
            <w:noWrap w:val="0"/>
            <w:vAlign w:val="top"/>
          </w:tcPr>
          <w:p>
            <w:pPr>
              <w:snapToGrid w:val="0"/>
              <w:jc w:val="center"/>
              <w:rPr>
                <w:rFonts w:hint="eastAsia"/>
                <w:bCs/>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65" w:type="pct"/>
            <w:noWrap w:val="0"/>
            <w:vAlign w:val="center"/>
          </w:tcPr>
          <w:p>
            <w:pPr>
              <w:snapToGrid w:val="0"/>
              <w:jc w:val="center"/>
              <w:rPr>
                <w:rFonts w:hint="eastAsia"/>
                <w:color w:val="auto"/>
                <w:kern w:val="2"/>
                <w:sz w:val="22"/>
                <w:szCs w:val="22"/>
                <w:highlight w:val="none"/>
                <w:lang w:val="en-US" w:eastAsia="zh-CN" w:bidi="ar-SA"/>
              </w:rPr>
            </w:pPr>
            <w:r>
              <w:rPr>
                <w:rFonts w:hint="eastAsia"/>
                <w:color w:val="auto"/>
                <w:sz w:val="22"/>
                <w:szCs w:val="22"/>
                <w:highlight w:val="none"/>
                <w:lang w:val="en-US" w:eastAsia="zh-CN"/>
              </w:rPr>
              <w:t>64</w:t>
            </w:r>
          </w:p>
        </w:tc>
        <w:tc>
          <w:tcPr>
            <w:tcW w:w="1415" w:type="pct"/>
            <w:gridSpan w:val="2"/>
            <w:vMerge w:val="continue"/>
            <w:noWrap w:val="0"/>
            <w:vAlign w:val="center"/>
          </w:tcPr>
          <w:p>
            <w:pPr>
              <w:snapToGrid w:val="0"/>
              <w:jc w:val="center"/>
              <w:rPr>
                <w:rFonts w:hint="eastAsia"/>
                <w:color w:val="auto"/>
                <w:highlight w:val="none"/>
              </w:rPr>
            </w:pPr>
          </w:p>
        </w:tc>
        <w:tc>
          <w:tcPr>
            <w:tcW w:w="1421" w:type="pct"/>
            <w:noWrap w:val="0"/>
            <w:vAlign w:val="center"/>
          </w:tcPr>
          <w:p>
            <w:pPr>
              <w:snapToGrid w:val="0"/>
              <w:jc w:val="center"/>
              <w:rPr>
                <w:rFonts w:hint="eastAsia"/>
                <w:color w:val="auto"/>
                <w:kern w:val="2"/>
                <w:sz w:val="21"/>
                <w:szCs w:val="21"/>
                <w:highlight w:val="none"/>
                <w:lang w:val="en-US" w:eastAsia="zh-CN" w:bidi="ar-SA"/>
              </w:rPr>
            </w:pPr>
            <w:r>
              <w:rPr>
                <w:color w:val="auto"/>
                <w:szCs w:val="21"/>
                <w:highlight w:val="none"/>
              </w:rPr>
              <w:t>冷却塔</w:t>
            </w:r>
          </w:p>
        </w:tc>
        <w:tc>
          <w:tcPr>
            <w:tcW w:w="720" w:type="pct"/>
            <w:vMerge w:val="continue"/>
            <w:noWrap w:val="0"/>
            <w:vAlign w:val="center"/>
          </w:tcPr>
          <w:p>
            <w:pPr>
              <w:snapToGrid w:val="0"/>
              <w:jc w:val="center"/>
              <w:rPr>
                <w:rFonts w:hint="eastAsia"/>
                <w:color w:val="auto"/>
                <w:highlight w:val="none"/>
              </w:rPr>
            </w:pPr>
          </w:p>
        </w:tc>
        <w:tc>
          <w:tcPr>
            <w:tcW w:w="977" w:type="pct"/>
            <w:noWrap w:val="0"/>
            <w:vAlign w:val="top"/>
          </w:tcPr>
          <w:p>
            <w:pPr>
              <w:snapToGrid w:val="0"/>
              <w:jc w:val="center"/>
              <w:rPr>
                <w:rFonts w:hint="eastAsia"/>
                <w:bCs/>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65" w:type="pct"/>
            <w:noWrap w:val="0"/>
            <w:vAlign w:val="center"/>
          </w:tcPr>
          <w:p>
            <w:pPr>
              <w:snapToGrid w:val="0"/>
              <w:jc w:val="center"/>
              <w:rPr>
                <w:rFonts w:hint="eastAsia"/>
                <w:color w:val="auto"/>
                <w:kern w:val="2"/>
                <w:sz w:val="22"/>
                <w:szCs w:val="22"/>
                <w:highlight w:val="none"/>
                <w:lang w:val="en-US" w:eastAsia="zh-CN" w:bidi="ar-SA"/>
              </w:rPr>
            </w:pPr>
            <w:r>
              <w:rPr>
                <w:rFonts w:hint="eastAsia"/>
                <w:color w:val="auto"/>
                <w:sz w:val="22"/>
                <w:szCs w:val="22"/>
                <w:highlight w:val="none"/>
                <w:lang w:val="en-US" w:eastAsia="zh-CN"/>
              </w:rPr>
              <w:t>65</w:t>
            </w:r>
          </w:p>
        </w:tc>
        <w:tc>
          <w:tcPr>
            <w:tcW w:w="1415" w:type="pct"/>
            <w:gridSpan w:val="2"/>
            <w:vMerge w:val="continue"/>
            <w:noWrap w:val="0"/>
            <w:vAlign w:val="center"/>
          </w:tcPr>
          <w:p>
            <w:pPr>
              <w:snapToGrid w:val="0"/>
              <w:jc w:val="center"/>
              <w:rPr>
                <w:rFonts w:hint="eastAsia"/>
                <w:color w:val="auto"/>
                <w:highlight w:val="none"/>
              </w:rPr>
            </w:pPr>
          </w:p>
        </w:tc>
        <w:tc>
          <w:tcPr>
            <w:tcW w:w="1421" w:type="pct"/>
            <w:noWrap w:val="0"/>
            <w:vAlign w:val="center"/>
          </w:tcPr>
          <w:p>
            <w:pPr>
              <w:snapToGrid w:val="0"/>
              <w:jc w:val="center"/>
              <w:rPr>
                <w:rFonts w:hint="eastAsia"/>
                <w:color w:val="auto"/>
                <w:kern w:val="2"/>
                <w:sz w:val="21"/>
                <w:szCs w:val="21"/>
                <w:highlight w:val="none"/>
                <w:lang w:val="en-US" w:eastAsia="zh-CN" w:bidi="ar-SA"/>
              </w:rPr>
            </w:pPr>
            <w:r>
              <w:rPr>
                <w:color w:val="auto"/>
                <w:szCs w:val="21"/>
                <w:highlight w:val="none"/>
              </w:rPr>
              <w:t>多联机</w:t>
            </w:r>
            <w:r>
              <w:rPr>
                <w:rFonts w:hint="eastAsia"/>
                <w:color w:val="auto"/>
                <w:szCs w:val="21"/>
                <w:highlight w:val="none"/>
              </w:rPr>
              <w:t>系统</w:t>
            </w:r>
          </w:p>
        </w:tc>
        <w:tc>
          <w:tcPr>
            <w:tcW w:w="720" w:type="pct"/>
            <w:vMerge w:val="continue"/>
            <w:noWrap w:val="0"/>
            <w:vAlign w:val="center"/>
          </w:tcPr>
          <w:p>
            <w:pPr>
              <w:snapToGrid w:val="0"/>
              <w:jc w:val="center"/>
              <w:rPr>
                <w:rFonts w:hint="eastAsia"/>
                <w:color w:val="auto"/>
                <w:highlight w:val="none"/>
              </w:rPr>
            </w:pPr>
          </w:p>
        </w:tc>
        <w:tc>
          <w:tcPr>
            <w:tcW w:w="977" w:type="pct"/>
            <w:noWrap w:val="0"/>
            <w:vAlign w:val="top"/>
          </w:tcPr>
          <w:p>
            <w:pPr>
              <w:snapToGrid w:val="0"/>
              <w:jc w:val="center"/>
              <w:rPr>
                <w:rFonts w:hint="eastAsia"/>
                <w:bCs/>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color w:val="auto"/>
                <w:kern w:val="2"/>
                <w:sz w:val="22"/>
                <w:szCs w:val="22"/>
                <w:highlight w:val="none"/>
                <w:lang w:val="en-US" w:eastAsia="zh-CN" w:bidi="ar-SA"/>
              </w:rPr>
            </w:pPr>
            <w:r>
              <w:rPr>
                <w:rFonts w:hint="eastAsia"/>
                <w:color w:val="auto"/>
                <w:sz w:val="22"/>
                <w:szCs w:val="22"/>
                <w:highlight w:val="none"/>
                <w:lang w:val="en-US" w:eastAsia="zh-CN"/>
              </w:rPr>
              <w:t>66</w:t>
            </w:r>
          </w:p>
        </w:tc>
        <w:tc>
          <w:tcPr>
            <w:tcW w:w="2837" w:type="pct"/>
            <w:gridSpan w:val="3"/>
            <w:noWrap w:val="0"/>
            <w:vAlign w:val="center"/>
          </w:tcPr>
          <w:p>
            <w:pPr>
              <w:snapToGrid w:val="0"/>
              <w:jc w:val="center"/>
              <w:rPr>
                <w:rFonts w:hint="eastAsia"/>
                <w:color w:val="auto"/>
                <w:kern w:val="2"/>
                <w:sz w:val="21"/>
                <w:szCs w:val="24"/>
                <w:highlight w:val="none"/>
                <w:lang w:val="en-US" w:eastAsia="zh-CN" w:bidi="ar-SA"/>
              </w:rPr>
            </w:pPr>
            <w:r>
              <w:rPr>
                <w:color w:val="auto"/>
                <w:szCs w:val="21"/>
                <w:highlight w:val="none"/>
              </w:rPr>
              <w:t>风机</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3</w:t>
            </w:r>
          </w:p>
        </w:tc>
        <w:tc>
          <w:tcPr>
            <w:tcW w:w="977" w:type="pct"/>
            <w:noWrap w:val="0"/>
            <w:vAlign w:val="center"/>
          </w:tcPr>
          <w:p>
            <w:pPr>
              <w:snapToGrid w:val="0"/>
              <w:jc w:val="center"/>
              <w:rPr>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67</w:t>
            </w:r>
          </w:p>
        </w:tc>
        <w:tc>
          <w:tcPr>
            <w:tcW w:w="2837" w:type="pct"/>
            <w:gridSpan w:val="3"/>
            <w:noWrap w:val="0"/>
            <w:vAlign w:val="center"/>
          </w:tcPr>
          <w:p>
            <w:pPr>
              <w:snapToGrid w:val="0"/>
              <w:jc w:val="center"/>
              <w:rPr>
                <w:rFonts w:hint="eastAsia"/>
                <w:color w:val="auto"/>
                <w:kern w:val="2"/>
                <w:sz w:val="21"/>
                <w:szCs w:val="21"/>
                <w:highlight w:val="none"/>
                <w:lang w:val="en-US" w:eastAsia="zh-CN" w:bidi="ar-SA"/>
              </w:rPr>
            </w:pPr>
            <w:r>
              <w:rPr>
                <w:color w:val="auto"/>
                <w:szCs w:val="21"/>
                <w:highlight w:val="none"/>
              </w:rPr>
              <w:t>风阀</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3</w:t>
            </w:r>
          </w:p>
        </w:tc>
        <w:tc>
          <w:tcPr>
            <w:tcW w:w="977" w:type="pct"/>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68</w:t>
            </w:r>
          </w:p>
        </w:tc>
        <w:tc>
          <w:tcPr>
            <w:tcW w:w="2837" w:type="pct"/>
            <w:gridSpan w:val="3"/>
            <w:noWrap w:val="0"/>
            <w:vAlign w:val="center"/>
          </w:tcPr>
          <w:p>
            <w:pPr>
              <w:snapToGrid w:val="0"/>
              <w:jc w:val="center"/>
              <w:rPr>
                <w:rFonts w:hint="eastAsia"/>
                <w:color w:val="auto"/>
                <w:kern w:val="2"/>
                <w:sz w:val="21"/>
                <w:szCs w:val="21"/>
                <w:highlight w:val="none"/>
                <w:lang w:val="en-US" w:eastAsia="zh-CN" w:bidi="ar-SA"/>
              </w:rPr>
            </w:pPr>
            <w:r>
              <w:rPr>
                <w:color w:val="auto"/>
                <w:szCs w:val="21"/>
                <w:highlight w:val="none"/>
              </w:rPr>
              <w:t>消声设备</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3</w:t>
            </w:r>
          </w:p>
        </w:tc>
        <w:tc>
          <w:tcPr>
            <w:tcW w:w="977" w:type="pct"/>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eastAsia"/>
                <w:color w:val="auto"/>
                <w:sz w:val="22"/>
                <w:szCs w:val="22"/>
                <w:highlight w:val="none"/>
              </w:rPr>
            </w:pPr>
            <w:r>
              <w:rPr>
                <w:rFonts w:hint="eastAsia"/>
                <w:color w:val="auto"/>
                <w:sz w:val="22"/>
                <w:szCs w:val="22"/>
                <w:highlight w:val="none"/>
                <w:lang w:val="en-US" w:eastAsia="zh-CN"/>
              </w:rPr>
              <w:t>69</w:t>
            </w:r>
          </w:p>
        </w:tc>
        <w:tc>
          <w:tcPr>
            <w:tcW w:w="2837" w:type="pct"/>
            <w:gridSpan w:val="3"/>
            <w:noWrap w:val="0"/>
            <w:vAlign w:val="center"/>
          </w:tcPr>
          <w:p>
            <w:pPr>
              <w:snapToGrid w:val="0"/>
              <w:jc w:val="center"/>
              <w:rPr>
                <w:rFonts w:hint="eastAsia"/>
                <w:color w:val="auto"/>
                <w:kern w:val="2"/>
                <w:sz w:val="21"/>
                <w:szCs w:val="24"/>
                <w:highlight w:val="none"/>
                <w:lang w:val="en-US" w:eastAsia="zh-CN" w:bidi="ar-SA"/>
              </w:rPr>
            </w:pPr>
            <w:r>
              <w:rPr>
                <w:color w:val="auto"/>
                <w:szCs w:val="21"/>
                <w:highlight w:val="none"/>
              </w:rPr>
              <w:t>电扶梯系统（电梯、自动扶梯）</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6</w:t>
            </w:r>
          </w:p>
        </w:tc>
        <w:tc>
          <w:tcPr>
            <w:tcW w:w="977" w:type="pct"/>
            <w:noWrap w:val="0"/>
            <w:vAlign w:val="center"/>
          </w:tcPr>
          <w:p>
            <w:pPr>
              <w:snapToGrid w:val="0"/>
              <w:jc w:val="center"/>
              <w:rPr>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noWrap w:val="0"/>
            <w:vAlign w:val="center"/>
          </w:tcPr>
          <w:p>
            <w:pPr>
              <w:snapToGrid w:val="0"/>
              <w:jc w:val="center"/>
              <w:rPr>
                <w:rFonts w:hint="default"/>
                <w:color w:val="auto"/>
                <w:sz w:val="22"/>
                <w:szCs w:val="22"/>
                <w:highlight w:val="none"/>
                <w:lang w:val="en-US"/>
              </w:rPr>
            </w:pPr>
            <w:r>
              <w:rPr>
                <w:rFonts w:hint="eastAsia"/>
                <w:color w:val="auto"/>
                <w:sz w:val="22"/>
                <w:szCs w:val="22"/>
                <w:highlight w:val="none"/>
                <w:lang w:val="en-US" w:eastAsia="zh-CN"/>
              </w:rPr>
              <w:t>70</w:t>
            </w:r>
          </w:p>
        </w:tc>
        <w:tc>
          <w:tcPr>
            <w:tcW w:w="2837" w:type="pct"/>
            <w:gridSpan w:val="3"/>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站台</w:t>
            </w:r>
            <w:r>
              <w:rPr>
                <w:color w:val="auto"/>
                <w:highlight w:val="none"/>
              </w:rPr>
              <w:t>门</w:t>
            </w:r>
            <w:r>
              <w:rPr>
                <w:rFonts w:hint="eastAsia"/>
                <w:color w:val="auto"/>
                <w:highlight w:val="none"/>
              </w:rPr>
              <w:t>系统</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5</w:t>
            </w:r>
          </w:p>
        </w:tc>
        <w:tc>
          <w:tcPr>
            <w:tcW w:w="977" w:type="pct"/>
            <w:noWrap w:val="0"/>
            <w:vAlign w:val="center"/>
          </w:tcPr>
          <w:p>
            <w:pPr>
              <w:snapToGrid w:val="0"/>
              <w:jc w:val="center"/>
              <w:rPr>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65" w:type="pct"/>
            <w:noWrap w:val="0"/>
            <w:vAlign w:val="center"/>
          </w:tcPr>
          <w:p>
            <w:pPr>
              <w:snapToGrid w:val="0"/>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71</w:t>
            </w:r>
          </w:p>
        </w:tc>
        <w:tc>
          <w:tcPr>
            <w:tcW w:w="2837" w:type="pct"/>
            <w:gridSpan w:val="3"/>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导向标识、广告灯箱</w:t>
            </w:r>
          </w:p>
        </w:tc>
        <w:tc>
          <w:tcPr>
            <w:tcW w:w="720" w:type="pct"/>
            <w:noWrap w:val="0"/>
            <w:vAlign w:val="center"/>
          </w:tcPr>
          <w:p>
            <w:pPr>
              <w:snapToGrid w:val="0"/>
              <w:jc w:val="center"/>
              <w:rPr>
                <w:rFonts w:hint="eastAsia"/>
                <w:color w:val="auto"/>
                <w:kern w:val="2"/>
                <w:sz w:val="21"/>
                <w:szCs w:val="24"/>
                <w:highlight w:val="none"/>
                <w:lang w:val="en-US" w:eastAsia="zh-CN" w:bidi="ar-SA"/>
              </w:rPr>
            </w:pPr>
            <w:r>
              <w:rPr>
                <w:rFonts w:hint="eastAsia"/>
                <w:color w:val="auto"/>
                <w:highlight w:val="none"/>
              </w:rPr>
              <w:t>3</w:t>
            </w:r>
          </w:p>
        </w:tc>
        <w:tc>
          <w:tcPr>
            <w:tcW w:w="977" w:type="pct"/>
            <w:noWrap w:val="0"/>
            <w:vAlign w:val="center"/>
          </w:tcPr>
          <w:p>
            <w:pPr>
              <w:snapToGrid w:val="0"/>
              <w:jc w:val="center"/>
              <w:rPr>
                <w:color w:val="auto"/>
                <w:kern w:val="2"/>
                <w:sz w:val="21"/>
                <w:szCs w:val="24"/>
                <w:highlight w:val="none"/>
                <w:lang w:val="en-US" w:eastAsia="zh-CN" w:bidi="ar-SA"/>
              </w:rPr>
            </w:pPr>
            <w:r>
              <w:rPr>
                <w:rFonts w:hint="eastAsia"/>
                <w:color w:val="auto"/>
                <w:highlight w:val="none"/>
              </w:rPr>
              <w:t>5</w:t>
            </w:r>
          </w:p>
        </w:tc>
      </w:tr>
    </w:tbl>
    <w:p>
      <w:pPr>
        <w:spacing w:line="360" w:lineRule="auto"/>
        <w:ind w:firstLine="420" w:firstLineChars="200"/>
        <w:rPr>
          <w:color w:val="auto"/>
          <w:szCs w:val="21"/>
          <w:highlight w:val="none"/>
        </w:rPr>
      </w:pPr>
      <w:r>
        <w:rPr>
          <w:color w:val="auto"/>
          <w:szCs w:val="21"/>
          <w:highlight w:val="none"/>
        </w:rPr>
        <w:t>备注：业主有权利根据实际需要调整出厂验收的次数及天数等，投标人应充分考虑，此次调整带来相关费用的变化包含在投标总报价中。</w:t>
      </w:r>
    </w:p>
    <w:p>
      <w:pPr>
        <w:pStyle w:val="4"/>
        <w:bidi w:val="0"/>
        <w:rPr>
          <w:rFonts w:hint="eastAsia" w:ascii="黑体" w:hAnsi="黑体" w:eastAsia="黑体" w:cs="黑体"/>
          <w:color w:val="auto"/>
          <w:sz w:val="21"/>
          <w:szCs w:val="21"/>
          <w:highlight w:val="none"/>
        </w:rPr>
      </w:pPr>
      <w:bookmarkStart w:id="2412" w:name="_Toc12121"/>
      <w:bookmarkStart w:id="2413" w:name="_Toc14392"/>
      <w:bookmarkStart w:id="2414" w:name="_Toc4969"/>
      <w:bookmarkStart w:id="2415" w:name="_Toc130847141"/>
      <w:bookmarkStart w:id="2416" w:name="_Toc28556"/>
      <w:bookmarkStart w:id="2417" w:name="_Toc184763352"/>
      <w:bookmarkStart w:id="2418" w:name="_Toc15546"/>
      <w:bookmarkStart w:id="2419" w:name="_Toc309026920"/>
      <w:bookmarkStart w:id="2420" w:name="_Toc309026526"/>
      <w:bookmarkStart w:id="2421" w:name="_Toc306091647"/>
      <w:r>
        <w:rPr>
          <w:rFonts w:hint="eastAsia" w:ascii="黑体" w:hAnsi="黑体" w:eastAsia="黑体" w:cs="黑体"/>
          <w:color w:val="auto"/>
          <w:sz w:val="21"/>
          <w:szCs w:val="21"/>
          <w:highlight w:val="none"/>
          <w:lang w:val="en-US" w:eastAsia="zh-CN"/>
        </w:rPr>
        <w:t xml:space="preserve">6.9 </w:t>
      </w:r>
      <w:r>
        <w:rPr>
          <w:rFonts w:hint="eastAsia" w:ascii="黑体" w:hAnsi="黑体" w:eastAsia="黑体" w:cs="黑体"/>
          <w:color w:val="auto"/>
          <w:sz w:val="21"/>
          <w:szCs w:val="21"/>
          <w:highlight w:val="none"/>
        </w:rPr>
        <w:t>BIM模型及设备材料二维码管理</w:t>
      </w:r>
      <w:bookmarkEnd w:id="2412"/>
      <w:bookmarkEnd w:id="2413"/>
      <w:bookmarkEnd w:id="2414"/>
      <w:r>
        <w:rPr>
          <w:rFonts w:hint="eastAsia" w:ascii="黑体" w:hAnsi="黑体" w:eastAsia="黑体" w:cs="黑体"/>
          <w:color w:val="auto"/>
          <w:sz w:val="21"/>
          <w:szCs w:val="21"/>
          <w:highlight w:val="none"/>
        </w:rPr>
        <w:t>（包括但不限于以下内容）</w:t>
      </w:r>
      <w:bookmarkEnd w:id="2415"/>
      <w:bookmarkEnd w:id="2416"/>
      <w:bookmarkEnd w:id="2417"/>
      <w:bookmarkEnd w:id="2418"/>
    </w:p>
    <w:p>
      <w:pPr>
        <w:spacing w:line="360" w:lineRule="auto"/>
        <w:ind w:firstLine="417" w:firstLineChars="199"/>
        <w:rPr>
          <w:bCs/>
          <w:color w:val="auto"/>
          <w:szCs w:val="21"/>
          <w:highlight w:val="none"/>
        </w:rPr>
      </w:pPr>
      <w:r>
        <w:rPr>
          <w:bCs/>
          <w:color w:val="auto"/>
          <w:szCs w:val="21"/>
          <w:highlight w:val="none"/>
        </w:rPr>
        <w:t>（1）负责收集设备及材料BIM模型所需的图纸及照片等资料。</w:t>
      </w:r>
    </w:p>
    <w:p>
      <w:pPr>
        <w:spacing w:line="360" w:lineRule="auto"/>
        <w:ind w:firstLine="417" w:firstLineChars="199"/>
        <w:rPr>
          <w:bCs/>
          <w:color w:val="auto"/>
          <w:szCs w:val="21"/>
          <w:highlight w:val="none"/>
        </w:rPr>
      </w:pPr>
      <w:r>
        <w:rPr>
          <w:bCs/>
          <w:color w:val="auto"/>
          <w:szCs w:val="21"/>
          <w:highlight w:val="none"/>
        </w:rPr>
        <w:t>（2）明确设备及材料建模颗粒度、模型属性信息及二维码编码。</w:t>
      </w:r>
    </w:p>
    <w:p>
      <w:pPr>
        <w:spacing w:line="360" w:lineRule="auto"/>
        <w:ind w:left="840" w:leftChars="200" w:hanging="420" w:hangingChars="200"/>
        <w:rPr>
          <w:bCs/>
          <w:color w:val="auto"/>
          <w:szCs w:val="21"/>
          <w:highlight w:val="none"/>
        </w:rPr>
      </w:pPr>
      <w:r>
        <w:rPr>
          <w:bCs/>
          <w:color w:val="auto"/>
          <w:szCs w:val="21"/>
          <w:highlight w:val="none"/>
        </w:rPr>
        <w:t>（3）组织协调并确定各设备材料供货商与施工承包商BIM数据接口，保证供货商输出的设备及材料模型符合业主要求。</w:t>
      </w:r>
    </w:p>
    <w:p>
      <w:pPr>
        <w:spacing w:line="360" w:lineRule="auto"/>
        <w:ind w:firstLine="417" w:firstLineChars="199"/>
        <w:rPr>
          <w:bCs/>
          <w:color w:val="auto"/>
          <w:szCs w:val="21"/>
          <w:highlight w:val="none"/>
        </w:rPr>
      </w:pPr>
      <w:r>
        <w:rPr>
          <w:bCs/>
          <w:color w:val="auto"/>
          <w:szCs w:val="21"/>
          <w:highlight w:val="none"/>
        </w:rPr>
        <w:t>（4）督促设备及材料供货商进行BIM 模型的建模工作，进行抽查监督。</w:t>
      </w:r>
    </w:p>
    <w:p>
      <w:pPr>
        <w:spacing w:line="360" w:lineRule="auto"/>
        <w:ind w:firstLine="417" w:firstLineChars="199"/>
        <w:rPr>
          <w:bCs/>
          <w:color w:val="auto"/>
          <w:szCs w:val="21"/>
          <w:highlight w:val="none"/>
        </w:rPr>
      </w:pPr>
      <w:r>
        <w:rPr>
          <w:bCs/>
          <w:color w:val="auto"/>
          <w:szCs w:val="21"/>
          <w:highlight w:val="none"/>
        </w:rPr>
        <w:t>（5）生产阶段检查并核对设备材料的二维码编码及标识。</w:t>
      </w:r>
    </w:p>
    <w:p>
      <w:pPr>
        <w:spacing w:line="360" w:lineRule="auto"/>
        <w:ind w:left="840" w:leftChars="200" w:hanging="420" w:hangingChars="200"/>
        <w:rPr>
          <w:bCs/>
          <w:color w:val="auto"/>
          <w:szCs w:val="21"/>
          <w:highlight w:val="none"/>
        </w:rPr>
      </w:pPr>
      <w:r>
        <w:rPr>
          <w:bCs/>
          <w:color w:val="auto"/>
          <w:szCs w:val="21"/>
          <w:highlight w:val="none"/>
        </w:rPr>
        <w:t>（6）</w:t>
      </w:r>
      <w:r>
        <w:rPr>
          <w:bCs/>
          <w:color w:val="auto"/>
          <w:szCs w:val="21"/>
          <w:highlight w:val="none"/>
        </w:rPr>
        <w:tab/>
      </w:r>
      <w:r>
        <w:rPr>
          <w:bCs/>
          <w:color w:val="auto"/>
          <w:szCs w:val="21"/>
          <w:highlight w:val="none"/>
        </w:rPr>
        <w:t>审核设备及材料BIM模型（包括模型几何属性及非几何属性信息）与实际供货设备及材料是否吻合。</w:t>
      </w:r>
    </w:p>
    <w:p>
      <w:pPr>
        <w:spacing w:line="360" w:lineRule="auto"/>
        <w:ind w:firstLine="417" w:firstLineChars="199"/>
        <w:rPr>
          <w:bCs/>
          <w:color w:val="auto"/>
          <w:szCs w:val="21"/>
          <w:highlight w:val="none"/>
        </w:rPr>
      </w:pPr>
      <w:r>
        <w:rPr>
          <w:bCs/>
          <w:color w:val="auto"/>
          <w:szCs w:val="21"/>
          <w:highlight w:val="none"/>
        </w:rPr>
        <w:t>（7）核查到货设备及材料二维码信息是否准确及符合采购合同要求。</w:t>
      </w:r>
    </w:p>
    <w:p>
      <w:pPr>
        <w:spacing w:line="360" w:lineRule="auto"/>
        <w:ind w:left="840" w:leftChars="200" w:hanging="420" w:hangingChars="200"/>
        <w:rPr>
          <w:bCs/>
          <w:color w:val="auto"/>
          <w:szCs w:val="21"/>
          <w:highlight w:val="none"/>
        </w:rPr>
      </w:pPr>
      <w:r>
        <w:rPr>
          <w:bCs/>
          <w:color w:val="auto"/>
          <w:szCs w:val="21"/>
          <w:highlight w:val="none"/>
        </w:rPr>
        <w:t>（8）负责组织完成供货清单、入库单（如有）、开箱单、退库单（如有）及资产移交清单的匹配工作。</w:t>
      </w:r>
    </w:p>
    <w:p>
      <w:pPr>
        <w:spacing w:line="360" w:lineRule="auto"/>
        <w:ind w:firstLine="417" w:firstLineChars="199"/>
        <w:rPr>
          <w:bCs/>
          <w:color w:val="auto"/>
          <w:szCs w:val="21"/>
          <w:highlight w:val="none"/>
        </w:rPr>
      </w:pPr>
      <w:r>
        <w:rPr>
          <w:bCs/>
          <w:color w:val="auto"/>
          <w:szCs w:val="21"/>
          <w:highlight w:val="none"/>
        </w:rPr>
        <w:t>（9）负责收集及整理该线路设备及材料的BIM模型库，并移交业主或施工承包商。</w:t>
      </w:r>
    </w:p>
    <w:p>
      <w:pPr>
        <w:spacing w:line="360" w:lineRule="auto"/>
        <w:ind w:firstLine="417" w:firstLineChars="199"/>
        <w:rPr>
          <w:bCs/>
          <w:color w:val="auto"/>
          <w:szCs w:val="21"/>
          <w:highlight w:val="none"/>
        </w:rPr>
      </w:pPr>
      <w:r>
        <w:rPr>
          <w:bCs/>
          <w:color w:val="auto"/>
          <w:szCs w:val="21"/>
          <w:highlight w:val="none"/>
        </w:rPr>
        <w:t>（10）组织供货商配合机电系统设备工程数字化移交。</w:t>
      </w:r>
    </w:p>
    <w:p>
      <w:pPr>
        <w:spacing w:line="360" w:lineRule="auto"/>
        <w:ind w:firstLine="420" w:firstLineChars="200"/>
        <w:rPr>
          <w:bCs/>
          <w:color w:val="auto"/>
          <w:szCs w:val="21"/>
          <w:highlight w:val="none"/>
        </w:rPr>
      </w:pPr>
      <w:r>
        <w:rPr>
          <w:bCs/>
          <w:color w:val="auto"/>
          <w:szCs w:val="21"/>
          <w:highlight w:val="none"/>
        </w:rPr>
        <w:t>（11）负责利用BIM技术完成设备材料合同归档工作（如有）。</w:t>
      </w:r>
    </w:p>
    <w:p>
      <w:pPr>
        <w:pStyle w:val="4"/>
        <w:bidi w:val="0"/>
        <w:rPr>
          <w:rFonts w:hint="eastAsia" w:ascii="黑体" w:hAnsi="黑体" w:eastAsia="黑体" w:cs="黑体"/>
          <w:color w:val="auto"/>
          <w:sz w:val="21"/>
          <w:szCs w:val="21"/>
          <w:highlight w:val="none"/>
        </w:rPr>
      </w:pPr>
      <w:bookmarkStart w:id="2422" w:name="_Toc20769"/>
      <w:bookmarkStart w:id="2423" w:name="_Toc184763353"/>
      <w:r>
        <w:rPr>
          <w:rFonts w:hint="eastAsia" w:ascii="黑体" w:hAnsi="黑体" w:eastAsia="黑体" w:cs="黑体"/>
          <w:color w:val="auto"/>
          <w:sz w:val="21"/>
          <w:szCs w:val="21"/>
          <w:highlight w:val="none"/>
          <w:lang w:val="en-US" w:eastAsia="zh-CN"/>
        </w:rPr>
        <w:t xml:space="preserve">6.10 </w:t>
      </w:r>
      <w:r>
        <w:rPr>
          <w:rFonts w:hint="eastAsia" w:ascii="黑体" w:hAnsi="黑体" w:eastAsia="黑体" w:cs="黑体"/>
          <w:color w:val="auto"/>
          <w:sz w:val="21"/>
          <w:szCs w:val="21"/>
          <w:highlight w:val="none"/>
        </w:rPr>
        <w:t>配合第三方送检</w:t>
      </w:r>
      <w:bookmarkEnd w:id="2422"/>
      <w:bookmarkEnd w:id="2423"/>
    </w:p>
    <w:p>
      <w:pPr>
        <w:spacing w:line="360" w:lineRule="auto"/>
        <w:rPr>
          <w:bCs/>
          <w:color w:val="auto"/>
          <w:szCs w:val="21"/>
          <w:highlight w:val="none"/>
        </w:rPr>
      </w:pPr>
      <w:r>
        <w:rPr>
          <w:rFonts w:hint="eastAsia"/>
          <w:bCs/>
          <w:color w:val="auto"/>
          <w:szCs w:val="21"/>
          <w:highlight w:val="none"/>
          <w:lang w:val="en-US" w:eastAsia="zh-CN"/>
        </w:rPr>
        <w:t xml:space="preserve">6.10.1 </w:t>
      </w:r>
      <w:r>
        <w:rPr>
          <w:bCs/>
          <w:color w:val="auto"/>
          <w:szCs w:val="21"/>
          <w:highlight w:val="none"/>
        </w:rPr>
        <w:t>本项目要求，部分设备（材料）在完成出厂验收后、发货前，由集成服务商</w:t>
      </w:r>
      <w:r>
        <w:rPr>
          <w:rFonts w:hint="eastAsia"/>
          <w:bCs/>
          <w:color w:val="auto"/>
          <w:szCs w:val="21"/>
          <w:highlight w:val="none"/>
        </w:rPr>
        <w:t>督导供货商将须送第三方检验的设备/材料，在各方见证下进行抽样、封样并送至第三方检测机构按合同规定的检验项目进行检验，检验报告上报业主备案。</w:t>
      </w:r>
    </w:p>
    <w:p>
      <w:pPr>
        <w:spacing w:line="360" w:lineRule="auto"/>
        <w:rPr>
          <w:rFonts w:hint="eastAsia" w:eastAsia="宋体"/>
          <w:bCs/>
          <w:color w:val="auto"/>
          <w:szCs w:val="21"/>
          <w:highlight w:val="none"/>
          <w:lang w:eastAsia="zh-CN"/>
        </w:rPr>
      </w:pPr>
      <w:r>
        <w:rPr>
          <w:rFonts w:hint="eastAsia"/>
          <w:bCs/>
          <w:color w:val="auto"/>
          <w:szCs w:val="21"/>
          <w:highlight w:val="none"/>
          <w:lang w:val="en-US" w:eastAsia="zh-CN"/>
        </w:rPr>
        <w:t>6.10.2</w:t>
      </w:r>
      <w:r>
        <w:rPr>
          <w:bCs/>
          <w:color w:val="auto"/>
          <w:szCs w:val="21"/>
          <w:highlight w:val="none"/>
        </w:rPr>
        <w:t>所有抽检在业主、设计、集成服务商和供货商的见证下，由集成服务商负责抽检的随机性和公正性</w:t>
      </w:r>
      <w:r>
        <w:rPr>
          <w:rFonts w:hint="eastAsia"/>
          <w:bCs/>
          <w:color w:val="auto"/>
          <w:szCs w:val="21"/>
          <w:highlight w:val="none"/>
          <w:lang w:eastAsia="zh-CN"/>
        </w:rPr>
        <w:t>。</w:t>
      </w:r>
    </w:p>
    <w:p>
      <w:pPr>
        <w:pStyle w:val="4"/>
        <w:bidi w:val="0"/>
        <w:rPr>
          <w:rFonts w:hint="eastAsia" w:ascii="黑体" w:hAnsi="黑体" w:eastAsia="黑体" w:cs="黑体"/>
          <w:color w:val="auto"/>
          <w:sz w:val="21"/>
          <w:szCs w:val="21"/>
          <w:highlight w:val="none"/>
        </w:rPr>
      </w:pPr>
      <w:bookmarkStart w:id="2424" w:name="_Toc2508"/>
      <w:bookmarkStart w:id="2425" w:name="_Toc130847143"/>
      <w:bookmarkStart w:id="2426" w:name="_Toc12152"/>
      <w:bookmarkStart w:id="2427" w:name="_Toc184763354"/>
      <w:bookmarkStart w:id="2428" w:name="_Toc4686"/>
      <w:bookmarkStart w:id="2429" w:name="_Toc9100"/>
      <w:bookmarkStart w:id="2430" w:name="_Toc28592"/>
      <w:bookmarkStart w:id="2431" w:name="_Toc8560"/>
      <w:r>
        <w:rPr>
          <w:rFonts w:hint="eastAsia" w:ascii="黑体" w:hAnsi="黑体" w:eastAsia="黑体" w:cs="黑体"/>
          <w:color w:val="auto"/>
          <w:sz w:val="21"/>
          <w:szCs w:val="21"/>
          <w:highlight w:val="none"/>
          <w:lang w:val="en-US" w:eastAsia="zh-CN"/>
        </w:rPr>
        <w:t xml:space="preserve">6.11 </w:t>
      </w:r>
      <w:r>
        <w:rPr>
          <w:rFonts w:hint="eastAsia" w:ascii="黑体" w:hAnsi="黑体" w:eastAsia="黑体" w:cs="黑体"/>
          <w:color w:val="auto"/>
          <w:sz w:val="21"/>
          <w:szCs w:val="21"/>
          <w:highlight w:val="none"/>
        </w:rPr>
        <w:t>到货管理</w:t>
      </w:r>
      <w:bookmarkEnd w:id="2419"/>
      <w:bookmarkEnd w:id="2420"/>
      <w:bookmarkEnd w:id="2421"/>
      <w:bookmarkEnd w:id="2424"/>
      <w:bookmarkEnd w:id="2425"/>
      <w:bookmarkEnd w:id="2426"/>
      <w:bookmarkEnd w:id="2427"/>
      <w:bookmarkEnd w:id="2428"/>
      <w:bookmarkEnd w:id="2429"/>
      <w:bookmarkEnd w:id="2430"/>
      <w:bookmarkEnd w:id="2431"/>
    </w:p>
    <w:p>
      <w:pPr>
        <w:tabs>
          <w:tab w:val="left" w:pos="720"/>
        </w:tabs>
        <w:spacing w:line="360" w:lineRule="auto"/>
        <w:rPr>
          <w:rFonts w:hint="eastAsia"/>
          <w:color w:val="auto"/>
          <w:szCs w:val="21"/>
          <w:highlight w:val="none"/>
          <w:lang w:eastAsia="zh-CN"/>
        </w:rPr>
      </w:pPr>
      <w:r>
        <w:rPr>
          <w:rFonts w:hint="eastAsia"/>
          <w:color w:val="auto"/>
          <w:szCs w:val="21"/>
          <w:highlight w:val="none"/>
          <w:lang w:val="en-US" w:eastAsia="zh-CN"/>
        </w:rPr>
        <w:t>6.11.1</w:t>
      </w:r>
      <w:r>
        <w:rPr>
          <w:color w:val="auto"/>
          <w:szCs w:val="21"/>
          <w:highlight w:val="none"/>
        </w:rPr>
        <w:t>概述</w:t>
      </w:r>
    </w:p>
    <w:p>
      <w:pPr>
        <w:tabs>
          <w:tab w:val="left" w:pos="720"/>
        </w:tabs>
        <w:spacing w:line="360" w:lineRule="auto"/>
        <w:ind w:firstLine="420" w:firstLineChars="200"/>
        <w:rPr>
          <w:color w:val="auto"/>
          <w:szCs w:val="21"/>
          <w:highlight w:val="none"/>
        </w:rPr>
      </w:pPr>
      <w:r>
        <w:rPr>
          <w:color w:val="auto"/>
          <w:szCs w:val="21"/>
          <w:highlight w:val="none"/>
        </w:rPr>
        <w:t>集成服务商及时组织并协助供货商完成从设备包装直至到现场设备仓库期间的所有工作。集成服务商对供货商产品的装卸、储存、包装、发运应建立一定的程序，形成文件并加以实施。集成服务商应制定到货管理（含包装、运输、仓储、开箱检查等）的各项规定，下发给供货商，并监督执行。</w:t>
      </w:r>
    </w:p>
    <w:p>
      <w:pPr>
        <w:spacing w:line="360" w:lineRule="auto"/>
        <w:rPr>
          <w:rFonts w:hint="eastAsia" w:eastAsia="宋体"/>
          <w:color w:val="auto"/>
          <w:szCs w:val="21"/>
          <w:highlight w:val="none"/>
          <w:lang w:eastAsia="zh-CN"/>
        </w:rPr>
      </w:pPr>
      <w:r>
        <w:rPr>
          <w:rFonts w:hint="eastAsia"/>
          <w:color w:val="auto"/>
          <w:szCs w:val="21"/>
          <w:highlight w:val="none"/>
          <w:lang w:val="en-US" w:eastAsia="zh-CN"/>
        </w:rPr>
        <w:t>6.11.2</w:t>
      </w:r>
      <w:r>
        <w:rPr>
          <w:color w:val="auto"/>
          <w:szCs w:val="21"/>
          <w:highlight w:val="none"/>
        </w:rPr>
        <w:t>包装</w:t>
      </w:r>
    </w:p>
    <w:p>
      <w:pPr>
        <w:spacing w:line="360" w:lineRule="auto"/>
        <w:ind w:firstLine="420" w:firstLineChars="200"/>
        <w:rPr>
          <w:color w:val="auto"/>
          <w:szCs w:val="21"/>
          <w:highlight w:val="none"/>
        </w:rPr>
      </w:pPr>
      <w:r>
        <w:rPr>
          <w:color w:val="auto"/>
          <w:szCs w:val="21"/>
          <w:highlight w:val="none"/>
        </w:rPr>
        <w:t>集成服务商应要求供货商提出出厂包装安排，确认供货商是否按合同要求和运输要求、特殊要求进行包装，并向供货商发出确认书。 集成服务商应对供货商产品的包装、储存和标志过程进行控制，使之达到给定的要求（包括所使用的材料）。</w:t>
      </w:r>
    </w:p>
    <w:p>
      <w:pPr>
        <w:spacing w:line="360" w:lineRule="auto"/>
        <w:rPr>
          <w:rFonts w:hint="eastAsia" w:eastAsia="宋体"/>
          <w:color w:val="auto"/>
          <w:szCs w:val="21"/>
          <w:highlight w:val="none"/>
          <w:lang w:eastAsia="zh-CN"/>
        </w:rPr>
      </w:pPr>
      <w:r>
        <w:rPr>
          <w:rFonts w:hint="eastAsia"/>
          <w:color w:val="auto"/>
          <w:szCs w:val="21"/>
          <w:highlight w:val="none"/>
          <w:lang w:val="en-US" w:eastAsia="zh-CN"/>
        </w:rPr>
        <w:t>6.11.3</w:t>
      </w:r>
      <w:r>
        <w:rPr>
          <w:color w:val="auto"/>
          <w:szCs w:val="21"/>
          <w:highlight w:val="none"/>
        </w:rPr>
        <w:t>运输</w:t>
      </w:r>
    </w:p>
    <w:p>
      <w:pPr>
        <w:spacing w:line="360" w:lineRule="auto"/>
        <w:ind w:firstLine="420" w:firstLineChars="200"/>
        <w:rPr>
          <w:color w:val="auto"/>
          <w:szCs w:val="21"/>
          <w:highlight w:val="none"/>
        </w:rPr>
      </w:pPr>
      <w:r>
        <w:rPr>
          <w:color w:val="auto"/>
          <w:szCs w:val="21"/>
          <w:highlight w:val="none"/>
        </w:rPr>
        <w:t>集成服务商应向供货商发出经业主确认的可发货通知单。集成服务商应及时将供货商的本次发运内容包括但不限于发货时间、估计到货时间、运输工具、箱件数、箱件大小、重量等通知业主。</w:t>
      </w:r>
    </w:p>
    <w:p>
      <w:pPr>
        <w:spacing w:line="360" w:lineRule="auto"/>
        <w:rPr>
          <w:rFonts w:hint="eastAsia" w:eastAsia="宋体"/>
          <w:color w:val="auto"/>
          <w:szCs w:val="21"/>
          <w:highlight w:val="none"/>
          <w:lang w:eastAsia="zh-CN"/>
        </w:rPr>
      </w:pPr>
      <w:r>
        <w:rPr>
          <w:rFonts w:hint="eastAsia"/>
          <w:color w:val="auto"/>
          <w:szCs w:val="21"/>
          <w:highlight w:val="none"/>
          <w:lang w:val="en-US" w:eastAsia="zh-CN"/>
        </w:rPr>
        <w:t>6.11.4</w:t>
      </w:r>
      <w:r>
        <w:rPr>
          <w:color w:val="auto"/>
          <w:szCs w:val="21"/>
          <w:highlight w:val="none"/>
        </w:rPr>
        <w:t>装卸</w:t>
      </w:r>
    </w:p>
    <w:p>
      <w:pPr>
        <w:spacing w:line="360" w:lineRule="auto"/>
        <w:ind w:firstLine="420" w:firstLineChars="200"/>
        <w:rPr>
          <w:color w:val="auto"/>
          <w:szCs w:val="21"/>
          <w:highlight w:val="none"/>
        </w:rPr>
      </w:pPr>
      <w:r>
        <w:rPr>
          <w:color w:val="auto"/>
          <w:szCs w:val="21"/>
          <w:highlight w:val="none"/>
        </w:rPr>
        <w:t>集成服务商应要求供货商提供产品装卸的方法与手段，并在实际装卸过程中加以监督，以防止损坏或变质。</w:t>
      </w:r>
    </w:p>
    <w:p>
      <w:pPr>
        <w:spacing w:line="360" w:lineRule="auto"/>
        <w:rPr>
          <w:rFonts w:hint="eastAsia" w:eastAsia="宋体"/>
          <w:color w:val="auto"/>
          <w:szCs w:val="21"/>
          <w:highlight w:val="none"/>
          <w:lang w:eastAsia="zh-CN"/>
        </w:rPr>
      </w:pPr>
      <w:r>
        <w:rPr>
          <w:rFonts w:hint="eastAsia"/>
          <w:color w:val="auto"/>
          <w:szCs w:val="21"/>
          <w:highlight w:val="none"/>
          <w:lang w:val="en-US" w:eastAsia="zh-CN"/>
        </w:rPr>
        <w:t>6.11.5</w:t>
      </w:r>
      <w:r>
        <w:rPr>
          <w:color w:val="auto"/>
          <w:szCs w:val="21"/>
          <w:highlight w:val="none"/>
        </w:rPr>
        <w:t>收货</w:t>
      </w:r>
    </w:p>
    <w:p>
      <w:pPr>
        <w:spacing w:line="360" w:lineRule="auto"/>
        <w:ind w:firstLine="420" w:firstLineChars="200"/>
        <w:rPr>
          <w:color w:val="auto"/>
          <w:szCs w:val="21"/>
          <w:highlight w:val="none"/>
        </w:rPr>
      </w:pPr>
      <w:r>
        <w:rPr>
          <w:color w:val="auto"/>
          <w:szCs w:val="21"/>
          <w:highlight w:val="none"/>
        </w:rPr>
        <w:t>集成服务商应提醒各相关单位准备好交货地点、存放场地。货到指定地点后，集成服务商须到现场协助做好收货记录。（按箱件收货，检查外包装、外观完好性）并作确认。发现运输损坏应立即通知供货商并通知有关部门做索赔登记，并通知业主。</w:t>
      </w:r>
    </w:p>
    <w:p>
      <w:pPr>
        <w:spacing w:line="360" w:lineRule="auto"/>
        <w:rPr>
          <w:rFonts w:hint="eastAsia" w:eastAsia="宋体"/>
          <w:color w:val="auto"/>
          <w:szCs w:val="21"/>
          <w:highlight w:val="none"/>
          <w:lang w:eastAsia="zh-CN"/>
        </w:rPr>
      </w:pPr>
      <w:r>
        <w:rPr>
          <w:rFonts w:hint="eastAsia"/>
          <w:color w:val="auto"/>
          <w:szCs w:val="21"/>
          <w:highlight w:val="none"/>
          <w:lang w:val="en-US" w:eastAsia="zh-CN"/>
        </w:rPr>
        <w:t xml:space="preserve">6.11.6 </w:t>
      </w:r>
      <w:r>
        <w:rPr>
          <w:color w:val="auto"/>
          <w:szCs w:val="21"/>
          <w:highlight w:val="none"/>
        </w:rPr>
        <w:t>仓储</w:t>
      </w:r>
    </w:p>
    <w:p>
      <w:pPr>
        <w:spacing w:line="360" w:lineRule="auto"/>
        <w:ind w:firstLine="420" w:firstLineChars="200"/>
        <w:rPr>
          <w:color w:val="auto"/>
          <w:szCs w:val="21"/>
          <w:highlight w:val="none"/>
        </w:rPr>
      </w:pPr>
      <w:r>
        <w:rPr>
          <w:color w:val="auto"/>
          <w:szCs w:val="21"/>
          <w:highlight w:val="none"/>
        </w:rPr>
        <w:t>集成服务商应使供货商清楚现场的仓储条件，发给业主的货物，应能在现场的仓储条件下储存，不会因现场仓储条件原因而引起损坏或变质。</w:t>
      </w:r>
    </w:p>
    <w:p>
      <w:pPr>
        <w:spacing w:line="360" w:lineRule="auto"/>
        <w:rPr>
          <w:rFonts w:hint="eastAsia" w:eastAsia="宋体"/>
          <w:color w:val="auto"/>
          <w:szCs w:val="21"/>
          <w:highlight w:val="none"/>
          <w:lang w:eastAsia="zh-CN"/>
        </w:rPr>
      </w:pPr>
      <w:r>
        <w:rPr>
          <w:rFonts w:hint="eastAsia"/>
          <w:color w:val="auto"/>
          <w:szCs w:val="21"/>
          <w:highlight w:val="none"/>
          <w:lang w:val="en-US" w:eastAsia="zh-CN"/>
        </w:rPr>
        <w:t xml:space="preserve">6.11.7 </w:t>
      </w:r>
      <w:r>
        <w:rPr>
          <w:color w:val="auto"/>
          <w:szCs w:val="21"/>
          <w:highlight w:val="none"/>
        </w:rPr>
        <w:t>开箱检查</w:t>
      </w:r>
    </w:p>
    <w:p>
      <w:pPr>
        <w:spacing w:line="360" w:lineRule="auto"/>
        <w:ind w:left="386" w:leftChars="184"/>
        <w:rPr>
          <w:color w:val="auto"/>
          <w:szCs w:val="21"/>
          <w:highlight w:val="none"/>
        </w:rPr>
      </w:pPr>
      <w:r>
        <w:rPr>
          <w:color w:val="auto"/>
          <w:szCs w:val="21"/>
          <w:highlight w:val="none"/>
        </w:rPr>
        <w:t>集成服务商应在开箱前15天做出开箱计划方案，交业主确认。集成服务商应将清点时间地点提前7</w:t>
      </w:r>
    </w:p>
    <w:p>
      <w:pPr>
        <w:spacing w:line="360" w:lineRule="auto"/>
        <w:rPr>
          <w:color w:val="auto"/>
          <w:szCs w:val="21"/>
          <w:highlight w:val="none"/>
        </w:rPr>
      </w:pPr>
      <w:r>
        <w:rPr>
          <w:color w:val="auto"/>
          <w:szCs w:val="21"/>
          <w:highlight w:val="none"/>
        </w:rPr>
        <w:t>天书面通知供货商、安装单位。开箱的劳务由安装单位派出，集成服务商须跟踪落实。开箱前应先确认包装是否完好，并记录。清点应在集成服务商监督下安装箱单由供货商逐件清点交给安装单位。</w:t>
      </w:r>
    </w:p>
    <w:p>
      <w:pPr>
        <w:spacing w:line="360" w:lineRule="auto"/>
        <w:rPr>
          <w:rFonts w:hint="eastAsia" w:eastAsia="宋体"/>
          <w:color w:val="auto"/>
          <w:szCs w:val="21"/>
          <w:highlight w:val="none"/>
          <w:lang w:eastAsia="zh-CN"/>
        </w:rPr>
      </w:pPr>
      <w:r>
        <w:rPr>
          <w:rFonts w:hint="eastAsia"/>
          <w:color w:val="auto"/>
          <w:szCs w:val="21"/>
          <w:highlight w:val="none"/>
          <w:lang w:val="en-US" w:eastAsia="zh-CN"/>
        </w:rPr>
        <w:t xml:space="preserve">6.11.8 </w:t>
      </w:r>
      <w:r>
        <w:rPr>
          <w:color w:val="auto"/>
          <w:szCs w:val="21"/>
          <w:highlight w:val="none"/>
        </w:rPr>
        <w:t>交货确认</w:t>
      </w:r>
    </w:p>
    <w:p>
      <w:pPr>
        <w:spacing w:line="360" w:lineRule="auto"/>
        <w:ind w:left="386" w:leftChars="184"/>
        <w:rPr>
          <w:color w:val="auto"/>
          <w:szCs w:val="21"/>
          <w:highlight w:val="none"/>
        </w:rPr>
      </w:pPr>
      <w:r>
        <w:rPr>
          <w:color w:val="auto"/>
          <w:szCs w:val="21"/>
          <w:highlight w:val="none"/>
        </w:rPr>
        <w:t>供货商与安装单位点清记录后，集成服务商应与供货商、安装单位三方代表签字确认。</w:t>
      </w:r>
    </w:p>
    <w:p>
      <w:pPr>
        <w:spacing w:line="360" w:lineRule="auto"/>
        <w:rPr>
          <w:rFonts w:hint="eastAsia" w:eastAsia="宋体"/>
          <w:color w:val="auto"/>
          <w:szCs w:val="21"/>
          <w:highlight w:val="none"/>
          <w:lang w:eastAsia="zh-CN"/>
        </w:rPr>
      </w:pPr>
      <w:r>
        <w:rPr>
          <w:rFonts w:hint="eastAsia"/>
          <w:color w:val="auto"/>
          <w:szCs w:val="21"/>
          <w:highlight w:val="none"/>
          <w:lang w:val="en-US" w:eastAsia="zh-CN"/>
        </w:rPr>
        <w:t xml:space="preserve">6.11.9 </w:t>
      </w:r>
      <w:r>
        <w:rPr>
          <w:color w:val="auto"/>
          <w:szCs w:val="21"/>
          <w:highlight w:val="none"/>
        </w:rPr>
        <w:t>缺损处理</w:t>
      </w:r>
    </w:p>
    <w:p>
      <w:pPr>
        <w:spacing w:line="360" w:lineRule="auto"/>
        <w:ind w:firstLine="420" w:firstLineChars="200"/>
        <w:rPr>
          <w:color w:val="auto"/>
          <w:szCs w:val="21"/>
          <w:highlight w:val="none"/>
        </w:rPr>
      </w:pPr>
      <w:r>
        <w:rPr>
          <w:color w:val="auto"/>
          <w:szCs w:val="21"/>
          <w:highlight w:val="none"/>
        </w:rPr>
        <w:t>开箱时发现的箱内缺件，集成服务商应确认责任方，提出解决方法，交业主确认。清点时发现设备损坏问题，集成服务商应会同供货商分清责任范围，提出解决方法，交业主确认。所有缺损，集成服务商必须跟踪落实。</w:t>
      </w:r>
    </w:p>
    <w:p>
      <w:pPr>
        <w:spacing w:line="360" w:lineRule="auto"/>
        <w:rPr>
          <w:color w:val="auto"/>
          <w:szCs w:val="21"/>
          <w:highlight w:val="none"/>
        </w:rPr>
      </w:pPr>
      <w:r>
        <w:rPr>
          <w:rFonts w:hint="eastAsia"/>
          <w:color w:val="auto"/>
          <w:szCs w:val="21"/>
          <w:highlight w:val="none"/>
          <w:lang w:val="en-US" w:eastAsia="zh-CN"/>
        </w:rPr>
        <w:t xml:space="preserve">6.11.10 </w:t>
      </w:r>
      <w:r>
        <w:rPr>
          <w:color w:val="auto"/>
          <w:szCs w:val="21"/>
          <w:highlight w:val="none"/>
        </w:rPr>
        <w:t>验收：</w:t>
      </w:r>
    </w:p>
    <w:p>
      <w:pPr>
        <w:spacing w:line="360" w:lineRule="auto"/>
        <w:ind w:firstLine="420" w:firstLineChars="200"/>
        <w:rPr>
          <w:color w:val="auto"/>
          <w:szCs w:val="21"/>
          <w:highlight w:val="none"/>
        </w:rPr>
      </w:pPr>
      <w:r>
        <w:rPr>
          <w:color w:val="auto"/>
          <w:szCs w:val="21"/>
          <w:highlight w:val="none"/>
        </w:rPr>
        <w:t>各项规定得到贯彻执行，经业主评定通过后，方可认为此项工作的完成。</w:t>
      </w:r>
    </w:p>
    <w:p>
      <w:pPr>
        <w:pStyle w:val="4"/>
        <w:bidi w:val="0"/>
        <w:rPr>
          <w:rFonts w:hint="eastAsia" w:ascii="黑体" w:hAnsi="黑体" w:eastAsia="黑体" w:cs="黑体"/>
          <w:color w:val="auto"/>
          <w:sz w:val="21"/>
          <w:szCs w:val="21"/>
          <w:highlight w:val="none"/>
        </w:rPr>
      </w:pPr>
      <w:bookmarkStart w:id="2432" w:name="_Toc309026921"/>
      <w:bookmarkStart w:id="2433" w:name="_Toc184763355"/>
      <w:bookmarkStart w:id="2434" w:name="_Toc10595"/>
      <w:bookmarkStart w:id="2435" w:name="_Toc130847144"/>
      <w:bookmarkStart w:id="2436" w:name="_Toc4773"/>
      <w:bookmarkStart w:id="2437" w:name="_Toc22490"/>
      <w:bookmarkStart w:id="2438" w:name="_Toc306091648"/>
      <w:bookmarkStart w:id="2439" w:name="_Toc309026527"/>
      <w:bookmarkStart w:id="2440" w:name="_Toc28763"/>
      <w:bookmarkStart w:id="2441" w:name="_Toc10896"/>
      <w:bookmarkStart w:id="2442" w:name="_Toc6544"/>
      <w:r>
        <w:rPr>
          <w:rFonts w:hint="eastAsia" w:ascii="黑体" w:hAnsi="黑体" w:eastAsia="黑体" w:cs="黑体"/>
          <w:color w:val="auto"/>
          <w:sz w:val="21"/>
          <w:szCs w:val="21"/>
          <w:highlight w:val="none"/>
          <w:lang w:val="en-US" w:eastAsia="zh-CN"/>
        </w:rPr>
        <w:t xml:space="preserve">6.12 </w:t>
      </w:r>
      <w:r>
        <w:rPr>
          <w:rFonts w:hint="eastAsia" w:ascii="黑体" w:hAnsi="黑体" w:eastAsia="黑体" w:cs="黑体"/>
          <w:color w:val="auto"/>
          <w:sz w:val="21"/>
          <w:szCs w:val="21"/>
          <w:highlight w:val="none"/>
        </w:rPr>
        <w:t>设备安装、调试及督导</w:t>
      </w:r>
      <w:bookmarkEnd w:id="2432"/>
      <w:bookmarkEnd w:id="2433"/>
      <w:bookmarkEnd w:id="2434"/>
      <w:bookmarkEnd w:id="2435"/>
      <w:bookmarkEnd w:id="2436"/>
      <w:bookmarkEnd w:id="2437"/>
      <w:bookmarkEnd w:id="2438"/>
      <w:bookmarkEnd w:id="2439"/>
      <w:bookmarkEnd w:id="2440"/>
      <w:bookmarkEnd w:id="2441"/>
      <w:bookmarkEnd w:id="2442"/>
    </w:p>
    <w:p>
      <w:pPr>
        <w:spacing w:line="360" w:lineRule="auto"/>
        <w:rPr>
          <w:color w:val="auto"/>
          <w:szCs w:val="21"/>
          <w:highlight w:val="none"/>
        </w:rPr>
      </w:pPr>
      <w:r>
        <w:rPr>
          <w:rFonts w:hint="eastAsia"/>
          <w:color w:val="auto"/>
          <w:szCs w:val="21"/>
          <w:highlight w:val="none"/>
          <w:lang w:val="en-US" w:eastAsia="zh-CN"/>
        </w:rPr>
        <w:t>6.12.1</w:t>
      </w:r>
      <w:r>
        <w:rPr>
          <w:color w:val="auto"/>
          <w:szCs w:val="21"/>
          <w:highlight w:val="none"/>
        </w:rPr>
        <w:t>督导程序</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集成服务商在安装前15天制定安装督导计划交业主确认。</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集成服务商在安装前5天通知供货商派督导人员到安装现场。</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安装督导由供货商完成。</w:t>
      </w:r>
    </w:p>
    <w:p>
      <w:pPr>
        <w:spacing w:line="360" w:lineRule="auto"/>
        <w:rPr>
          <w:color w:val="auto"/>
          <w:szCs w:val="21"/>
          <w:highlight w:val="none"/>
        </w:rPr>
      </w:pPr>
      <w:r>
        <w:rPr>
          <w:rFonts w:hint="eastAsia"/>
          <w:color w:val="auto"/>
          <w:szCs w:val="21"/>
          <w:highlight w:val="none"/>
          <w:lang w:val="en-US" w:eastAsia="zh-CN"/>
        </w:rPr>
        <w:t>6.12.1</w:t>
      </w:r>
      <w:r>
        <w:rPr>
          <w:color w:val="auto"/>
          <w:szCs w:val="21"/>
          <w:highlight w:val="none"/>
        </w:rPr>
        <w:t>监控和协调</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集成服务商负责安装督导的监控、保证安装督导人员的水平是否满足现场需要。</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集成服务商负责协调供货商与安装单位的关系。</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集成服务商对安装过程中发现的供货质量问题、发生的安装质量问题提出解决方案经业主确认，再由集成服务商负责落实。</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color w:val="auto"/>
          <w:szCs w:val="21"/>
          <w:highlight w:val="none"/>
        </w:rPr>
        <w:t>集成服务商必须定期向业主提交安装进度报告，重大问题提出解决建议、协调、落实。</w:t>
      </w:r>
    </w:p>
    <w:p>
      <w:pPr>
        <w:spacing w:line="360" w:lineRule="auto"/>
        <w:rPr>
          <w:color w:val="auto"/>
          <w:szCs w:val="21"/>
          <w:highlight w:val="none"/>
        </w:rPr>
      </w:pPr>
      <w:r>
        <w:rPr>
          <w:rFonts w:hint="eastAsia"/>
          <w:color w:val="auto"/>
          <w:szCs w:val="21"/>
          <w:highlight w:val="none"/>
          <w:lang w:val="en-US" w:eastAsia="zh-CN"/>
        </w:rPr>
        <w:t>6.12.3</w:t>
      </w:r>
      <w:r>
        <w:rPr>
          <w:color w:val="auto"/>
          <w:szCs w:val="21"/>
          <w:highlight w:val="none"/>
        </w:rPr>
        <w:t>安装验收</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集成服务商应根据各专业设备供货商提供的安装验收标准编制安装验收规程，在安装验收30日前交业主确认。</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在安装验收的15日前集成服务商应将安装验收通知送达有关单位（业主、供货商、安装单位和设计单位）。</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集成服务商按安装验收规程组织验收。</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color w:val="auto"/>
          <w:szCs w:val="21"/>
          <w:highlight w:val="none"/>
        </w:rPr>
        <w:t>在安装验收期间发现的安装问题，集成服务商提出整改期限落实整改，期间发现的属供货商质量问题，集成服务商责成供货商限期处理。</w:t>
      </w:r>
    </w:p>
    <w:p>
      <w:pPr>
        <w:numPr>
          <w:ilvl w:val="0"/>
          <w:numId w:val="0"/>
        </w:numPr>
        <w:spacing w:line="360" w:lineRule="auto"/>
        <w:ind w:left="840"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color w:val="auto"/>
          <w:szCs w:val="21"/>
          <w:highlight w:val="none"/>
        </w:rPr>
        <w:t>集成服务商协助安装单位出具验收报告，由所有参加验收方签名确认，业主保留最终确认权。</w:t>
      </w:r>
    </w:p>
    <w:p>
      <w:pPr>
        <w:spacing w:line="360" w:lineRule="auto"/>
        <w:rPr>
          <w:color w:val="auto"/>
          <w:szCs w:val="21"/>
          <w:highlight w:val="none"/>
        </w:rPr>
      </w:pPr>
      <w:r>
        <w:rPr>
          <w:rFonts w:hint="eastAsia"/>
          <w:color w:val="auto"/>
          <w:szCs w:val="21"/>
          <w:highlight w:val="none"/>
          <w:lang w:val="en-US" w:eastAsia="zh-CN"/>
        </w:rPr>
        <w:t>6.12.4</w:t>
      </w:r>
      <w:r>
        <w:rPr>
          <w:color w:val="auto"/>
          <w:szCs w:val="21"/>
          <w:highlight w:val="none"/>
        </w:rPr>
        <w:t>集成服务商应派出足够的经业主批准的现场技术服务管理人员，以监督供货商在合同设备的现场安装、调试、试运行、质保期等阶段技术支持工作，并负责办理供货商服务人员进出工地、进出运营单位的各种证件。</w:t>
      </w:r>
    </w:p>
    <w:p>
      <w:pPr>
        <w:spacing w:line="360" w:lineRule="auto"/>
        <w:rPr>
          <w:color w:val="auto"/>
          <w:szCs w:val="21"/>
          <w:highlight w:val="none"/>
        </w:rPr>
      </w:pPr>
      <w:r>
        <w:rPr>
          <w:rFonts w:hint="eastAsia"/>
          <w:color w:val="auto"/>
          <w:szCs w:val="21"/>
          <w:highlight w:val="none"/>
          <w:lang w:val="en-US" w:eastAsia="zh-CN"/>
        </w:rPr>
        <w:t xml:space="preserve">6.12.5 </w:t>
      </w:r>
      <w:r>
        <w:rPr>
          <w:color w:val="auto"/>
          <w:szCs w:val="21"/>
          <w:highlight w:val="none"/>
        </w:rPr>
        <w:t>集成服务商应提供现场服务人员的资历和技能水平证书，业主有权利要求更换认为不适合的人员。</w:t>
      </w:r>
    </w:p>
    <w:p>
      <w:pPr>
        <w:spacing w:line="360" w:lineRule="auto"/>
        <w:rPr>
          <w:color w:val="auto"/>
          <w:szCs w:val="21"/>
          <w:highlight w:val="none"/>
        </w:rPr>
      </w:pPr>
      <w:r>
        <w:rPr>
          <w:rFonts w:hint="eastAsia"/>
          <w:color w:val="auto"/>
          <w:szCs w:val="21"/>
          <w:highlight w:val="none"/>
          <w:lang w:val="en-US" w:eastAsia="zh-CN"/>
        </w:rPr>
        <w:t xml:space="preserve">6.12.6 </w:t>
      </w:r>
      <w:r>
        <w:rPr>
          <w:color w:val="auto"/>
          <w:szCs w:val="21"/>
          <w:highlight w:val="none"/>
        </w:rPr>
        <w:t>集成服务商现场服务人员有责任解决或配合业主组织的与其他系统的接口协调工作。</w:t>
      </w:r>
    </w:p>
    <w:p>
      <w:pPr>
        <w:spacing w:line="360" w:lineRule="auto"/>
        <w:rPr>
          <w:color w:val="auto"/>
          <w:szCs w:val="21"/>
          <w:highlight w:val="none"/>
        </w:rPr>
      </w:pPr>
      <w:r>
        <w:rPr>
          <w:rFonts w:hint="eastAsia"/>
          <w:color w:val="auto"/>
          <w:szCs w:val="21"/>
          <w:highlight w:val="none"/>
          <w:lang w:val="en-US" w:eastAsia="zh-CN"/>
        </w:rPr>
        <w:t>6.12.7</w:t>
      </w:r>
      <w:r>
        <w:rPr>
          <w:color w:val="auto"/>
          <w:szCs w:val="21"/>
          <w:highlight w:val="none"/>
        </w:rPr>
        <w:t>设备安装调试控制验收：组织得当，技术支持工作顺利，满足施工要求，经业主评定通过后，方可认为此项工作的完成。</w:t>
      </w:r>
    </w:p>
    <w:p>
      <w:pPr>
        <w:pStyle w:val="4"/>
        <w:bidi w:val="0"/>
        <w:rPr>
          <w:rFonts w:hint="eastAsia" w:ascii="黑体" w:hAnsi="黑体" w:eastAsia="黑体" w:cs="黑体"/>
          <w:color w:val="auto"/>
          <w:sz w:val="21"/>
          <w:szCs w:val="21"/>
          <w:highlight w:val="none"/>
        </w:rPr>
      </w:pPr>
      <w:bookmarkStart w:id="2443" w:name="_Toc9452"/>
      <w:bookmarkStart w:id="2444" w:name="_Toc14140"/>
      <w:bookmarkStart w:id="2445" w:name="_Toc20312"/>
      <w:bookmarkStart w:id="2446" w:name="_Toc309026528"/>
      <w:bookmarkStart w:id="2447" w:name="_Toc130847145"/>
      <w:bookmarkStart w:id="2448" w:name="_Toc306091649"/>
      <w:bookmarkStart w:id="2449" w:name="_Toc309026922"/>
      <w:bookmarkStart w:id="2450" w:name="_Toc6310"/>
      <w:bookmarkStart w:id="2451" w:name="_Toc184763356"/>
      <w:bookmarkStart w:id="2452" w:name="_Toc13856"/>
      <w:bookmarkStart w:id="2453" w:name="_Toc2119"/>
      <w:r>
        <w:rPr>
          <w:rFonts w:hint="eastAsia" w:ascii="黑体" w:hAnsi="黑体" w:eastAsia="黑体" w:cs="黑体"/>
          <w:color w:val="auto"/>
          <w:sz w:val="21"/>
          <w:szCs w:val="21"/>
          <w:highlight w:val="none"/>
          <w:lang w:val="en-US" w:eastAsia="zh-CN"/>
        </w:rPr>
        <w:t xml:space="preserve">6.13 </w:t>
      </w:r>
      <w:r>
        <w:rPr>
          <w:rFonts w:hint="eastAsia" w:ascii="黑体" w:hAnsi="黑体" w:eastAsia="黑体" w:cs="黑体"/>
          <w:color w:val="auto"/>
          <w:sz w:val="21"/>
          <w:szCs w:val="21"/>
          <w:highlight w:val="none"/>
        </w:rPr>
        <w:t>联络会议</w:t>
      </w:r>
      <w:bookmarkEnd w:id="2443"/>
      <w:bookmarkEnd w:id="2444"/>
      <w:bookmarkEnd w:id="2445"/>
      <w:bookmarkEnd w:id="2446"/>
      <w:bookmarkEnd w:id="2447"/>
      <w:bookmarkEnd w:id="2448"/>
      <w:bookmarkEnd w:id="2449"/>
      <w:bookmarkEnd w:id="2450"/>
      <w:bookmarkEnd w:id="2451"/>
      <w:bookmarkEnd w:id="2452"/>
      <w:bookmarkEnd w:id="2453"/>
    </w:p>
    <w:p>
      <w:pPr>
        <w:spacing w:line="360" w:lineRule="auto"/>
        <w:rPr>
          <w:color w:val="auto"/>
          <w:szCs w:val="21"/>
          <w:highlight w:val="none"/>
        </w:rPr>
      </w:pPr>
      <w:r>
        <w:rPr>
          <w:rFonts w:hint="eastAsia"/>
          <w:color w:val="auto"/>
          <w:szCs w:val="21"/>
          <w:highlight w:val="none"/>
          <w:lang w:val="en-US" w:eastAsia="zh-CN"/>
        </w:rPr>
        <w:t xml:space="preserve">6.13.1 </w:t>
      </w:r>
      <w:r>
        <w:rPr>
          <w:color w:val="auto"/>
          <w:szCs w:val="21"/>
          <w:highlight w:val="none"/>
        </w:rPr>
        <w:t>与业主之间的联络会议</w:t>
      </w:r>
    </w:p>
    <w:p>
      <w:pPr>
        <w:spacing w:line="360" w:lineRule="auto"/>
        <w:ind w:left="108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集成服务商与业主之间的联络会议应每月召开一次，澄清有关问题，接受业主指令。</w:t>
      </w:r>
    </w:p>
    <w:p>
      <w:pPr>
        <w:spacing w:line="360" w:lineRule="auto"/>
        <w:ind w:left="108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在紧急情况下，业主有权要求举行临时联络会议。</w:t>
      </w:r>
    </w:p>
    <w:p>
      <w:pPr>
        <w:spacing w:line="360" w:lineRule="auto"/>
        <w:ind w:left="108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所有联络会议的会议纪要，均作为合同的一部分。</w:t>
      </w:r>
    </w:p>
    <w:p>
      <w:pPr>
        <w:spacing w:line="360" w:lineRule="auto"/>
        <w:ind w:left="108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color w:val="auto"/>
          <w:szCs w:val="21"/>
          <w:highlight w:val="none"/>
        </w:rPr>
        <w:t>联络会议前5日，集成服务商应向业主提交工作报告，其内容应包括，但并不限于：</w:t>
      </w:r>
    </w:p>
    <w:p>
      <w:pPr>
        <w:numPr>
          <w:ilvl w:val="0"/>
          <w:numId w:val="8"/>
        </w:numPr>
        <w:spacing w:line="360" w:lineRule="auto"/>
        <w:ind w:left="1701"/>
        <w:rPr>
          <w:color w:val="auto"/>
          <w:szCs w:val="21"/>
          <w:highlight w:val="none"/>
        </w:rPr>
      </w:pPr>
      <w:r>
        <w:rPr>
          <w:color w:val="auto"/>
          <w:szCs w:val="21"/>
          <w:highlight w:val="none"/>
        </w:rPr>
        <w:t>上月工作完成情况，存在问题及其解决方案</w:t>
      </w:r>
    </w:p>
    <w:p>
      <w:pPr>
        <w:numPr>
          <w:ilvl w:val="0"/>
          <w:numId w:val="8"/>
        </w:numPr>
        <w:spacing w:line="360" w:lineRule="auto"/>
        <w:ind w:left="1701"/>
        <w:rPr>
          <w:color w:val="auto"/>
          <w:szCs w:val="21"/>
          <w:highlight w:val="none"/>
        </w:rPr>
      </w:pPr>
      <w:r>
        <w:rPr>
          <w:color w:val="auto"/>
          <w:szCs w:val="21"/>
          <w:highlight w:val="none"/>
        </w:rPr>
        <w:t>目前工作重点。</w:t>
      </w:r>
    </w:p>
    <w:p>
      <w:pPr>
        <w:numPr>
          <w:ilvl w:val="0"/>
          <w:numId w:val="8"/>
        </w:numPr>
        <w:spacing w:line="360" w:lineRule="auto"/>
        <w:ind w:left="1701"/>
        <w:rPr>
          <w:color w:val="auto"/>
          <w:szCs w:val="21"/>
          <w:highlight w:val="none"/>
        </w:rPr>
      </w:pPr>
      <w:r>
        <w:rPr>
          <w:color w:val="auto"/>
          <w:szCs w:val="21"/>
          <w:highlight w:val="none"/>
        </w:rPr>
        <w:t>下月工作计划。</w:t>
      </w:r>
    </w:p>
    <w:p>
      <w:pPr>
        <w:spacing w:line="360" w:lineRule="auto"/>
        <w:ind w:left="108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color w:val="auto"/>
          <w:szCs w:val="21"/>
          <w:highlight w:val="none"/>
        </w:rPr>
        <w:t>集成服务商应负责联络会议的地点、业主人员的交通和餐饮、提供办公设施（计算机、打印机等）。</w:t>
      </w:r>
    </w:p>
    <w:p>
      <w:pPr>
        <w:spacing w:line="360" w:lineRule="auto"/>
        <w:rPr>
          <w:color w:val="auto"/>
          <w:szCs w:val="21"/>
          <w:highlight w:val="none"/>
        </w:rPr>
      </w:pPr>
      <w:r>
        <w:rPr>
          <w:rFonts w:hint="eastAsia"/>
          <w:color w:val="auto"/>
          <w:szCs w:val="21"/>
          <w:highlight w:val="none"/>
          <w:lang w:val="en-US" w:eastAsia="zh-CN"/>
        </w:rPr>
        <w:t xml:space="preserve">6.13.2 </w:t>
      </w:r>
      <w:r>
        <w:rPr>
          <w:color w:val="auto"/>
          <w:szCs w:val="21"/>
          <w:highlight w:val="none"/>
        </w:rPr>
        <w:t>与供货商之间的联络会议</w:t>
      </w:r>
    </w:p>
    <w:p>
      <w:pPr>
        <w:spacing w:line="360" w:lineRule="auto"/>
        <w:ind w:left="108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集成服务商在中标后，应与供货商议定联络会议及每次联络会议的主要议题。</w:t>
      </w:r>
    </w:p>
    <w:p>
      <w:pPr>
        <w:spacing w:line="360" w:lineRule="auto"/>
        <w:ind w:left="108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联络会议应定期举行，并通知业主派代表参加，对重大问题业主代表有权利提出异议，集成服务商和供货商应及时予以澄清，会议内容应报业主备案，但并不减轻集成服务商和供货商应负的合同责任。</w:t>
      </w:r>
    </w:p>
    <w:p>
      <w:pPr>
        <w:spacing w:line="360" w:lineRule="auto"/>
        <w:ind w:left="720" w:firstLine="210" w:firstLineChars="10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集成服务商应组织设备供货商参加施工监理组织的工地例会</w:t>
      </w:r>
    </w:p>
    <w:p>
      <w:pPr>
        <w:pStyle w:val="4"/>
        <w:bidi w:val="0"/>
        <w:rPr>
          <w:rFonts w:hint="eastAsia" w:ascii="黑体" w:hAnsi="黑体" w:eastAsia="黑体" w:cs="黑体"/>
          <w:color w:val="auto"/>
          <w:sz w:val="21"/>
          <w:szCs w:val="21"/>
          <w:highlight w:val="none"/>
        </w:rPr>
      </w:pPr>
      <w:bookmarkStart w:id="2454" w:name="_Toc7899"/>
      <w:bookmarkStart w:id="2455" w:name="_Toc12419"/>
      <w:bookmarkStart w:id="2456" w:name="_Toc309026529"/>
      <w:bookmarkStart w:id="2457" w:name="_Toc309026923"/>
      <w:bookmarkStart w:id="2458" w:name="_Toc306091650"/>
      <w:bookmarkStart w:id="2459" w:name="_Toc7673"/>
      <w:bookmarkStart w:id="2460" w:name="_Toc130847146"/>
      <w:bookmarkStart w:id="2461" w:name="_Toc184763357"/>
      <w:bookmarkStart w:id="2462" w:name="_Toc16554"/>
      <w:bookmarkStart w:id="2463" w:name="_Toc13781"/>
      <w:bookmarkStart w:id="2464" w:name="_Toc728"/>
      <w:r>
        <w:rPr>
          <w:rFonts w:hint="eastAsia" w:ascii="黑体" w:hAnsi="黑体" w:eastAsia="黑体" w:cs="黑体"/>
          <w:color w:val="auto"/>
          <w:sz w:val="21"/>
          <w:szCs w:val="21"/>
          <w:highlight w:val="none"/>
          <w:lang w:val="en-US" w:eastAsia="zh-CN"/>
        </w:rPr>
        <w:t xml:space="preserve">6.14 </w:t>
      </w:r>
      <w:r>
        <w:rPr>
          <w:rFonts w:hint="eastAsia" w:ascii="黑体" w:hAnsi="黑体" w:eastAsia="黑体" w:cs="黑体"/>
          <w:color w:val="auto"/>
          <w:sz w:val="21"/>
          <w:szCs w:val="21"/>
          <w:highlight w:val="none"/>
        </w:rPr>
        <w:t>培训</w:t>
      </w:r>
      <w:bookmarkEnd w:id="2454"/>
      <w:bookmarkEnd w:id="2455"/>
      <w:bookmarkEnd w:id="2456"/>
      <w:bookmarkEnd w:id="2457"/>
      <w:bookmarkEnd w:id="2458"/>
      <w:bookmarkEnd w:id="2459"/>
      <w:bookmarkEnd w:id="2460"/>
      <w:bookmarkEnd w:id="2461"/>
      <w:bookmarkEnd w:id="2462"/>
      <w:bookmarkEnd w:id="2463"/>
      <w:bookmarkEnd w:id="2464"/>
    </w:p>
    <w:p>
      <w:pPr>
        <w:spacing w:line="360" w:lineRule="auto"/>
        <w:rPr>
          <w:color w:val="auto"/>
          <w:szCs w:val="21"/>
          <w:highlight w:val="none"/>
        </w:rPr>
      </w:pPr>
      <w:r>
        <w:rPr>
          <w:rFonts w:hint="eastAsia"/>
          <w:color w:val="auto"/>
          <w:szCs w:val="21"/>
          <w:highlight w:val="none"/>
          <w:lang w:val="en-US" w:eastAsia="zh-CN"/>
        </w:rPr>
        <w:t>6.14.1</w:t>
      </w:r>
      <w:r>
        <w:rPr>
          <w:color w:val="auto"/>
          <w:szCs w:val="21"/>
          <w:highlight w:val="none"/>
        </w:rPr>
        <w:t>培训主要包括工厂培训、现场培训，集成服务商应对设备操作培训、维护培训、现场培训、供货商厂家培训提出建议安排，并交业主确认。</w:t>
      </w:r>
    </w:p>
    <w:p>
      <w:pPr>
        <w:spacing w:line="360" w:lineRule="auto"/>
        <w:rPr>
          <w:color w:val="auto"/>
          <w:szCs w:val="21"/>
          <w:highlight w:val="none"/>
        </w:rPr>
      </w:pPr>
      <w:r>
        <w:rPr>
          <w:rFonts w:hint="eastAsia"/>
          <w:color w:val="auto"/>
          <w:szCs w:val="21"/>
          <w:highlight w:val="none"/>
          <w:lang w:val="en-US" w:eastAsia="zh-CN"/>
        </w:rPr>
        <w:t>6.14.2</w:t>
      </w:r>
      <w:r>
        <w:rPr>
          <w:color w:val="auto"/>
          <w:szCs w:val="21"/>
          <w:highlight w:val="none"/>
        </w:rPr>
        <w:t>集成服务商负责上述培训督导，检查培训完成情况，</w:t>
      </w:r>
      <w:r>
        <w:rPr>
          <w:rFonts w:hint="eastAsia"/>
          <w:color w:val="auto"/>
          <w:szCs w:val="21"/>
          <w:highlight w:val="none"/>
        </w:rPr>
        <w:t>做</w:t>
      </w:r>
      <w:r>
        <w:rPr>
          <w:color w:val="auto"/>
          <w:szCs w:val="21"/>
          <w:highlight w:val="none"/>
        </w:rPr>
        <w:t>出培训报告，交业主确认。</w:t>
      </w:r>
    </w:p>
    <w:p>
      <w:pPr>
        <w:spacing w:line="360" w:lineRule="auto"/>
        <w:rPr>
          <w:rFonts w:hint="eastAsia"/>
          <w:color w:val="auto"/>
          <w:szCs w:val="21"/>
          <w:highlight w:val="none"/>
        </w:rPr>
      </w:pPr>
      <w:r>
        <w:rPr>
          <w:rFonts w:hint="eastAsia"/>
          <w:color w:val="auto"/>
          <w:szCs w:val="21"/>
          <w:highlight w:val="none"/>
          <w:lang w:val="en-US" w:eastAsia="zh-CN"/>
        </w:rPr>
        <w:t>6.14.3</w:t>
      </w:r>
      <w:r>
        <w:rPr>
          <w:color w:val="auto"/>
          <w:szCs w:val="21"/>
          <w:highlight w:val="none"/>
        </w:rPr>
        <w:t>培训管理的相关费用应包含在投标价内。</w:t>
      </w:r>
    </w:p>
    <w:p>
      <w:pPr>
        <w:pStyle w:val="4"/>
        <w:bidi w:val="0"/>
        <w:rPr>
          <w:rFonts w:hint="eastAsia" w:ascii="黑体" w:hAnsi="黑体" w:eastAsia="黑体" w:cs="黑体"/>
          <w:color w:val="auto"/>
          <w:sz w:val="21"/>
          <w:szCs w:val="21"/>
          <w:highlight w:val="none"/>
        </w:rPr>
      </w:pPr>
      <w:bookmarkStart w:id="2465" w:name="_Toc184763358"/>
      <w:bookmarkStart w:id="2466" w:name="_Toc25039"/>
      <w:bookmarkStart w:id="2467" w:name="_Toc309026530"/>
      <w:bookmarkStart w:id="2468" w:name="_Toc17111"/>
      <w:bookmarkStart w:id="2469" w:name="_Toc130847147"/>
      <w:bookmarkStart w:id="2470" w:name="_Toc1258"/>
      <w:bookmarkStart w:id="2471" w:name="_Toc8506"/>
      <w:bookmarkStart w:id="2472" w:name="_Toc28468"/>
      <w:bookmarkStart w:id="2473" w:name="_Toc309026924"/>
      <w:bookmarkStart w:id="2474" w:name="_Toc26902"/>
      <w:bookmarkStart w:id="2475" w:name="_Toc306091651"/>
      <w:r>
        <w:rPr>
          <w:rFonts w:hint="eastAsia" w:ascii="黑体" w:hAnsi="黑体" w:eastAsia="黑体" w:cs="黑体"/>
          <w:color w:val="auto"/>
          <w:sz w:val="21"/>
          <w:szCs w:val="21"/>
          <w:highlight w:val="none"/>
          <w:lang w:val="en-US" w:eastAsia="zh-CN"/>
        </w:rPr>
        <w:t xml:space="preserve">6.15 </w:t>
      </w:r>
      <w:r>
        <w:rPr>
          <w:rFonts w:hint="eastAsia" w:ascii="黑体" w:hAnsi="黑体" w:eastAsia="黑体" w:cs="黑体"/>
          <w:color w:val="auto"/>
          <w:sz w:val="21"/>
          <w:szCs w:val="21"/>
          <w:highlight w:val="none"/>
        </w:rPr>
        <w:t>系统联调</w:t>
      </w:r>
      <w:bookmarkEnd w:id="2465"/>
      <w:bookmarkEnd w:id="2466"/>
    </w:p>
    <w:p>
      <w:pPr>
        <w:spacing w:line="360" w:lineRule="auto"/>
        <w:rPr>
          <w:color w:val="auto"/>
          <w:szCs w:val="21"/>
          <w:highlight w:val="none"/>
        </w:rPr>
      </w:pPr>
      <w:r>
        <w:rPr>
          <w:rFonts w:hint="eastAsia"/>
          <w:color w:val="auto"/>
          <w:szCs w:val="21"/>
          <w:highlight w:val="none"/>
          <w:lang w:val="en-US" w:eastAsia="zh-CN"/>
        </w:rPr>
        <w:t>6.15.1</w:t>
      </w:r>
      <w:r>
        <w:rPr>
          <w:rFonts w:hint="eastAsia"/>
          <w:color w:val="auto"/>
          <w:szCs w:val="21"/>
          <w:highlight w:val="none"/>
        </w:rPr>
        <w:t>集成商应牵头组织并参与设备系统联调工作，牵头组织的联调范围包括强电系统、车站设备各系统、弱电各系统以及车辆。工作要求包括但不限于以下内容：</w:t>
      </w:r>
    </w:p>
    <w:p>
      <w:pPr>
        <w:spacing w:line="360" w:lineRule="auto"/>
        <w:ind w:left="720"/>
        <w:rPr>
          <w:rFonts w:hint="eastAsia"/>
          <w:color w:val="auto"/>
          <w:szCs w:val="21"/>
          <w:highlight w:val="none"/>
        </w:rPr>
      </w:pPr>
      <w:r>
        <w:rPr>
          <w:rFonts w:hint="eastAsia"/>
          <w:color w:val="auto"/>
          <w:szCs w:val="21"/>
          <w:highlight w:val="none"/>
        </w:rPr>
        <w:t>（1）了解工程情况，熟悉设备系统联调所涉及的各设备系统的功能、技术规格和合同履行过程中形成的各种文件。</w:t>
      </w:r>
    </w:p>
    <w:p>
      <w:pPr>
        <w:spacing w:line="360" w:lineRule="auto"/>
        <w:ind w:left="720"/>
        <w:rPr>
          <w:rFonts w:hint="eastAsia"/>
          <w:color w:val="auto"/>
          <w:szCs w:val="21"/>
          <w:highlight w:val="none"/>
        </w:rPr>
      </w:pPr>
      <w:r>
        <w:rPr>
          <w:rFonts w:hint="eastAsia"/>
          <w:color w:val="auto"/>
          <w:szCs w:val="21"/>
          <w:highlight w:val="none"/>
        </w:rPr>
        <w:t>（2）提出目标保证措施。</w:t>
      </w:r>
    </w:p>
    <w:p>
      <w:pPr>
        <w:spacing w:line="360" w:lineRule="auto"/>
        <w:ind w:left="720"/>
        <w:rPr>
          <w:rFonts w:hint="eastAsia"/>
          <w:color w:val="auto"/>
          <w:szCs w:val="21"/>
          <w:highlight w:val="none"/>
        </w:rPr>
      </w:pPr>
      <w:r>
        <w:rPr>
          <w:rFonts w:hint="eastAsia"/>
          <w:color w:val="auto"/>
          <w:szCs w:val="21"/>
          <w:highlight w:val="none"/>
        </w:rPr>
        <w:t>（3）审查强电系统、弱电系统及机电设备的调试大纲，对各设备系统进入联调前所必须具备的条件提出意见及存在问题的解决措施。</w:t>
      </w:r>
    </w:p>
    <w:p>
      <w:pPr>
        <w:spacing w:line="360" w:lineRule="auto"/>
        <w:ind w:left="720"/>
        <w:rPr>
          <w:rFonts w:hint="eastAsia"/>
          <w:color w:val="auto"/>
          <w:szCs w:val="21"/>
          <w:highlight w:val="none"/>
        </w:rPr>
      </w:pPr>
      <w:r>
        <w:rPr>
          <w:rFonts w:hint="eastAsia"/>
          <w:color w:val="auto"/>
          <w:szCs w:val="21"/>
          <w:highlight w:val="none"/>
        </w:rPr>
        <w:t>（4）参与审查其他系统（车辆等）联调条件，并对是否具备进入联调的条件提出意见及存在问题的解决措施。</w:t>
      </w:r>
    </w:p>
    <w:p>
      <w:pPr>
        <w:spacing w:line="360" w:lineRule="auto"/>
        <w:ind w:left="720"/>
        <w:rPr>
          <w:rFonts w:hint="eastAsia"/>
          <w:color w:val="auto"/>
          <w:szCs w:val="21"/>
          <w:highlight w:val="none"/>
        </w:rPr>
      </w:pPr>
      <w:r>
        <w:rPr>
          <w:rFonts w:hint="eastAsia"/>
          <w:color w:val="auto"/>
          <w:szCs w:val="21"/>
          <w:highlight w:val="none"/>
        </w:rPr>
        <w:t>（5）编制各设备系统之间的联调接口关系文件（表），并对其实现及完成情况进行统计。</w:t>
      </w:r>
    </w:p>
    <w:p>
      <w:pPr>
        <w:spacing w:line="360" w:lineRule="auto"/>
        <w:ind w:left="1276"/>
        <w:rPr>
          <w:rFonts w:hint="eastAsia"/>
          <w:color w:val="auto"/>
          <w:szCs w:val="21"/>
          <w:highlight w:val="none"/>
        </w:rPr>
      </w:pPr>
      <w:r>
        <w:rPr>
          <w:rFonts w:hint="eastAsia"/>
          <w:color w:val="auto"/>
          <w:szCs w:val="21"/>
          <w:highlight w:val="none"/>
        </w:rPr>
        <w:t>1）管理接口文件：包括组织架构、程序、责任界面划分、系统调试的先后顺序、工期计划等；</w:t>
      </w:r>
    </w:p>
    <w:p>
      <w:pPr>
        <w:spacing w:line="360" w:lineRule="auto"/>
        <w:ind w:left="1276"/>
        <w:rPr>
          <w:rFonts w:hint="eastAsia"/>
          <w:color w:val="auto"/>
          <w:szCs w:val="21"/>
          <w:highlight w:val="none"/>
        </w:rPr>
      </w:pPr>
      <w:r>
        <w:rPr>
          <w:rFonts w:hint="eastAsia"/>
          <w:color w:val="auto"/>
          <w:szCs w:val="21"/>
          <w:highlight w:val="none"/>
        </w:rPr>
        <w:t>2）硬件接口（物理接口）文件；</w:t>
      </w:r>
    </w:p>
    <w:p>
      <w:pPr>
        <w:spacing w:line="360" w:lineRule="auto"/>
        <w:ind w:left="1276"/>
        <w:rPr>
          <w:rFonts w:hint="eastAsia"/>
          <w:color w:val="auto"/>
          <w:szCs w:val="21"/>
          <w:highlight w:val="none"/>
        </w:rPr>
      </w:pPr>
      <w:r>
        <w:rPr>
          <w:rFonts w:hint="eastAsia"/>
          <w:color w:val="auto"/>
          <w:szCs w:val="21"/>
          <w:highlight w:val="none"/>
        </w:rPr>
        <w:t>3）信息接口文件；</w:t>
      </w:r>
    </w:p>
    <w:p>
      <w:pPr>
        <w:spacing w:line="360" w:lineRule="auto"/>
        <w:ind w:left="720"/>
        <w:rPr>
          <w:rFonts w:hint="eastAsia"/>
          <w:color w:val="auto"/>
          <w:szCs w:val="21"/>
          <w:highlight w:val="none"/>
        </w:rPr>
      </w:pPr>
      <w:r>
        <w:rPr>
          <w:rFonts w:hint="eastAsia"/>
          <w:color w:val="auto"/>
          <w:szCs w:val="21"/>
          <w:highlight w:val="none"/>
        </w:rPr>
        <w:t>（6）编制工程设备系统联调组织管理程序（包括安全管理）、联调计划（包括联调顺序图）、联调大纲和实施细则等分层次的联调文件，文件内容至少应包括联调目的、联调内容、联调遵循的标准、明确调试结果合格的具体标准（要求）、联调顺序图、联调中安全及应急处理程序、联调步骤、联调时间安排、联调组织与人员要求、联调所需测试设备和仪器仪表、联调过程所需的各种表格等。</w:t>
      </w:r>
    </w:p>
    <w:p>
      <w:pPr>
        <w:spacing w:line="360" w:lineRule="auto"/>
        <w:ind w:left="720"/>
        <w:rPr>
          <w:rFonts w:hint="eastAsia"/>
          <w:color w:val="auto"/>
          <w:szCs w:val="21"/>
          <w:highlight w:val="none"/>
        </w:rPr>
      </w:pPr>
      <w:r>
        <w:rPr>
          <w:rFonts w:hint="eastAsia"/>
          <w:color w:val="auto"/>
          <w:szCs w:val="21"/>
          <w:highlight w:val="none"/>
        </w:rPr>
        <w:t>（7）协助业主组织并参加工程设备系统联调，提供全面的技术支持。</w:t>
      </w:r>
    </w:p>
    <w:p>
      <w:pPr>
        <w:spacing w:line="360" w:lineRule="auto"/>
        <w:ind w:left="720"/>
        <w:rPr>
          <w:rFonts w:hint="eastAsia"/>
          <w:color w:val="auto"/>
          <w:szCs w:val="21"/>
          <w:highlight w:val="none"/>
        </w:rPr>
      </w:pPr>
      <w:r>
        <w:rPr>
          <w:rFonts w:hint="eastAsia"/>
          <w:color w:val="auto"/>
          <w:szCs w:val="21"/>
          <w:highlight w:val="none"/>
        </w:rPr>
        <w:t>（8）针对联调过程中出现的重大技术问题，及时提供技术支持。</w:t>
      </w:r>
    </w:p>
    <w:p>
      <w:pPr>
        <w:spacing w:line="360" w:lineRule="auto"/>
        <w:ind w:left="720"/>
        <w:rPr>
          <w:rFonts w:hint="eastAsia"/>
          <w:color w:val="auto"/>
          <w:szCs w:val="21"/>
          <w:highlight w:val="none"/>
        </w:rPr>
      </w:pPr>
      <w:r>
        <w:rPr>
          <w:rFonts w:hint="eastAsia"/>
          <w:color w:val="auto"/>
          <w:szCs w:val="21"/>
          <w:highlight w:val="none"/>
        </w:rPr>
        <w:t>（9）建立完善的联调数据库。</w:t>
      </w:r>
    </w:p>
    <w:p>
      <w:pPr>
        <w:spacing w:line="360" w:lineRule="auto"/>
        <w:ind w:left="720"/>
        <w:rPr>
          <w:rFonts w:hint="eastAsia"/>
          <w:color w:val="auto"/>
          <w:szCs w:val="21"/>
          <w:highlight w:val="none"/>
        </w:rPr>
      </w:pPr>
      <w:r>
        <w:rPr>
          <w:rFonts w:hint="eastAsia"/>
          <w:color w:val="auto"/>
          <w:szCs w:val="21"/>
          <w:highlight w:val="none"/>
        </w:rPr>
        <w:t>（10）编制模拟载客环境下的总联调（运营演练）方案（包括灾害应急模式）和实施计划、细则，并提供技术支持。</w:t>
      </w:r>
    </w:p>
    <w:p>
      <w:pPr>
        <w:spacing w:line="360" w:lineRule="auto"/>
        <w:ind w:left="720"/>
        <w:rPr>
          <w:rFonts w:hint="eastAsia"/>
          <w:color w:val="auto"/>
          <w:szCs w:val="21"/>
          <w:highlight w:val="none"/>
        </w:rPr>
      </w:pPr>
      <w:r>
        <w:rPr>
          <w:rFonts w:hint="eastAsia"/>
          <w:color w:val="auto"/>
          <w:szCs w:val="21"/>
          <w:highlight w:val="none"/>
        </w:rPr>
        <w:t>（11）在开通前编制系统联调的阶段性报告，对开通前设备各系统状况和联调工作进行评估，提出开通时服务标准的建议，并提出完成所有联调工作、实现设备各系统所有功能应采取的措施。</w:t>
      </w:r>
    </w:p>
    <w:p>
      <w:pPr>
        <w:spacing w:line="360" w:lineRule="auto"/>
        <w:ind w:left="720"/>
        <w:rPr>
          <w:rFonts w:hint="eastAsia"/>
          <w:color w:val="auto"/>
          <w:szCs w:val="21"/>
          <w:highlight w:val="none"/>
        </w:rPr>
      </w:pPr>
      <w:r>
        <w:rPr>
          <w:rFonts w:hint="eastAsia"/>
          <w:color w:val="auto"/>
          <w:szCs w:val="21"/>
          <w:highlight w:val="none"/>
        </w:rPr>
        <w:t>（12）编制完成工程设备系统联调报告。</w:t>
      </w:r>
    </w:p>
    <w:p>
      <w:pPr>
        <w:pStyle w:val="4"/>
        <w:bidi w:val="0"/>
        <w:spacing w:before="0" w:after="0" w:line="240" w:lineRule="auto"/>
        <w:rPr>
          <w:rFonts w:hint="eastAsia" w:ascii="黑体" w:hAnsi="黑体" w:eastAsia="黑体" w:cs="黑体"/>
          <w:color w:val="auto"/>
          <w:sz w:val="21"/>
          <w:szCs w:val="21"/>
          <w:highlight w:val="none"/>
        </w:rPr>
      </w:pPr>
      <w:bookmarkStart w:id="2476" w:name="_Toc184763359"/>
      <w:bookmarkStart w:id="2477" w:name="_Toc32562"/>
      <w:r>
        <w:rPr>
          <w:rFonts w:hint="eastAsia" w:ascii="黑体" w:hAnsi="黑体" w:eastAsia="黑体" w:cs="黑体"/>
          <w:color w:val="auto"/>
          <w:sz w:val="21"/>
          <w:szCs w:val="21"/>
          <w:highlight w:val="none"/>
          <w:lang w:val="en-US" w:eastAsia="zh-CN"/>
        </w:rPr>
        <w:t xml:space="preserve">6.16 </w:t>
      </w:r>
      <w:r>
        <w:rPr>
          <w:rFonts w:hint="eastAsia" w:ascii="黑体" w:hAnsi="黑体" w:eastAsia="黑体" w:cs="黑体"/>
          <w:color w:val="auto"/>
          <w:sz w:val="21"/>
          <w:szCs w:val="21"/>
          <w:highlight w:val="none"/>
        </w:rPr>
        <w:t>信息化管理要求</w:t>
      </w:r>
      <w:bookmarkEnd w:id="2476"/>
      <w:bookmarkEnd w:id="2477"/>
    </w:p>
    <w:p>
      <w:pPr>
        <w:spacing w:line="360" w:lineRule="auto"/>
        <w:rPr>
          <w:color w:val="auto"/>
          <w:szCs w:val="21"/>
          <w:highlight w:val="none"/>
        </w:rPr>
      </w:pPr>
      <w:r>
        <w:rPr>
          <w:rFonts w:hint="eastAsia"/>
          <w:color w:val="auto"/>
          <w:szCs w:val="21"/>
          <w:highlight w:val="none"/>
          <w:lang w:val="en-US" w:eastAsia="zh-CN"/>
        </w:rPr>
        <w:t xml:space="preserve">6.16.1 </w:t>
      </w:r>
      <w:r>
        <w:rPr>
          <w:color w:val="auto"/>
          <w:szCs w:val="21"/>
          <w:highlight w:val="none"/>
        </w:rPr>
        <w:t>集成商须按业主颁发的信息化管理相关规定配合业主信息化管理工作，协助推广和使用业主所提供的信息化系统并按时按质提交项目管理电子文档资料，作为业主工程验收和合同支付工作的重要参考依据。</w:t>
      </w:r>
    </w:p>
    <w:p>
      <w:pPr>
        <w:spacing w:line="360" w:lineRule="auto"/>
        <w:rPr>
          <w:color w:val="auto"/>
          <w:szCs w:val="21"/>
          <w:highlight w:val="none"/>
        </w:rPr>
      </w:pPr>
      <w:r>
        <w:rPr>
          <w:rFonts w:hint="eastAsia"/>
          <w:color w:val="auto"/>
          <w:szCs w:val="21"/>
          <w:highlight w:val="none"/>
          <w:lang w:val="en-US" w:eastAsia="zh-CN"/>
        </w:rPr>
        <w:t xml:space="preserve">6.16.2 </w:t>
      </w:r>
      <w:r>
        <w:rPr>
          <w:color w:val="auto"/>
          <w:szCs w:val="21"/>
          <w:highlight w:val="none"/>
        </w:rPr>
        <w:t>业主有权要求对集成商上传的资料和数据进行全面检查和核实，如有错误和缺失，集成商需按照管理规定，在整改通知1周内修正和补充相关资料，否则视为未按照管理规定完成工程、服务和设备交付工作。</w:t>
      </w:r>
    </w:p>
    <w:p>
      <w:pPr>
        <w:spacing w:line="360" w:lineRule="auto"/>
        <w:rPr>
          <w:color w:val="auto"/>
          <w:szCs w:val="21"/>
          <w:highlight w:val="none"/>
        </w:rPr>
      </w:pPr>
      <w:r>
        <w:rPr>
          <w:rFonts w:hint="eastAsia"/>
          <w:color w:val="auto"/>
          <w:szCs w:val="21"/>
          <w:highlight w:val="none"/>
          <w:lang w:val="en-US" w:eastAsia="zh-CN"/>
        </w:rPr>
        <w:t xml:space="preserve">6.16.3 </w:t>
      </w:r>
      <w:r>
        <w:rPr>
          <w:color w:val="auto"/>
          <w:szCs w:val="21"/>
          <w:highlight w:val="none"/>
        </w:rPr>
        <w:t>如集成商不按照业主上述工程管理信息化要求，进行工程项目资料填报、上传和审核工作，业主有权视为集成商工作未按合同要求完成工作的情况进行处理，接到整改通知逾期不予执行的，业主有权暂停、中止或者取消相关工程、设备和服务的验收和支付。</w:t>
      </w:r>
    </w:p>
    <w:p>
      <w:pPr>
        <w:pStyle w:val="4"/>
        <w:bidi w:val="0"/>
        <w:rPr>
          <w:rFonts w:hint="eastAsia" w:ascii="黑体" w:hAnsi="黑体" w:eastAsia="黑体" w:cs="黑体"/>
          <w:color w:val="auto"/>
          <w:sz w:val="21"/>
          <w:szCs w:val="21"/>
          <w:highlight w:val="none"/>
        </w:rPr>
      </w:pPr>
      <w:bookmarkStart w:id="2478" w:name="_Toc19134"/>
      <w:bookmarkStart w:id="2479" w:name="_Toc184763360"/>
      <w:r>
        <w:rPr>
          <w:rFonts w:hint="eastAsia" w:ascii="黑体" w:hAnsi="黑体" w:eastAsia="黑体" w:cs="黑体"/>
          <w:color w:val="auto"/>
          <w:sz w:val="21"/>
          <w:szCs w:val="21"/>
          <w:highlight w:val="none"/>
          <w:lang w:val="en-US" w:eastAsia="zh-CN"/>
        </w:rPr>
        <w:t xml:space="preserve">6.17 </w:t>
      </w:r>
      <w:r>
        <w:rPr>
          <w:rFonts w:hint="eastAsia" w:ascii="黑体" w:hAnsi="黑体" w:eastAsia="黑体" w:cs="黑体"/>
          <w:color w:val="auto"/>
          <w:sz w:val="21"/>
          <w:szCs w:val="21"/>
          <w:highlight w:val="none"/>
        </w:rPr>
        <w:t>其它说明</w:t>
      </w:r>
      <w:bookmarkEnd w:id="2467"/>
      <w:bookmarkEnd w:id="2468"/>
      <w:bookmarkEnd w:id="2469"/>
      <w:bookmarkEnd w:id="2470"/>
      <w:bookmarkEnd w:id="2471"/>
      <w:bookmarkEnd w:id="2472"/>
      <w:bookmarkEnd w:id="2473"/>
      <w:bookmarkEnd w:id="2474"/>
      <w:bookmarkEnd w:id="2475"/>
      <w:bookmarkEnd w:id="2478"/>
      <w:bookmarkEnd w:id="2479"/>
    </w:p>
    <w:p>
      <w:pPr>
        <w:spacing w:line="360" w:lineRule="auto"/>
        <w:ind w:firstLine="420" w:firstLineChars="200"/>
        <w:rPr>
          <w:color w:val="auto"/>
          <w:szCs w:val="21"/>
          <w:highlight w:val="none"/>
        </w:rPr>
      </w:pPr>
      <w:r>
        <w:rPr>
          <w:color w:val="auto"/>
          <w:szCs w:val="21"/>
          <w:highlight w:val="none"/>
        </w:rPr>
        <w:t>虽然集成服务商必须在各方面力求符合本用户需求书的要求，若集成服务商为对本用户需求书中的内容进行修改，能够获得显著的技术和/或商业效益，可以向业主提交备选方案。</w:t>
      </w:r>
    </w:p>
    <w:p>
      <w:pPr>
        <w:spacing w:line="360" w:lineRule="auto"/>
        <w:ind w:firstLine="420" w:firstLineChars="200"/>
        <w:rPr>
          <w:color w:val="auto"/>
          <w:szCs w:val="21"/>
          <w:highlight w:val="none"/>
        </w:rPr>
      </w:pPr>
      <w:r>
        <w:rPr>
          <w:color w:val="auto"/>
          <w:szCs w:val="21"/>
          <w:highlight w:val="none"/>
        </w:rPr>
        <w:t>业主保留在招标的任何阶段对本用户需求书的内容进行修改的权利。</w:t>
      </w:r>
    </w:p>
    <w:p>
      <w:pPr>
        <w:spacing w:line="360" w:lineRule="auto"/>
        <w:ind w:firstLine="420" w:firstLineChars="200"/>
        <w:rPr>
          <w:color w:val="auto"/>
          <w:szCs w:val="21"/>
          <w:highlight w:val="none"/>
        </w:rPr>
      </w:pPr>
      <w:r>
        <w:rPr>
          <w:color w:val="auto"/>
          <w:szCs w:val="21"/>
          <w:highlight w:val="none"/>
        </w:rPr>
        <w:t>在投标文件中，投标人应明确提出需要业主提供的条件（包括技术资料）。</w:t>
      </w:r>
    </w:p>
    <w:p>
      <w:pPr>
        <w:pStyle w:val="3"/>
        <w:bidi w:val="0"/>
        <w:rPr>
          <w:color w:val="auto"/>
          <w:sz w:val="24"/>
          <w:szCs w:val="24"/>
          <w:highlight w:val="none"/>
        </w:rPr>
      </w:pPr>
      <w:bookmarkStart w:id="2480" w:name="_Toc19052"/>
      <w:bookmarkStart w:id="2481" w:name="_Toc184763361"/>
      <w:bookmarkStart w:id="2482" w:name="_Toc22328"/>
      <w:bookmarkStart w:id="2483" w:name="_Toc130847148"/>
      <w:bookmarkStart w:id="2484" w:name="_Toc32274"/>
      <w:bookmarkStart w:id="2485" w:name="_Toc18975"/>
      <w:bookmarkStart w:id="2486" w:name="_Toc11549"/>
      <w:bookmarkStart w:id="2487" w:name="_Toc1326"/>
      <w:r>
        <w:rPr>
          <w:color w:val="auto"/>
          <w:sz w:val="24"/>
          <w:szCs w:val="24"/>
          <w:highlight w:val="none"/>
        </w:rPr>
        <w:t>七、机构与人员要求</w:t>
      </w:r>
      <w:bookmarkEnd w:id="2480"/>
      <w:bookmarkEnd w:id="2481"/>
      <w:bookmarkEnd w:id="2482"/>
      <w:bookmarkEnd w:id="2483"/>
      <w:bookmarkEnd w:id="2484"/>
      <w:bookmarkEnd w:id="2485"/>
      <w:bookmarkEnd w:id="2486"/>
      <w:bookmarkEnd w:id="2487"/>
    </w:p>
    <w:p>
      <w:pPr>
        <w:bidi w:val="0"/>
        <w:rPr>
          <w:rFonts w:hint="eastAsia"/>
          <w:color w:val="auto"/>
          <w:highlight w:val="none"/>
          <w:lang w:val="en-US" w:eastAsia="zh-CN"/>
        </w:rPr>
      </w:pPr>
      <w:bookmarkStart w:id="2488" w:name="_Toc19988"/>
      <w:bookmarkStart w:id="2489" w:name="_Toc8517"/>
      <w:bookmarkStart w:id="2490" w:name="_Toc24094"/>
      <w:bookmarkStart w:id="2491" w:name="_Toc27713"/>
      <w:bookmarkStart w:id="2492" w:name="_Toc16832"/>
      <w:bookmarkStart w:id="2493" w:name="_Toc309026532"/>
      <w:bookmarkStart w:id="2494" w:name="_Toc130847149"/>
      <w:bookmarkStart w:id="2495" w:name="_Toc309026926"/>
      <w:bookmarkStart w:id="2496" w:name="_Toc184763362"/>
      <w:bookmarkStart w:id="2497" w:name="_Toc306091653"/>
    </w:p>
    <w:p>
      <w:pPr>
        <w:pStyle w:val="4"/>
        <w:bidi w:val="0"/>
        <w:rPr>
          <w:rFonts w:hint="eastAsia" w:ascii="黑体" w:hAnsi="黑体" w:eastAsia="黑体" w:cs="黑体"/>
          <w:color w:val="auto"/>
          <w:sz w:val="21"/>
          <w:szCs w:val="21"/>
          <w:highlight w:val="none"/>
        </w:rPr>
      </w:pPr>
      <w:bookmarkStart w:id="2498" w:name="_Toc31773"/>
      <w:r>
        <w:rPr>
          <w:rFonts w:hint="eastAsia" w:ascii="黑体" w:hAnsi="黑体" w:eastAsia="黑体" w:cs="黑体"/>
          <w:color w:val="auto"/>
          <w:sz w:val="21"/>
          <w:szCs w:val="21"/>
          <w:highlight w:val="none"/>
          <w:lang w:val="en-US" w:eastAsia="zh-CN"/>
        </w:rPr>
        <w:t xml:space="preserve">7.1 </w:t>
      </w:r>
      <w:r>
        <w:rPr>
          <w:rFonts w:hint="eastAsia" w:ascii="黑体" w:hAnsi="黑体" w:eastAsia="黑体" w:cs="黑体"/>
          <w:color w:val="auto"/>
          <w:sz w:val="21"/>
          <w:szCs w:val="21"/>
          <w:highlight w:val="none"/>
        </w:rPr>
        <w:t>组织机构</w:t>
      </w:r>
      <w:bookmarkEnd w:id="2488"/>
      <w:bookmarkEnd w:id="2489"/>
      <w:bookmarkEnd w:id="2490"/>
      <w:bookmarkEnd w:id="2491"/>
      <w:bookmarkEnd w:id="2492"/>
      <w:bookmarkEnd w:id="2493"/>
      <w:bookmarkEnd w:id="2494"/>
      <w:bookmarkEnd w:id="2495"/>
      <w:bookmarkEnd w:id="2496"/>
      <w:bookmarkEnd w:id="2497"/>
      <w:bookmarkEnd w:id="2498"/>
    </w:p>
    <w:p>
      <w:pPr>
        <w:spacing w:line="360" w:lineRule="auto"/>
        <w:ind w:firstLine="420" w:firstLineChars="200"/>
        <w:rPr>
          <w:color w:val="auto"/>
          <w:highlight w:val="none"/>
        </w:rPr>
      </w:pPr>
      <w:r>
        <w:rPr>
          <w:color w:val="auto"/>
          <w:highlight w:val="none"/>
        </w:rPr>
        <w:t>集成服务商应根据工程强电系统</w:t>
      </w:r>
      <w:r>
        <w:rPr>
          <w:rFonts w:hint="eastAsia"/>
          <w:color w:val="auto"/>
          <w:highlight w:val="none"/>
        </w:rPr>
        <w:t>、弱电系统</w:t>
      </w:r>
      <w:r>
        <w:rPr>
          <w:color w:val="auto"/>
          <w:highlight w:val="none"/>
        </w:rPr>
        <w:t>及车站设备系统的情况，成立项目的组织机构，配置相应的人员，并制定项目计划，使项目得以顺利实施。集成服务商在中标后，根据合同的要求，制定内外部接口实施细则、设备生产全过程、出厂检验、到货、设备安装、调试、督导、联调及设备性能保证措施等。在项目实施过程中，集成服务商应指定专职项目经理和管理人员接受业主各项指令和要求。集成服务商应按以下主要职能，设立相应组织机构，包括但不限于此。</w:t>
      </w:r>
    </w:p>
    <w:p>
      <w:pPr>
        <w:numPr>
          <w:ilvl w:val="0"/>
          <w:numId w:val="0"/>
        </w:numPr>
        <w:tabs>
          <w:tab w:val="left" w:pos="0"/>
        </w:tabs>
        <w:spacing w:line="360" w:lineRule="auto"/>
        <w:ind w:leftChars="0"/>
        <w:rPr>
          <w:color w:val="auto"/>
          <w:highlight w:val="none"/>
        </w:rPr>
      </w:pPr>
      <w:r>
        <w:rPr>
          <w:rFonts w:hint="eastAsia"/>
          <w:color w:val="auto"/>
          <w:highlight w:val="none"/>
          <w:lang w:val="en-US" w:eastAsia="zh-CN"/>
        </w:rPr>
        <w:t xml:space="preserve">7.1.1 </w:t>
      </w:r>
      <w:r>
        <w:rPr>
          <w:color w:val="auto"/>
          <w:highlight w:val="none"/>
        </w:rPr>
        <w:t>现场服务：于东莞设立固定办公地点的项目部，并配置相应的办公设施和交通工具；负责提供现场会议用办公设施及工具；对现场设备的安装督导、设备试验、调试、设备维修等工作提供技术支持。办公设施应包括办公、会议场所、</w:t>
      </w:r>
      <w:r>
        <w:rPr>
          <w:rFonts w:hint="eastAsia"/>
          <w:color w:val="auto"/>
          <w:highlight w:val="none"/>
        </w:rPr>
        <w:t>临时宿舍、</w:t>
      </w:r>
      <w:r>
        <w:rPr>
          <w:color w:val="auto"/>
          <w:highlight w:val="none"/>
        </w:rPr>
        <w:t>计算机设备、便携式存储设备、照相机、摄像机、打印机、投影仪、磁性写字板及其他办公用品和易耗品等。</w:t>
      </w:r>
    </w:p>
    <w:p>
      <w:pPr>
        <w:numPr>
          <w:ilvl w:val="0"/>
          <w:numId w:val="0"/>
        </w:numPr>
        <w:spacing w:line="360" w:lineRule="auto"/>
        <w:ind w:leftChars="0"/>
        <w:rPr>
          <w:color w:val="auto"/>
          <w:szCs w:val="21"/>
          <w:highlight w:val="none"/>
        </w:rPr>
      </w:pPr>
      <w:r>
        <w:rPr>
          <w:rFonts w:hint="eastAsia"/>
          <w:color w:val="auto"/>
          <w:highlight w:val="none"/>
          <w:lang w:val="en-US" w:eastAsia="zh-CN"/>
        </w:rPr>
        <w:t xml:space="preserve">7.1.2 </w:t>
      </w:r>
      <w:r>
        <w:rPr>
          <w:color w:val="auto"/>
          <w:szCs w:val="21"/>
          <w:highlight w:val="none"/>
        </w:rPr>
        <w:t>投标人在投标时须用图表表示各自服务机构的详细组织架构、服务机构与投标单位的关系、主要职员姓名、职务、常驻地点、专职及职员关系，并文字阐明各成员的职能。</w:t>
      </w:r>
      <w:r>
        <w:rPr>
          <w:snapToGrid w:val="0"/>
          <w:color w:val="auto"/>
          <w:kern w:val="0"/>
          <w:szCs w:val="21"/>
          <w:highlight w:val="none"/>
        </w:rPr>
        <w:t>并按以下主要职能，设立相应管理岗位，包括但不限于：</w:t>
      </w:r>
    </w:p>
    <w:p>
      <w:pPr>
        <w:spacing w:line="360" w:lineRule="auto"/>
        <w:rPr>
          <w:rFonts w:hint="eastAsia"/>
          <w:color w:val="auto"/>
          <w:highlight w:val="none"/>
          <w:lang w:val="en-US" w:eastAsia="zh-CN"/>
        </w:rPr>
      </w:pPr>
      <w:r>
        <w:rPr>
          <w:rFonts w:hint="eastAsia"/>
          <w:color w:val="auto"/>
          <w:szCs w:val="21"/>
          <w:highlight w:val="none"/>
        </w:rPr>
        <w:t>7.1.2.1</w:t>
      </w:r>
      <w:r>
        <w:rPr>
          <w:color w:val="auto"/>
          <w:highlight w:val="none"/>
        </w:rPr>
        <w:t>项目</w:t>
      </w:r>
      <w:r>
        <w:rPr>
          <w:rFonts w:hint="eastAsia"/>
          <w:color w:val="auto"/>
          <w:highlight w:val="none"/>
          <w:lang w:val="en-US" w:eastAsia="zh-CN"/>
        </w:rPr>
        <w:t>经理</w:t>
      </w:r>
    </w:p>
    <w:p>
      <w:pPr>
        <w:spacing w:line="360" w:lineRule="auto"/>
        <w:ind w:firstLine="630" w:firstLineChars="300"/>
        <w:rPr>
          <w:color w:val="auto"/>
          <w:highlight w:val="none"/>
        </w:rPr>
      </w:pPr>
      <w:r>
        <w:rPr>
          <w:color w:val="auto"/>
          <w:highlight w:val="none"/>
        </w:rPr>
        <w:t>接受业主的各项指令和要求，负责协调和处理各种问题。按照集成管理服务合同、设</w:t>
      </w:r>
    </w:p>
    <w:p>
      <w:pPr>
        <w:spacing w:line="360" w:lineRule="auto"/>
        <w:ind w:left="1050" w:leftChars="100" w:hanging="840" w:hangingChars="400"/>
        <w:rPr>
          <w:color w:val="auto"/>
          <w:highlight w:val="none"/>
        </w:rPr>
      </w:pPr>
      <w:r>
        <w:rPr>
          <w:color w:val="auto"/>
          <w:highlight w:val="none"/>
        </w:rPr>
        <w:t>备供货合同、施工安装合同、施工监理合同的相关规定和要求，协调和处理工程实施过程中的集成管理</w:t>
      </w:r>
    </w:p>
    <w:p>
      <w:pPr>
        <w:spacing w:line="360" w:lineRule="auto"/>
        <w:ind w:left="1050" w:leftChars="100" w:hanging="840" w:hangingChars="400"/>
        <w:rPr>
          <w:color w:val="auto"/>
          <w:szCs w:val="21"/>
          <w:highlight w:val="none"/>
        </w:rPr>
      </w:pPr>
      <w:r>
        <w:rPr>
          <w:color w:val="auto"/>
          <w:highlight w:val="none"/>
        </w:rPr>
        <w:t>服务全面技术工作，并对强</w:t>
      </w:r>
      <w:r>
        <w:rPr>
          <w:rFonts w:hint="eastAsia"/>
          <w:color w:val="auto"/>
          <w:highlight w:val="none"/>
        </w:rPr>
        <w:t>、弱</w:t>
      </w:r>
      <w:r>
        <w:rPr>
          <w:color w:val="auto"/>
          <w:highlight w:val="none"/>
        </w:rPr>
        <w:t>电系统及车站设备的整体功能的实现负责。</w:t>
      </w:r>
    </w:p>
    <w:p>
      <w:pPr>
        <w:spacing w:line="360" w:lineRule="auto"/>
        <w:ind w:left="1050" w:hanging="1050" w:hangingChars="500"/>
        <w:rPr>
          <w:color w:val="auto"/>
          <w:szCs w:val="21"/>
          <w:highlight w:val="none"/>
        </w:rPr>
      </w:pPr>
      <w:r>
        <w:rPr>
          <w:rFonts w:hint="eastAsia"/>
          <w:color w:val="auto"/>
          <w:szCs w:val="21"/>
          <w:highlight w:val="none"/>
        </w:rPr>
        <w:t>7.1.2.</w:t>
      </w:r>
      <w:r>
        <w:rPr>
          <w:rFonts w:hint="eastAsia"/>
          <w:color w:val="auto"/>
          <w:szCs w:val="21"/>
          <w:highlight w:val="none"/>
          <w:lang w:val="en-US" w:eastAsia="zh-CN"/>
        </w:rPr>
        <w:t>2</w:t>
      </w:r>
      <w:r>
        <w:rPr>
          <w:rFonts w:hint="eastAsia"/>
          <w:color w:val="auto"/>
          <w:szCs w:val="21"/>
          <w:highlight w:val="none"/>
        </w:rPr>
        <w:t xml:space="preserve"> </w:t>
      </w:r>
      <w:r>
        <w:rPr>
          <w:color w:val="auto"/>
          <w:szCs w:val="21"/>
          <w:highlight w:val="none"/>
        </w:rPr>
        <w:t>系统负责人</w:t>
      </w:r>
    </w:p>
    <w:p>
      <w:pPr>
        <w:spacing w:line="360" w:lineRule="auto"/>
        <w:ind w:left="1050" w:leftChars="200" w:hanging="630" w:hangingChars="300"/>
        <w:rPr>
          <w:rFonts w:hint="eastAsia"/>
          <w:color w:val="auto"/>
          <w:szCs w:val="21"/>
          <w:highlight w:val="none"/>
          <w:lang w:val="en-US" w:eastAsia="zh-CN"/>
        </w:rPr>
      </w:pPr>
      <w:r>
        <w:rPr>
          <w:rFonts w:hint="eastAsia"/>
          <w:color w:val="auto"/>
          <w:szCs w:val="21"/>
          <w:highlight w:val="none"/>
          <w:lang w:val="en-US" w:eastAsia="zh-CN"/>
        </w:rPr>
        <w:t>协助项目经理进行本系统集成服务项目管理；负责本系统的技术工作，负责审核、签发各类技术文件；</w:t>
      </w:r>
    </w:p>
    <w:p>
      <w:pPr>
        <w:spacing w:line="360" w:lineRule="auto"/>
        <w:rPr>
          <w:color w:val="auto"/>
          <w:highlight w:val="none"/>
        </w:rPr>
      </w:pPr>
      <w:r>
        <w:rPr>
          <w:rFonts w:hint="eastAsia"/>
          <w:color w:val="auto"/>
          <w:szCs w:val="21"/>
          <w:highlight w:val="none"/>
          <w:lang w:val="en-US" w:eastAsia="zh-CN"/>
        </w:rPr>
        <w:t>负责协调本系统各供货商之间的接口关系；负责协调本系统各专业之间的关系，</w:t>
      </w:r>
      <w:r>
        <w:rPr>
          <w:color w:val="auto"/>
          <w:szCs w:val="21"/>
          <w:highlight w:val="none"/>
        </w:rPr>
        <w:t>负责</w:t>
      </w:r>
      <w:r>
        <w:rPr>
          <w:rFonts w:hint="eastAsia"/>
          <w:color w:val="auto"/>
          <w:szCs w:val="21"/>
          <w:highlight w:val="none"/>
          <w:lang w:val="en-US" w:eastAsia="zh-CN"/>
        </w:rPr>
        <w:t>系统</w:t>
      </w:r>
      <w:r>
        <w:rPr>
          <w:color w:val="auto"/>
          <w:szCs w:val="21"/>
          <w:highlight w:val="none"/>
        </w:rPr>
        <w:t>设备功能的实现。</w:t>
      </w:r>
    </w:p>
    <w:p>
      <w:pPr>
        <w:spacing w:line="360" w:lineRule="auto"/>
        <w:ind w:left="1050" w:hanging="1050" w:hangingChars="500"/>
        <w:rPr>
          <w:rFonts w:hint="eastAsia"/>
          <w:color w:val="auto"/>
          <w:szCs w:val="21"/>
          <w:highlight w:val="none"/>
          <w:lang w:val="en-US" w:eastAsia="zh-CN"/>
        </w:rPr>
      </w:pPr>
      <w:r>
        <w:rPr>
          <w:rFonts w:hint="eastAsia"/>
          <w:color w:val="auto"/>
          <w:szCs w:val="21"/>
          <w:highlight w:val="none"/>
        </w:rPr>
        <w:t xml:space="preserve">7.1.2.3 </w:t>
      </w:r>
      <w:r>
        <w:rPr>
          <w:color w:val="auto"/>
          <w:szCs w:val="21"/>
          <w:highlight w:val="none"/>
        </w:rPr>
        <w:t>合同管理</w:t>
      </w:r>
      <w:r>
        <w:rPr>
          <w:rFonts w:hint="eastAsia"/>
          <w:color w:val="auto"/>
          <w:szCs w:val="21"/>
          <w:highlight w:val="none"/>
          <w:lang w:val="en-US" w:eastAsia="zh-CN"/>
        </w:rPr>
        <w:t>工程师</w:t>
      </w:r>
    </w:p>
    <w:p>
      <w:pPr>
        <w:spacing w:line="360" w:lineRule="auto"/>
        <w:ind w:left="1050" w:leftChars="200" w:hanging="630" w:hangingChars="300"/>
        <w:rPr>
          <w:color w:val="auto"/>
          <w:szCs w:val="21"/>
          <w:highlight w:val="none"/>
        </w:rPr>
      </w:pPr>
      <w:r>
        <w:rPr>
          <w:color w:val="auto"/>
          <w:szCs w:val="21"/>
          <w:highlight w:val="none"/>
        </w:rPr>
        <w:t>根据业主的管理流程，对强</w:t>
      </w:r>
      <w:r>
        <w:rPr>
          <w:rFonts w:hint="eastAsia"/>
          <w:color w:val="auto"/>
          <w:szCs w:val="21"/>
          <w:highlight w:val="none"/>
        </w:rPr>
        <w:t>、弱</w:t>
      </w:r>
      <w:r>
        <w:rPr>
          <w:color w:val="auto"/>
          <w:szCs w:val="21"/>
          <w:highlight w:val="none"/>
        </w:rPr>
        <w:t>电系统及车站设备合同进行全过程管理，并对业</w:t>
      </w:r>
    </w:p>
    <w:p>
      <w:pPr>
        <w:spacing w:line="360" w:lineRule="auto"/>
        <w:ind w:left="1050" w:hanging="1050" w:hangingChars="500"/>
        <w:rPr>
          <w:color w:val="auto"/>
          <w:szCs w:val="21"/>
          <w:highlight w:val="none"/>
        </w:rPr>
      </w:pPr>
      <w:r>
        <w:rPr>
          <w:color w:val="auto"/>
          <w:szCs w:val="21"/>
          <w:highlight w:val="none"/>
        </w:rPr>
        <w:t>主负责。合同全过程包括招投标管理、合同签订、支付、变更、索赔、结算等合同管理。负责人应建立相</w:t>
      </w:r>
    </w:p>
    <w:p>
      <w:pPr>
        <w:spacing w:line="360" w:lineRule="auto"/>
        <w:ind w:left="1050" w:hanging="1050" w:hangingChars="500"/>
        <w:rPr>
          <w:color w:val="auto"/>
          <w:szCs w:val="21"/>
          <w:highlight w:val="none"/>
        </w:rPr>
      </w:pPr>
      <w:r>
        <w:rPr>
          <w:color w:val="auto"/>
          <w:szCs w:val="21"/>
          <w:highlight w:val="none"/>
        </w:rPr>
        <w:t>关台帐、配备必要设施以完成上述工作。</w:t>
      </w:r>
    </w:p>
    <w:p>
      <w:pPr>
        <w:keepNext w:val="0"/>
        <w:keepLines w:val="0"/>
        <w:pageBreakBefore w:val="0"/>
        <w:widowControl w:val="0"/>
        <w:kinsoku/>
        <w:wordWrap/>
        <w:overflowPunct/>
        <w:topLinePunct w:val="0"/>
        <w:autoSpaceDE/>
        <w:autoSpaceDN/>
        <w:bidi w:val="0"/>
        <w:adjustRightInd/>
        <w:snapToGrid/>
        <w:spacing w:line="440" w:lineRule="exact"/>
        <w:ind w:left="0" w:hanging="1050" w:hangingChars="500"/>
        <w:textAlignment w:val="auto"/>
        <w:rPr>
          <w:rFonts w:hint="eastAsia" w:eastAsia="宋体" w:cs="宋体"/>
          <w:color w:val="auto"/>
          <w:highlight w:val="none"/>
        </w:rPr>
      </w:pPr>
      <w:r>
        <w:rPr>
          <w:rFonts w:hint="eastAsia"/>
          <w:color w:val="auto"/>
          <w:szCs w:val="21"/>
          <w:highlight w:val="none"/>
        </w:rPr>
        <w:t>7.1.2.</w:t>
      </w:r>
      <w:r>
        <w:rPr>
          <w:rFonts w:hint="eastAsia"/>
          <w:color w:val="auto"/>
          <w:szCs w:val="21"/>
          <w:highlight w:val="none"/>
          <w:lang w:val="en-US" w:eastAsia="zh-CN"/>
        </w:rPr>
        <w:t>4</w:t>
      </w:r>
      <w:r>
        <w:rPr>
          <w:rFonts w:hint="eastAsia"/>
          <w:color w:val="auto"/>
          <w:szCs w:val="21"/>
          <w:highlight w:val="none"/>
        </w:rPr>
        <w:t xml:space="preserve"> </w:t>
      </w:r>
      <w:r>
        <w:rPr>
          <w:rFonts w:hint="eastAsia" w:eastAsia="宋体" w:cs="宋体"/>
          <w:color w:val="auto"/>
          <w:highlight w:val="none"/>
        </w:rPr>
        <w:t>专业</w:t>
      </w:r>
      <w:r>
        <w:rPr>
          <w:rFonts w:hint="eastAsia" w:eastAsia="宋体" w:cs="宋体"/>
          <w:color w:val="auto"/>
          <w:highlight w:val="none"/>
          <w:lang w:val="en-US" w:eastAsia="zh-CN"/>
        </w:rPr>
        <w:t>技术</w:t>
      </w:r>
      <w:r>
        <w:rPr>
          <w:rFonts w:hint="eastAsia" w:eastAsia="宋体" w:cs="宋体"/>
          <w:color w:val="auto"/>
          <w:highlight w:val="none"/>
        </w:rPr>
        <w:t>工程师</w:t>
      </w:r>
    </w:p>
    <w:p>
      <w:pPr>
        <w:keepNext w:val="0"/>
        <w:keepLines w:val="0"/>
        <w:pageBreakBefore w:val="0"/>
        <w:widowControl w:val="0"/>
        <w:kinsoku/>
        <w:wordWrap/>
        <w:overflowPunct/>
        <w:topLinePunct w:val="0"/>
        <w:autoSpaceDE/>
        <w:autoSpaceDN/>
        <w:bidi w:val="0"/>
        <w:adjustRightInd/>
        <w:snapToGrid/>
        <w:spacing w:line="440" w:lineRule="exact"/>
        <w:ind w:left="1050" w:leftChars="200" w:hanging="630" w:hangingChars="300"/>
        <w:textAlignment w:val="auto"/>
        <w:rPr>
          <w:rFonts w:eastAsia="宋体" w:cs="宋体"/>
          <w:color w:val="auto"/>
          <w:highlight w:val="none"/>
        </w:rPr>
      </w:pPr>
      <w:r>
        <w:rPr>
          <w:rFonts w:eastAsia="宋体" w:cs="宋体"/>
          <w:color w:val="auto"/>
          <w:highlight w:val="none"/>
        </w:rPr>
        <w:t>跟踪工程计划的执行情况；组织设计联络会议，并监督供货商落实设计联络会的决定；协调</w:t>
      </w:r>
      <w:r>
        <w:rPr>
          <w:rFonts w:hint="eastAsia" w:eastAsia="宋体" w:cs="宋体"/>
          <w:color w:val="auto"/>
          <w:highlight w:val="none"/>
          <w:lang w:val="en-US" w:eastAsia="zh-CN"/>
        </w:rPr>
        <w:t>各</w:t>
      </w:r>
      <w:r>
        <w:rPr>
          <w:rFonts w:eastAsia="宋体" w:cs="宋体"/>
          <w:color w:val="auto"/>
          <w:highlight w:val="none"/>
        </w:rPr>
        <w:t>系统之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宋体" w:cs="宋体"/>
          <w:color w:val="auto"/>
          <w:highlight w:val="none"/>
        </w:rPr>
      </w:pPr>
      <w:r>
        <w:rPr>
          <w:rFonts w:eastAsia="宋体" w:cs="宋体"/>
          <w:color w:val="auto"/>
          <w:highlight w:val="none"/>
        </w:rPr>
        <w:t>间的接口实施；监督供货商主要原材料采购和设备的生产制造；供货商的主要外协厂家的资质审查；负责主要设备监造；负责制定项目的接口测试、样机测试、出厂测试报告，并组织、完成测试工作；负责审核供货商支付计划及各类变更初审，负责组织委托方、各设计院、设备供货商一起核对甲供设备清单，并向供货商下达投产通知；根据现场进度要求下达投产计划，</w:t>
      </w:r>
      <w:r>
        <w:rPr>
          <w:rFonts w:hint="eastAsia" w:ascii="Times New Roman" w:hAnsi="Times New Roman" w:eastAsia="宋体" w:cs="宋体"/>
          <w:color w:val="auto"/>
          <w:highlight w:val="none"/>
          <w:lang w:val="en-US" w:eastAsia="zh-CN"/>
        </w:rPr>
        <w:t>负责供货商的到货管理</w:t>
      </w:r>
      <w:r>
        <w:rPr>
          <w:rFonts w:ascii="Times New Roman" w:hAnsi="Times New Roman" w:eastAsia="宋体" w:cs="宋体"/>
          <w:color w:val="auto"/>
          <w:highlight w:val="none"/>
        </w:rPr>
        <w:t>以满足现场安装需要。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rPr>
        <w:t>7.1.2.</w:t>
      </w:r>
      <w:r>
        <w:rPr>
          <w:rFonts w:hint="eastAsia" w:ascii="Times New Roman" w:hAnsi="Times New Roman" w:eastAsia="宋体" w:cs="宋体"/>
          <w:color w:val="auto"/>
          <w:highlight w:val="none"/>
          <w:lang w:val="en-US" w:eastAsia="zh-CN"/>
        </w:rPr>
        <w:t>5</w:t>
      </w:r>
      <w:r>
        <w:rPr>
          <w:rFonts w:hint="eastAsia" w:ascii="Times New Roman" w:hAnsi="Times New Roman" w:eastAsia="宋体" w:cs="宋体"/>
          <w:color w:val="auto"/>
          <w:highlight w:val="none"/>
        </w:rPr>
        <w:t xml:space="preserve"> </w:t>
      </w:r>
      <w:r>
        <w:rPr>
          <w:rFonts w:ascii="Times New Roman" w:hAnsi="Times New Roman" w:eastAsia="宋体" w:cs="宋体"/>
          <w:color w:val="auto"/>
          <w:highlight w:val="none"/>
        </w:rPr>
        <w:t>质量管理</w:t>
      </w:r>
      <w:r>
        <w:rPr>
          <w:rFonts w:hint="eastAsia" w:ascii="Times New Roman" w:hAnsi="Times New Roman" w:eastAsia="宋体" w:cs="宋体"/>
          <w:color w:val="auto"/>
          <w:highlight w:val="none"/>
          <w:lang w:val="en-US" w:eastAsia="zh-CN"/>
        </w:rPr>
        <w:t>工程师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rFonts w:hint="eastAsia" w:ascii="Times New Roman" w:hAnsi="Times New Roman" w:eastAsia="宋体" w:cs="宋体"/>
          <w:color w:val="auto"/>
          <w:highlight w:val="none"/>
          <w:lang w:val="en-US" w:eastAsia="zh-CN"/>
        </w:rPr>
        <w:t>负责项目全过程的质量管理和控制，贯彻落实ISO质量保证体系，在项目</w:t>
      </w:r>
      <w:r>
        <w:rPr>
          <w:rFonts w:hint="eastAsia"/>
          <w:color w:val="auto"/>
          <w:szCs w:val="21"/>
          <w:highlight w:val="none"/>
          <w:lang w:val="en-US" w:eastAsia="zh-CN"/>
        </w:rPr>
        <w:t>执行过程中</w:t>
      </w:r>
      <w:r>
        <w:rPr>
          <w:color w:val="auto"/>
          <w:szCs w:val="21"/>
          <w:highlight w:val="none"/>
        </w:rPr>
        <w:t>制定和落实</w:t>
      </w:r>
      <w:r>
        <w:rPr>
          <w:color w:val="auto"/>
          <w:highlight w:val="none"/>
        </w:rPr>
        <w:t>强</w:t>
      </w:r>
      <w:r>
        <w:rPr>
          <w:rFonts w:hint="eastAsia"/>
          <w:color w:val="auto"/>
          <w:highlight w:val="none"/>
        </w:rPr>
        <w:t>、弱</w:t>
      </w:r>
      <w:r>
        <w:rPr>
          <w:color w:val="auto"/>
          <w:highlight w:val="none"/>
        </w:rPr>
        <w:t>电系统及</w:t>
      </w:r>
      <w:r>
        <w:rPr>
          <w:rFonts w:hint="eastAsia"/>
          <w:color w:val="auto"/>
          <w:highlight w:val="none"/>
        </w:rPr>
        <w:t>车站设备</w:t>
      </w:r>
      <w:r>
        <w:rPr>
          <w:color w:val="auto"/>
          <w:szCs w:val="21"/>
          <w:highlight w:val="none"/>
        </w:rPr>
        <w:t>系统和设备质量监督措施、编制系统和设备质量报告等；</w:t>
      </w:r>
    </w:p>
    <w:p>
      <w:pPr>
        <w:keepNext w:val="0"/>
        <w:keepLines w:val="0"/>
        <w:pageBreakBefore w:val="0"/>
        <w:widowControl w:val="0"/>
        <w:kinsoku/>
        <w:wordWrap/>
        <w:overflowPunct/>
        <w:topLinePunct w:val="0"/>
        <w:autoSpaceDE/>
        <w:autoSpaceDN/>
        <w:bidi w:val="0"/>
        <w:adjustRightInd/>
        <w:snapToGrid/>
        <w:spacing w:line="440" w:lineRule="exact"/>
        <w:ind w:left="1050" w:hanging="1050" w:hangingChars="500"/>
        <w:textAlignment w:val="auto"/>
        <w:rPr>
          <w:rFonts w:hint="eastAsia"/>
          <w:color w:val="auto"/>
          <w:szCs w:val="21"/>
          <w:highlight w:val="none"/>
          <w:lang w:val="en-US" w:eastAsia="zh-CN"/>
        </w:rPr>
      </w:pPr>
      <w:r>
        <w:rPr>
          <w:rFonts w:hint="eastAsia"/>
          <w:color w:val="auto"/>
          <w:szCs w:val="21"/>
          <w:highlight w:val="none"/>
        </w:rPr>
        <w:t>7.1.2.</w:t>
      </w:r>
      <w:r>
        <w:rPr>
          <w:rFonts w:hint="eastAsia"/>
          <w:color w:val="auto"/>
          <w:szCs w:val="21"/>
          <w:highlight w:val="none"/>
          <w:lang w:val="en-US" w:eastAsia="zh-CN"/>
        </w:rPr>
        <w:t xml:space="preserve">6 </w:t>
      </w:r>
      <w:r>
        <w:rPr>
          <w:color w:val="auto"/>
          <w:szCs w:val="21"/>
          <w:highlight w:val="none"/>
        </w:rPr>
        <w:t>计划</w:t>
      </w:r>
      <w:r>
        <w:rPr>
          <w:rFonts w:hint="eastAsia"/>
          <w:color w:val="auto"/>
          <w:szCs w:val="21"/>
          <w:highlight w:val="none"/>
          <w:lang w:val="en-US" w:eastAsia="zh-CN"/>
        </w:rPr>
        <w:t>管理工程师</w:t>
      </w:r>
    </w:p>
    <w:p>
      <w:pPr>
        <w:keepNext w:val="0"/>
        <w:keepLines w:val="0"/>
        <w:pageBreakBefore w:val="0"/>
        <w:widowControl w:val="0"/>
        <w:kinsoku/>
        <w:wordWrap/>
        <w:overflowPunct/>
        <w:topLinePunct w:val="0"/>
        <w:autoSpaceDE/>
        <w:autoSpaceDN/>
        <w:bidi w:val="0"/>
        <w:adjustRightInd/>
        <w:snapToGrid/>
        <w:spacing w:line="440" w:lineRule="exact"/>
        <w:ind w:left="1050" w:leftChars="200" w:hanging="630" w:hangingChars="300"/>
        <w:textAlignment w:val="auto"/>
        <w:rPr>
          <w:color w:val="auto"/>
          <w:szCs w:val="21"/>
          <w:highlight w:val="none"/>
        </w:rPr>
      </w:pPr>
      <w:r>
        <w:rPr>
          <w:rFonts w:hint="eastAsia"/>
          <w:color w:val="auto"/>
          <w:szCs w:val="21"/>
          <w:highlight w:val="none"/>
          <w:lang w:val="en-US" w:eastAsia="zh-CN"/>
        </w:rPr>
        <w:t>牵头</w:t>
      </w:r>
      <w:r>
        <w:rPr>
          <w:color w:val="auto"/>
          <w:szCs w:val="21"/>
          <w:highlight w:val="none"/>
        </w:rPr>
        <w:t>制定项目各类计划，包括执行计划、联络计划、生产制造计划等、调试、联调计划等。</w:t>
      </w:r>
    </w:p>
    <w:p>
      <w:pPr>
        <w:spacing w:line="400" w:lineRule="exact"/>
        <w:ind w:left="1050" w:hanging="1050" w:hangingChars="500"/>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rPr>
        <w:t>7.1.2.</w:t>
      </w:r>
      <w:r>
        <w:rPr>
          <w:rFonts w:hint="eastAsia" w:ascii="Times New Roman" w:hAnsi="Times New Roman" w:eastAsia="宋体" w:cs="宋体"/>
          <w:color w:val="auto"/>
          <w:highlight w:val="none"/>
          <w:lang w:val="en-US" w:eastAsia="zh-CN"/>
        </w:rPr>
        <w:t>7</w:t>
      </w:r>
      <w:r>
        <w:rPr>
          <w:rFonts w:hint="eastAsia" w:ascii="Times New Roman" w:hAnsi="Times New Roman" w:eastAsia="宋体" w:cs="宋体"/>
          <w:color w:val="auto"/>
          <w:highlight w:val="none"/>
        </w:rPr>
        <w:t xml:space="preserve"> </w:t>
      </w:r>
      <w:r>
        <w:rPr>
          <w:rFonts w:hint="eastAsia" w:ascii="Times New Roman" w:hAnsi="Times New Roman" w:eastAsia="宋体" w:cs="宋体"/>
          <w:color w:val="auto"/>
          <w:highlight w:val="none"/>
          <w:lang w:val="en-US" w:eastAsia="zh-CN"/>
        </w:rPr>
        <w:t>文档助理</w:t>
      </w:r>
    </w:p>
    <w:p>
      <w:pPr>
        <w:spacing w:line="400" w:lineRule="exact"/>
        <w:ind w:left="1050" w:leftChars="200" w:hanging="630" w:hangingChars="300"/>
        <w:rPr>
          <w:rFonts w:eastAsia="宋体" w:cs="宋体"/>
          <w:color w:val="auto"/>
          <w:highlight w:val="none"/>
        </w:rPr>
      </w:pPr>
      <w:r>
        <w:rPr>
          <w:rFonts w:eastAsia="宋体" w:cs="宋体"/>
          <w:color w:val="auto"/>
          <w:highlight w:val="none"/>
        </w:rPr>
        <w:t>负责制定工程文件、图纸档案管理办法；对工程中产生的所有过程有效文件，进行统一编号，整理归</w:t>
      </w:r>
    </w:p>
    <w:p>
      <w:pPr>
        <w:spacing w:line="400" w:lineRule="exact"/>
        <w:rPr>
          <w:rFonts w:hint="eastAsia" w:ascii="Times New Roman" w:hAnsi="Times New Roman" w:eastAsia="宋体" w:cs="宋体"/>
          <w:color w:val="auto"/>
          <w:highlight w:val="none"/>
          <w:lang w:val="en-US" w:eastAsia="zh-CN"/>
        </w:rPr>
      </w:pPr>
      <w:r>
        <w:rPr>
          <w:rFonts w:eastAsia="宋体" w:cs="宋体"/>
          <w:color w:val="auto"/>
          <w:highlight w:val="none"/>
        </w:rPr>
        <w:t>档；根据国家档案管理的相关规定,整理保存服务过程产生的图纸（工程施工图除外）、文件，最终向委托方提供按委托方要求完成的整套归档文件。</w:t>
      </w:r>
      <w:r>
        <w:rPr>
          <w:rFonts w:hint="eastAsia" w:ascii="Times New Roman" w:hAnsi="Times New Roman" w:eastAsia="宋体" w:cs="宋体"/>
          <w:color w:val="auto"/>
          <w:highlight w:val="none"/>
          <w:lang w:val="en-US" w:eastAsia="zh-CN"/>
        </w:rPr>
        <w:tab/>
      </w:r>
    </w:p>
    <w:p>
      <w:pPr>
        <w:bidi w:val="0"/>
        <w:rPr>
          <w:rFonts w:hint="eastAsia"/>
          <w:color w:val="auto"/>
          <w:highlight w:val="none"/>
          <w:lang w:val="en-US" w:eastAsia="zh-CN"/>
        </w:rPr>
      </w:pPr>
      <w:bookmarkStart w:id="2499" w:name="_Toc309026927"/>
      <w:bookmarkStart w:id="2500" w:name="_Toc184763363"/>
      <w:bookmarkStart w:id="2501" w:name="_Toc32245"/>
      <w:bookmarkStart w:id="2502" w:name="_Toc130847150"/>
      <w:bookmarkStart w:id="2503" w:name="_Toc20602"/>
      <w:bookmarkStart w:id="2504" w:name="_Toc306091654"/>
      <w:bookmarkStart w:id="2505" w:name="_Toc31285"/>
      <w:bookmarkStart w:id="2506" w:name="_Toc309026533"/>
      <w:bookmarkStart w:id="2507" w:name="_Toc17819"/>
      <w:bookmarkStart w:id="2508" w:name="_Toc6567"/>
    </w:p>
    <w:p>
      <w:pPr>
        <w:pStyle w:val="4"/>
        <w:bidi w:val="0"/>
        <w:rPr>
          <w:rFonts w:hint="eastAsia" w:ascii="黑体" w:hAnsi="黑体" w:eastAsia="黑体" w:cs="黑体"/>
          <w:color w:val="auto"/>
          <w:sz w:val="21"/>
          <w:szCs w:val="21"/>
          <w:highlight w:val="none"/>
        </w:rPr>
      </w:pPr>
      <w:bookmarkStart w:id="2509" w:name="_Toc3534"/>
      <w:r>
        <w:rPr>
          <w:rFonts w:hint="eastAsia" w:ascii="黑体" w:hAnsi="黑体" w:eastAsia="黑体" w:cs="黑体"/>
          <w:color w:val="auto"/>
          <w:sz w:val="21"/>
          <w:szCs w:val="21"/>
          <w:highlight w:val="none"/>
          <w:lang w:val="en-US" w:eastAsia="zh-CN"/>
        </w:rPr>
        <w:t xml:space="preserve">7.2 </w:t>
      </w:r>
      <w:r>
        <w:rPr>
          <w:rFonts w:hint="eastAsia" w:ascii="黑体" w:hAnsi="黑体" w:eastAsia="黑体" w:cs="黑体"/>
          <w:color w:val="auto"/>
          <w:sz w:val="21"/>
          <w:szCs w:val="21"/>
          <w:highlight w:val="none"/>
        </w:rPr>
        <w:t>主要人员配置要求</w:t>
      </w:r>
      <w:bookmarkEnd w:id="2499"/>
      <w:bookmarkEnd w:id="2500"/>
      <w:bookmarkEnd w:id="2501"/>
      <w:bookmarkEnd w:id="2502"/>
      <w:bookmarkEnd w:id="2503"/>
      <w:bookmarkEnd w:id="2504"/>
      <w:bookmarkEnd w:id="2505"/>
      <w:bookmarkEnd w:id="2506"/>
      <w:bookmarkEnd w:id="2507"/>
      <w:bookmarkEnd w:id="2508"/>
      <w:bookmarkEnd w:id="2509"/>
    </w:p>
    <w:p>
      <w:pPr>
        <w:spacing w:line="360" w:lineRule="exact"/>
        <w:ind w:firstLine="420" w:firstLineChars="200"/>
        <w:rPr>
          <w:color w:val="auto"/>
          <w:szCs w:val="21"/>
          <w:highlight w:val="none"/>
        </w:rPr>
      </w:pPr>
      <w:r>
        <w:rPr>
          <w:color w:val="auto"/>
          <w:szCs w:val="21"/>
          <w:highlight w:val="none"/>
        </w:rPr>
        <w:t>人员履历按下表填写：</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710"/>
        <w:gridCol w:w="710"/>
        <w:gridCol w:w="730"/>
        <w:gridCol w:w="685"/>
        <w:gridCol w:w="691"/>
        <w:gridCol w:w="1714"/>
        <w:gridCol w:w="735"/>
        <w:gridCol w:w="17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序号</w:t>
            </w:r>
          </w:p>
        </w:tc>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姓名</w:t>
            </w:r>
          </w:p>
        </w:tc>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性别</w:t>
            </w:r>
          </w:p>
        </w:tc>
        <w:tc>
          <w:tcPr>
            <w:tcW w:w="73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年龄</w:t>
            </w:r>
          </w:p>
        </w:tc>
        <w:tc>
          <w:tcPr>
            <w:tcW w:w="685"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学历</w:t>
            </w:r>
          </w:p>
        </w:tc>
        <w:tc>
          <w:tcPr>
            <w:tcW w:w="691"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专业</w:t>
            </w:r>
          </w:p>
        </w:tc>
        <w:tc>
          <w:tcPr>
            <w:tcW w:w="1714"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工作经验及所担任过的职务</w:t>
            </w:r>
          </w:p>
        </w:tc>
        <w:tc>
          <w:tcPr>
            <w:tcW w:w="735"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现任职务</w:t>
            </w:r>
          </w:p>
        </w:tc>
        <w:tc>
          <w:tcPr>
            <w:tcW w:w="1703"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拟在本项目担任的职务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1</w:t>
            </w:r>
          </w:p>
        </w:tc>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691"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1714"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1703" w:type="dxa"/>
            <w:tcBorders>
              <w:top w:val="single" w:color="auto" w:sz="6" w:space="0"/>
              <w:left w:val="single" w:color="auto" w:sz="6" w:space="0"/>
              <w:bottom w:val="single" w:color="auto" w:sz="6" w:space="0"/>
              <w:right w:val="single" w:color="auto" w:sz="6" w:space="0"/>
            </w:tcBorders>
            <w:noWrap w:val="0"/>
            <w:vAlign w:val="center"/>
          </w:tcPr>
          <w:p>
            <w:pPr>
              <w:rPr>
                <w:rFonts w:hint="eastAsia" w:eastAsia="宋体"/>
                <w:color w:val="auto"/>
                <w:highlight w:val="none"/>
                <w:lang w:val="en-US" w:eastAsia="zh-CN"/>
              </w:rPr>
            </w:pPr>
            <w:r>
              <w:rPr>
                <w:color w:val="auto"/>
                <w:highlight w:val="none"/>
              </w:rPr>
              <w:t>项目</w:t>
            </w:r>
            <w:r>
              <w:rPr>
                <w:rFonts w:hint="eastAsia"/>
                <w:color w:val="auto"/>
                <w:highlight w:val="none"/>
                <w:lang w:val="en-US" w:eastAsia="zh-CN"/>
              </w:rPr>
              <w:t>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2</w:t>
            </w:r>
          </w:p>
        </w:tc>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691"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1714"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1703"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系统负责人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w:t>
            </w:r>
          </w:p>
        </w:tc>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1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691"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1714"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1703"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r>
              <w:rPr>
                <w:color w:val="auto"/>
                <w:highlight w:val="none"/>
              </w:rPr>
              <w:t>……</w:t>
            </w:r>
          </w:p>
        </w:tc>
      </w:tr>
    </w:tbl>
    <w:p>
      <w:pPr>
        <w:numPr>
          <w:ilvl w:val="0"/>
          <w:numId w:val="0"/>
        </w:numPr>
        <w:spacing w:line="360" w:lineRule="exact"/>
        <w:ind w:leftChars="0"/>
        <w:rPr>
          <w:b w:val="0"/>
          <w:bCs/>
          <w:color w:val="auto"/>
          <w:szCs w:val="21"/>
          <w:highlight w:val="none"/>
        </w:rPr>
      </w:pPr>
      <w:r>
        <w:rPr>
          <w:rFonts w:hint="eastAsia"/>
          <w:b w:val="0"/>
          <w:bCs/>
          <w:color w:val="auto"/>
          <w:szCs w:val="21"/>
          <w:highlight w:val="none"/>
          <w:lang w:val="en-US" w:eastAsia="zh-CN"/>
        </w:rPr>
        <w:t xml:space="preserve">7.2.1 </w:t>
      </w:r>
      <w:r>
        <w:rPr>
          <w:b w:val="0"/>
          <w:bCs/>
          <w:color w:val="auto"/>
          <w:szCs w:val="21"/>
          <w:highlight w:val="none"/>
        </w:rPr>
        <w:t>人员配置</w:t>
      </w:r>
    </w:p>
    <w:p>
      <w:pPr>
        <w:spacing w:line="360" w:lineRule="auto"/>
        <w:ind w:firstLine="420" w:firstLineChars="200"/>
        <w:rPr>
          <w:rFonts w:hint="default" w:eastAsia="宋体"/>
          <w:color w:val="auto"/>
          <w:szCs w:val="21"/>
          <w:highlight w:val="none"/>
          <w:lang w:val="en-US" w:eastAsia="zh-CN"/>
        </w:rPr>
      </w:pPr>
      <w:r>
        <w:rPr>
          <w:color w:val="auto"/>
          <w:szCs w:val="21"/>
          <w:highlight w:val="none"/>
        </w:rPr>
        <w:t>本工程要求项目经理</w:t>
      </w:r>
      <w:r>
        <w:rPr>
          <w:rFonts w:hint="eastAsia"/>
          <w:color w:val="auto"/>
          <w:szCs w:val="21"/>
          <w:highlight w:val="none"/>
        </w:rPr>
        <w:t>（</w:t>
      </w:r>
      <w:r>
        <w:rPr>
          <w:color w:val="auto"/>
          <w:szCs w:val="21"/>
          <w:highlight w:val="none"/>
        </w:rPr>
        <w:t>即项目负责人</w:t>
      </w:r>
      <w:r>
        <w:rPr>
          <w:rFonts w:hint="eastAsia"/>
          <w:color w:val="auto"/>
          <w:szCs w:val="21"/>
          <w:highlight w:val="none"/>
        </w:rPr>
        <w:t>）</w:t>
      </w:r>
      <w:r>
        <w:rPr>
          <w:color w:val="auto"/>
          <w:szCs w:val="21"/>
          <w:highlight w:val="none"/>
        </w:rPr>
        <w:t>1人，强</w:t>
      </w:r>
      <w:r>
        <w:rPr>
          <w:rFonts w:hint="eastAsia"/>
          <w:color w:val="auto"/>
          <w:szCs w:val="21"/>
          <w:highlight w:val="none"/>
        </w:rPr>
        <w:t>、弱</w:t>
      </w:r>
      <w:r>
        <w:rPr>
          <w:color w:val="auto"/>
          <w:szCs w:val="21"/>
          <w:highlight w:val="none"/>
        </w:rPr>
        <w:t>电系统及车站设备</w:t>
      </w:r>
      <w:r>
        <w:rPr>
          <w:rFonts w:hint="eastAsia"/>
          <w:color w:val="auto"/>
          <w:szCs w:val="21"/>
          <w:highlight w:val="none"/>
          <w:lang w:val="en-US" w:eastAsia="zh-CN"/>
        </w:rPr>
        <w:t>系统</w:t>
      </w:r>
      <w:r>
        <w:rPr>
          <w:color w:val="auto"/>
          <w:szCs w:val="21"/>
          <w:highlight w:val="none"/>
        </w:rPr>
        <w:t>负责人各1人，合同管理</w:t>
      </w:r>
      <w:r>
        <w:rPr>
          <w:rFonts w:hint="eastAsia"/>
          <w:color w:val="auto"/>
          <w:szCs w:val="21"/>
          <w:highlight w:val="none"/>
          <w:lang w:val="en-US" w:eastAsia="zh-CN"/>
        </w:rPr>
        <w:t>工程师</w:t>
      </w:r>
      <w:r>
        <w:rPr>
          <w:color w:val="auto"/>
          <w:szCs w:val="21"/>
          <w:highlight w:val="none"/>
        </w:rPr>
        <w:t>1人，质量</w:t>
      </w:r>
      <w:r>
        <w:rPr>
          <w:rFonts w:hint="eastAsia"/>
          <w:color w:val="auto"/>
          <w:szCs w:val="21"/>
          <w:highlight w:val="none"/>
          <w:lang w:val="en-US" w:eastAsia="zh-CN"/>
        </w:rPr>
        <w:t>管理</w:t>
      </w:r>
      <w:r>
        <w:rPr>
          <w:color w:val="auto"/>
          <w:szCs w:val="21"/>
          <w:highlight w:val="none"/>
        </w:rPr>
        <w:t>工程师3人</w:t>
      </w:r>
      <w:r>
        <w:rPr>
          <w:rFonts w:hint="eastAsia"/>
          <w:color w:val="auto"/>
          <w:szCs w:val="21"/>
          <w:highlight w:val="none"/>
          <w:lang w:eastAsia="zh-CN"/>
        </w:rPr>
        <w:t>（</w:t>
      </w:r>
      <w:r>
        <w:rPr>
          <w:rFonts w:hint="eastAsia"/>
          <w:color w:val="auto"/>
          <w:szCs w:val="21"/>
          <w:highlight w:val="none"/>
          <w:lang w:val="en-US" w:eastAsia="zh-CN"/>
        </w:rPr>
        <w:t>强电系统、弱电系统、车站设备各1人</w:t>
      </w:r>
      <w:r>
        <w:rPr>
          <w:rFonts w:hint="eastAsia"/>
          <w:color w:val="auto"/>
          <w:szCs w:val="21"/>
          <w:highlight w:val="none"/>
          <w:lang w:eastAsia="zh-CN"/>
        </w:rPr>
        <w:t>）</w:t>
      </w:r>
      <w:r>
        <w:rPr>
          <w:color w:val="auto"/>
          <w:szCs w:val="21"/>
          <w:highlight w:val="none"/>
        </w:rPr>
        <w:t>、计划</w:t>
      </w:r>
      <w:r>
        <w:rPr>
          <w:rFonts w:hint="eastAsia"/>
          <w:color w:val="auto"/>
          <w:szCs w:val="21"/>
          <w:highlight w:val="none"/>
          <w:lang w:val="en-US" w:eastAsia="zh-CN"/>
        </w:rPr>
        <w:t>管理</w:t>
      </w:r>
      <w:r>
        <w:rPr>
          <w:color w:val="auto"/>
          <w:szCs w:val="21"/>
          <w:highlight w:val="none"/>
        </w:rPr>
        <w:t>工程师</w:t>
      </w:r>
      <w:r>
        <w:rPr>
          <w:rFonts w:hint="eastAsia"/>
          <w:color w:val="auto"/>
          <w:szCs w:val="21"/>
          <w:highlight w:val="none"/>
          <w:lang w:val="en-US" w:eastAsia="zh-CN"/>
        </w:rPr>
        <w:t>1</w:t>
      </w:r>
      <w:r>
        <w:rPr>
          <w:color w:val="auto"/>
          <w:szCs w:val="21"/>
          <w:highlight w:val="none"/>
        </w:rPr>
        <w:t>人，</w:t>
      </w:r>
      <w:r>
        <w:rPr>
          <w:rFonts w:hint="eastAsia"/>
          <w:color w:val="auto"/>
          <w:szCs w:val="21"/>
          <w:highlight w:val="none"/>
          <w:lang w:val="en-US" w:eastAsia="zh-CN"/>
        </w:rPr>
        <w:t>专业</w:t>
      </w:r>
      <w:r>
        <w:rPr>
          <w:color w:val="auto"/>
          <w:szCs w:val="21"/>
          <w:highlight w:val="none"/>
        </w:rPr>
        <w:t>技术工程师不少于</w:t>
      </w:r>
      <w:r>
        <w:rPr>
          <w:rFonts w:hint="eastAsia"/>
          <w:color w:val="auto"/>
          <w:szCs w:val="21"/>
          <w:highlight w:val="none"/>
        </w:rPr>
        <w:t>1</w:t>
      </w:r>
      <w:r>
        <w:rPr>
          <w:rFonts w:hint="eastAsia"/>
          <w:color w:val="auto"/>
          <w:szCs w:val="21"/>
          <w:highlight w:val="none"/>
          <w:lang w:val="en-US" w:eastAsia="zh-CN"/>
        </w:rPr>
        <w:t>5</w:t>
      </w:r>
      <w:r>
        <w:rPr>
          <w:color w:val="auto"/>
          <w:szCs w:val="21"/>
          <w:highlight w:val="none"/>
        </w:rPr>
        <w:t>人</w:t>
      </w:r>
      <w:r>
        <w:rPr>
          <w:rFonts w:hint="eastAsia"/>
          <w:color w:val="auto"/>
          <w:szCs w:val="21"/>
          <w:highlight w:val="none"/>
          <w:lang w:eastAsia="zh-CN"/>
        </w:rPr>
        <w:t>（</w:t>
      </w:r>
      <w:r>
        <w:rPr>
          <w:rFonts w:hint="eastAsia"/>
          <w:color w:val="auto"/>
          <w:szCs w:val="21"/>
          <w:highlight w:val="none"/>
          <w:lang w:val="en-US" w:eastAsia="zh-CN"/>
        </w:rPr>
        <w:t>其中强电系统2人，弱电系统7人，车站设备6人</w:t>
      </w:r>
      <w:r>
        <w:rPr>
          <w:rFonts w:hint="eastAsia"/>
          <w:color w:val="auto"/>
          <w:szCs w:val="21"/>
          <w:highlight w:val="none"/>
          <w:lang w:eastAsia="zh-CN"/>
        </w:rPr>
        <w:t>）</w:t>
      </w:r>
      <w:r>
        <w:rPr>
          <w:color w:val="auto"/>
          <w:szCs w:val="21"/>
          <w:highlight w:val="none"/>
        </w:rPr>
        <w:t>，文档助理2人，司机</w:t>
      </w:r>
      <w:r>
        <w:rPr>
          <w:rFonts w:hint="eastAsia"/>
          <w:color w:val="auto"/>
          <w:szCs w:val="21"/>
          <w:highlight w:val="none"/>
          <w:lang w:val="en-US" w:eastAsia="zh-CN"/>
        </w:rPr>
        <w:t>2</w:t>
      </w:r>
      <w:r>
        <w:rPr>
          <w:color w:val="auto"/>
          <w:szCs w:val="21"/>
          <w:highlight w:val="none"/>
        </w:rPr>
        <w:t>人。</w:t>
      </w:r>
      <w:r>
        <w:rPr>
          <w:rFonts w:hint="eastAsia"/>
          <w:color w:val="auto"/>
          <w:szCs w:val="21"/>
          <w:highlight w:val="none"/>
          <w:lang w:val="en-US" w:eastAsia="zh-CN"/>
        </w:rPr>
        <w:t>合计28人。</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7.2.1.1 </w:t>
      </w:r>
      <w:r>
        <w:rPr>
          <w:color w:val="auto"/>
          <w:szCs w:val="21"/>
          <w:highlight w:val="none"/>
        </w:rPr>
        <w:t>项目</w:t>
      </w:r>
      <w:r>
        <w:rPr>
          <w:rFonts w:hint="eastAsia"/>
          <w:color w:val="auto"/>
          <w:szCs w:val="21"/>
          <w:highlight w:val="none"/>
          <w:lang w:val="en-US" w:eastAsia="zh-CN"/>
        </w:rPr>
        <w:t>经理</w:t>
      </w:r>
      <w:r>
        <w:rPr>
          <w:color w:val="auto"/>
          <w:szCs w:val="21"/>
          <w:highlight w:val="none"/>
        </w:rPr>
        <w:t>要求</w:t>
      </w:r>
    </w:p>
    <w:p>
      <w:pPr>
        <w:numPr>
          <w:ilvl w:val="0"/>
          <w:numId w:val="0"/>
        </w:numPr>
        <w:spacing w:line="400" w:lineRule="exact"/>
        <w:ind w:left="582" w:leftChars="0"/>
        <w:rPr>
          <w:color w:val="auto"/>
          <w:szCs w:val="21"/>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具有高级工程</w:t>
      </w:r>
      <w:r>
        <w:rPr>
          <w:rFonts w:hint="eastAsia"/>
          <w:color w:val="auto"/>
          <w:highlight w:val="none"/>
          <w:lang w:val="en-US" w:eastAsia="zh-CN"/>
        </w:rPr>
        <w:t>或</w:t>
      </w:r>
      <w:r>
        <w:rPr>
          <w:rFonts w:hint="eastAsia"/>
          <w:color w:val="auto"/>
          <w:highlight w:val="none"/>
        </w:rPr>
        <w:t>及以上技术职称和10年以上工程管理经验，相关工程技术专业大学本科及以上学历，年龄</w:t>
      </w:r>
      <w:r>
        <w:rPr>
          <w:rFonts w:hint="eastAsia"/>
          <w:color w:val="auto"/>
          <w:highlight w:val="none"/>
          <w:lang w:val="en-US" w:eastAsia="zh-CN"/>
        </w:rPr>
        <w:t>35</w:t>
      </w:r>
      <w:r>
        <w:rPr>
          <w:rFonts w:hint="eastAsia"/>
          <w:color w:val="auto"/>
          <w:highlight w:val="none"/>
        </w:rPr>
        <w:t>岁-55岁。</w:t>
      </w:r>
    </w:p>
    <w:p>
      <w:pPr>
        <w:numPr>
          <w:ilvl w:val="0"/>
          <w:numId w:val="0"/>
        </w:numPr>
        <w:spacing w:line="400" w:lineRule="exact"/>
        <w:ind w:left="582" w:leftChars="0"/>
        <w:rPr>
          <w:rFonts w:hint="eastAsia"/>
          <w:color w:val="auto"/>
          <w:highlight w:val="none"/>
        </w:rPr>
      </w:pPr>
      <w:r>
        <w:rPr>
          <w:rFonts w:hint="eastAsia" w:ascii="Times New Roman" w:hAnsi="Times New Roman" w:eastAsia="宋体" w:cs="宋体"/>
          <w:color w:val="auto"/>
          <w:highlight w:val="none"/>
          <w:lang w:val="en-US" w:eastAsia="zh-CN"/>
        </w:rPr>
        <w:t>（2）必须在</w:t>
      </w:r>
      <w:r>
        <w:rPr>
          <w:rFonts w:hint="eastAsia"/>
          <w:color w:val="auto"/>
          <w:highlight w:val="none"/>
        </w:rPr>
        <w:t>投标人本单位注册，具有大型工程设备集成服务经验，熟悉地铁建设过程，最少具有一项轨道交通设备集成服务项目经理或总监理工程师业绩</w:t>
      </w:r>
      <w:r>
        <w:rPr>
          <w:rFonts w:hint="eastAsia"/>
          <w:color w:val="auto"/>
          <w:highlight w:val="none"/>
          <w:lang w:val="en-US" w:eastAsia="zh-CN"/>
        </w:rPr>
        <w:t>或设计总体业绩以上业绩</w:t>
      </w:r>
      <w:r>
        <w:rPr>
          <w:rFonts w:hint="eastAsia"/>
          <w:color w:val="auto"/>
          <w:highlight w:val="none"/>
        </w:rPr>
        <w:t>。</w:t>
      </w:r>
    </w:p>
    <w:p>
      <w:pPr>
        <w:spacing w:line="400" w:lineRule="exact"/>
        <w:ind w:firstLine="420" w:firstLineChars="200"/>
        <w:rPr>
          <w:rFonts w:eastAsia="宋体" w:cs="宋体"/>
          <w:color w:val="auto"/>
          <w:highlight w:val="none"/>
        </w:rPr>
      </w:pPr>
      <w:r>
        <w:rPr>
          <w:rFonts w:hint="eastAsia" w:eastAsia="宋体" w:cs="宋体"/>
          <w:color w:val="auto"/>
          <w:highlight w:val="none"/>
          <w:lang w:eastAsia="zh-CN"/>
        </w:rPr>
        <w:t>（</w:t>
      </w:r>
      <w:r>
        <w:rPr>
          <w:rFonts w:hint="eastAsia" w:eastAsia="宋体" w:cs="宋体"/>
          <w:color w:val="auto"/>
          <w:highlight w:val="none"/>
          <w:lang w:val="en-US" w:eastAsia="zh-CN"/>
        </w:rPr>
        <w:t>3</w:t>
      </w:r>
      <w:r>
        <w:rPr>
          <w:rFonts w:hint="eastAsia" w:eastAsia="宋体" w:cs="宋体"/>
          <w:color w:val="auto"/>
          <w:highlight w:val="none"/>
          <w:lang w:eastAsia="zh-CN"/>
        </w:rPr>
        <w:t>）</w:t>
      </w:r>
      <w:r>
        <w:rPr>
          <w:rFonts w:eastAsia="宋体" w:cs="宋体"/>
          <w:color w:val="auto"/>
          <w:highlight w:val="none"/>
        </w:rPr>
        <w:t>熟悉国家相关法规和技术标准。</w:t>
      </w:r>
    </w:p>
    <w:p>
      <w:pPr>
        <w:spacing w:line="400" w:lineRule="exact"/>
        <w:ind w:firstLine="420" w:firstLineChars="200"/>
        <w:rPr>
          <w:rFonts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4</w:t>
      </w:r>
      <w:r>
        <w:rPr>
          <w:rFonts w:eastAsia="宋体" w:cs="宋体"/>
          <w:color w:val="auto"/>
          <w:highlight w:val="none"/>
        </w:rPr>
        <w:t>）具有较强的沟通和组织能力。</w:t>
      </w:r>
    </w:p>
    <w:p>
      <w:pPr>
        <w:spacing w:line="400" w:lineRule="exact"/>
        <w:ind w:firstLine="420" w:firstLineChars="200"/>
        <w:rPr>
          <w:rFonts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5</w:t>
      </w:r>
      <w:r>
        <w:rPr>
          <w:rFonts w:eastAsia="宋体" w:cs="宋体"/>
          <w:color w:val="auto"/>
          <w:highlight w:val="none"/>
        </w:rPr>
        <w:t>）必须全职服务于本项目。</w:t>
      </w:r>
    </w:p>
    <w:p>
      <w:pPr>
        <w:spacing w:line="400" w:lineRule="exact"/>
        <w:ind w:firstLine="420" w:firstLineChars="20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6</w:t>
      </w:r>
      <w:r>
        <w:rPr>
          <w:rFonts w:hint="eastAsia" w:ascii="Times New Roman" w:hAnsi="Times New Roman" w:eastAsia="宋体" w:cs="宋体"/>
          <w:color w:val="auto"/>
          <w:highlight w:val="none"/>
          <w:lang w:eastAsia="zh-CN"/>
        </w:rPr>
        <w:t>）项目经理必须常驻东莞。</w:t>
      </w:r>
    </w:p>
    <w:p>
      <w:pPr>
        <w:spacing w:line="400" w:lineRule="exact"/>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val="en-US" w:eastAsia="zh-CN"/>
        </w:rPr>
        <w:t xml:space="preserve">7.2.1.2 </w:t>
      </w:r>
      <w:r>
        <w:rPr>
          <w:rFonts w:hint="eastAsia" w:ascii="Times New Roman" w:hAnsi="Times New Roman" w:eastAsia="宋体" w:cs="宋体"/>
          <w:color w:val="auto"/>
          <w:highlight w:val="none"/>
          <w:lang w:eastAsia="zh-CN"/>
        </w:rPr>
        <w:t>系统负责人要求</w:t>
      </w:r>
    </w:p>
    <w:p>
      <w:pPr>
        <w:numPr>
          <w:ilvl w:val="0"/>
          <w:numId w:val="0"/>
        </w:numPr>
        <w:spacing w:line="360" w:lineRule="auto"/>
        <w:ind w:left="582"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rFonts w:hint="eastAsia"/>
          <w:color w:val="auto"/>
          <w:szCs w:val="21"/>
          <w:highlight w:val="none"/>
        </w:rPr>
        <w:t>具有高级工程师</w:t>
      </w:r>
      <w:r>
        <w:rPr>
          <w:rFonts w:hint="eastAsia"/>
          <w:color w:val="auto"/>
          <w:szCs w:val="21"/>
          <w:highlight w:val="none"/>
          <w:lang w:val="en-US" w:eastAsia="zh-CN"/>
        </w:rPr>
        <w:t>或</w:t>
      </w:r>
      <w:r>
        <w:rPr>
          <w:rFonts w:hint="eastAsia"/>
          <w:color w:val="auto"/>
          <w:szCs w:val="21"/>
          <w:highlight w:val="none"/>
        </w:rPr>
        <w:t>以上技术职称，8年以上工作经验，相关工程技术专业大学本科及以上学历，年龄30岁-55岁</w:t>
      </w:r>
      <w:r>
        <w:rPr>
          <w:rFonts w:hint="eastAsia"/>
          <w:color w:val="auto"/>
          <w:szCs w:val="21"/>
          <w:highlight w:val="none"/>
          <w:lang w:eastAsia="zh-CN"/>
        </w:rPr>
        <w:t>。</w:t>
      </w:r>
    </w:p>
    <w:p>
      <w:pPr>
        <w:numPr>
          <w:ilvl w:val="0"/>
          <w:numId w:val="0"/>
        </w:numPr>
        <w:spacing w:line="360" w:lineRule="auto"/>
        <w:ind w:left="582" w:leftChars="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rPr>
        <w:t>必须在投标人本单位注册，应最少具有一项</w:t>
      </w:r>
      <w:r>
        <w:rPr>
          <w:rFonts w:hint="eastAsia"/>
          <w:color w:val="auto"/>
          <w:highlight w:val="none"/>
        </w:rPr>
        <w:t>轨道交通</w:t>
      </w:r>
      <w:r>
        <w:rPr>
          <w:rFonts w:hint="eastAsia"/>
          <w:color w:val="auto"/>
          <w:szCs w:val="21"/>
          <w:highlight w:val="none"/>
        </w:rPr>
        <w:t>设备集成服务专业工程师以上业绩或</w:t>
      </w:r>
      <w:r>
        <w:rPr>
          <w:rFonts w:hint="eastAsia"/>
          <w:color w:val="auto"/>
          <w:szCs w:val="21"/>
          <w:highlight w:val="none"/>
          <w:lang w:val="en-US" w:eastAsia="zh-CN"/>
        </w:rPr>
        <w:t>监理代理业绩或</w:t>
      </w:r>
      <w:r>
        <w:rPr>
          <w:rFonts w:hint="eastAsia"/>
          <w:color w:val="auto"/>
          <w:szCs w:val="21"/>
          <w:highlight w:val="none"/>
        </w:rPr>
        <w:t>设计副总体及以上职务。</w:t>
      </w:r>
    </w:p>
    <w:p>
      <w:pPr>
        <w:numPr>
          <w:ilvl w:val="0"/>
          <w:numId w:val="0"/>
        </w:numPr>
        <w:spacing w:line="360" w:lineRule="auto"/>
        <w:ind w:left="582"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具有良好的沟通能力，管理思路清晰</w:t>
      </w:r>
      <w:r>
        <w:rPr>
          <w:rFonts w:hint="eastAsia"/>
          <w:color w:val="auto"/>
          <w:szCs w:val="21"/>
          <w:highlight w:val="none"/>
          <w:lang w:eastAsia="zh-CN"/>
        </w:rPr>
        <w:t>。</w:t>
      </w:r>
    </w:p>
    <w:p>
      <w:pPr>
        <w:numPr>
          <w:ilvl w:val="0"/>
          <w:numId w:val="0"/>
        </w:numPr>
        <w:spacing w:line="360" w:lineRule="auto"/>
        <w:ind w:left="582" w:leftChars="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必须全职服务于本项目。</w:t>
      </w:r>
    </w:p>
    <w:p>
      <w:pPr>
        <w:numPr>
          <w:ilvl w:val="0"/>
          <w:numId w:val="0"/>
        </w:num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7.2.1.3 </w:t>
      </w:r>
      <w:r>
        <w:rPr>
          <w:rFonts w:hint="eastAsia" w:ascii="Times New Roman" w:hAnsi="Times New Roman" w:eastAsia="宋体" w:cs="Times New Roman"/>
          <w:color w:val="auto"/>
          <w:szCs w:val="21"/>
          <w:highlight w:val="none"/>
        </w:rPr>
        <w:t>合同管理</w:t>
      </w:r>
      <w:r>
        <w:rPr>
          <w:rFonts w:hint="eastAsia" w:ascii="Times New Roman" w:hAnsi="Times New Roman" w:eastAsia="宋体" w:cs="Times New Roman"/>
          <w:color w:val="auto"/>
          <w:szCs w:val="21"/>
          <w:highlight w:val="none"/>
          <w:lang w:val="en-US" w:eastAsia="zh-CN"/>
        </w:rPr>
        <w:t>工程师</w:t>
      </w:r>
      <w:r>
        <w:rPr>
          <w:rFonts w:hint="eastAsia" w:ascii="Times New Roman" w:hAnsi="Times New Roman" w:eastAsia="宋体" w:cs="Times New Roman"/>
          <w:color w:val="auto"/>
          <w:szCs w:val="21"/>
          <w:highlight w:val="none"/>
        </w:rPr>
        <w:t>要求</w:t>
      </w:r>
    </w:p>
    <w:p>
      <w:pPr>
        <w:numPr>
          <w:ilvl w:val="0"/>
          <w:numId w:val="0"/>
        </w:numPr>
        <w:spacing w:line="360" w:lineRule="auto"/>
        <w:ind w:left="582" w:leftChars="0"/>
        <w:rPr>
          <w:rFonts w:hint="eastAsia" w:eastAsia="宋体"/>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经济或管理类专业</w:t>
      </w:r>
      <w:r>
        <w:rPr>
          <w:rFonts w:hint="eastAsia"/>
          <w:color w:val="auto"/>
          <w:szCs w:val="21"/>
          <w:highlight w:val="none"/>
          <w:lang w:val="en-US" w:eastAsia="zh-CN"/>
        </w:rPr>
        <w:t>本科</w:t>
      </w:r>
      <w:r>
        <w:rPr>
          <w:color w:val="auto"/>
          <w:szCs w:val="21"/>
          <w:highlight w:val="none"/>
        </w:rPr>
        <w:t>或以上学历</w:t>
      </w:r>
      <w:r>
        <w:rPr>
          <w:rFonts w:hint="eastAsia"/>
          <w:color w:val="auto"/>
          <w:szCs w:val="21"/>
          <w:highlight w:val="none"/>
          <w:lang w:eastAsia="zh-CN"/>
        </w:rPr>
        <w:t>。</w:t>
      </w:r>
    </w:p>
    <w:p>
      <w:pPr>
        <w:numPr>
          <w:ilvl w:val="0"/>
          <w:numId w:val="0"/>
        </w:numPr>
        <w:spacing w:line="360" w:lineRule="auto"/>
        <w:ind w:left="582" w:leftChars="0"/>
        <w:rPr>
          <w:rFonts w:hint="eastAsia" w:eastAsia="宋体"/>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具有助理级或以上职称</w:t>
      </w:r>
      <w:r>
        <w:rPr>
          <w:rFonts w:hint="eastAsia"/>
          <w:color w:val="auto"/>
          <w:szCs w:val="21"/>
          <w:highlight w:val="none"/>
          <w:lang w:eastAsia="zh-CN"/>
        </w:rPr>
        <w:t>。</w:t>
      </w:r>
    </w:p>
    <w:p>
      <w:pPr>
        <w:numPr>
          <w:ilvl w:val="0"/>
          <w:numId w:val="0"/>
        </w:numPr>
        <w:spacing w:line="360" w:lineRule="auto"/>
        <w:ind w:left="582" w:leftChars="0"/>
        <w:rPr>
          <w:rFonts w:hint="eastAsia" w:eastAsia="宋体"/>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熟悉合同、保函、发票、支付、变更等</w:t>
      </w:r>
      <w:r>
        <w:rPr>
          <w:rFonts w:hint="eastAsia"/>
          <w:color w:val="auto"/>
          <w:szCs w:val="21"/>
          <w:highlight w:val="none"/>
          <w:lang w:eastAsia="zh-CN"/>
        </w:rPr>
        <w:t>。</w:t>
      </w:r>
    </w:p>
    <w:p>
      <w:pPr>
        <w:numPr>
          <w:ilvl w:val="0"/>
          <w:numId w:val="0"/>
        </w:numPr>
        <w:spacing w:line="360" w:lineRule="auto"/>
        <w:ind w:left="582" w:leftChars="0"/>
        <w:rPr>
          <w:rFonts w:hint="eastAsia" w:eastAsia="宋体"/>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color w:val="auto"/>
          <w:szCs w:val="21"/>
          <w:highlight w:val="none"/>
        </w:rPr>
        <w:t>熟悉常用办公软件，如：Word、Excel、PowerPoint、Project</w:t>
      </w:r>
      <w:r>
        <w:rPr>
          <w:rFonts w:hint="eastAsia"/>
          <w:color w:val="auto"/>
          <w:szCs w:val="21"/>
          <w:highlight w:val="none"/>
          <w:lang w:eastAsia="zh-CN"/>
        </w:rPr>
        <w:t>。</w:t>
      </w:r>
    </w:p>
    <w:p>
      <w:pPr>
        <w:numPr>
          <w:ilvl w:val="0"/>
          <w:numId w:val="0"/>
        </w:numPr>
        <w:spacing w:line="360" w:lineRule="auto"/>
        <w:ind w:left="582"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color w:val="auto"/>
          <w:szCs w:val="21"/>
          <w:highlight w:val="none"/>
        </w:rPr>
        <w:t>必须全职服务于本项目。</w:t>
      </w:r>
    </w:p>
    <w:p>
      <w:pPr>
        <w:numPr>
          <w:ilvl w:val="0"/>
          <w:numId w:val="0"/>
        </w:numPr>
        <w:spacing w:line="360" w:lineRule="auto"/>
        <w:ind w:leftChars="0"/>
        <w:rPr>
          <w:color w:val="auto"/>
          <w:szCs w:val="21"/>
          <w:highlight w:val="none"/>
        </w:rPr>
      </w:pPr>
      <w:r>
        <w:rPr>
          <w:rFonts w:hint="eastAsia" w:ascii="Times New Roman" w:hAnsi="Times New Roman" w:eastAsia="宋体" w:cs="宋体"/>
          <w:color w:val="auto"/>
          <w:highlight w:val="none"/>
          <w:lang w:val="en-US" w:eastAsia="zh-CN"/>
        </w:rPr>
        <w:t xml:space="preserve">7.2.1.4 </w:t>
      </w:r>
      <w:r>
        <w:rPr>
          <w:color w:val="auto"/>
          <w:szCs w:val="21"/>
          <w:highlight w:val="none"/>
        </w:rPr>
        <w:t>技术工程师要求</w:t>
      </w:r>
    </w:p>
    <w:p>
      <w:pPr>
        <w:spacing w:line="400" w:lineRule="exact"/>
        <w:ind w:firstLine="630" w:firstLineChars="300"/>
        <w:rPr>
          <w:rFonts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1</w:t>
      </w:r>
      <w:r>
        <w:rPr>
          <w:rFonts w:eastAsia="宋体" w:cs="宋体"/>
          <w:color w:val="auto"/>
          <w:highlight w:val="none"/>
        </w:rPr>
        <w:t>）对口工程技术专业，大学本科及以上学历，具有工程师以上（含工程师）技术职称。</w:t>
      </w:r>
    </w:p>
    <w:p>
      <w:pPr>
        <w:spacing w:line="400" w:lineRule="exact"/>
        <w:ind w:firstLine="630" w:firstLineChars="300"/>
        <w:rPr>
          <w:rFonts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2</w:t>
      </w:r>
      <w:r>
        <w:rPr>
          <w:rFonts w:eastAsia="宋体" w:cs="宋体"/>
          <w:color w:val="auto"/>
          <w:highlight w:val="none"/>
        </w:rPr>
        <w:t>）有在大型工程及类似领域3年以上的实践经验，熟悉地铁建设过程。</w:t>
      </w:r>
    </w:p>
    <w:p>
      <w:pPr>
        <w:spacing w:line="400" w:lineRule="exact"/>
        <w:ind w:firstLine="630" w:firstLineChars="300"/>
        <w:rPr>
          <w:rFonts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3</w:t>
      </w:r>
      <w:r>
        <w:rPr>
          <w:rFonts w:eastAsia="宋体" w:cs="宋体"/>
          <w:color w:val="auto"/>
          <w:highlight w:val="none"/>
        </w:rPr>
        <w:t>）熟悉</w:t>
      </w:r>
      <w:r>
        <w:rPr>
          <w:rFonts w:hint="eastAsia" w:eastAsia="宋体" w:cs="宋体"/>
          <w:color w:val="auto"/>
          <w:highlight w:val="none"/>
          <w:lang w:val="en-US" w:eastAsia="zh-CN"/>
        </w:rPr>
        <w:t>相关专业</w:t>
      </w:r>
      <w:r>
        <w:rPr>
          <w:rFonts w:eastAsia="宋体" w:cs="宋体"/>
          <w:color w:val="auto"/>
          <w:highlight w:val="none"/>
        </w:rPr>
        <w:t>设备工程的国家有关标准。</w:t>
      </w:r>
    </w:p>
    <w:p>
      <w:pPr>
        <w:spacing w:line="400" w:lineRule="exact"/>
        <w:ind w:firstLine="630" w:firstLineChars="300"/>
        <w:rPr>
          <w:rFonts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4</w:t>
      </w:r>
      <w:r>
        <w:rPr>
          <w:rFonts w:eastAsia="宋体" w:cs="宋体"/>
          <w:color w:val="auto"/>
          <w:highlight w:val="none"/>
        </w:rPr>
        <w:t>）具有较强的沟通能力、团结协作，能主动工作并承受一定压力。</w:t>
      </w:r>
    </w:p>
    <w:p>
      <w:pPr>
        <w:spacing w:line="400" w:lineRule="exact"/>
        <w:ind w:left="840" w:leftChars="300" w:hanging="210" w:hangingChars="100"/>
        <w:rPr>
          <w:rFonts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5</w:t>
      </w:r>
      <w:r>
        <w:rPr>
          <w:rFonts w:eastAsia="宋体" w:cs="宋体"/>
          <w:color w:val="auto"/>
          <w:highlight w:val="none"/>
        </w:rPr>
        <w:t>）常驻东莞的专业工程师</w:t>
      </w:r>
      <w:r>
        <w:rPr>
          <w:rFonts w:hint="eastAsia" w:eastAsia="宋体" w:cs="宋体"/>
          <w:color w:val="auto"/>
          <w:highlight w:val="none"/>
          <w:lang w:val="en-US" w:eastAsia="zh-CN"/>
        </w:rPr>
        <w:t>要求，</w:t>
      </w:r>
      <w:r>
        <w:rPr>
          <w:rFonts w:eastAsia="宋体" w:cs="宋体"/>
          <w:color w:val="auto"/>
          <w:highlight w:val="none"/>
        </w:rPr>
        <w:t>高级工程师人数不得少于总人数的1/5，年龄超过60岁的</w:t>
      </w:r>
      <w:r>
        <w:rPr>
          <w:rFonts w:hint="eastAsia" w:eastAsia="宋体" w:cs="宋体"/>
          <w:color w:val="auto"/>
          <w:highlight w:val="none"/>
          <w:lang w:val="en-US" w:eastAsia="zh-CN"/>
        </w:rPr>
        <w:t>集成</w:t>
      </w:r>
      <w:r>
        <w:rPr>
          <w:rFonts w:eastAsia="宋体" w:cs="宋体"/>
          <w:color w:val="auto"/>
          <w:highlight w:val="none"/>
        </w:rPr>
        <w:t>人员不得超过2人，具备工地现场服务职责的人员年龄不超过50周岁。</w:t>
      </w:r>
    </w:p>
    <w:p>
      <w:pPr>
        <w:numPr>
          <w:ilvl w:val="0"/>
          <w:numId w:val="0"/>
        </w:numPr>
        <w:spacing w:line="360" w:lineRule="auto"/>
        <w:ind w:leftChars="0"/>
        <w:rPr>
          <w:color w:val="auto"/>
          <w:szCs w:val="21"/>
          <w:highlight w:val="none"/>
        </w:rPr>
      </w:pPr>
      <w:r>
        <w:rPr>
          <w:rFonts w:hint="eastAsia" w:ascii="Times New Roman" w:hAnsi="Times New Roman" w:eastAsia="宋体" w:cs="宋体"/>
          <w:color w:val="auto"/>
          <w:highlight w:val="none"/>
          <w:lang w:val="en-US" w:eastAsia="zh-CN"/>
        </w:rPr>
        <w:t xml:space="preserve">7.2.1.5 </w:t>
      </w:r>
      <w:r>
        <w:rPr>
          <w:rFonts w:hint="eastAsia"/>
          <w:color w:val="auto"/>
          <w:szCs w:val="21"/>
          <w:highlight w:val="none"/>
          <w:lang w:val="en-US" w:eastAsia="zh-CN"/>
        </w:rPr>
        <w:t>一般工作人员要求</w:t>
      </w:r>
    </w:p>
    <w:p>
      <w:pPr>
        <w:numPr>
          <w:ilvl w:val="0"/>
          <w:numId w:val="0"/>
        </w:numPr>
        <w:spacing w:line="360" w:lineRule="auto"/>
        <w:ind w:left="582"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具有类似工程</w:t>
      </w:r>
      <w:r>
        <w:rPr>
          <w:rFonts w:hint="eastAsia"/>
          <w:color w:val="auto"/>
          <w:szCs w:val="21"/>
          <w:highlight w:val="none"/>
          <w:lang w:val="en-US" w:eastAsia="zh-CN"/>
        </w:rPr>
        <w:t>质量管理、计划管理、</w:t>
      </w:r>
      <w:r>
        <w:rPr>
          <w:color w:val="auto"/>
          <w:szCs w:val="21"/>
          <w:highlight w:val="none"/>
        </w:rPr>
        <w:t>文件管理经验。</w:t>
      </w:r>
    </w:p>
    <w:p>
      <w:pPr>
        <w:numPr>
          <w:ilvl w:val="0"/>
          <w:numId w:val="0"/>
        </w:numPr>
        <w:spacing w:line="360" w:lineRule="auto"/>
        <w:ind w:left="582"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在类似工程担任过本职。</w:t>
      </w:r>
    </w:p>
    <w:p>
      <w:pPr>
        <w:numPr>
          <w:ilvl w:val="0"/>
          <w:numId w:val="0"/>
        </w:numPr>
        <w:spacing w:line="360" w:lineRule="auto"/>
        <w:ind w:left="582" w:left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color w:val="auto"/>
          <w:szCs w:val="21"/>
          <w:highlight w:val="none"/>
        </w:rPr>
        <w:t>熟悉国家有关标准。</w:t>
      </w:r>
    </w:p>
    <w:p>
      <w:pPr>
        <w:spacing w:line="360" w:lineRule="auto"/>
        <w:ind w:firstLine="630" w:firstLineChars="300"/>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4</w:t>
      </w:r>
      <w:r>
        <w:rPr>
          <w:rFonts w:ascii="Times New Roman" w:hAnsi="Times New Roman" w:eastAsia="宋体" w:cs="Times New Roman"/>
          <w:color w:val="auto"/>
          <w:szCs w:val="21"/>
          <w:highlight w:val="none"/>
        </w:rPr>
        <w:t>）学历要求中专以上，且身体健康，无不良习性。</w:t>
      </w:r>
    </w:p>
    <w:p>
      <w:pPr>
        <w:spacing w:line="360" w:lineRule="auto"/>
        <w:rPr>
          <w:rFonts w:ascii="Times New Roman" w:hAnsi="Times New Roman" w:eastAsia="宋体" w:cs="Times New Roman"/>
          <w:color w:val="auto"/>
          <w:szCs w:val="21"/>
          <w:highlight w:val="none"/>
          <w:lang w:val="en-US" w:eastAsia="zh-CN"/>
        </w:rPr>
      </w:pPr>
      <w:r>
        <w:rPr>
          <w:rFonts w:hint="eastAsia" w:ascii="Times New Roman" w:hAnsi="Times New Roman" w:eastAsia="宋体" w:cs="宋体"/>
          <w:color w:val="auto"/>
          <w:highlight w:val="none"/>
          <w:lang w:val="en-US" w:eastAsia="zh-CN"/>
        </w:rPr>
        <w:t xml:space="preserve">7.2.1.6 </w:t>
      </w:r>
      <w:r>
        <w:rPr>
          <w:rFonts w:ascii="Times New Roman" w:hAnsi="Times New Roman" w:eastAsia="宋体" w:cs="Times New Roman"/>
          <w:color w:val="auto"/>
          <w:szCs w:val="21"/>
          <w:highlight w:val="none"/>
          <w:lang w:val="en-US" w:eastAsia="zh-CN"/>
        </w:rPr>
        <w:t>文档助理</w:t>
      </w:r>
    </w:p>
    <w:p>
      <w:pPr>
        <w:spacing w:line="360" w:lineRule="auto"/>
        <w:rPr>
          <w:color w:val="auto"/>
          <w:szCs w:val="21"/>
          <w:highlight w:val="none"/>
        </w:rPr>
      </w:pP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lang w:val="en-US" w:eastAsia="zh-CN"/>
        </w:rPr>
        <w:t xml:space="preserve"> </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具有行政</w:t>
      </w:r>
      <w:r>
        <w:rPr>
          <w:color w:val="auto"/>
          <w:szCs w:val="21"/>
          <w:highlight w:val="none"/>
        </w:rPr>
        <w:t>或文秘相关工作经验。</w:t>
      </w:r>
    </w:p>
    <w:p>
      <w:pPr>
        <w:spacing w:line="360" w:lineRule="auto"/>
        <w:ind w:firstLine="630" w:firstLineChars="30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熟悉文件收发管理制度。</w:t>
      </w:r>
    </w:p>
    <w:p>
      <w:pPr>
        <w:numPr>
          <w:ilvl w:val="0"/>
          <w:numId w:val="0"/>
        </w:numPr>
        <w:spacing w:line="360" w:lineRule="auto"/>
        <w:ind w:leftChars="0"/>
        <w:rPr>
          <w:color w:val="auto"/>
          <w:szCs w:val="21"/>
          <w:highlight w:val="none"/>
        </w:rPr>
      </w:pPr>
      <w:r>
        <w:rPr>
          <w:rFonts w:hint="eastAsia" w:ascii="Times New Roman" w:hAnsi="Times New Roman" w:eastAsia="宋体" w:cs="宋体"/>
          <w:color w:val="auto"/>
          <w:highlight w:val="none"/>
          <w:lang w:val="en-US" w:eastAsia="zh-CN"/>
        </w:rPr>
        <w:t xml:space="preserve">7.2.1.7 </w:t>
      </w:r>
      <w:r>
        <w:rPr>
          <w:color w:val="auto"/>
          <w:szCs w:val="21"/>
          <w:highlight w:val="none"/>
        </w:rPr>
        <w:t>司机要求</w:t>
      </w:r>
    </w:p>
    <w:p>
      <w:pPr>
        <w:tabs>
          <w:tab w:val="left" w:pos="900"/>
        </w:tabs>
        <w:spacing w:line="360" w:lineRule="auto"/>
        <w:ind w:left="54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有用良好的驾驶技术，身体健康；</w:t>
      </w:r>
    </w:p>
    <w:p>
      <w:pPr>
        <w:tabs>
          <w:tab w:val="left" w:pos="900"/>
        </w:tabs>
        <w:spacing w:line="360" w:lineRule="auto"/>
        <w:ind w:left="54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color w:val="auto"/>
          <w:szCs w:val="21"/>
          <w:highlight w:val="none"/>
        </w:rPr>
        <w:t>熟悉东莞及周围的道路和单位。</w:t>
      </w:r>
    </w:p>
    <w:p>
      <w:pPr>
        <w:pStyle w:val="4"/>
        <w:bidi w:val="0"/>
        <w:rPr>
          <w:rFonts w:hint="eastAsia" w:ascii="黑体" w:hAnsi="黑体" w:eastAsia="黑体" w:cs="黑体"/>
          <w:color w:val="auto"/>
          <w:sz w:val="21"/>
          <w:szCs w:val="21"/>
          <w:highlight w:val="none"/>
        </w:rPr>
      </w:pPr>
      <w:bookmarkStart w:id="2510" w:name="_Toc184763364"/>
      <w:bookmarkStart w:id="2511" w:name="_Toc30652"/>
      <w:bookmarkStart w:id="2512" w:name="_Toc15753"/>
      <w:bookmarkStart w:id="2513" w:name="_Toc8888"/>
      <w:bookmarkStart w:id="2514" w:name="_Toc309026928"/>
      <w:bookmarkStart w:id="2515" w:name="_Toc12610"/>
      <w:bookmarkStart w:id="2516" w:name="_Toc11105"/>
      <w:bookmarkStart w:id="2517" w:name="_Toc130847151"/>
      <w:bookmarkStart w:id="2518" w:name="_Toc31136"/>
      <w:bookmarkStart w:id="2519" w:name="_Toc306091655"/>
      <w:bookmarkStart w:id="2520" w:name="_Toc309026534"/>
      <w:r>
        <w:rPr>
          <w:rFonts w:hint="eastAsia" w:ascii="黑体" w:hAnsi="黑体" w:eastAsia="黑体" w:cs="黑体"/>
          <w:color w:val="auto"/>
          <w:sz w:val="21"/>
          <w:szCs w:val="21"/>
          <w:highlight w:val="none"/>
          <w:lang w:val="en-US" w:eastAsia="zh-CN"/>
        </w:rPr>
        <w:t xml:space="preserve">7.3 </w:t>
      </w:r>
      <w:r>
        <w:rPr>
          <w:rFonts w:hint="eastAsia" w:ascii="黑体" w:hAnsi="黑体" w:eastAsia="黑体" w:cs="黑体"/>
          <w:color w:val="auto"/>
          <w:sz w:val="21"/>
          <w:szCs w:val="21"/>
          <w:highlight w:val="none"/>
        </w:rPr>
        <w:t>人员上岗和更换</w:t>
      </w:r>
      <w:bookmarkEnd w:id="2510"/>
      <w:bookmarkEnd w:id="2511"/>
      <w:bookmarkEnd w:id="2512"/>
      <w:bookmarkEnd w:id="2513"/>
      <w:bookmarkEnd w:id="2514"/>
      <w:bookmarkEnd w:id="2515"/>
      <w:bookmarkEnd w:id="2516"/>
      <w:bookmarkEnd w:id="2517"/>
      <w:bookmarkEnd w:id="2518"/>
      <w:bookmarkEnd w:id="2519"/>
      <w:bookmarkEnd w:id="2520"/>
    </w:p>
    <w:p>
      <w:pPr>
        <w:widowControl/>
        <w:spacing w:line="360" w:lineRule="auto"/>
        <w:ind w:left="525" w:hanging="525" w:hangingChars="250"/>
        <w:jc w:val="left"/>
        <w:rPr>
          <w:color w:val="auto"/>
          <w:szCs w:val="21"/>
          <w:highlight w:val="none"/>
        </w:rPr>
      </w:pPr>
      <w:r>
        <w:rPr>
          <w:color w:val="auto"/>
          <w:szCs w:val="21"/>
          <w:highlight w:val="none"/>
        </w:rPr>
        <w:t>7.3.1</w:t>
      </w:r>
      <w:r>
        <w:rPr>
          <w:rFonts w:hint="eastAsia"/>
          <w:color w:val="auto"/>
          <w:szCs w:val="21"/>
          <w:highlight w:val="none"/>
          <w:lang w:val="en-US" w:eastAsia="zh-CN"/>
        </w:rPr>
        <w:t xml:space="preserve"> </w:t>
      </w:r>
      <w:r>
        <w:rPr>
          <w:color w:val="auto"/>
          <w:szCs w:val="21"/>
          <w:highlight w:val="none"/>
        </w:rPr>
        <w:t>所有人员上岗前，需将满足以上要求的所有材料报业主，经审核后批准上岗。当业主认为有无法胜</w:t>
      </w:r>
    </w:p>
    <w:p>
      <w:pPr>
        <w:widowControl/>
        <w:spacing w:line="360" w:lineRule="auto"/>
        <w:ind w:left="525" w:hanging="525" w:hangingChars="250"/>
        <w:jc w:val="left"/>
        <w:rPr>
          <w:color w:val="auto"/>
          <w:szCs w:val="21"/>
          <w:highlight w:val="none"/>
        </w:rPr>
      </w:pPr>
      <w:r>
        <w:rPr>
          <w:color w:val="auto"/>
          <w:szCs w:val="21"/>
          <w:highlight w:val="none"/>
        </w:rPr>
        <w:t>任工作的人员时，有权要求马上更换。集成服务商主动提出的人员更换，必须首先经过业主的批准，新更</w:t>
      </w:r>
    </w:p>
    <w:p>
      <w:pPr>
        <w:widowControl/>
        <w:spacing w:line="360" w:lineRule="auto"/>
        <w:ind w:left="525" w:hanging="525" w:hangingChars="250"/>
        <w:jc w:val="left"/>
        <w:rPr>
          <w:color w:val="auto"/>
          <w:szCs w:val="21"/>
          <w:highlight w:val="none"/>
        </w:rPr>
      </w:pPr>
      <w:r>
        <w:rPr>
          <w:color w:val="auto"/>
          <w:szCs w:val="21"/>
          <w:highlight w:val="none"/>
        </w:rPr>
        <w:t>换的人员须按照“人员履历表”的格式要求填写个人情况并报业主审查后方可上岗。每一次更换的人数不得</w:t>
      </w:r>
    </w:p>
    <w:p>
      <w:pPr>
        <w:widowControl/>
        <w:spacing w:line="360" w:lineRule="auto"/>
        <w:ind w:left="525" w:hanging="525" w:hangingChars="250"/>
        <w:jc w:val="left"/>
        <w:rPr>
          <w:color w:val="auto"/>
          <w:szCs w:val="21"/>
          <w:highlight w:val="none"/>
        </w:rPr>
      </w:pPr>
      <w:r>
        <w:rPr>
          <w:color w:val="auto"/>
          <w:szCs w:val="21"/>
          <w:highlight w:val="none"/>
        </w:rPr>
        <w:t>超过2人，项目经理更换不得早于线路商业运行。业主有权拒绝未经报备的人员，参与合同的项目执行。</w:t>
      </w:r>
    </w:p>
    <w:p>
      <w:pPr>
        <w:widowControl/>
        <w:spacing w:line="360" w:lineRule="auto"/>
        <w:ind w:left="525" w:hanging="525" w:hangingChars="250"/>
        <w:jc w:val="left"/>
        <w:rPr>
          <w:color w:val="auto"/>
          <w:szCs w:val="21"/>
          <w:highlight w:val="none"/>
        </w:rPr>
      </w:pPr>
      <w:r>
        <w:rPr>
          <w:color w:val="auto"/>
          <w:szCs w:val="21"/>
          <w:highlight w:val="none"/>
        </w:rPr>
        <w:t>所有更换的人员，资历条件不得低于原来的人员。</w:t>
      </w:r>
    </w:p>
    <w:p>
      <w:pPr>
        <w:spacing w:line="400" w:lineRule="exact"/>
        <w:ind w:left="630" w:leftChars="200" w:hanging="210" w:hangingChars="100"/>
        <w:rPr>
          <w:rFonts w:eastAsia="宋体" w:cs="宋体"/>
          <w:color w:val="auto"/>
          <w:highlight w:val="none"/>
        </w:rPr>
      </w:pPr>
      <w:r>
        <w:rPr>
          <w:color w:val="auto"/>
          <w:szCs w:val="21"/>
          <w:highlight w:val="none"/>
        </w:rPr>
        <w:t>7.3.1</w:t>
      </w:r>
      <w:r>
        <w:rPr>
          <w:rFonts w:hint="eastAsia"/>
          <w:color w:val="auto"/>
          <w:szCs w:val="21"/>
          <w:highlight w:val="none"/>
          <w:lang w:val="en-US" w:eastAsia="zh-CN"/>
        </w:rPr>
        <w:t>.1</w:t>
      </w:r>
      <w:r>
        <w:rPr>
          <w:rFonts w:eastAsia="宋体" w:cs="宋体"/>
          <w:color w:val="auto"/>
          <w:highlight w:val="none"/>
        </w:rPr>
        <w:t>所有人员上岗前，需将满足以上要求的所有材料报业主。当业主认为有无法胜任工作的人员时，</w:t>
      </w:r>
    </w:p>
    <w:p>
      <w:pPr>
        <w:spacing w:line="400" w:lineRule="exact"/>
        <w:rPr>
          <w:rFonts w:eastAsia="宋体" w:cs="宋体"/>
          <w:color w:val="auto"/>
          <w:highlight w:val="none"/>
        </w:rPr>
      </w:pPr>
      <w:r>
        <w:rPr>
          <w:rFonts w:eastAsia="宋体" w:cs="宋体"/>
          <w:color w:val="auto"/>
          <w:highlight w:val="none"/>
        </w:rPr>
        <w:t>有权要求马上更换。集成服务商主动提出的的人员更换，必须首先经过业主的批准，新更换的人员须按照“人员履历表”的格式要求填写个人情况并报业主批准后方可上岗。业主有权拒绝未经报备的人员，参与合同的项目执行。所有更换的人员，资历条件不得低于原来的人员。</w:t>
      </w:r>
    </w:p>
    <w:p>
      <w:pPr>
        <w:keepNext w:val="0"/>
        <w:keepLines w:val="0"/>
        <w:pageBreakBefore w:val="0"/>
        <w:widowControl w:val="0"/>
        <w:kinsoku/>
        <w:wordWrap/>
        <w:overflowPunct/>
        <w:topLinePunct w:val="0"/>
        <w:autoSpaceDE/>
        <w:autoSpaceDN/>
        <w:bidi w:val="0"/>
        <w:adjustRightInd/>
        <w:spacing w:line="440" w:lineRule="exact"/>
        <w:ind w:left="630" w:leftChars="200" w:hanging="210" w:hangingChars="100"/>
        <w:textAlignment w:val="auto"/>
        <w:rPr>
          <w:rFonts w:hint="eastAsia" w:eastAsia="宋体" w:cs="宋体"/>
          <w:color w:val="auto"/>
          <w:highlight w:val="none"/>
        </w:rPr>
      </w:pPr>
      <w:bookmarkStart w:id="2521" w:name="_Hlk36128321"/>
      <w:r>
        <w:rPr>
          <w:color w:val="auto"/>
          <w:szCs w:val="21"/>
          <w:highlight w:val="none"/>
        </w:rPr>
        <w:t>7.3.</w:t>
      </w:r>
      <w:r>
        <w:rPr>
          <w:rFonts w:hint="eastAsia"/>
          <w:color w:val="auto"/>
          <w:szCs w:val="21"/>
          <w:highlight w:val="none"/>
          <w:lang w:val="en-US" w:eastAsia="zh-CN"/>
        </w:rPr>
        <w:t>1.2</w:t>
      </w:r>
      <w:r>
        <w:rPr>
          <w:rFonts w:hint="eastAsia" w:eastAsia="宋体" w:cs="宋体"/>
          <w:color w:val="auto"/>
          <w:highlight w:val="none"/>
        </w:rPr>
        <w:t>本项目中，项目经理、</w:t>
      </w:r>
      <w:r>
        <w:rPr>
          <w:rFonts w:hint="eastAsia" w:eastAsia="宋体" w:cs="宋体"/>
          <w:color w:val="auto"/>
          <w:highlight w:val="none"/>
          <w:lang w:val="en-US" w:eastAsia="zh-CN"/>
        </w:rPr>
        <w:t>系统负责人</w:t>
      </w:r>
      <w:r>
        <w:rPr>
          <w:rFonts w:hint="eastAsia" w:eastAsia="宋体" w:cs="宋体"/>
          <w:color w:val="auto"/>
          <w:highlight w:val="none"/>
        </w:rPr>
        <w:t>在合同期内不得更换，由于集成服务商原因更换项目经理、</w:t>
      </w:r>
    </w:p>
    <w:p>
      <w:pPr>
        <w:spacing w:line="400" w:lineRule="exact"/>
        <w:rPr>
          <w:rFonts w:hint="default" w:eastAsia="宋体" w:cs="宋体"/>
          <w:color w:val="auto"/>
          <w:highlight w:val="none"/>
          <w:lang w:val="en-US"/>
        </w:rPr>
      </w:pPr>
      <w:r>
        <w:rPr>
          <w:rFonts w:hint="eastAsia" w:ascii="Times New Roman" w:hAnsi="Times New Roman" w:eastAsia="宋体" w:cs="宋体"/>
          <w:color w:val="auto"/>
          <w:highlight w:val="none"/>
          <w:lang w:val="en-US" w:eastAsia="zh-CN"/>
        </w:rPr>
        <w:t>系统负责人的</w:t>
      </w:r>
      <w:r>
        <w:rPr>
          <w:rFonts w:hint="eastAsia" w:ascii="Times New Roman" w:hAnsi="Times New Roman" w:eastAsia="宋体" w:cs="宋体"/>
          <w:color w:val="auto"/>
          <w:highlight w:val="none"/>
        </w:rPr>
        <w:t>，将对集成服务商进行相应的罚款处理：项目经理更换按</w:t>
      </w:r>
      <w:r>
        <w:rPr>
          <w:rFonts w:hint="eastAsia" w:ascii="Times New Roman" w:hAnsi="Times New Roman" w:eastAsia="宋体" w:cs="宋体"/>
          <w:color w:val="auto"/>
          <w:highlight w:val="none"/>
          <w:lang w:val="en-US" w:eastAsia="zh-CN"/>
        </w:rPr>
        <w:t>20万元/</w:t>
      </w:r>
      <w:r>
        <w:rPr>
          <w:rFonts w:hint="eastAsia" w:cs="宋体"/>
          <w:color w:val="auto"/>
          <w:highlight w:val="none"/>
          <w:lang w:val="en-US" w:eastAsia="zh-CN"/>
        </w:rPr>
        <w:t>人.</w:t>
      </w:r>
      <w:r>
        <w:rPr>
          <w:rFonts w:hint="eastAsia" w:ascii="Times New Roman" w:hAnsi="Times New Roman" w:eastAsia="宋体" w:cs="宋体"/>
          <w:color w:val="auto"/>
          <w:highlight w:val="none"/>
          <w:lang w:val="en-US" w:eastAsia="zh-CN"/>
        </w:rPr>
        <w:t>次</w:t>
      </w:r>
      <w:r>
        <w:rPr>
          <w:rFonts w:ascii="Times New Roman" w:hAnsi="Times New Roman" w:eastAsia="宋体" w:cs="宋体"/>
          <w:color w:val="auto"/>
          <w:highlight w:val="none"/>
        </w:rPr>
        <w:t>处罚，</w:t>
      </w:r>
      <w:r>
        <w:rPr>
          <w:rFonts w:hint="eastAsia" w:ascii="Times New Roman" w:hAnsi="Times New Roman" w:eastAsia="宋体" w:cs="宋体"/>
          <w:color w:val="auto"/>
          <w:highlight w:val="none"/>
          <w:lang w:val="en-US" w:eastAsia="zh-CN"/>
        </w:rPr>
        <w:t>系统负责人按</w:t>
      </w:r>
      <w:r>
        <w:rPr>
          <w:rFonts w:ascii="Times New Roman" w:hAnsi="Times New Roman" w:eastAsia="宋体" w:cs="宋体"/>
          <w:color w:val="auto"/>
          <w:highlight w:val="none"/>
        </w:rPr>
        <w:t>10</w:t>
      </w:r>
      <w:r>
        <w:rPr>
          <w:rFonts w:hint="eastAsia" w:ascii="Times New Roman" w:hAnsi="Times New Roman" w:eastAsia="宋体" w:cs="宋体"/>
          <w:color w:val="auto"/>
          <w:highlight w:val="none"/>
          <w:lang w:val="en-US" w:eastAsia="zh-CN"/>
        </w:rPr>
        <w:t>万元/</w:t>
      </w:r>
      <w:r>
        <w:rPr>
          <w:rFonts w:hint="eastAsia" w:cs="宋体"/>
          <w:color w:val="auto"/>
          <w:highlight w:val="none"/>
          <w:lang w:val="en-US" w:eastAsia="zh-CN"/>
        </w:rPr>
        <w:t>人.</w:t>
      </w:r>
      <w:r>
        <w:rPr>
          <w:rFonts w:hint="eastAsia" w:ascii="Times New Roman" w:hAnsi="Times New Roman" w:eastAsia="宋体" w:cs="宋体"/>
          <w:color w:val="auto"/>
          <w:highlight w:val="none"/>
          <w:lang w:val="en-US" w:eastAsia="zh-CN"/>
        </w:rPr>
        <w:t>次</w:t>
      </w:r>
      <w:r>
        <w:rPr>
          <w:rFonts w:ascii="Times New Roman" w:hAnsi="Times New Roman" w:eastAsia="宋体" w:cs="宋体"/>
          <w:color w:val="auto"/>
          <w:highlight w:val="none"/>
        </w:rPr>
        <w:t>处罚。服务过程中，项目经理、</w:t>
      </w:r>
      <w:r>
        <w:rPr>
          <w:rFonts w:hint="eastAsia" w:ascii="Times New Roman" w:hAnsi="Times New Roman" w:eastAsia="宋体" w:cs="宋体"/>
          <w:color w:val="auto"/>
          <w:highlight w:val="none"/>
          <w:lang w:val="en-US" w:eastAsia="zh-CN"/>
        </w:rPr>
        <w:t>系统负责人</w:t>
      </w:r>
      <w:r>
        <w:rPr>
          <w:rFonts w:ascii="Times New Roman" w:hAnsi="Times New Roman" w:eastAsia="宋体" w:cs="宋体"/>
          <w:color w:val="auto"/>
          <w:highlight w:val="none"/>
        </w:rPr>
        <w:t>擅自离岗累计30天或以上，</w:t>
      </w:r>
      <w:r>
        <w:rPr>
          <w:rFonts w:hint="eastAsia" w:ascii="Times New Roman" w:hAnsi="Times New Roman" w:eastAsia="宋体" w:cs="宋体"/>
          <w:color w:val="auto"/>
          <w:highlight w:val="none"/>
          <w:lang w:val="en-US" w:eastAsia="zh-CN"/>
        </w:rPr>
        <w:t>视为擅自更换。</w:t>
      </w:r>
      <w:bookmarkEnd w:id="2521"/>
      <w:r>
        <w:rPr>
          <w:rFonts w:hint="eastAsia" w:ascii="Times New Roman" w:hAnsi="Times New Roman" w:eastAsia="宋体" w:cs="宋体"/>
          <w:color w:val="auto"/>
          <w:highlight w:val="none"/>
          <w:lang w:val="en-US" w:eastAsia="zh-CN"/>
        </w:rPr>
        <w:t>上述人员因疾病或意外事故导致不能履行职责的，需提供国家三级甲等以上医院出具医学证明文件（包括不限于：住院记录，病例，检验报告等）并经委托人书面同意办理更换手续后，可不扣违约金。</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eastAsia="宋体" w:cs="宋体"/>
          <w:color w:val="auto"/>
          <w:highlight w:val="none"/>
        </w:rPr>
      </w:pPr>
      <w:r>
        <w:rPr>
          <w:color w:val="auto"/>
          <w:szCs w:val="21"/>
          <w:highlight w:val="none"/>
        </w:rPr>
        <w:t>7.3.</w:t>
      </w:r>
      <w:r>
        <w:rPr>
          <w:rFonts w:hint="eastAsia"/>
          <w:color w:val="auto"/>
          <w:szCs w:val="21"/>
          <w:highlight w:val="none"/>
          <w:lang w:val="en-US" w:eastAsia="zh-CN"/>
        </w:rPr>
        <w:t>1.3</w:t>
      </w:r>
      <w:r>
        <w:rPr>
          <w:rFonts w:eastAsia="宋体" w:cs="宋体"/>
          <w:color w:val="auto"/>
          <w:highlight w:val="none"/>
        </w:rPr>
        <w:t>本项目中，技术工程师的更换，须满足以下原则：</w:t>
      </w:r>
    </w:p>
    <w:p>
      <w:pPr>
        <w:keepNext w:val="0"/>
        <w:keepLines w:val="0"/>
        <w:pageBreakBefore w:val="0"/>
        <w:widowControl w:val="0"/>
        <w:kinsoku/>
        <w:wordWrap/>
        <w:overflowPunct/>
        <w:topLinePunct w:val="0"/>
        <w:autoSpaceDE/>
        <w:autoSpaceDN/>
        <w:bidi w:val="0"/>
        <w:adjustRightInd/>
        <w:spacing w:line="440" w:lineRule="exact"/>
        <w:ind w:firstLine="630" w:firstLineChars="300"/>
        <w:textAlignment w:val="auto"/>
        <w:rPr>
          <w:rFonts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1</w:t>
      </w:r>
      <w:r>
        <w:rPr>
          <w:rFonts w:eastAsia="宋体" w:cs="宋体"/>
          <w:color w:val="auto"/>
          <w:highlight w:val="none"/>
        </w:rPr>
        <w:t>）</w:t>
      </w:r>
      <w:bookmarkStart w:id="2522" w:name="_Hlk36128346"/>
      <w:r>
        <w:rPr>
          <w:rFonts w:hint="eastAsia" w:eastAsia="宋体" w:cs="宋体"/>
          <w:color w:val="auto"/>
          <w:highlight w:val="none"/>
        </w:rPr>
        <w:t>因死亡、重大疾病等客观原因</w:t>
      </w:r>
      <w:r>
        <w:rPr>
          <w:rFonts w:eastAsia="宋体" w:cs="宋体"/>
          <w:color w:val="auto"/>
          <w:highlight w:val="none"/>
        </w:rPr>
        <w:t>导致不能履行职责的，需提供国家三级甲等以上医院出具医学证明文件</w:t>
      </w:r>
      <w:r>
        <w:rPr>
          <w:rFonts w:hint="eastAsia" w:eastAsia="宋体" w:cs="宋体"/>
          <w:color w:val="auto"/>
          <w:highlight w:val="none"/>
        </w:rPr>
        <w:t>，可更换相应的技术工程师，不予罚款</w:t>
      </w:r>
      <w:bookmarkEnd w:id="2522"/>
      <w:r>
        <w:rPr>
          <w:rFonts w:hint="eastAsia" w:eastAsia="宋体" w:cs="宋体"/>
          <w:color w:val="auto"/>
          <w:highlight w:val="none"/>
        </w:rPr>
        <w:t>；</w:t>
      </w:r>
    </w:p>
    <w:p>
      <w:pPr>
        <w:keepNext w:val="0"/>
        <w:keepLines w:val="0"/>
        <w:pageBreakBefore w:val="0"/>
        <w:widowControl w:val="0"/>
        <w:kinsoku/>
        <w:wordWrap/>
        <w:overflowPunct/>
        <w:topLinePunct w:val="0"/>
        <w:autoSpaceDE/>
        <w:autoSpaceDN/>
        <w:bidi w:val="0"/>
        <w:adjustRightInd/>
        <w:spacing w:line="440" w:lineRule="exact"/>
        <w:ind w:firstLine="630" w:firstLineChars="300"/>
        <w:textAlignment w:val="auto"/>
        <w:rPr>
          <w:rFonts w:ascii="Times New Roman" w:hAnsi="Times New Roman" w:eastAsia="宋体" w:cs="宋体"/>
          <w:color w:val="auto"/>
          <w:highlight w:val="none"/>
        </w:rPr>
      </w:pPr>
      <w:r>
        <w:rPr>
          <w:rFonts w:hint="eastAsia" w:eastAsia="宋体" w:cs="宋体"/>
          <w:color w:val="auto"/>
          <w:highlight w:val="none"/>
        </w:rPr>
        <w:t>（</w:t>
      </w:r>
      <w:r>
        <w:rPr>
          <w:rFonts w:hint="eastAsia" w:eastAsia="宋体" w:cs="宋体"/>
          <w:color w:val="auto"/>
          <w:highlight w:val="none"/>
          <w:lang w:val="en-US" w:eastAsia="zh-CN"/>
        </w:rPr>
        <w:t>2</w:t>
      </w:r>
      <w:r>
        <w:rPr>
          <w:rFonts w:eastAsia="宋体" w:cs="宋体"/>
          <w:color w:val="auto"/>
          <w:highlight w:val="none"/>
        </w:rPr>
        <w:t>）因集成服务商自身原因提出更换技术工程师的，自合同签订起更换的前3名不予罚款；超过3名的每次更换</w:t>
      </w:r>
      <w:r>
        <w:rPr>
          <w:rFonts w:ascii="Times New Roman" w:hAnsi="Times New Roman" w:eastAsia="宋体" w:cs="宋体"/>
          <w:color w:val="auto"/>
          <w:highlight w:val="none"/>
        </w:rPr>
        <w:t>按以下原则罚款：</w:t>
      </w:r>
    </w:p>
    <w:p>
      <w:pPr>
        <w:keepNext w:val="0"/>
        <w:keepLines w:val="0"/>
        <w:pageBreakBefore w:val="0"/>
        <w:widowControl w:val="0"/>
        <w:kinsoku/>
        <w:wordWrap/>
        <w:overflowPunct/>
        <w:topLinePunct w:val="0"/>
        <w:autoSpaceDE/>
        <w:autoSpaceDN/>
        <w:bidi w:val="0"/>
        <w:adjustRightInd/>
        <w:spacing w:line="440" w:lineRule="exact"/>
        <w:ind w:firstLine="1470" w:firstLineChars="700"/>
        <w:textAlignment w:val="auto"/>
        <w:rPr>
          <w:rFonts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罚款额</w:t>
      </w:r>
      <w:r>
        <w:rPr>
          <w:rFonts w:ascii="Times New Roman" w:hAnsi="Times New Roman" w:eastAsia="宋体" w:cs="宋体"/>
          <w:color w:val="auto"/>
          <w:highlight w:val="none"/>
          <w:lang w:val="en-US" w:eastAsia="zh-CN"/>
        </w:rPr>
        <w:t>=5万元×（被更换人员服务年限系数+更换人员资历系数）</w:t>
      </w:r>
    </w:p>
    <w:tbl>
      <w:tblPr>
        <w:tblStyle w:val="14"/>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700"/>
        <w:gridCol w:w="232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noWrap w:val="0"/>
            <w:vAlign w:val="top"/>
          </w:tcPr>
          <w:p>
            <w:pPr>
              <w:keepNext w:val="0"/>
              <w:keepLines w:val="0"/>
              <w:pageBreakBefore w:val="0"/>
              <w:widowControl w:val="0"/>
              <w:kinsoku/>
              <w:wordWrap/>
              <w:overflowPunct/>
              <w:topLinePunct w:val="0"/>
              <w:autoSpaceDE/>
              <w:autoSpaceDN/>
              <w:bidi w:val="0"/>
              <w:adjustRightInd/>
              <w:spacing w:line="440" w:lineRule="exact"/>
              <w:textAlignment w:val="auto"/>
              <w:rPr>
                <w:rFonts w:ascii="Times New Roman" w:hAnsi="Times New Roman" w:eastAsia="宋体" w:cs="宋体"/>
                <w:color w:val="auto"/>
                <w:highlight w:val="none"/>
              </w:rPr>
            </w:pPr>
            <w:r>
              <w:rPr>
                <w:rFonts w:hint="eastAsia" w:ascii="Times New Roman" w:hAnsi="Times New Roman" w:eastAsia="宋体" w:cs="宋体"/>
                <w:color w:val="auto"/>
                <w:highlight w:val="none"/>
              </w:rPr>
              <w:t>被更换人员服务年限</w:t>
            </w:r>
          </w:p>
        </w:tc>
        <w:tc>
          <w:tcPr>
            <w:tcW w:w="1700" w:type="dxa"/>
            <w:noWrap w:val="0"/>
            <w:vAlign w:val="top"/>
          </w:tcPr>
          <w:p>
            <w:pPr>
              <w:keepNext w:val="0"/>
              <w:keepLines w:val="0"/>
              <w:pageBreakBefore w:val="0"/>
              <w:widowControl w:val="0"/>
              <w:kinsoku/>
              <w:wordWrap/>
              <w:overflowPunct/>
              <w:topLinePunct w:val="0"/>
              <w:autoSpaceDE/>
              <w:autoSpaceDN/>
              <w:bidi w:val="0"/>
              <w:adjustRightInd/>
              <w:spacing w:line="440" w:lineRule="exact"/>
              <w:ind w:firstLine="630" w:firstLineChars="300"/>
              <w:textAlignment w:val="auto"/>
              <w:rPr>
                <w:rFonts w:ascii="Times New Roman" w:hAnsi="Times New Roman" w:eastAsia="宋体" w:cs="宋体"/>
                <w:color w:val="auto"/>
                <w:highlight w:val="none"/>
              </w:rPr>
            </w:pPr>
            <w:r>
              <w:rPr>
                <w:rFonts w:hint="eastAsia" w:ascii="Times New Roman" w:hAnsi="Times New Roman" w:eastAsia="宋体" w:cs="宋体"/>
                <w:color w:val="auto"/>
                <w:highlight w:val="none"/>
              </w:rPr>
              <w:t>系数</w:t>
            </w:r>
          </w:p>
        </w:tc>
        <w:tc>
          <w:tcPr>
            <w:tcW w:w="2322" w:type="dxa"/>
            <w:noWrap w:val="0"/>
            <w:vAlign w:val="top"/>
          </w:tcPr>
          <w:p>
            <w:pPr>
              <w:keepNext w:val="0"/>
              <w:keepLines w:val="0"/>
              <w:pageBreakBefore w:val="0"/>
              <w:widowControl w:val="0"/>
              <w:kinsoku/>
              <w:wordWrap/>
              <w:overflowPunct/>
              <w:topLinePunct w:val="0"/>
              <w:autoSpaceDE/>
              <w:autoSpaceDN/>
              <w:bidi w:val="0"/>
              <w:adjustRightInd/>
              <w:spacing w:line="440" w:lineRule="exact"/>
              <w:ind w:firstLine="630" w:firstLineChars="300"/>
              <w:textAlignment w:val="auto"/>
              <w:rPr>
                <w:rFonts w:ascii="Times New Roman" w:hAnsi="Times New Roman" w:eastAsia="宋体" w:cs="宋体"/>
                <w:color w:val="auto"/>
                <w:highlight w:val="none"/>
              </w:rPr>
            </w:pPr>
            <w:r>
              <w:rPr>
                <w:rFonts w:hint="eastAsia" w:ascii="Times New Roman" w:hAnsi="Times New Roman" w:eastAsia="宋体" w:cs="宋体"/>
                <w:color w:val="auto"/>
                <w:highlight w:val="none"/>
              </w:rPr>
              <w:t>更换人员资历</w:t>
            </w:r>
          </w:p>
        </w:tc>
        <w:tc>
          <w:tcPr>
            <w:tcW w:w="1648" w:type="dxa"/>
            <w:noWrap w:val="0"/>
            <w:vAlign w:val="top"/>
          </w:tcPr>
          <w:p>
            <w:pPr>
              <w:keepNext w:val="0"/>
              <w:keepLines w:val="0"/>
              <w:pageBreakBefore w:val="0"/>
              <w:widowControl w:val="0"/>
              <w:kinsoku/>
              <w:wordWrap/>
              <w:overflowPunct/>
              <w:topLinePunct w:val="0"/>
              <w:autoSpaceDE/>
              <w:autoSpaceDN/>
              <w:bidi w:val="0"/>
              <w:adjustRightInd/>
              <w:spacing w:line="440" w:lineRule="exact"/>
              <w:ind w:firstLine="630" w:firstLineChars="300"/>
              <w:textAlignment w:val="auto"/>
              <w:rPr>
                <w:rFonts w:ascii="Times New Roman" w:hAnsi="Times New Roman" w:eastAsia="宋体" w:cs="宋体"/>
                <w:color w:val="auto"/>
                <w:highlight w:val="none"/>
              </w:rPr>
            </w:pPr>
            <w:r>
              <w:rPr>
                <w:rFonts w:hint="eastAsia" w:ascii="Times New Roman" w:hAnsi="Times New Roman" w:eastAsia="宋体" w:cs="宋体"/>
                <w:color w:val="auto"/>
                <w:highlight w:val="none"/>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noWrap w:val="0"/>
            <w:vAlign w:val="top"/>
          </w:tcPr>
          <w:p>
            <w:pPr>
              <w:spacing w:line="360" w:lineRule="auto"/>
              <w:rPr>
                <w:rFonts w:hint="default" w:eastAsia="宋体" w:cs="宋体"/>
                <w:color w:val="auto"/>
                <w:highlight w:val="none"/>
                <w:lang w:val="en-US" w:eastAsia="zh-CN"/>
              </w:rPr>
            </w:pPr>
            <w:r>
              <w:rPr>
                <w:rFonts w:hint="eastAsia" w:eastAsia="宋体" w:cs="宋体"/>
                <w:color w:val="auto"/>
                <w:highlight w:val="none"/>
              </w:rPr>
              <w:t>≤</w:t>
            </w:r>
            <w:r>
              <w:rPr>
                <w:rFonts w:hint="eastAsia" w:eastAsia="宋体" w:cs="宋体"/>
                <w:color w:val="auto"/>
                <w:highlight w:val="none"/>
                <w:lang w:val="en-US" w:eastAsia="zh-CN"/>
              </w:rPr>
              <w:t>12个月</w:t>
            </w:r>
          </w:p>
        </w:tc>
        <w:tc>
          <w:tcPr>
            <w:tcW w:w="1700" w:type="dxa"/>
            <w:noWrap w:val="0"/>
            <w:vAlign w:val="top"/>
          </w:tcPr>
          <w:p>
            <w:pPr>
              <w:spacing w:line="360" w:lineRule="auto"/>
              <w:rPr>
                <w:rFonts w:eastAsia="宋体" w:cs="宋体"/>
                <w:color w:val="auto"/>
                <w:highlight w:val="none"/>
              </w:rPr>
            </w:pPr>
            <w:r>
              <w:rPr>
                <w:rFonts w:eastAsia="宋体" w:cs="宋体"/>
                <w:color w:val="auto"/>
                <w:highlight w:val="none"/>
              </w:rPr>
              <w:t>2</w:t>
            </w:r>
          </w:p>
        </w:tc>
        <w:tc>
          <w:tcPr>
            <w:tcW w:w="2322" w:type="dxa"/>
            <w:noWrap w:val="0"/>
            <w:vAlign w:val="top"/>
          </w:tcPr>
          <w:p>
            <w:pPr>
              <w:spacing w:line="360" w:lineRule="auto"/>
              <w:rPr>
                <w:rFonts w:eastAsia="宋体" w:cs="宋体"/>
                <w:color w:val="auto"/>
                <w:highlight w:val="none"/>
              </w:rPr>
            </w:pPr>
            <w:r>
              <w:rPr>
                <w:rFonts w:hint="eastAsia" w:eastAsia="宋体" w:cs="宋体"/>
                <w:color w:val="auto"/>
                <w:highlight w:val="none"/>
              </w:rPr>
              <w:t>低于被更换人员</w:t>
            </w:r>
          </w:p>
        </w:tc>
        <w:tc>
          <w:tcPr>
            <w:tcW w:w="1648" w:type="dxa"/>
            <w:noWrap w:val="0"/>
            <w:vAlign w:val="top"/>
          </w:tcPr>
          <w:p>
            <w:pPr>
              <w:spacing w:line="360" w:lineRule="auto"/>
              <w:rPr>
                <w:rFonts w:eastAsia="宋体" w:cs="宋体"/>
                <w:color w:val="auto"/>
                <w:highlight w:val="none"/>
              </w:rPr>
            </w:pPr>
            <w:r>
              <w:rPr>
                <w:rFonts w:eastAsia="宋体" w:cs="宋体"/>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noWrap w:val="0"/>
            <w:vAlign w:val="top"/>
          </w:tcPr>
          <w:p>
            <w:pPr>
              <w:spacing w:line="360" w:lineRule="auto"/>
              <w:rPr>
                <w:rFonts w:eastAsia="宋体" w:cs="宋体"/>
                <w:color w:val="auto"/>
                <w:highlight w:val="none"/>
              </w:rPr>
            </w:pPr>
            <w:r>
              <w:rPr>
                <w:rFonts w:hint="eastAsia" w:eastAsia="宋体" w:cs="宋体"/>
                <w:color w:val="auto"/>
                <w:highlight w:val="none"/>
                <w:lang w:val="en-US" w:eastAsia="zh-CN"/>
              </w:rPr>
              <w:t>12</w:t>
            </w:r>
            <w:r>
              <w:rPr>
                <w:rFonts w:eastAsia="宋体" w:cs="宋体"/>
                <w:color w:val="auto"/>
                <w:highlight w:val="none"/>
              </w:rPr>
              <w:t>个月—24个月</w:t>
            </w:r>
          </w:p>
        </w:tc>
        <w:tc>
          <w:tcPr>
            <w:tcW w:w="1700" w:type="dxa"/>
            <w:noWrap w:val="0"/>
            <w:vAlign w:val="top"/>
          </w:tcPr>
          <w:p>
            <w:pPr>
              <w:spacing w:line="360" w:lineRule="auto"/>
              <w:rPr>
                <w:rFonts w:eastAsia="宋体" w:cs="宋体"/>
                <w:color w:val="auto"/>
                <w:highlight w:val="none"/>
              </w:rPr>
            </w:pPr>
            <w:r>
              <w:rPr>
                <w:rFonts w:eastAsia="宋体" w:cs="宋体"/>
                <w:color w:val="auto"/>
                <w:highlight w:val="none"/>
              </w:rPr>
              <w:t>1</w:t>
            </w:r>
          </w:p>
        </w:tc>
        <w:tc>
          <w:tcPr>
            <w:tcW w:w="2322" w:type="dxa"/>
            <w:noWrap w:val="0"/>
            <w:vAlign w:val="top"/>
          </w:tcPr>
          <w:p>
            <w:pPr>
              <w:spacing w:line="360" w:lineRule="auto"/>
              <w:rPr>
                <w:rFonts w:eastAsia="宋体" w:cs="宋体"/>
                <w:color w:val="auto"/>
                <w:highlight w:val="none"/>
              </w:rPr>
            </w:pPr>
            <w:r>
              <w:rPr>
                <w:rFonts w:hint="eastAsia" w:eastAsia="宋体" w:cs="宋体"/>
                <w:color w:val="auto"/>
                <w:highlight w:val="none"/>
              </w:rPr>
              <w:t>相当于被更换人员</w:t>
            </w:r>
          </w:p>
        </w:tc>
        <w:tc>
          <w:tcPr>
            <w:tcW w:w="1648" w:type="dxa"/>
            <w:noWrap w:val="0"/>
            <w:vAlign w:val="top"/>
          </w:tcPr>
          <w:p>
            <w:pPr>
              <w:spacing w:line="360" w:lineRule="auto"/>
              <w:rPr>
                <w:rFonts w:eastAsia="宋体" w:cs="宋体"/>
                <w:color w:val="auto"/>
                <w:highlight w:val="none"/>
              </w:rPr>
            </w:pPr>
            <w:r>
              <w:rPr>
                <w:rFonts w:eastAsia="宋体" w:cs="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noWrap w:val="0"/>
            <w:vAlign w:val="top"/>
          </w:tcPr>
          <w:p>
            <w:pPr>
              <w:spacing w:line="360" w:lineRule="auto"/>
              <w:rPr>
                <w:rFonts w:eastAsia="宋体" w:cs="宋体"/>
                <w:color w:val="auto"/>
                <w:highlight w:val="none"/>
              </w:rPr>
            </w:pPr>
            <w:r>
              <w:rPr>
                <w:rFonts w:hint="eastAsia" w:eastAsia="宋体" w:cs="宋体"/>
                <w:color w:val="auto"/>
                <w:highlight w:val="none"/>
              </w:rPr>
              <w:t>≥</w:t>
            </w:r>
            <w:r>
              <w:rPr>
                <w:rFonts w:eastAsia="宋体" w:cs="宋体"/>
                <w:color w:val="auto"/>
                <w:highlight w:val="none"/>
              </w:rPr>
              <w:t>24个月</w:t>
            </w:r>
          </w:p>
        </w:tc>
        <w:tc>
          <w:tcPr>
            <w:tcW w:w="1700" w:type="dxa"/>
            <w:noWrap w:val="0"/>
            <w:vAlign w:val="top"/>
          </w:tcPr>
          <w:p>
            <w:pPr>
              <w:spacing w:line="360" w:lineRule="auto"/>
              <w:rPr>
                <w:rFonts w:eastAsia="宋体" w:cs="宋体"/>
                <w:color w:val="auto"/>
                <w:highlight w:val="none"/>
              </w:rPr>
            </w:pPr>
            <w:r>
              <w:rPr>
                <w:rFonts w:eastAsia="宋体" w:cs="宋体"/>
                <w:color w:val="auto"/>
                <w:highlight w:val="none"/>
              </w:rPr>
              <w:t>0</w:t>
            </w:r>
          </w:p>
        </w:tc>
        <w:tc>
          <w:tcPr>
            <w:tcW w:w="2322" w:type="dxa"/>
            <w:noWrap w:val="0"/>
            <w:vAlign w:val="top"/>
          </w:tcPr>
          <w:p>
            <w:pPr>
              <w:spacing w:line="360" w:lineRule="auto"/>
              <w:rPr>
                <w:rFonts w:eastAsia="宋体" w:cs="宋体"/>
                <w:color w:val="auto"/>
                <w:highlight w:val="none"/>
              </w:rPr>
            </w:pPr>
            <w:r>
              <w:rPr>
                <w:rFonts w:hint="eastAsia" w:eastAsia="宋体" w:cs="宋体"/>
                <w:color w:val="auto"/>
                <w:highlight w:val="none"/>
              </w:rPr>
              <w:t>优于被更换人员</w:t>
            </w:r>
          </w:p>
        </w:tc>
        <w:tc>
          <w:tcPr>
            <w:tcW w:w="1648" w:type="dxa"/>
            <w:noWrap w:val="0"/>
            <w:vAlign w:val="top"/>
          </w:tcPr>
          <w:p>
            <w:pPr>
              <w:spacing w:line="360" w:lineRule="auto"/>
              <w:rPr>
                <w:rFonts w:eastAsia="宋体" w:cs="宋体"/>
                <w:color w:val="auto"/>
                <w:highlight w:val="none"/>
              </w:rPr>
            </w:pPr>
            <w:r>
              <w:rPr>
                <w:rFonts w:eastAsia="宋体" w:cs="宋体"/>
                <w:color w:val="auto"/>
                <w:highlight w:val="none"/>
              </w:rPr>
              <w:t>0</w:t>
            </w:r>
          </w:p>
        </w:tc>
      </w:tr>
    </w:tbl>
    <w:p>
      <w:pPr>
        <w:numPr>
          <w:ilvl w:val="0"/>
          <w:numId w:val="9"/>
        </w:numPr>
        <w:spacing w:line="400" w:lineRule="exact"/>
        <w:ind w:firstLine="630" w:firstLineChars="300"/>
        <w:rPr>
          <w:rFonts w:eastAsia="宋体" w:cs="宋体"/>
          <w:color w:val="auto"/>
          <w:highlight w:val="none"/>
        </w:rPr>
      </w:pPr>
      <w:r>
        <w:rPr>
          <w:rFonts w:eastAsia="宋体" w:cs="宋体"/>
          <w:color w:val="auto"/>
          <w:highlight w:val="none"/>
        </w:rPr>
        <w:t>因无法胜任工作或违法违规，被业主要求更换的，按每人</w:t>
      </w:r>
      <w:r>
        <w:rPr>
          <w:rFonts w:hint="eastAsia" w:eastAsia="宋体" w:cs="宋体"/>
          <w:color w:val="auto"/>
          <w:highlight w:val="none"/>
          <w:lang w:val="en-US" w:eastAsia="zh-CN"/>
        </w:rPr>
        <w:t>5</w:t>
      </w:r>
      <w:r>
        <w:rPr>
          <w:rFonts w:eastAsia="宋体" w:cs="宋体"/>
          <w:color w:val="auto"/>
          <w:highlight w:val="none"/>
        </w:rPr>
        <w:t>万元</w:t>
      </w:r>
      <w:r>
        <w:rPr>
          <w:rFonts w:hint="eastAsia" w:eastAsia="宋体" w:cs="宋体"/>
          <w:color w:val="auto"/>
          <w:highlight w:val="none"/>
          <w:lang w:val="en-US" w:eastAsia="zh-CN"/>
        </w:rPr>
        <w:t>/次</w:t>
      </w:r>
      <w:r>
        <w:rPr>
          <w:rFonts w:eastAsia="宋体" w:cs="宋体"/>
          <w:color w:val="auto"/>
          <w:highlight w:val="none"/>
        </w:rPr>
        <w:t>处罚。</w:t>
      </w:r>
    </w:p>
    <w:p>
      <w:pPr>
        <w:numPr>
          <w:ilvl w:val="0"/>
          <w:numId w:val="0"/>
        </w:numPr>
        <w:spacing w:line="360" w:lineRule="exact"/>
        <w:ind w:firstLine="630" w:firstLineChars="300"/>
        <w:rPr>
          <w:rFonts w:eastAsia="宋体" w:cs="宋体"/>
          <w:color w:val="auto"/>
          <w:highlight w:val="none"/>
        </w:rPr>
      </w:pPr>
      <w:r>
        <w:rPr>
          <w:rFonts w:hint="eastAsia" w:eastAsia="宋体" w:cs="宋体"/>
          <w:color w:val="auto"/>
          <w:highlight w:val="none"/>
          <w:lang w:val="en-US" w:eastAsia="zh-CN"/>
        </w:rPr>
        <w:t>（4）合同执行时，经业主检查集成服务人员投入不满足投标承诺时，</w:t>
      </w:r>
      <w:r>
        <w:rPr>
          <w:rFonts w:eastAsia="宋体" w:cs="宋体"/>
          <w:color w:val="auto"/>
          <w:highlight w:val="none"/>
        </w:rPr>
        <w:t>按每人</w:t>
      </w:r>
      <w:r>
        <w:rPr>
          <w:rFonts w:hint="eastAsia" w:eastAsia="宋体" w:cs="宋体"/>
          <w:color w:val="auto"/>
          <w:highlight w:val="none"/>
          <w:lang w:val="en-US" w:eastAsia="zh-CN"/>
        </w:rPr>
        <w:t>1</w:t>
      </w:r>
      <w:r>
        <w:rPr>
          <w:rFonts w:eastAsia="宋体" w:cs="宋体"/>
          <w:color w:val="auto"/>
          <w:highlight w:val="none"/>
        </w:rPr>
        <w:t>万元</w:t>
      </w:r>
      <w:r>
        <w:rPr>
          <w:rFonts w:hint="eastAsia" w:eastAsia="宋体" w:cs="宋体"/>
          <w:color w:val="auto"/>
          <w:highlight w:val="none"/>
          <w:lang w:val="en-US" w:eastAsia="zh-CN"/>
        </w:rPr>
        <w:t>/次</w:t>
      </w:r>
      <w:r>
        <w:rPr>
          <w:rFonts w:eastAsia="宋体" w:cs="宋体"/>
          <w:color w:val="auto"/>
          <w:highlight w:val="none"/>
        </w:rPr>
        <w:t>处罚</w:t>
      </w:r>
      <w:r>
        <w:rPr>
          <w:rFonts w:hint="eastAsia" w:eastAsia="宋体" w:cs="宋体"/>
          <w:color w:val="auto"/>
          <w:highlight w:val="none"/>
          <w:lang w:eastAsia="zh-CN"/>
        </w:rPr>
        <w:t>。</w:t>
      </w:r>
    </w:p>
    <w:p>
      <w:pPr>
        <w:spacing w:line="400" w:lineRule="exact"/>
        <w:rPr>
          <w:rFonts w:eastAsia="宋体" w:cs="宋体"/>
          <w:color w:val="auto"/>
          <w:highlight w:val="none"/>
        </w:rPr>
      </w:pPr>
      <w:r>
        <w:rPr>
          <w:rFonts w:hint="eastAsia" w:eastAsia="宋体" w:cs="宋体"/>
          <w:color w:val="auto"/>
          <w:highlight w:val="none"/>
          <w:lang w:val="en-US" w:eastAsia="zh-CN"/>
        </w:rPr>
        <w:t>7.3.2</w:t>
      </w:r>
      <w:r>
        <w:rPr>
          <w:rFonts w:hint="eastAsia" w:eastAsia="宋体" w:cs="宋体"/>
          <w:color w:val="auto"/>
          <w:highlight w:val="none"/>
        </w:rPr>
        <w:t>人员考核</w:t>
      </w:r>
    </w:p>
    <w:p>
      <w:pPr>
        <w:spacing w:line="400" w:lineRule="exact"/>
        <w:ind w:firstLine="420" w:firstLineChars="200"/>
        <w:rPr>
          <w:rFonts w:hint="eastAsia" w:ascii="Times New Roman" w:hAnsi="Times New Roman" w:eastAsia="宋体" w:cs="宋体"/>
          <w:color w:val="auto"/>
          <w:highlight w:val="none"/>
        </w:rPr>
      </w:pPr>
      <w:r>
        <w:rPr>
          <w:rFonts w:hint="eastAsia" w:eastAsia="宋体" w:cs="宋体"/>
          <w:color w:val="auto"/>
          <w:highlight w:val="none"/>
        </w:rPr>
        <w:t>项目执行过程中，委托方定期对集成服务商的人员到岗、履约、服务质量进行考核，具体考核办法按照</w:t>
      </w:r>
      <w:r>
        <w:rPr>
          <w:rFonts w:hint="eastAsia" w:eastAsia="宋体" w:cs="宋体"/>
          <w:color w:val="auto"/>
          <w:highlight w:val="none"/>
          <w:lang w:val="en-US" w:eastAsia="zh-CN"/>
        </w:rPr>
        <w:t>二号线三期公</w:t>
      </w:r>
      <w:r>
        <w:rPr>
          <w:rFonts w:hint="eastAsia" w:eastAsia="宋体" w:cs="宋体"/>
          <w:color w:val="auto"/>
          <w:highlight w:val="none"/>
        </w:rPr>
        <w:t>司下发的文件执行。当期计量的绩效考核费用按考核结果进行</w:t>
      </w:r>
      <w:r>
        <w:rPr>
          <w:rFonts w:hint="eastAsia" w:ascii="Times New Roman" w:hAnsi="Times New Roman" w:eastAsia="宋体" w:cs="宋体"/>
          <w:color w:val="auto"/>
          <w:highlight w:val="none"/>
        </w:rPr>
        <w:t>支付。</w:t>
      </w:r>
    </w:p>
    <w:p>
      <w:pPr>
        <w:pStyle w:val="4"/>
        <w:bidi w:val="0"/>
        <w:rPr>
          <w:rFonts w:hint="eastAsia" w:ascii="黑体" w:hAnsi="黑体" w:eastAsia="黑体" w:cs="黑体"/>
          <w:color w:val="auto"/>
          <w:sz w:val="21"/>
          <w:szCs w:val="21"/>
          <w:highlight w:val="none"/>
        </w:rPr>
      </w:pPr>
      <w:bookmarkStart w:id="2523" w:name="_Toc38"/>
      <w:bookmarkStart w:id="2524" w:name="_Toc28285"/>
      <w:bookmarkStart w:id="2525" w:name="_Toc17340"/>
      <w:bookmarkStart w:id="2526" w:name="_Toc1125"/>
      <w:bookmarkStart w:id="2527" w:name="_Toc309026929"/>
      <w:bookmarkStart w:id="2528" w:name="_Toc309026535"/>
      <w:bookmarkStart w:id="2529" w:name="_Toc184763365"/>
      <w:bookmarkStart w:id="2530" w:name="_Toc306091656"/>
      <w:bookmarkStart w:id="2531" w:name="_Toc13339"/>
      <w:bookmarkStart w:id="2532" w:name="_Toc21480"/>
      <w:bookmarkStart w:id="2533" w:name="_Toc130847152"/>
      <w:r>
        <w:rPr>
          <w:rFonts w:hint="eastAsia" w:ascii="黑体" w:hAnsi="黑体" w:eastAsia="黑体" w:cs="黑体"/>
          <w:color w:val="auto"/>
          <w:sz w:val="21"/>
          <w:szCs w:val="21"/>
          <w:highlight w:val="none"/>
          <w:lang w:val="en-US" w:eastAsia="zh-CN"/>
        </w:rPr>
        <w:t xml:space="preserve">7.4 </w:t>
      </w:r>
      <w:r>
        <w:rPr>
          <w:rFonts w:hint="eastAsia" w:ascii="黑体" w:hAnsi="黑体" w:eastAsia="黑体" w:cs="黑体"/>
          <w:color w:val="auto"/>
          <w:sz w:val="21"/>
          <w:szCs w:val="21"/>
          <w:highlight w:val="none"/>
        </w:rPr>
        <w:t>其他</w:t>
      </w:r>
      <w:bookmarkEnd w:id="2523"/>
      <w:bookmarkEnd w:id="2524"/>
      <w:bookmarkEnd w:id="2525"/>
      <w:bookmarkEnd w:id="2526"/>
      <w:bookmarkEnd w:id="2527"/>
      <w:bookmarkEnd w:id="2528"/>
      <w:bookmarkEnd w:id="2529"/>
      <w:bookmarkEnd w:id="2530"/>
      <w:bookmarkEnd w:id="2531"/>
      <w:bookmarkEnd w:id="2532"/>
      <w:bookmarkEnd w:id="2533"/>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7.4.1 </w:t>
      </w:r>
      <w:r>
        <w:rPr>
          <w:color w:val="auto"/>
          <w:szCs w:val="21"/>
          <w:highlight w:val="none"/>
        </w:rPr>
        <w:t>集成服务商应以合适的表达方式清楚展示其管理机构与业主、供货商间的责任关系。</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7.4.2 </w:t>
      </w:r>
      <w:r>
        <w:rPr>
          <w:color w:val="auto"/>
          <w:szCs w:val="21"/>
          <w:highlight w:val="none"/>
        </w:rPr>
        <w:t>全部行政人员、监督人员、工程人员的姓名、资历和目前的履历，所报人员将全职受雇于该项目。</w:t>
      </w:r>
    </w:p>
    <w:p>
      <w:pPr>
        <w:numPr>
          <w:ilvl w:val="0"/>
          <w:numId w:val="0"/>
        </w:numPr>
        <w:spacing w:line="360" w:lineRule="auto"/>
        <w:ind w:leftChars="0"/>
        <w:rPr>
          <w:color w:val="auto"/>
          <w:szCs w:val="21"/>
          <w:highlight w:val="none"/>
        </w:rPr>
      </w:pPr>
      <w:r>
        <w:rPr>
          <w:rFonts w:hint="eastAsia"/>
          <w:color w:val="auto"/>
          <w:szCs w:val="21"/>
          <w:highlight w:val="none"/>
          <w:lang w:val="en-US" w:eastAsia="zh-CN"/>
        </w:rPr>
        <w:t xml:space="preserve">7.4.3 </w:t>
      </w:r>
      <w:r>
        <w:rPr>
          <w:color w:val="auto"/>
          <w:szCs w:val="21"/>
          <w:highlight w:val="none"/>
        </w:rPr>
        <w:t>项目经理要专职服务于该项目，由任职开始，至合同执行完止，履行在合同内应尽的责任。</w:t>
      </w:r>
    </w:p>
    <w:p>
      <w:pPr>
        <w:numPr>
          <w:ilvl w:val="0"/>
          <w:numId w:val="0"/>
        </w:numPr>
        <w:spacing w:line="360" w:lineRule="auto"/>
        <w:ind w:leftChars="0"/>
        <w:rPr>
          <w:color w:val="auto"/>
          <w:highlight w:val="none"/>
        </w:rPr>
      </w:pPr>
      <w:r>
        <w:rPr>
          <w:rFonts w:hint="eastAsia"/>
          <w:color w:val="auto"/>
          <w:szCs w:val="21"/>
          <w:highlight w:val="none"/>
          <w:lang w:val="en-US" w:eastAsia="zh-CN"/>
        </w:rPr>
        <w:t xml:space="preserve">7.4.4 </w:t>
      </w:r>
      <w:r>
        <w:rPr>
          <w:color w:val="auto"/>
          <w:szCs w:val="21"/>
          <w:highlight w:val="none"/>
        </w:rPr>
        <w:t>业主将按月度对集成服务人员出勤情况进行考核，视考核情况对项目合同金额进行扣减，保留进一步索赔的权利。</w:t>
      </w:r>
    </w:p>
    <w:p>
      <w:pPr>
        <w:pStyle w:val="3"/>
        <w:numPr>
          <w:ilvl w:val="0"/>
          <w:numId w:val="10"/>
        </w:numPr>
        <w:bidi w:val="0"/>
        <w:spacing w:line="360" w:lineRule="auto"/>
        <w:rPr>
          <w:color w:val="auto"/>
          <w:highlight w:val="none"/>
        </w:rPr>
      </w:pPr>
      <w:bookmarkStart w:id="2534" w:name="_Toc28208"/>
      <w:bookmarkStart w:id="2535" w:name="_Toc19387"/>
      <w:bookmarkStart w:id="2536" w:name="_Toc7786"/>
      <w:bookmarkStart w:id="2537" w:name="_Toc14458"/>
      <w:bookmarkStart w:id="2538" w:name="_Toc184763366"/>
      <w:bookmarkStart w:id="2539" w:name="_Toc309026536"/>
      <w:bookmarkStart w:id="2540" w:name="_Toc130847153"/>
      <w:bookmarkStart w:id="2541" w:name="_Toc10949"/>
      <w:bookmarkStart w:id="2542" w:name="_Toc10881"/>
      <w:bookmarkStart w:id="2543" w:name="_Toc309026930"/>
      <w:bookmarkStart w:id="2544" w:name="_Toc306091657"/>
      <w:r>
        <w:rPr>
          <w:color w:val="auto"/>
          <w:sz w:val="24"/>
          <w:szCs w:val="24"/>
          <w:highlight w:val="none"/>
        </w:rPr>
        <w:t>集成服务商的管理</w:t>
      </w:r>
      <w:bookmarkEnd w:id="2534"/>
      <w:bookmarkEnd w:id="2535"/>
      <w:bookmarkEnd w:id="2536"/>
      <w:bookmarkEnd w:id="2537"/>
      <w:bookmarkEnd w:id="2538"/>
      <w:bookmarkEnd w:id="2539"/>
      <w:bookmarkEnd w:id="2540"/>
      <w:bookmarkEnd w:id="2541"/>
      <w:bookmarkEnd w:id="2542"/>
      <w:bookmarkEnd w:id="2543"/>
      <w:bookmarkEnd w:id="2544"/>
    </w:p>
    <w:p>
      <w:pPr>
        <w:numPr>
          <w:ilvl w:val="0"/>
          <w:numId w:val="0"/>
        </w:numPr>
        <w:spacing w:line="360" w:lineRule="auto"/>
        <w:ind w:leftChars="0"/>
        <w:rPr>
          <w:color w:val="auto"/>
          <w:highlight w:val="none"/>
        </w:rPr>
      </w:pPr>
      <w:r>
        <w:rPr>
          <w:rFonts w:hint="eastAsia"/>
          <w:color w:val="auto"/>
          <w:highlight w:val="none"/>
          <w:lang w:val="en-US" w:eastAsia="zh-CN"/>
        </w:rPr>
        <w:t xml:space="preserve">8.1 </w:t>
      </w:r>
      <w:r>
        <w:rPr>
          <w:color w:val="auto"/>
          <w:highlight w:val="none"/>
        </w:rPr>
        <w:t>集成服务商作为业主授权的管理机构，对设备供货商进行技术和生产管理，必须维护业主利益，不得忽视或故意隐瞒设备供货商的错误、疏漏、违背合同等不利于业主和工程的行为。</w:t>
      </w:r>
    </w:p>
    <w:p>
      <w:pPr>
        <w:numPr>
          <w:ilvl w:val="0"/>
          <w:numId w:val="0"/>
        </w:numPr>
        <w:spacing w:line="360" w:lineRule="auto"/>
        <w:ind w:leftChars="0"/>
        <w:rPr>
          <w:color w:val="auto"/>
          <w:highlight w:val="none"/>
        </w:rPr>
      </w:pPr>
      <w:r>
        <w:rPr>
          <w:rFonts w:hint="eastAsia"/>
          <w:color w:val="auto"/>
          <w:highlight w:val="none"/>
          <w:lang w:val="en-US" w:eastAsia="zh-CN"/>
        </w:rPr>
        <w:t xml:space="preserve">8.2 </w:t>
      </w:r>
      <w:r>
        <w:rPr>
          <w:color w:val="auto"/>
          <w:highlight w:val="none"/>
        </w:rPr>
        <w:t>集成服务商应严格按照合同关系，处理好与设备供货商、设计单位、施工承包商、施工监理单位等的关系，团结合作，优质服务于工程。</w:t>
      </w:r>
    </w:p>
    <w:p>
      <w:pPr>
        <w:numPr>
          <w:ilvl w:val="0"/>
          <w:numId w:val="0"/>
        </w:numPr>
        <w:spacing w:line="360" w:lineRule="auto"/>
        <w:ind w:leftChars="0"/>
        <w:rPr>
          <w:color w:val="auto"/>
          <w:highlight w:val="none"/>
        </w:rPr>
      </w:pPr>
      <w:r>
        <w:rPr>
          <w:rFonts w:hint="eastAsia"/>
          <w:color w:val="auto"/>
          <w:highlight w:val="none"/>
          <w:lang w:val="en-US" w:eastAsia="zh-CN"/>
        </w:rPr>
        <w:t xml:space="preserve">8.3 </w:t>
      </w:r>
      <w:r>
        <w:rPr>
          <w:color w:val="auto"/>
          <w:highlight w:val="none"/>
        </w:rPr>
        <w:t>集成服务商需按合同要求提供所有办公设施，所有设施在合同签订后3个月必须齐全，如无合理理由业主将书面通告至集成服务商所在单位法人代表。所有设施在本条线商业运行前不得挪作他用，否则业主将口头警告，情节严重导致影响项目执行的，将书面通告至集成服务商所在单位法人代表。</w:t>
      </w:r>
    </w:p>
    <w:p>
      <w:pPr>
        <w:numPr>
          <w:ilvl w:val="0"/>
          <w:numId w:val="0"/>
        </w:numPr>
        <w:spacing w:line="360" w:lineRule="auto"/>
        <w:ind w:leftChars="0"/>
        <w:rPr>
          <w:color w:val="auto"/>
          <w:highlight w:val="none"/>
        </w:rPr>
      </w:pPr>
      <w:r>
        <w:rPr>
          <w:rFonts w:hint="eastAsia"/>
          <w:color w:val="auto"/>
          <w:highlight w:val="none"/>
          <w:lang w:val="en-US" w:eastAsia="zh-CN"/>
        </w:rPr>
        <w:t xml:space="preserve">8.4 </w:t>
      </w:r>
      <w:r>
        <w:rPr>
          <w:color w:val="auto"/>
          <w:highlight w:val="none"/>
        </w:rPr>
        <w:t>集成服务商需按合同要求配置所有人员，所有人员在合同签订后1个月必须到达东莞的机构，如无合理理由业主将书面通告至集成服务商所在单位法人代表。所有人员上岗前，应将资料和档案上报业主审核，对于不满足要求的业主将不予接受。对于资料和档案不真实的，业主将书面通告至集成服务商所在单位法人代表。在本合同执行期间，所有人员更换应遵守以上要求。</w:t>
      </w:r>
    </w:p>
    <w:p>
      <w:pPr>
        <w:numPr>
          <w:ilvl w:val="0"/>
          <w:numId w:val="0"/>
        </w:numPr>
        <w:spacing w:line="360" w:lineRule="auto"/>
        <w:ind w:leftChars="0"/>
        <w:rPr>
          <w:rFonts w:ascii="Times New Roman" w:hAnsi="Times New Roman" w:eastAsia="宋体" w:cs="Times New Roman"/>
          <w:color w:val="auto"/>
          <w:highlight w:val="none"/>
        </w:rPr>
      </w:pPr>
      <w:r>
        <w:rPr>
          <w:rFonts w:hint="eastAsia"/>
          <w:color w:val="auto"/>
          <w:highlight w:val="none"/>
          <w:lang w:val="en-US" w:eastAsia="zh-CN"/>
        </w:rPr>
        <w:t xml:space="preserve">8.5 </w:t>
      </w:r>
      <w:r>
        <w:rPr>
          <w:color w:val="auto"/>
          <w:highlight w:val="none"/>
        </w:rPr>
        <w:t>在设备合同和供货商管理过程中，集成服务商应充分利用自身的专业知识和经验，严格要求，认真把关。对于由于集成服务商把关不严引起的责任问题，业主将给予相应的处罚和索赔。</w:t>
      </w:r>
      <w:r>
        <w:rPr>
          <w:color w:val="auto"/>
          <w:highlight w:val="none"/>
        </w:rPr>
        <w:br w:type="textWrapping"/>
      </w:r>
      <w:r>
        <w:rPr>
          <w:rFonts w:hint="eastAsia"/>
          <w:color w:val="auto"/>
          <w:highlight w:val="none"/>
          <w:lang w:val="en-US" w:eastAsia="zh-CN"/>
        </w:rPr>
        <w:t xml:space="preserve">8.5.1 </w:t>
      </w:r>
      <w:r>
        <w:rPr>
          <w:rFonts w:ascii="Times New Roman" w:hAnsi="Times New Roman" w:eastAsia="宋体" w:cs="Times New Roman"/>
          <w:color w:val="auto"/>
          <w:highlight w:val="none"/>
        </w:rPr>
        <w:t>设备合同签订阶段，由于集成服务</w:t>
      </w:r>
      <w:r>
        <w:rPr>
          <w:color w:val="auto"/>
          <w:highlight w:val="none"/>
        </w:rPr>
        <w:t>商疏漏、错误等原因导致设备合同中关键条款、金额、重大参数性能错误或缺失的、引起合同进行变更的，业主将书面通报集成服务商所在单位法人代表；影响严重、引起合同I、II</w:t>
      </w:r>
      <w:r>
        <w:rPr>
          <w:rFonts w:ascii="Times New Roman" w:hAnsi="Times New Roman" w:eastAsia="宋体" w:cs="Times New Roman"/>
          <w:color w:val="auto"/>
          <w:highlight w:val="none"/>
        </w:rPr>
        <w:t>类变更的，业主将每次扣除集成服务合同总额1%的金额作为惩戒，最高不超过合同总额的3%；</w:t>
      </w:r>
      <w:r>
        <w:rPr>
          <w:rFonts w:ascii="Times New Roman" w:hAnsi="Times New Roman" w:eastAsia="宋体" w:cs="Times New Roman"/>
          <w:color w:val="auto"/>
          <w:highlight w:val="none"/>
        </w:rPr>
        <w:br w:type="textWrapping"/>
      </w:r>
      <w:r>
        <w:rPr>
          <w:rFonts w:hint="eastAsia" w:ascii="Times New Roman" w:hAnsi="Times New Roman" w:eastAsia="宋体" w:cs="Times New Roman"/>
          <w:color w:val="auto"/>
          <w:highlight w:val="none"/>
          <w:lang w:val="en-US" w:eastAsia="zh-CN"/>
        </w:rPr>
        <w:t xml:space="preserve">8.5.2 </w:t>
      </w:r>
      <w:r>
        <w:rPr>
          <w:rFonts w:ascii="Times New Roman" w:hAnsi="Times New Roman" w:eastAsia="宋体" w:cs="Times New Roman"/>
          <w:color w:val="auto"/>
          <w:highlight w:val="none"/>
        </w:rPr>
        <w:t>设计联络阶段，由于集成服务商组织混乱、人员专业水平不足等原因导致项目执行混乱、集成服务无实质作用的，业主将书面通告至集成服务商所在单位法人代表，并要求对不合格的人员立刻更换；</w:t>
      </w:r>
      <w:r>
        <w:rPr>
          <w:rFonts w:ascii="Times New Roman" w:hAnsi="Times New Roman" w:eastAsia="宋体" w:cs="Times New Roman"/>
          <w:color w:val="auto"/>
          <w:highlight w:val="none"/>
        </w:rPr>
        <w:br w:type="textWrapping"/>
      </w:r>
      <w:r>
        <w:rPr>
          <w:rFonts w:hint="eastAsia" w:ascii="Times New Roman" w:hAnsi="Times New Roman" w:eastAsia="宋体" w:cs="Times New Roman"/>
          <w:color w:val="auto"/>
          <w:highlight w:val="none"/>
          <w:lang w:val="en-US" w:eastAsia="zh-CN"/>
        </w:rPr>
        <w:t xml:space="preserve">8.5.3 </w:t>
      </w:r>
      <w:r>
        <w:rPr>
          <w:rFonts w:ascii="Times New Roman" w:hAnsi="Times New Roman" w:eastAsia="宋体" w:cs="Times New Roman"/>
          <w:color w:val="auto"/>
          <w:highlight w:val="none"/>
        </w:rPr>
        <w:t>设备监造阶段，由于集成服务商疏漏失察、专业水平不足、未到场监造等原因导致设备供货商所采购元器件、设备的型号、材质、参数不符合合同规定，业主将书面通告至集成服务商所在单位法人代表，并追究相关技术工程师和项目经理责任；影响严重、引起合同I、II类变更的，业主将每次扣除集成服务合同总额1%的金额作为惩戒，最高不超过合同总额的3%；</w:t>
      </w:r>
      <w:r>
        <w:rPr>
          <w:rFonts w:ascii="Times New Roman" w:hAnsi="Times New Roman" w:eastAsia="宋体" w:cs="Times New Roman"/>
          <w:color w:val="auto"/>
          <w:highlight w:val="none"/>
        </w:rPr>
        <w:br w:type="textWrapping"/>
      </w:r>
      <w:r>
        <w:rPr>
          <w:rFonts w:hint="eastAsia" w:ascii="Times New Roman" w:hAnsi="Times New Roman" w:eastAsia="宋体" w:cs="Times New Roman"/>
          <w:color w:val="auto"/>
          <w:highlight w:val="none"/>
          <w:lang w:val="en-US" w:eastAsia="zh-CN"/>
        </w:rPr>
        <w:t xml:space="preserve">8.5.4 </w:t>
      </w:r>
      <w:r>
        <w:rPr>
          <w:rFonts w:ascii="Times New Roman" w:hAnsi="Times New Roman" w:eastAsia="宋体" w:cs="Times New Roman"/>
          <w:color w:val="auto"/>
          <w:highlight w:val="none"/>
        </w:rPr>
        <w:t>出厂试验和出厂验收阶段，由于集成服务商未到场监督出厂试验或包庇供货商疏漏，导致出厂验收无法通过的，由集成服务商重新组织整改和出厂验收，并承担业主全部费用；</w:t>
      </w:r>
    </w:p>
    <w:p>
      <w:pPr>
        <w:numPr>
          <w:ilvl w:val="0"/>
          <w:numId w:val="0"/>
        </w:numPr>
        <w:spacing w:line="360" w:lineRule="auto"/>
        <w:ind w:leftChars="0"/>
        <w:rPr>
          <w:rFonts w:ascii="Times New Roman" w:hAnsi="Times New Roman" w:eastAsia="宋体" w:cs="Times New Roman"/>
          <w:color w:val="auto"/>
          <w:highlight w:val="none"/>
        </w:rPr>
      </w:pPr>
      <w:bookmarkStart w:id="2545" w:name="_Toc31318"/>
      <w:r>
        <w:rPr>
          <w:rFonts w:hint="eastAsia" w:ascii="Times New Roman" w:hAnsi="Times New Roman" w:eastAsia="宋体" w:cs="Times New Roman"/>
          <w:color w:val="auto"/>
          <w:highlight w:val="none"/>
          <w:lang w:val="en-US" w:eastAsia="zh-CN"/>
        </w:rPr>
        <w:t>8.5.5</w:t>
      </w:r>
      <w:r>
        <w:rPr>
          <w:rFonts w:ascii="Times New Roman" w:hAnsi="Times New Roman" w:eastAsia="宋体" w:cs="Times New Roman"/>
          <w:color w:val="auto"/>
          <w:highlight w:val="none"/>
        </w:rPr>
        <w:t>其他处罚和索赔项目按合同条款执行。</w:t>
      </w:r>
      <w:bookmarkEnd w:id="2545"/>
    </w:p>
    <w:p>
      <w:pPr>
        <w:rPr>
          <w:color w:val="auto"/>
          <w:highlight w:val="none"/>
        </w:rPr>
      </w:pPr>
    </w:p>
    <w:p>
      <w:pPr>
        <w:rPr>
          <w:color w:val="auto"/>
          <w:highlight w:val="none"/>
        </w:rPr>
      </w:pPr>
    </w:p>
    <w:p>
      <w:pPr>
        <w:snapToGrid w:val="0"/>
        <w:jc w:val="center"/>
        <w:rPr>
          <w:color w:val="auto"/>
          <w:kern w:val="0"/>
          <w:sz w:val="18"/>
          <w:szCs w:val="18"/>
          <w:highlight w:val="none"/>
        </w:rPr>
      </w:pPr>
    </w:p>
    <w:bookmarkEnd w:id="2157"/>
    <w:bookmarkEnd w:id="2158"/>
    <w:bookmarkEnd w:id="2159"/>
    <w:bookmarkEnd w:id="2160"/>
    <w:bookmarkEnd w:id="2161"/>
    <w:bookmarkEnd w:id="2162"/>
    <w:p>
      <w:pPr>
        <w:rPr>
          <w:color w:val="auto"/>
          <w:highlight w:val="none"/>
        </w:rPr>
      </w:pPr>
    </w:p>
    <w:p>
      <w:pPr>
        <w:pStyle w:val="5"/>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color w:val="auto"/>
          <w:highlight w:val="none"/>
        </w:rPr>
      </w:pPr>
    </w:p>
    <w:p>
      <w:pPr>
        <w:rPr>
          <w:rFonts w:hint="eastAsia"/>
          <w:color w:val="auto"/>
          <w:highlight w:val="none"/>
        </w:rPr>
      </w:pPr>
      <w:bookmarkStart w:id="2546" w:name="_Toc3942"/>
      <w:bookmarkStart w:id="2547" w:name="_Toc32420"/>
      <w:bookmarkStart w:id="2548" w:name="_Toc3551"/>
      <w:bookmarkStart w:id="2549" w:name="_Toc18313"/>
      <w:bookmarkStart w:id="2550" w:name="_Toc156398403"/>
      <w:r>
        <w:rPr>
          <w:rFonts w:hint="eastAsia"/>
          <w:color w:val="auto"/>
          <w:highlight w:val="none"/>
        </w:rPr>
        <w:br w:type="page"/>
      </w:r>
    </w:p>
    <w:p>
      <w:pPr>
        <w:pStyle w:val="2"/>
        <w:spacing w:before="0" w:after="0" w:line="240" w:lineRule="auto"/>
        <w:jc w:val="center"/>
        <w:rPr>
          <w:color w:val="auto"/>
          <w:highlight w:val="none"/>
        </w:rPr>
      </w:pPr>
      <w:bookmarkStart w:id="2551" w:name="_Toc16247"/>
      <w:r>
        <w:rPr>
          <w:rFonts w:hint="eastAsia"/>
          <w:color w:val="auto"/>
          <w:highlight w:val="none"/>
        </w:rPr>
        <w:t>第六章投标文件格式</w:t>
      </w:r>
      <w:bookmarkEnd w:id="2546"/>
      <w:bookmarkEnd w:id="2547"/>
      <w:bookmarkEnd w:id="2548"/>
      <w:bookmarkEnd w:id="2549"/>
      <w:bookmarkEnd w:id="2550"/>
      <w:bookmarkEnd w:id="2551"/>
    </w:p>
    <w:p>
      <w:pPr>
        <w:spacing w:line="400" w:lineRule="exact"/>
        <w:rPr>
          <w:color w:val="auto"/>
          <w:highlight w:val="none"/>
        </w:rPr>
      </w:pPr>
      <w:r>
        <w:rPr>
          <w:color w:val="auto"/>
          <w:highlight w:val="none"/>
        </w:rPr>
        <w:br w:type="page"/>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pPr>
        <w:rPr>
          <w:rFonts w:eastAsia="黑体"/>
          <w:color w:val="auto"/>
          <w:sz w:val="20"/>
          <w:highlight w:val="none"/>
        </w:rPr>
      </w:pPr>
    </w:p>
    <w:p>
      <w:pPr>
        <w:rPr>
          <w:rFonts w:eastAsia="黑体"/>
          <w:color w:val="auto"/>
          <w:sz w:val="20"/>
          <w:highlight w:val="none"/>
        </w:rPr>
      </w:pPr>
    </w:p>
    <w:p>
      <w:pPr>
        <w:jc w:val="center"/>
        <w:rPr>
          <w:rFonts w:eastAsia="黑体"/>
          <w:color w:val="auto"/>
          <w:sz w:val="44"/>
          <w:highlight w:val="none"/>
        </w:rPr>
      </w:pPr>
      <w:r>
        <w:rPr>
          <w:rFonts w:hint="eastAsia" w:eastAsia="黑体"/>
          <w:color w:val="auto"/>
          <w:sz w:val="44"/>
          <w:highlight w:val="none"/>
        </w:rPr>
        <w:t>投</w:t>
      </w:r>
      <w:r>
        <w:rPr>
          <w:rFonts w:eastAsia="黑体"/>
          <w:color w:val="auto"/>
          <w:sz w:val="44"/>
          <w:highlight w:val="none"/>
        </w:rPr>
        <w:t xml:space="preserve"> </w:t>
      </w:r>
      <w:r>
        <w:rPr>
          <w:rFonts w:hint="eastAsia" w:eastAsia="黑体"/>
          <w:color w:val="auto"/>
          <w:sz w:val="44"/>
          <w:highlight w:val="none"/>
        </w:rPr>
        <w:t>标</w:t>
      </w:r>
      <w:r>
        <w:rPr>
          <w:rFonts w:eastAsia="黑体"/>
          <w:color w:val="auto"/>
          <w:sz w:val="44"/>
          <w:highlight w:val="none"/>
        </w:rPr>
        <w:t xml:space="preserve"> </w:t>
      </w:r>
      <w:r>
        <w:rPr>
          <w:rFonts w:hint="eastAsia" w:eastAsia="黑体"/>
          <w:color w:val="auto"/>
          <w:sz w:val="44"/>
          <w:highlight w:val="none"/>
        </w:rPr>
        <w:t>文</w:t>
      </w:r>
      <w:r>
        <w:rPr>
          <w:rFonts w:eastAsia="黑体"/>
          <w:color w:val="auto"/>
          <w:sz w:val="44"/>
          <w:highlight w:val="none"/>
        </w:rPr>
        <w:t xml:space="preserve"> </w:t>
      </w:r>
      <w:r>
        <w:rPr>
          <w:rFonts w:hint="eastAsia" w:eastAsia="黑体"/>
          <w:color w:val="auto"/>
          <w:sz w:val="44"/>
          <w:highlight w:val="none"/>
        </w:rPr>
        <w:t>件</w:t>
      </w:r>
    </w:p>
    <w:p>
      <w:pPr>
        <w:jc w:val="center"/>
        <w:rPr>
          <w:rFonts w:eastAsia="黑体"/>
          <w:color w:val="auto"/>
          <w:sz w:val="44"/>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spacing w:line="360" w:lineRule="auto"/>
        <w:rPr>
          <w:rFonts w:eastAsia="黑体"/>
          <w:color w:val="auto"/>
          <w:sz w:val="28"/>
          <w:highlight w:val="none"/>
        </w:rPr>
      </w:pPr>
    </w:p>
    <w:p>
      <w:pPr>
        <w:spacing w:line="360" w:lineRule="auto"/>
        <w:ind w:firstLine="1120" w:firstLineChars="400"/>
        <w:rPr>
          <w:rFonts w:eastAsia="黑体"/>
          <w:color w:val="auto"/>
          <w:sz w:val="28"/>
          <w:highlight w:val="none"/>
          <w:u w:val="single"/>
        </w:rPr>
      </w:pPr>
      <w:r>
        <w:rPr>
          <w:rFonts w:hint="eastAsia" w:eastAsia="黑体"/>
          <w:color w:val="auto"/>
          <w:sz w:val="28"/>
          <w:highlight w:val="none"/>
        </w:rPr>
        <w:t>投标人：</w:t>
      </w:r>
      <w:r>
        <w:rPr>
          <w:color w:val="auto"/>
          <w:highlight w:val="none"/>
          <w:u w:val="single"/>
        </w:rPr>
        <w:t xml:space="preserve">                                            </w:t>
      </w:r>
      <w:r>
        <w:rPr>
          <w:rFonts w:hint="eastAsia" w:eastAsia="黑体"/>
          <w:color w:val="auto"/>
          <w:sz w:val="28"/>
          <w:highlight w:val="none"/>
        </w:rPr>
        <w:t>（盖单位公章）</w:t>
      </w:r>
    </w:p>
    <w:p>
      <w:pPr>
        <w:spacing w:line="360" w:lineRule="auto"/>
        <w:ind w:firstLine="1120" w:firstLineChars="400"/>
        <w:jc w:val="left"/>
        <w:rPr>
          <w:rFonts w:eastAsia="黑体"/>
          <w:color w:val="auto"/>
          <w:sz w:val="28"/>
          <w:highlight w:val="none"/>
        </w:rPr>
      </w:pPr>
      <w:r>
        <w:rPr>
          <w:rFonts w:hint="eastAsia" w:eastAsia="黑体"/>
          <w:color w:val="auto"/>
          <w:sz w:val="28"/>
          <w:highlight w:val="none"/>
        </w:rPr>
        <w:t>法定代表人或其授权代表：</w:t>
      </w:r>
      <w:r>
        <w:rPr>
          <w:color w:val="auto"/>
          <w:highlight w:val="none"/>
          <w:u w:val="single"/>
        </w:rPr>
        <w:t xml:space="preserve">         </w:t>
      </w:r>
      <w:r>
        <w:rPr>
          <w:rFonts w:hint="eastAsia" w:eastAsia="黑体"/>
          <w:color w:val="auto"/>
          <w:sz w:val="28"/>
          <w:highlight w:val="none"/>
        </w:rPr>
        <w:t>（签字</w:t>
      </w:r>
      <w:r>
        <w:rPr>
          <w:rFonts w:hint="eastAsia" w:eastAsia="黑体"/>
          <w:color w:val="auto"/>
          <w:sz w:val="28"/>
          <w:highlight w:val="none"/>
          <w:lang w:val="en-US" w:eastAsia="zh-CN"/>
        </w:rPr>
        <w:t>或签章</w:t>
      </w:r>
      <w:r>
        <w:rPr>
          <w:rFonts w:hint="eastAsia" w:eastAsia="黑体"/>
          <w:color w:val="auto"/>
          <w:sz w:val="28"/>
          <w:highlight w:val="none"/>
        </w:rPr>
        <w:t>）</w:t>
      </w:r>
    </w:p>
    <w:p>
      <w:pPr>
        <w:jc w:val="center"/>
        <w:rPr>
          <w:rFonts w:eastAsia="黑体"/>
          <w:color w:val="auto"/>
          <w:sz w:val="28"/>
          <w:highlight w:val="none"/>
        </w:rPr>
      </w:pPr>
    </w:p>
    <w:p>
      <w:pPr>
        <w:spacing w:line="400" w:lineRule="exact"/>
        <w:jc w:val="center"/>
        <w:rPr>
          <w:color w:val="auto"/>
          <w:highlight w:val="none"/>
        </w:rPr>
      </w:pPr>
      <w:r>
        <w:rPr>
          <w:color w:val="auto"/>
          <w:highlight w:val="none"/>
          <w:u w:val="single"/>
        </w:rPr>
        <w:t xml:space="preserve">       </w:t>
      </w:r>
      <w:r>
        <w:rPr>
          <w:rFonts w:hint="eastAsia" w:eastAsia="黑体"/>
          <w:color w:val="auto"/>
          <w:sz w:val="28"/>
          <w:highlight w:val="none"/>
        </w:rPr>
        <w:t>年</w:t>
      </w:r>
      <w:r>
        <w:rPr>
          <w:color w:val="auto"/>
          <w:highlight w:val="none"/>
          <w:u w:val="single"/>
        </w:rPr>
        <w:t xml:space="preserve">       </w:t>
      </w:r>
      <w:r>
        <w:rPr>
          <w:rFonts w:hint="eastAsia" w:eastAsia="黑体"/>
          <w:color w:val="auto"/>
          <w:sz w:val="28"/>
          <w:highlight w:val="none"/>
        </w:rPr>
        <w:t>月</w:t>
      </w:r>
      <w:r>
        <w:rPr>
          <w:color w:val="auto"/>
          <w:highlight w:val="none"/>
          <w:u w:val="single"/>
        </w:rPr>
        <w:t xml:space="preserve">       </w:t>
      </w:r>
      <w:r>
        <w:rPr>
          <w:rFonts w:hint="eastAsia" w:eastAsia="黑体"/>
          <w:color w:val="auto"/>
          <w:sz w:val="28"/>
          <w:highlight w:val="none"/>
        </w:rPr>
        <w:t>日</w:t>
      </w:r>
      <w:r>
        <w:rPr>
          <w:color w:val="auto"/>
          <w:highlight w:val="none"/>
        </w:rPr>
        <w:br w:type="page"/>
      </w:r>
    </w:p>
    <w:p>
      <w:pPr>
        <w:pStyle w:val="3"/>
        <w:spacing w:line="240" w:lineRule="auto"/>
        <w:jc w:val="center"/>
        <w:rPr>
          <w:rFonts w:ascii="Times New Roman" w:hAnsi="Times New Roman"/>
          <w:color w:val="auto"/>
          <w:sz w:val="21"/>
          <w:szCs w:val="16"/>
          <w:highlight w:val="none"/>
        </w:rPr>
      </w:pPr>
      <w:bookmarkStart w:id="2552" w:name="_Toc156398404"/>
      <w:bookmarkStart w:id="2553" w:name="_Toc13295"/>
      <w:bookmarkStart w:id="2554" w:name="_Toc9058"/>
      <w:bookmarkStart w:id="2555" w:name="_Toc12904"/>
      <w:bookmarkStart w:id="2556" w:name="_Toc5316"/>
      <w:bookmarkStart w:id="2557" w:name="_Toc24319"/>
      <w:r>
        <w:rPr>
          <w:rFonts w:hint="eastAsia" w:ascii="Times New Roman" w:hAnsi="Times New Roman"/>
          <w:color w:val="auto"/>
          <w:sz w:val="21"/>
          <w:szCs w:val="16"/>
          <w:highlight w:val="none"/>
        </w:rPr>
        <w:t>目录</w:t>
      </w:r>
      <w:bookmarkEnd w:id="2552"/>
      <w:bookmarkEnd w:id="2553"/>
      <w:bookmarkEnd w:id="2554"/>
      <w:bookmarkEnd w:id="2555"/>
      <w:bookmarkEnd w:id="2556"/>
      <w:bookmarkEnd w:id="2557"/>
    </w:p>
    <w:p>
      <w:pPr>
        <w:spacing w:line="540" w:lineRule="exact"/>
        <w:rPr>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color w:val="auto"/>
                <w:highlight w:val="none"/>
              </w:rPr>
            </w:pPr>
            <w:r>
              <w:rPr>
                <w:rFonts w:hint="eastAsia"/>
                <w:color w:val="auto"/>
                <w:highlight w:val="none"/>
              </w:rPr>
              <w:t>投标内容</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color w:val="auto"/>
                <w:highlight w:val="none"/>
              </w:rPr>
            </w:pPr>
            <w:r>
              <w:rPr>
                <w:rFonts w:hint="eastAsia"/>
                <w:color w:val="auto"/>
                <w:highlight w:val="none"/>
              </w:rPr>
              <w:t>投标文件中所在页码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color w:val="auto"/>
                <w:highlight w:val="none"/>
              </w:rPr>
              <w:t>1</w:t>
            </w:r>
            <w:r>
              <w:rPr>
                <w:rFonts w:hint="eastAsia"/>
                <w:color w:val="auto"/>
                <w:highlight w:val="none"/>
              </w:rPr>
              <w:t>、投标函及投标函附录</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color w:val="auto"/>
                <w:highlight w:val="none"/>
              </w:rPr>
              <w:t>2</w:t>
            </w:r>
            <w:r>
              <w:rPr>
                <w:rFonts w:hint="eastAsia"/>
                <w:color w:val="auto"/>
                <w:highlight w:val="none"/>
              </w:rPr>
              <w:t>、法定代表人身份证明</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color w:val="auto"/>
                <w:highlight w:val="none"/>
              </w:rPr>
              <w:t>3</w:t>
            </w:r>
            <w:r>
              <w:rPr>
                <w:rFonts w:hint="eastAsia"/>
                <w:color w:val="auto"/>
                <w:highlight w:val="none"/>
              </w:rPr>
              <w:t>、法定代表人授权委托书</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rFonts w:hint="eastAsia"/>
                <w:color w:val="auto"/>
                <w:highlight w:val="none"/>
              </w:rPr>
              <w:t>4、</w:t>
            </w:r>
            <w:r>
              <w:rPr>
                <w:rFonts w:hint="eastAsia"/>
                <w:color w:val="auto"/>
                <w:highlight w:val="none"/>
                <w:lang w:val="en-US" w:eastAsia="zh-CN"/>
              </w:rPr>
              <w:t>集成服务</w:t>
            </w:r>
            <w:r>
              <w:rPr>
                <w:rFonts w:hint="eastAsia"/>
                <w:color w:val="auto"/>
                <w:highlight w:val="none"/>
              </w:rPr>
              <w:t>单位组织机构表及项目</w:t>
            </w:r>
            <w:r>
              <w:rPr>
                <w:rFonts w:hint="eastAsia"/>
                <w:color w:val="auto"/>
                <w:highlight w:val="none"/>
                <w:lang w:val="en-US" w:eastAsia="zh-CN"/>
              </w:rPr>
              <w:t>集成服务</w:t>
            </w:r>
            <w:r>
              <w:rPr>
                <w:rFonts w:hint="eastAsia"/>
                <w:color w:val="auto"/>
                <w:highlight w:val="none"/>
              </w:rPr>
              <w:t>人员配置要求</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color w:val="auto"/>
                <w:highlight w:val="none"/>
              </w:rPr>
            </w:pPr>
            <w:r>
              <w:rPr>
                <w:rFonts w:hint="eastAsia"/>
                <w:color w:val="auto"/>
                <w:highlight w:val="none"/>
              </w:rPr>
              <w:t>5、</w:t>
            </w:r>
            <w:r>
              <w:rPr>
                <w:rFonts w:hint="eastAsia" w:eastAsia="宋体" w:cs="宋体"/>
                <w:color w:val="auto"/>
                <w:highlight w:val="none"/>
              </w:rPr>
              <w:t>设备集成服务报价清单</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rFonts w:hint="eastAsia"/>
                <w:color w:val="auto"/>
                <w:highlight w:val="none"/>
              </w:rPr>
              <w:t>6、合同条款响应性承诺书</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rFonts w:hint="eastAsia"/>
                <w:color w:val="auto"/>
                <w:highlight w:val="none"/>
              </w:rPr>
              <w:t>7、</w:t>
            </w:r>
            <w:r>
              <w:rPr>
                <w:rFonts w:hint="eastAsia" w:eastAsia="宋体" w:cs="宋体"/>
                <w:color w:val="auto"/>
                <w:highlight w:val="none"/>
              </w:rPr>
              <w:t>设备集成服务人员</w:t>
            </w:r>
            <w:r>
              <w:rPr>
                <w:rFonts w:hint="eastAsia"/>
                <w:color w:val="auto"/>
                <w:highlight w:val="none"/>
              </w:rPr>
              <w:t>承诺函</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eastAsia="宋体"/>
                <w:color w:val="auto"/>
                <w:highlight w:val="none"/>
                <w:lang w:val="en-US" w:eastAsia="zh-CN"/>
              </w:rPr>
            </w:pPr>
            <w:r>
              <w:rPr>
                <w:rFonts w:hint="eastAsia"/>
                <w:color w:val="auto"/>
                <w:highlight w:val="none"/>
              </w:rPr>
              <w:t>8、拟投入本项目的主要办公设施、设备表</w:t>
            </w:r>
            <w:r>
              <w:rPr>
                <w:rFonts w:hint="eastAsia"/>
                <w:color w:val="auto"/>
                <w:highlight w:val="none"/>
                <w:lang w:val="en-US" w:eastAsia="zh-CN"/>
              </w:rPr>
              <w:t xml:space="preserve"> </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rFonts w:hint="eastAsia"/>
                <w:color w:val="auto"/>
                <w:highlight w:val="none"/>
              </w:rPr>
              <w:t>9、</w:t>
            </w:r>
            <w:r>
              <w:rPr>
                <w:rFonts w:hint="eastAsia" w:eastAsia="宋体" w:cs="宋体"/>
                <w:color w:val="auto"/>
                <w:highlight w:val="none"/>
              </w:rPr>
              <w:t>集成服务大纲</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color w:val="auto"/>
                <w:highlight w:val="none"/>
              </w:rPr>
              <w:t>1</w:t>
            </w:r>
            <w:r>
              <w:rPr>
                <w:rFonts w:hint="eastAsia"/>
                <w:color w:val="auto"/>
                <w:highlight w:val="none"/>
              </w:rPr>
              <w:t>0、资格审查资料</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r>
              <w:rPr>
                <w:color w:val="auto"/>
                <w:highlight w:val="none"/>
              </w:rPr>
              <w:t>1</w:t>
            </w:r>
            <w:r>
              <w:rPr>
                <w:rFonts w:hint="eastAsia"/>
                <w:color w:val="auto"/>
                <w:highlight w:val="none"/>
              </w:rPr>
              <w:t>1、须评审的其他资料（格式自拟）</w:t>
            </w:r>
          </w:p>
        </w:tc>
        <w:tc>
          <w:tcPr>
            <w:tcW w:w="4819"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color w:val="auto"/>
                <w:highlight w:val="none"/>
              </w:rPr>
            </w:pPr>
          </w:p>
        </w:tc>
      </w:tr>
    </w:tbl>
    <w:p>
      <w:pPr>
        <w:spacing w:line="540" w:lineRule="exact"/>
        <w:rPr>
          <w:color w:val="auto"/>
          <w:highlight w:val="none"/>
        </w:rPr>
      </w:pPr>
      <w:r>
        <w:rPr>
          <w:rFonts w:hint="eastAsia"/>
          <w:color w:val="auto"/>
          <w:highlight w:val="none"/>
        </w:rPr>
        <w:t>备注：</w:t>
      </w:r>
      <w:r>
        <w:rPr>
          <w:rFonts w:hint="eastAsia"/>
          <w:color w:val="auto"/>
          <w:highlight w:val="none"/>
          <w:lang w:val="en-US" w:eastAsia="zh-CN"/>
        </w:rPr>
        <w:t>集成服务</w:t>
      </w:r>
      <w:r>
        <w:rPr>
          <w:rFonts w:hint="eastAsia"/>
          <w:color w:val="auto"/>
          <w:highlight w:val="none"/>
        </w:rPr>
        <w:t>单位应根据投标人须知及其前附表、评标办法及其前附表中提及的评审项目要求，按照投标文件格式编制投标文件。</w:t>
      </w:r>
    </w:p>
    <w:p>
      <w:pPr>
        <w:spacing w:line="540" w:lineRule="exact"/>
        <w:rPr>
          <w:color w:val="auto"/>
          <w:highlight w:val="none"/>
        </w:rPr>
      </w:pPr>
    </w:p>
    <w:p>
      <w:pPr>
        <w:pStyle w:val="3"/>
        <w:bidi w:val="0"/>
        <w:spacing w:before="0" w:after="0" w:line="240" w:lineRule="auto"/>
        <w:rPr>
          <w:rStyle w:val="21"/>
          <w:rFonts w:hint="eastAsia"/>
          <w:color w:val="auto"/>
          <w:highlight w:val="none"/>
        </w:rPr>
      </w:pPr>
      <w:r>
        <w:rPr>
          <w:color w:val="auto"/>
          <w:highlight w:val="none"/>
        </w:rPr>
        <w:br w:type="page"/>
      </w:r>
      <w:bookmarkStart w:id="2558" w:name="_Toc25159"/>
      <w:bookmarkStart w:id="2559" w:name="_Toc3119"/>
      <w:bookmarkStart w:id="2560" w:name="_Toc156398405"/>
      <w:r>
        <w:rPr>
          <w:rStyle w:val="21"/>
          <w:rFonts w:hint="eastAsia"/>
          <w:color w:val="auto"/>
          <w:highlight w:val="none"/>
        </w:rPr>
        <w:t>1.投标函及投标函附录</w:t>
      </w:r>
      <w:bookmarkEnd w:id="2558"/>
      <w:bookmarkEnd w:id="2559"/>
      <w:bookmarkEnd w:id="2560"/>
    </w:p>
    <w:p>
      <w:pPr>
        <w:bidi w:val="0"/>
        <w:jc w:val="center"/>
        <w:rPr>
          <w:rFonts w:hint="eastAsia"/>
          <w:b/>
          <w:bCs/>
          <w:color w:val="auto"/>
          <w:sz w:val="28"/>
          <w:szCs w:val="28"/>
          <w:highlight w:val="none"/>
        </w:rPr>
      </w:pPr>
      <w:bookmarkStart w:id="2561" w:name="_Toc4651"/>
      <w:bookmarkStart w:id="2562" w:name="_Toc5710"/>
      <w:bookmarkStart w:id="2563" w:name="_Toc30091"/>
      <w:bookmarkStart w:id="2564" w:name="_Toc156398406"/>
      <w:bookmarkStart w:id="2565" w:name="_Toc13926"/>
      <w:r>
        <w:rPr>
          <w:rFonts w:hint="eastAsia"/>
          <w:b/>
          <w:bCs/>
          <w:color w:val="auto"/>
          <w:sz w:val="28"/>
          <w:szCs w:val="28"/>
          <w:highlight w:val="none"/>
        </w:rPr>
        <w:t>（一）投标函</w:t>
      </w:r>
      <w:bookmarkEnd w:id="2561"/>
      <w:bookmarkEnd w:id="2562"/>
      <w:bookmarkEnd w:id="2563"/>
      <w:bookmarkEnd w:id="2564"/>
      <w:bookmarkEnd w:id="2565"/>
    </w:p>
    <w:p>
      <w:pPr>
        <w:rPr>
          <w:color w:val="auto"/>
          <w:szCs w:val="21"/>
          <w:highlight w:val="none"/>
        </w:rPr>
      </w:pPr>
      <w:r>
        <w:rPr>
          <w:color w:val="auto"/>
          <w:szCs w:val="21"/>
          <w:highlight w:val="none"/>
          <w:u w:val="single"/>
        </w:rPr>
        <w:t xml:space="preserve">                  </w:t>
      </w:r>
      <w:r>
        <w:rPr>
          <w:rFonts w:hint="eastAsia"/>
          <w:color w:val="auto"/>
          <w:szCs w:val="21"/>
          <w:highlight w:val="none"/>
        </w:rPr>
        <w:t>（招标人名称）：</w:t>
      </w:r>
    </w:p>
    <w:p>
      <w:pPr>
        <w:ind w:firstLine="405"/>
        <w:rPr>
          <w:color w:val="auto"/>
          <w:szCs w:val="21"/>
          <w:highlight w:val="none"/>
        </w:rPr>
      </w:pPr>
      <w:r>
        <w:rPr>
          <w:color w:val="auto"/>
          <w:szCs w:val="21"/>
          <w:highlight w:val="none"/>
        </w:rPr>
        <w:t>1</w:t>
      </w:r>
      <w:r>
        <w:rPr>
          <w:rFonts w:hint="eastAsia"/>
          <w:color w:val="auto"/>
          <w:szCs w:val="21"/>
          <w:highlight w:val="none"/>
        </w:rPr>
        <w:t>．我方已仔细研究了</w:t>
      </w:r>
      <w:r>
        <w:rPr>
          <w:color w:val="auto"/>
          <w:szCs w:val="21"/>
          <w:highlight w:val="none"/>
          <w:u w:val="single"/>
        </w:rPr>
        <w:t xml:space="preserve">                  </w:t>
      </w:r>
      <w:r>
        <w:rPr>
          <w:rFonts w:hint="eastAsia"/>
          <w:color w:val="auto"/>
          <w:szCs w:val="21"/>
          <w:highlight w:val="none"/>
        </w:rPr>
        <w:t>（项目名称）招标项目招标文件的全部内容，愿意以人民币（大写）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rPr>
        <w:t>）的投标含税总报价（其中，增值税税率为</w:t>
      </w:r>
      <w:r>
        <w:rPr>
          <w:rFonts w:hint="eastAsia" w:eastAsia="黑体"/>
          <w:color w:val="auto"/>
          <w:szCs w:val="21"/>
          <w:highlight w:val="none"/>
          <w:u w:val="single"/>
        </w:rPr>
        <w:t xml:space="preserve">   </w:t>
      </w:r>
      <w:r>
        <w:rPr>
          <w:rFonts w:eastAsia="黑体"/>
          <w:color w:val="auto"/>
          <w:szCs w:val="21"/>
          <w:highlight w:val="none"/>
        </w:rPr>
        <w:t>%</w:t>
      </w:r>
      <w:r>
        <w:rPr>
          <w:rFonts w:hint="eastAsia" w:eastAsia="黑体"/>
          <w:color w:val="auto"/>
          <w:szCs w:val="21"/>
          <w:highlight w:val="none"/>
        </w:rPr>
        <w:t>），</w:t>
      </w:r>
      <w:r>
        <w:rPr>
          <w:rFonts w:hint="eastAsia"/>
          <w:color w:val="auto"/>
          <w:szCs w:val="21"/>
          <w:highlight w:val="none"/>
          <w:lang w:val="en-US" w:eastAsia="zh-CN"/>
        </w:rPr>
        <w:t>集成</w:t>
      </w:r>
      <w:r>
        <w:rPr>
          <w:rFonts w:hint="eastAsia"/>
          <w:color w:val="auto"/>
          <w:szCs w:val="21"/>
          <w:highlight w:val="none"/>
        </w:rPr>
        <w:t>服务期限：</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rPr>
        <w:t>，按合同约定完成</w:t>
      </w:r>
      <w:r>
        <w:rPr>
          <w:rFonts w:hint="eastAsia"/>
          <w:color w:val="auto"/>
          <w:szCs w:val="21"/>
          <w:highlight w:val="none"/>
          <w:lang w:val="en-US" w:eastAsia="zh-CN"/>
        </w:rPr>
        <w:t>集成服务</w:t>
      </w:r>
      <w:r>
        <w:rPr>
          <w:rFonts w:hint="eastAsia"/>
          <w:color w:val="auto"/>
          <w:szCs w:val="21"/>
          <w:highlight w:val="none"/>
        </w:rPr>
        <w:t>工作。</w:t>
      </w:r>
    </w:p>
    <w:p>
      <w:pPr>
        <w:bidi w:val="0"/>
        <w:rPr>
          <w:color w:val="auto"/>
          <w:highlight w:val="none"/>
        </w:rPr>
      </w:pPr>
      <w:bookmarkStart w:id="2566" w:name="_Toc30267"/>
      <w:r>
        <w:rPr>
          <w:color w:val="auto"/>
          <w:highlight w:val="none"/>
        </w:rPr>
        <w:t xml:space="preserve">2. </w:t>
      </w:r>
      <w:r>
        <w:rPr>
          <w:rFonts w:hint="eastAsia"/>
          <w:color w:val="auto"/>
          <w:highlight w:val="none"/>
        </w:rPr>
        <w:t>我方的投标文件包括下列内容：</w:t>
      </w:r>
      <w:bookmarkEnd w:id="2566"/>
    </w:p>
    <w:p>
      <w:pPr>
        <w:ind w:firstLine="405"/>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）投标函及投标函附录；</w:t>
      </w:r>
    </w:p>
    <w:p>
      <w:pPr>
        <w:ind w:firstLine="405"/>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）法定代表人身份证明，若授权则另需提供授权委托书；</w:t>
      </w:r>
    </w:p>
    <w:p>
      <w:pPr>
        <w:ind w:firstLine="405"/>
        <w:rPr>
          <w:color w:val="auto"/>
          <w:szCs w:val="21"/>
          <w:highlight w:val="none"/>
        </w:rPr>
      </w:pPr>
      <w:r>
        <w:rPr>
          <w:rFonts w:hint="eastAsia"/>
          <w:color w:val="auto"/>
          <w:szCs w:val="21"/>
          <w:highlight w:val="none"/>
        </w:rPr>
        <w:t>（3）投标保证金（如有）；</w:t>
      </w:r>
    </w:p>
    <w:p>
      <w:pPr>
        <w:ind w:firstLine="405"/>
        <w:rPr>
          <w:color w:val="auto"/>
          <w:szCs w:val="21"/>
          <w:highlight w:val="none"/>
        </w:rPr>
      </w:pPr>
      <w:r>
        <w:rPr>
          <w:rFonts w:hint="eastAsia"/>
          <w:color w:val="auto"/>
          <w:szCs w:val="21"/>
          <w:highlight w:val="none"/>
        </w:rPr>
        <w:t>（4）</w:t>
      </w:r>
      <w:r>
        <w:rPr>
          <w:rFonts w:hint="eastAsia" w:eastAsia="宋体" w:cs="宋体"/>
          <w:color w:val="auto"/>
          <w:highlight w:val="none"/>
        </w:rPr>
        <w:t>设备集成服务报价清单</w:t>
      </w:r>
      <w:r>
        <w:rPr>
          <w:rFonts w:hint="eastAsia"/>
          <w:color w:val="auto"/>
          <w:szCs w:val="21"/>
          <w:highlight w:val="none"/>
        </w:rPr>
        <w:t>；</w:t>
      </w:r>
    </w:p>
    <w:p>
      <w:pPr>
        <w:ind w:firstLine="405"/>
        <w:rPr>
          <w:color w:val="auto"/>
          <w:szCs w:val="21"/>
          <w:highlight w:val="none"/>
        </w:rPr>
      </w:pPr>
      <w:r>
        <w:rPr>
          <w:rFonts w:hint="eastAsia"/>
          <w:color w:val="auto"/>
          <w:szCs w:val="21"/>
          <w:highlight w:val="none"/>
        </w:rPr>
        <w:t>（5）资格审查资料；</w:t>
      </w:r>
    </w:p>
    <w:p>
      <w:pPr>
        <w:ind w:firstLine="405"/>
        <w:rPr>
          <w:color w:val="auto"/>
          <w:szCs w:val="21"/>
          <w:highlight w:val="none"/>
        </w:rPr>
      </w:pPr>
      <w:r>
        <w:rPr>
          <w:rFonts w:hint="eastAsia"/>
          <w:color w:val="auto"/>
          <w:szCs w:val="21"/>
          <w:highlight w:val="none"/>
        </w:rPr>
        <w:t>（6）</w:t>
      </w:r>
      <w:r>
        <w:rPr>
          <w:rFonts w:hint="eastAsia" w:eastAsia="宋体" w:cs="宋体"/>
          <w:color w:val="auto"/>
          <w:highlight w:val="none"/>
        </w:rPr>
        <w:t>集成服务大纲</w:t>
      </w:r>
      <w:r>
        <w:rPr>
          <w:rFonts w:hint="eastAsia"/>
          <w:color w:val="auto"/>
          <w:szCs w:val="21"/>
          <w:highlight w:val="none"/>
        </w:rPr>
        <w:t>；</w:t>
      </w:r>
    </w:p>
    <w:p>
      <w:pPr>
        <w:ind w:firstLine="420" w:firstLineChars="200"/>
        <w:rPr>
          <w:rFonts w:hint="eastAsia"/>
          <w:color w:val="auto"/>
          <w:szCs w:val="21"/>
          <w:highlight w:val="none"/>
        </w:rPr>
      </w:pPr>
      <w:r>
        <w:rPr>
          <w:color w:val="auto"/>
          <w:szCs w:val="21"/>
          <w:highlight w:val="none"/>
        </w:rPr>
        <w:t>……</w:t>
      </w:r>
    </w:p>
    <w:p>
      <w:pPr>
        <w:ind w:firstLine="420" w:firstLineChars="200"/>
        <w:rPr>
          <w:color w:val="auto"/>
          <w:szCs w:val="21"/>
          <w:highlight w:val="none"/>
        </w:rPr>
      </w:pPr>
      <w:r>
        <w:rPr>
          <w:rFonts w:hint="eastAsia"/>
          <w:color w:val="auto"/>
          <w:szCs w:val="21"/>
          <w:highlight w:val="none"/>
        </w:rPr>
        <w:t>投标文件的上述组成部分如存在内容不一致的，以投标函为准。</w:t>
      </w:r>
    </w:p>
    <w:p>
      <w:pPr>
        <w:bidi w:val="0"/>
        <w:rPr>
          <w:color w:val="auto"/>
          <w:highlight w:val="none"/>
        </w:rPr>
      </w:pPr>
      <w:r>
        <w:rPr>
          <w:color w:val="auto"/>
          <w:highlight w:val="none"/>
        </w:rPr>
        <w:t>3</w:t>
      </w:r>
      <w:r>
        <w:rPr>
          <w:rFonts w:hint="eastAsia"/>
          <w:color w:val="auto"/>
          <w:highlight w:val="none"/>
        </w:rPr>
        <w:t>．我方承诺在招标文件规定的投标有效期内不撤销投标文件。</w:t>
      </w:r>
    </w:p>
    <w:p>
      <w:pPr>
        <w:bidi w:val="0"/>
        <w:rPr>
          <w:color w:val="auto"/>
          <w:highlight w:val="none"/>
        </w:rPr>
      </w:pPr>
      <w:r>
        <w:rPr>
          <w:color w:val="auto"/>
          <w:highlight w:val="none"/>
        </w:rPr>
        <w:t>4</w:t>
      </w:r>
      <w:r>
        <w:rPr>
          <w:rFonts w:hint="eastAsia"/>
          <w:color w:val="auto"/>
          <w:highlight w:val="none"/>
        </w:rPr>
        <w:t>．如我方中标，我方承诺：</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）在收到中标通知书后，在中标通知书规定的期限内与你方签订合同；</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）在签订合同时不向你方提出附加条件；</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）按照招标文件要求提交履约保证金；</w:t>
      </w:r>
      <w:bookmarkStart w:id="2567" w:name="_Toc1187"/>
      <w:bookmarkStart w:id="2568" w:name="_Toc369531694"/>
      <w:bookmarkStart w:id="2569" w:name="_Toc352691658"/>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）在合</w:t>
      </w:r>
      <w:bookmarkEnd w:id="2567"/>
      <w:bookmarkEnd w:id="2568"/>
      <w:bookmarkEnd w:id="2569"/>
      <w:r>
        <w:rPr>
          <w:rFonts w:hint="eastAsia"/>
          <w:color w:val="auto"/>
          <w:szCs w:val="21"/>
          <w:highlight w:val="none"/>
        </w:rPr>
        <w:t>同约定的期限内完成合同规定的全部义务。</w:t>
      </w:r>
    </w:p>
    <w:p>
      <w:pPr>
        <w:bidi w:val="0"/>
        <w:rPr>
          <w:color w:val="auto"/>
          <w:highlight w:val="none"/>
        </w:rPr>
      </w:pPr>
      <w:r>
        <w:rPr>
          <w:color w:val="auto"/>
          <w:highlight w:val="none"/>
        </w:rPr>
        <w:t>5</w:t>
      </w:r>
      <w:r>
        <w:rPr>
          <w:rFonts w:hint="eastAsia"/>
          <w:color w:val="auto"/>
          <w:highlight w:val="none"/>
        </w:rPr>
        <w:t>．我方在此声明，所递交的投标文件及有关资料内容完整、真实和准确，且不存在第二章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1.4.3</w:t>
      </w:r>
      <w:r>
        <w:rPr>
          <w:rFonts w:hint="eastAsia"/>
          <w:color w:val="auto"/>
          <w:highlight w:val="none"/>
        </w:rPr>
        <w:t>项规定的任何一种情形。</w:t>
      </w:r>
    </w:p>
    <w:p>
      <w:pPr>
        <w:bidi w:val="0"/>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u w:val="single"/>
        </w:rPr>
        <w:t xml:space="preserve">                            </w:t>
      </w:r>
      <w:r>
        <w:rPr>
          <w:color w:val="auto"/>
          <w:szCs w:val="21"/>
          <w:highlight w:val="none"/>
          <w:u w:val="single"/>
        </w:rPr>
        <w:tab/>
      </w:r>
      <w:r>
        <w:rPr>
          <w:rFonts w:hint="eastAsia"/>
          <w:color w:val="auto"/>
          <w:szCs w:val="21"/>
          <w:highlight w:val="none"/>
        </w:rPr>
        <w:t>（其他补充说明）。</w:t>
      </w:r>
    </w:p>
    <w:p>
      <w:pPr>
        <w:ind w:firstLine="2520" w:firstLineChars="1200"/>
        <w:jc w:val="left"/>
        <w:rPr>
          <w:color w:val="auto"/>
          <w:szCs w:val="21"/>
          <w:highlight w:val="none"/>
        </w:rPr>
      </w:pP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（盖单位章）</w:t>
      </w:r>
    </w:p>
    <w:p>
      <w:pPr>
        <w:jc w:val="left"/>
        <w:rPr>
          <w:color w:val="auto"/>
          <w:szCs w:val="21"/>
          <w:highlight w:val="none"/>
        </w:rPr>
      </w:pPr>
      <w:r>
        <w:rPr>
          <w:color w:val="auto"/>
          <w:szCs w:val="21"/>
          <w:highlight w:val="none"/>
        </w:rPr>
        <w:t xml:space="preserve">                        </w:t>
      </w:r>
      <w:r>
        <w:rPr>
          <w:rFonts w:hint="eastAsia"/>
          <w:color w:val="auto"/>
          <w:szCs w:val="21"/>
          <w:highlight w:val="none"/>
        </w:rPr>
        <w:t>法定代表人或其授权代表：</w:t>
      </w:r>
      <w:r>
        <w:rPr>
          <w:color w:val="auto"/>
          <w:szCs w:val="21"/>
          <w:highlight w:val="none"/>
          <w:u w:val="single"/>
        </w:rPr>
        <w:t xml:space="preserve">       </w:t>
      </w:r>
      <w:r>
        <w:rPr>
          <w:color w:val="auto"/>
          <w:szCs w:val="21"/>
          <w:highlight w:val="none"/>
          <w:u w:val="single"/>
        </w:rPr>
        <w:tab/>
      </w:r>
      <w:r>
        <w:rPr>
          <w:rFonts w:hint="eastAsia"/>
          <w:color w:val="auto"/>
          <w:szCs w:val="21"/>
          <w:highlight w:val="none"/>
        </w:rPr>
        <w:t>（签字</w:t>
      </w:r>
      <w:r>
        <w:rPr>
          <w:rFonts w:hint="eastAsia"/>
          <w:color w:val="auto"/>
          <w:szCs w:val="21"/>
          <w:highlight w:val="none"/>
          <w:lang w:val="en-US" w:eastAsia="zh-CN"/>
        </w:rPr>
        <w:t>或签章</w:t>
      </w:r>
      <w:r>
        <w:rPr>
          <w:rFonts w:hint="eastAsia"/>
          <w:color w:val="auto"/>
          <w:szCs w:val="21"/>
          <w:highlight w:val="none"/>
        </w:rPr>
        <w:t>）</w:t>
      </w:r>
    </w:p>
    <w:p>
      <w:pPr>
        <w:ind w:firstLine="2520" w:firstLineChars="1200"/>
        <w:jc w:val="left"/>
        <w:rPr>
          <w:color w:val="auto"/>
          <w:szCs w:val="21"/>
          <w:highlight w:val="none"/>
        </w:rPr>
      </w:pPr>
      <w:r>
        <w:rPr>
          <w:rFonts w:hint="eastAsia"/>
          <w:color w:val="auto"/>
          <w:szCs w:val="21"/>
          <w:highlight w:val="none"/>
        </w:rPr>
        <w:t>地</w:t>
      </w:r>
      <w:r>
        <w:rPr>
          <w:color w:val="auto"/>
          <w:szCs w:val="21"/>
          <w:highlight w:val="none"/>
        </w:rPr>
        <w:t xml:space="preserve">    </w:t>
      </w:r>
      <w:r>
        <w:rPr>
          <w:rFonts w:hint="eastAsia"/>
          <w:color w:val="auto"/>
          <w:szCs w:val="21"/>
          <w:highlight w:val="none"/>
        </w:rPr>
        <w:t>址：</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p>
    <w:p>
      <w:pPr>
        <w:ind w:firstLine="2520" w:firstLineChars="1200"/>
        <w:jc w:val="left"/>
        <w:rPr>
          <w:color w:val="auto"/>
          <w:szCs w:val="21"/>
          <w:highlight w:val="none"/>
        </w:rPr>
      </w:pPr>
      <w:r>
        <w:rPr>
          <w:rFonts w:hint="eastAsia"/>
          <w:color w:val="auto"/>
          <w:szCs w:val="21"/>
          <w:highlight w:val="none"/>
        </w:rPr>
        <w:t>网</w:t>
      </w:r>
      <w:r>
        <w:rPr>
          <w:color w:val="auto"/>
          <w:szCs w:val="21"/>
          <w:highlight w:val="none"/>
        </w:rPr>
        <w:t xml:space="preserve">    </w:t>
      </w:r>
      <w:r>
        <w:rPr>
          <w:rFonts w:hint="eastAsia"/>
          <w:color w:val="auto"/>
          <w:szCs w:val="21"/>
          <w:highlight w:val="none"/>
        </w:rPr>
        <w:t>址：</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电</w:t>
      </w:r>
      <w:r>
        <w:rPr>
          <w:color w:val="auto"/>
          <w:szCs w:val="21"/>
          <w:highlight w:val="none"/>
        </w:rPr>
        <w:t xml:space="preserve">    </w:t>
      </w:r>
      <w:r>
        <w:rPr>
          <w:rFonts w:hint="eastAsia"/>
          <w:color w:val="auto"/>
          <w:szCs w:val="21"/>
          <w:highlight w:val="none"/>
        </w:rPr>
        <w:t>话：</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邮政编码：</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4725" w:firstLineChars="2250"/>
        <w:jc w:val="right"/>
        <w:rPr>
          <w:color w:val="auto"/>
          <w:szCs w:val="21"/>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bidi w:val="0"/>
        <w:jc w:val="center"/>
        <w:rPr>
          <w:rFonts w:ascii="宋体" w:hAnsi="宋体"/>
          <w:color w:val="auto"/>
          <w:highlight w:val="none"/>
        </w:rPr>
      </w:pPr>
      <w:r>
        <w:rPr>
          <w:rFonts w:hint="eastAsia" w:ascii="宋体" w:hAnsi="宋体"/>
          <w:color w:val="auto"/>
          <w:highlight w:val="none"/>
        </w:rPr>
        <w:br w:type="page"/>
      </w:r>
      <w:bookmarkStart w:id="2570" w:name="_Toc27981"/>
      <w:bookmarkStart w:id="2571" w:name="_Toc26984"/>
      <w:bookmarkStart w:id="2572" w:name="_Toc8557"/>
      <w:bookmarkStart w:id="2573" w:name="_Toc156398407"/>
      <w:bookmarkStart w:id="2574" w:name="_Toc6736"/>
      <w:r>
        <w:rPr>
          <w:rFonts w:hint="eastAsia"/>
          <w:b/>
          <w:bCs/>
          <w:color w:val="auto"/>
          <w:sz w:val="28"/>
          <w:szCs w:val="28"/>
          <w:highlight w:val="none"/>
          <w:lang w:val="en-US" w:eastAsia="zh-CN"/>
        </w:rPr>
        <w:t>（二）投标函附录</w:t>
      </w:r>
      <w:bookmarkEnd w:id="2570"/>
      <w:bookmarkEnd w:id="2571"/>
      <w:bookmarkEnd w:id="2572"/>
      <w:bookmarkEnd w:id="2573"/>
      <w:bookmarkEnd w:id="257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2"/>
        <w:gridCol w:w="1514"/>
        <w:gridCol w:w="226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highlight w:val="none"/>
              </w:rPr>
            </w:pPr>
            <w:r>
              <w:rPr>
                <w:rFonts w:hint="eastAsia"/>
                <w:b/>
                <w:color w:val="auto"/>
                <w:highlight w:val="none"/>
              </w:rPr>
              <w:t>序号</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highlight w:val="none"/>
              </w:rPr>
            </w:pPr>
            <w:r>
              <w:rPr>
                <w:rFonts w:hint="eastAsia"/>
                <w:b/>
                <w:color w:val="auto"/>
                <w:highlight w:val="none"/>
              </w:rPr>
              <w:t>条款名称</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highlight w:val="none"/>
              </w:rPr>
            </w:pPr>
            <w:r>
              <w:rPr>
                <w:rFonts w:hint="eastAsia"/>
                <w:b/>
                <w:color w:val="auto"/>
                <w:highlight w:val="none"/>
              </w:rPr>
              <w:t>合同条款号</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highlight w:val="none"/>
              </w:rPr>
            </w:pPr>
            <w:r>
              <w:rPr>
                <w:rFonts w:hint="eastAsia"/>
                <w:b/>
                <w:color w:val="auto"/>
                <w:highlight w:val="none"/>
              </w:rPr>
              <w:t>约定内容</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highlight w:val="none"/>
              </w:rPr>
            </w:pPr>
            <w:r>
              <w:rPr>
                <w:rFonts w:hint="eastAsia"/>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color w:val="auto"/>
                <w:highlight w:val="none"/>
              </w:rPr>
            </w:pPr>
          </w:p>
        </w:tc>
        <w:tc>
          <w:tcPr>
            <w:tcW w:w="216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szCs w:val="21"/>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color w:val="auto"/>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718" w:firstLineChars="3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216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szCs w:val="21"/>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color w:val="auto"/>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jc w:val="center"/>
              <w:rPr>
                <w:color w:val="auto"/>
                <w:highlight w:val="none"/>
              </w:rPr>
            </w:pPr>
          </w:p>
        </w:tc>
        <w:tc>
          <w:tcPr>
            <w:tcW w:w="216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szCs w:val="21"/>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top"/>
          </w:tcPr>
          <w:p>
            <w:pPr>
              <w:jc w:val="center"/>
              <w:rPr>
                <w:color w:val="auto"/>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noWrap w:val="0"/>
            <w:vAlign w:val="top"/>
          </w:tcPr>
          <w:p>
            <w:pPr>
              <w:jc w:val="center"/>
              <w:rPr>
                <w:color w:val="auto"/>
                <w:highlight w:val="none"/>
              </w:rPr>
            </w:pPr>
            <w:r>
              <w:rPr>
                <w:color w:val="auto"/>
                <w:highlight w:val="none"/>
              </w:rPr>
              <w:t>……</w:t>
            </w:r>
          </w:p>
        </w:tc>
        <w:tc>
          <w:tcPr>
            <w:tcW w:w="2162" w:type="dxa"/>
            <w:tcBorders>
              <w:top w:val="single" w:color="auto" w:sz="4" w:space="0"/>
              <w:left w:val="single" w:color="auto" w:sz="4" w:space="0"/>
              <w:bottom w:val="single" w:color="auto" w:sz="4" w:space="0"/>
              <w:right w:val="single" w:color="auto" w:sz="4" w:space="0"/>
            </w:tcBorders>
            <w:noWrap w:val="0"/>
            <w:vAlign w:val="top"/>
          </w:tcPr>
          <w:p>
            <w:pPr>
              <w:jc w:val="center"/>
              <w:rPr>
                <w:color w:val="auto"/>
                <w:highlight w:val="none"/>
              </w:rPr>
            </w:pPr>
            <w:r>
              <w:rPr>
                <w:color w:val="auto"/>
                <w:highlight w:val="none"/>
              </w:rPr>
              <w:t>……</w:t>
            </w:r>
          </w:p>
        </w:tc>
        <w:tc>
          <w:tcPr>
            <w:tcW w:w="1514" w:type="dxa"/>
            <w:tcBorders>
              <w:top w:val="single" w:color="auto" w:sz="4" w:space="0"/>
              <w:left w:val="single" w:color="auto" w:sz="4" w:space="0"/>
              <w:bottom w:val="single" w:color="auto" w:sz="4" w:space="0"/>
              <w:right w:val="single" w:color="auto" w:sz="4" w:space="0"/>
            </w:tcBorders>
            <w:noWrap w:val="0"/>
            <w:vAlign w:val="top"/>
          </w:tcPr>
          <w:p>
            <w:pPr>
              <w:jc w:val="center"/>
              <w:rPr>
                <w:color w:val="auto"/>
                <w:highlight w:val="none"/>
              </w:rPr>
            </w:pPr>
            <w:r>
              <w:rPr>
                <w:color w:val="auto"/>
                <w:highlight w:val="none"/>
              </w:rPr>
              <w:t>……</w:t>
            </w:r>
          </w:p>
        </w:tc>
        <w:tc>
          <w:tcPr>
            <w:tcW w:w="2269" w:type="dxa"/>
            <w:tcBorders>
              <w:top w:val="single" w:color="auto" w:sz="4" w:space="0"/>
              <w:left w:val="single" w:color="auto" w:sz="4" w:space="0"/>
              <w:bottom w:val="single" w:color="auto" w:sz="4" w:space="0"/>
              <w:right w:val="single" w:color="auto" w:sz="4" w:space="0"/>
            </w:tcBorders>
            <w:noWrap w:val="0"/>
            <w:vAlign w:val="top"/>
          </w:tcPr>
          <w:p>
            <w:pPr>
              <w:jc w:val="center"/>
              <w:rPr>
                <w:color w:val="auto"/>
                <w:highlight w:val="none"/>
              </w:rPr>
            </w:pPr>
            <w:r>
              <w:rPr>
                <w:color w:val="auto"/>
                <w:highlight w:val="none"/>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718" w:firstLineChars="3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center"/>
              <w:rPr>
                <w:color w:val="auto"/>
                <w:highlight w:val="none"/>
              </w:rPr>
            </w:pPr>
            <w:r>
              <w:rPr>
                <w:color w:val="auto"/>
                <w:highlight w:val="none"/>
              </w:rPr>
              <w:t>……</w:t>
            </w:r>
          </w:p>
        </w:tc>
        <w:tc>
          <w:tcPr>
            <w:tcW w:w="21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center"/>
              <w:rPr>
                <w:color w:val="auto"/>
                <w:highlight w:val="none"/>
              </w:rPr>
            </w:pPr>
            <w:r>
              <w:rPr>
                <w:color w:val="auto"/>
                <w:highlight w:val="none"/>
              </w:rPr>
              <w:t>……</w:t>
            </w:r>
          </w:p>
        </w:tc>
        <w:tc>
          <w:tcPr>
            <w:tcW w:w="1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center"/>
              <w:rPr>
                <w:color w:val="auto"/>
                <w:highlight w:val="none"/>
              </w:rPr>
            </w:pPr>
            <w:r>
              <w:rPr>
                <w:color w:val="auto"/>
                <w:highlight w:val="none"/>
              </w:rPr>
              <w:t>……</w:t>
            </w:r>
          </w:p>
        </w:tc>
        <w:tc>
          <w:tcPr>
            <w:tcW w:w="226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center"/>
              <w:rPr>
                <w:color w:val="auto"/>
                <w:highlight w:val="none"/>
              </w:rPr>
            </w:pPr>
            <w:r>
              <w:rPr>
                <w:color w:val="auto"/>
                <w:highlight w:val="none"/>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r>
    </w:tbl>
    <w:p>
      <w:pPr>
        <w:spacing w:line="440" w:lineRule="exact"/>
        <w:jc w:val="left"/>
        <w:rPr>
          <w:rFonts w:hint="eastAsia"/>
          <w:color w:val="auto"/>
          <w:szCs w:val="21"/>
          <w:highlight w:val="none"/>
        </w:rPr>
      </w:pPr>
    </w:p>
    <w:p>
      <w:pPr>
        <w:spacing w:line="440" w:lineRule="exact"/>
        <w:ind w:firstLine="2520" w:firstLineChars="1200"/>
        <w:jc w:val="left"/>
        <w:rPr>
          <w:color w:val="auto"/>
          <w:szCs w:val="21"/>
          <w:highlight w:val="none"/>
        </w:rPr>
      </w:pP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（盖单位章）</w:t>
      </w:r>
    </w:p>
    <w:p>
      <w:pPr>
        <w:spacing w:line="440" w:lineRule="exact"/>
        <w:jc w:val="left"/>
        <w:rPr>
          <w:color w:val="auto"/>
          <w:szCs w:val="21"/>
          <w:highlight w:val="none"/>
        </w:rPr>
      </w:pPr>
      <w:r>
        <w:rPr>
          <w:color w:val="auto"/>
          <w:highlight w:val="none"/>
        </w:rPr>
        <w:t xml:space="preserve">                        </w:t>
      </w:r>
      <w:r>
        <w:rPr>
          <w:rFonts w:hint="eastAsia"/>
          <w:color w:val="auto"/>
          <w:highlight w:val="none"/>
        </w:rPr>
        <w:t>法定代表人</w:t>
      </w:r>
      <w:r>
        <w:rPr>
          <w:rFonts w:hint="eastAsia"/>
          <w:color w:val="auto"/>
          <w:szCs w:val="21"/>
          <w:highlight w:val="none"/>
        </w:rPr>
        <w:t>或其授权代表：</w:t>
      </w:r>
      <w:r>
        <w:rPr>
          <w:color w:val="auto"/>
          <w:szCs w:val="21"/>
          <w:highlight w:val="none"/>
          <w:u w:val="single"/>
        </w:rPr>
        <w:t xml:space="preserve">       </w:t>
      </w:r>
      <w:r>
        <w:rPr>
          <w:color w:val="auto"/>
          <w:szCs w:val="21"/>
          <w:highlight w:val="none"/>
          <w:u w:val="single"/>
        </w:rPr>
        <w:tab/>
      </w:r>
      <w:r>
        <w:rPr>
          <w:rFonts w:hint="eastAsia"/>
          <w:color w:val="auto"/>
          <w:szCs w:val="21"/>
          <w:highlight w:val="none"/>
        </w:rPr>
        <w:t>（签字</w:t>
      </w:r>
      <w:r>
        <w:rPr>
          <w:rFonts w:hint="eastAsia"/>
          <w:color w:val="auto"/>
          <w:szCs w:val="21"/>
          <w:highlight w:val="none"/>
          <w:lang w:val="en-US" w:eastAsia="zh-CN"/>
        </w:rPr>
        <w:t>或签章</w:t>
      </w:r>
      <w:r>
        <w:rPr>
          <w:rFonts w:hint="eastAsia"/>
          <w:color w:val="auto"/>
          <w:szCs w:val="21"/>
          <w:highlight w:val="none"/>
        </w:rPr>
        <w:t>）</w:t>
      </w:r>
    </w:p>
    <w:p>
      <w:pPr>
        <w:spacing w:line="440" w:lineRule="exact"/>
        <w:ind w:firstLine="4725" w:firstLineChars="2250"/>
        <w:jc w:val="right"/>
        <w:rPr>
          <w:color w:val="auto"/>
          <w:szCs w:val="21"/>
          <w:highlight w:val="none"/>
        </w:rPr>
      </w:pPr>
      <w:r>
        <w:rPr>
          <w:color w:val="auto"/>
          <w:highlight w:val="none"/>
          <w:u w:val="single"/>
        </w:rPr>
        <w:t xml:space="preserve">      </w:t>
      </w:r>
      <w:r>
        <w:rPr>
          <w:rFonts w:hint="eastAsia"/>
          <w:color w:val="auto"/>
          <w:szCs w:val="21"/>
          <w:highlight w:val="none"/>
        </w:rPr>
        <w:t>年</w:t>
      </w:r>
      <w:r>
        <w:rPr>
          <w:color w:val="auto"/>
          <w:highlight w:val="none"/>
          <w:u w:val="single"/>
        </w:rPr>
        <w:t xml:space="preserve">      </w:t>
      </w:r>
      <w:r>
        <w:rPr>
          <w:rFonts w:hint="eastAsia"/>
          <w:color w:val="auto"/>
          <w:szCs w:val="21"/>
          <w:highlight w:val="none"/>
        </w:rPr>
        <w:t>月</w:t>
      </w:r>
      <w:r>
        <w:rPr>
          <w:color w:val="auto"/>
          <w:highlight w:val="none"/>
          <w:u w:val="single"/>
        </w:rPr>
        <w:t xml:space="preserve">      </w:t>
      </w:r>
      <w:r>
        <w:rPr>
          <w:rFonts w:hint="eastAsia"/>
          <w:color w:val="auto"/>
          <w:szCs w:val="21"/>
          <w:highlight w:val="none"/>
        </w:rPr>
        <w:t>日</w:t>
      </w:r>
    </w:p>
    <w:p>
      <w:pPr>
        <w:spacing w:line="440" w:lineRule="exact"/>
        <w:ind w:right="840"/>
        <w:rPr>
          <w:color w:val="auto"/>
          <w:szCs w:val="21"/>
          <w:highlight w:val="none"/>
        </w:rPr>
      </w:pPr>
    </w:p>
    <w:p>
      <w:pPr>
        <w:pStyle w:val="3"/>
        <w:bidi w:val="0"/>
        <w:spacing w:before="0" w:after="0" w:line="240" w:lineRule="auto"/>
        <w:rPr>
          <w:color w:val="auto"/>
          <w:highlight w:val="none"/>
        </w:rPr>
      </w:pPr>
      <w:bookmarkStart w:id="2575" w:name="_Toc20665"/>
      <w:bookmarkStart w:id="2576" w:name="_Toc11917"/>
      <w:bookmarkStart w:id="2577" w:name="_Toc27097"/>
      <w:r>
        <w:rPr>
          <w:rFonts w:ascii="宋体" w:hAnsi="宋体"/>
          <w:color w:val="auto"/>
          <w:highlight w:val="none"/>
        </w:rPr>
        <w:br w:type="page"/>
      </w:r>
      <w:bookmarkStart w:id="2578" w:name="_Toc25698"/>
      <w:bookmarkStart w:id="2579" w:name="_Toc7987"/>
      <w:bookmarkStart w:id="2580" w:name="_Toc156398408"/>
      <w:r>
        <w:rPr>
          <w:rFonts w:hint="eastAsia" w:ascii="宋体" w:hAnsi="宋体"/>
          <w:color w:val="auto"/>
          <w:highlight w:val="none"/>
        </w:rPr>
        <w:t>2.法定代表人身份证明</w:t>
      </w:r>
      <w:bookmarkEnd w:id="2575"/>
      <w:bookmarkEnd w:id="2576"/>
      <w:bookmarkEnd w:id="2577"/>
      <w:bookmarkEnd w:id="2578"/>
      <w:bookmarkEnd w:id="2579"/>
      <w:bookmarkEnd w:id="2580"/>
    </w:p>
    <w:p>
      <w:pPr>
        <w:spacing w:line="440" w:lineRule="exact"/>
        <w:jc w:val="center"/>
        <w:rPr>
          <w:color w:val="auto"/>
          <w:highlight w:val="none"/>
        </w:rPr>
      </w:pPr>
      <w:r>
        <w:rPr>
          <w:rFonts w:hint="eastAsia"/>
          <w:color w:val="auto"/>
          <w:highlight w:val="none"/>
        </w:rPr>
        <w:t>法定代表人身份证明</w:t>
      </w:r>
    </w:p>
    <w:p>
      <w:pPr>
        <w:spacing w:line="440" w:lineRule="exact"/>
        <w:rPr>
          <w:color w:val="auto"/>
          <w:sz w:val="20"/>
          <w:highlight w:val="none"/>
        </w:rPr>
      </w:pPr>
    </w:p>
    <w:p>
      <w:pPr>
        <w:spacing w:line="440" w:lineRule="exact"/>
        <w:rPr>
          <w:color w:val="auto"/>
          <w:highlight w:val="none"/>
        </w:rPr>
      </w:pPr>
    </w:p>
    <w:p>
      <w:pPr>
        <w:spacing w:line="440" w:lineRule="exact"/>
        <w:rPr>
          <w:color w:val="auto"/>
          <w:highlight w:val="none"/>
        </w:rPr>
      </w:pPr>
      <w:r>
        <w:rPr>
          <w:rFonts w:hint="eastAsia"/>
          <w:color w:val="auto"/>
          <w:highlight w:val="none"/>
        </w:rPr>
        <w:t>投标人名称：</w:t>
      </w:r>
      <w:r>
        <w:rPr>
          <w:color w:val="auto"/>
          <w:highlight w:val="none"/>
          <w:u w:val="single"/>
        </w:rPr>
        <w:t xml:space="preserve">                        </w:t>
      </w:r>
    </w:p>
    <w:p>
      <w:pPr>
        <w:spacing w:line="440" w:lineRule="exact"/>
        <w:rPr>
          <w:color w:val="auto"/>
          <w:highlight w:val="none"/>
        </w:rPr>
      </w:pPr>
      <w:r>
        <w:rPr>
          <w:rFonts w:hint="eastAsia"/>
          <w:color w:val="auto"/>
          <w:highlight w:val="none"/>
        </w:rPr>
        <w:t>姓名：</w:t>
      </w:r>
      <w:r>
        <w:rPr>
          <w:color w:val="auto"/>
          <w:highlight w:val="none"/>
          <w:u w:val="single"/>
        </w:rPr>
        <w:t xml:space="preserve">                </w:t>
      </w:r>
      <w:r>
        <w:rPr>
          <w:rFonts w:hint="eastAsia"/>
          <w:color w:val="auto"/>
          <w:highlight w:val="none"/>
        </w:rPr>
        <w:t>性别：</w:t>
      </w:r>
      <w:bookmarkStart w:id="2581" w:name="_Toc369531698"/>
      <w:bookmarkStart w:id="2582" w:name="_Toc352691662"/>
      <w:bookmarkStart w:id="2583" w:name="_Toc27897"/>
      <w:r>
        <w:rPr>
          <w:color w:val="auto"/>
          <w:highlight w:val="none"/>
          <w:u w:val="single"/>
        </w:rPr>
        <w:t xml:space="preserve">        </w:t>
      </w:r>
      <w:r>
        <w:rPr>
          <w:rFonts w:hint="eastAsia"/>
          <w:color w:val="auto"/>
          <w:highlight w:val="none"/>
        </w:rPr>
        <w:t>年</w:t>
      </w:r>
      <w:bookmarkEnd w:id="2581"/>
      <w:bookmarkEnd w:id="2582"/>
      <w:bookmarkEnd w:id="2583"/>
      <w:r>
        <w:rPr>
          <w:rFonts w:hint="eastAsia"/>
          <w:color w:val="auto"/>
          <w:highlight w:val="none"/>
        </w:rPr>
        <w:t>龄</w:t>
      </w:r>
      <w:bookmarkStart w:id="2584" w:name="_Toc369531699"/>
      <w:bookmarkStart w:id="2585" w:name="_Toc247527829"/>
      <w:bookmarkStart w:id="2586" w:name="_Toc352691663"/>
      <w:bookmarkStart w:id="2587" w:name="_Toc384308377"/>
      <w:bookmarkStart w:id="2588" w:name="_Toc152045789"/>
      <w:bookmarkStart w:id="2589" w:name="_Toc15573"/>
      <w:bookmarkStart w:id="2590" w:name="_Toc361508754"/>
      <w:bookmarkStart w:id="2591" w:name="_Toc300835211"/>
      <w:bookmarkStart w:id="2592" w:name="_Toc152042578"/>
      <w:bookmarkStart w:id="2593" w:name="_Toc144974858"/>
      <w:bookmarkStart w:id="2594" w:name="_Toc247514248"/>
      <w:r>
        <w:rPr>
          <w:rFonts w:hint="eastAsia"/>
          <w:color w:val="auto"/>
          <w:highlight w:val="none"/>
        </w:rPr>
        <w:t>：</w:t>
      </w:r>
      <w:bookmarkEnd w:id="2584"/>
      <w:bookmarkEnd w:id="2585"/>
      <w:bookmarkEnd w:id="2586"/>
      <w:bookmarkEnd w:id="2587"/>
      <w:bookmarkEnd w:id="2588"/>
      <w:bookmarkEnd w:id="2589"/>
      <w:bookmarkEnd w:id="2590"/>
      <w:bookmarkEnd w:id="2591"/>
      <w:bookmarkEnd w:id="2592"/>
      <w:bookmarkEnd w:id="2593"/>
      <w:bookmarkEnd w:id="2594"/>
      <w:r>
        <w:rPr>
          <w:color w:val="auto"/>
          <w:highlight w:val="none"/>
          <w:u w:val="single"/>
        </w:rPr>
        <w:t xml:space="preserve">        </w:t>
      </w:r>
      <w:r>
        <w:rPr>
          <w:rFonts w:hint="eastAsia"/>
          <w:color w:val="auto"/>
          <w:highlight w:val="none"/>
        </w:rPr>
        <w:t>职务：</w:t>
      </w:r>
      <w:r>
        <w:rPr>
          <w:color w:val="auto"/>
          <w:highlight w:val="none"/>
          <w:u w:val="single"/>
        </w:rPr>
        <w:t xml:space="preserve">        </w:t>
      </w:r>
    </w:p>
    <w:p>
      <w:pPr>
        <w:spacing w:line="440" w:lineRule="exact"/>
        <w:rPr>
          <w:color w:val="auto"/>
          <w:highlight w:val="none"/>
        </w:rPr>
      </w:pPr>
      <w:r>
        <w:rPr>
          <w:rFonts w:hint="eastAsia"/>
          <w:color w:val="auto"/>
          <w:highlight w:val="none"/>
        </w:rPr>
        <w:t>系</w:t>
      </w:r>
      <w:r>
        <w:rPr>
          <w:color w:val="auto"/>
          <w:highlight w:val="none"/>
          <w:u w:val="single"/>
        </w:rPr>
        <w:t xml:space="preserve">                        </w:t>
      </w:r>
      <w:r>
        <w:rPr>
          <w:rFonts w:hint="eastAsia"/>
          <w:color w:val="auto"/>
          <w:highlight w:val="none"/>
        </w:rPr>
        <w:t>（投标人名称）的法定代表人。</w:t>
      </w:r>
    </w:p>
    <w:p>
      <w:pPr>
        <w:spacing w:line="440" w:lineRule="exact"/>
        <w:ind w:firstLine="420" w:firstLineChars="200"/>
        <w:rPr>
          <w:color w:val="auto"/>
          <w:highlight w:val="none"/>
        </w:rPr>
      </w:pPr>
      <w:r>
        <w:rPr>
          <w:rFonts w:hint="eastAsia"/>
          <w:color w:val="auto"/>
          <w:highlight w:val="none"/>
        </w:rPr>
        <w:t>特此证明。</w:t>
      </w:r>
    </w:p>
    <w:p>
      <w:pPr>
        <w:spacing w:line="440" w:lineRule="exact"/>
        <w:rPr>
          <w:color w:val="auto"/>
          <w:highlight w:val="none"/>
        </w:rPr>
      </w:pPr>
    </w:p>
    <w:p>
      <w:pPr>
        <w:spacing w:line="440" w:lineRule="exact"/>
        <w:rPr>
          <w:color w:val="auto"/>
          <w:highlight w:val="none"/>
        </w:rPr>
      </w:pPr>
      <w:r>
        <w:rPr>
          <w:rFonts w:hint="eastAsia"/>
          <w:color w:val="auto"/>
          <w:highlight w:val="none"/>
        </w:rPr>
        <w:t>附：法定代表人身份证复印件。</w:t>
      </w:r>
    </w:p>
    <w:p>
      <w:pPr>
        <w:spacing w:line="440" w:lineRule="exact"/>
        <w:rPr>
          <w:color w:val="auto"/>
          <w:highlight w:val="none"/>
        </w:rPr>
      </w:pPr>
    </w:p>
    <w:p>
      <w:pPr>
        <w:spacing w:line="440" w:lineRule="exact"/>
        <w:rPr>
          <w:color w:val="auto"/>
          <w:highlight w:val="none"/>
        </w:rPr>
      </w:pPr>
      <w:r>
        <w:rPr>
          <w:rFonts w:hint="eastAsia"/>
          <w:color w:val="auto"/>
          <w:highlight w:val="none"/>
        </w:rPr>
        <w:t>注：本身份证明需由投标人加盖单位公章。</w:t>
      </w:r>
    </w:p>
    <w:p>
      <w:pPr>
        <w:spacing w:line="440" w:lineRule="exact"/>
        <w:rPr>
          <w:color w:val="auto"/>
          <w:highlight w:val="none"/>
        </w:rPr>
      </w:pPr>
    </w:p>
    <w:p>
      <w:pPr>
        <w:spacing w:line="440" w:lineRule="exact"/>
        <w:rPr>
          <w:color w:val="auto"/>
          <w:highlight w:val="none"/>
        </w:rPr>
      </w:pPr>
    </w:p>
    <w:p>
      <w:pPr>
        <w:spacing w:line="440" w:lineRule="exact"/>
        <w:jc w:val="center"/>
        <w:rPr>
          <w:color w:val="auto"/>
          <w:highlight w:val="none"/>
        </w:rPr>
      </w:pPr>
      <w:r>
        <w:rPr>
          <w:color w:val="auto"/>
          <w:highlight w:val="none"/>
        </w:rPr>
        <w:t xml:space="preserve">                              </w:t>
      </w:r>
      <w:r>
        <w:rPr>
          <w:rFonts w:hint="eastAsia"/>
          <w:color w:val="auto"/>
          <w:highlight w:val="none"/>
        </w:rPr>
        <w:t>投标人：</w:t>
      </w:r>
      <w:r>
        <w:rPr>
          <w:color w:val="auto"/>
          <w:szCs w:val="21"/>
          <w:highlight w:val="none"/>
          <w:u w:val="single"/>
        </w:rPr>
        <w:t xml:space="preserve">          </w:t>
      </w:r>
      <w:r>
        <w:rPr>
          <w:color w:val="auto"/>
          <w:szCs w:val="21"/>
          <w:highlight w:val="none"/>
          <w:u w:val="single"/>
        </w:rPr>
        <w:tab/>
      </w:r>
      <w:r>
        <w:rPr>
          <w:rFonts w:hint="eastAsia"/>
          <w:color w:val="auto"/>
          <w:highlight w:val="none"/>
        </w:rPr>
        <w:t>（盖单位章）</w:t>
      </w:r>
    </w:p>
    <w:p>
      <w:pPr>
        <w:spacing w:line="440" w:lineRule="exact"/>
        <w:rPr>
          <w:color w:val="auto"/>
          <w:highlight w:val="none"/>
        </w:rPr>
      </w:pPr>
    </w:p>
    <w:p>
      <w:pPr>
        <w:spacing w:line="440" w:lineRule="exact"/>
        <w:ind w:firstLine="4620" w:firstLineChars="2200"/>
        <w:rPr>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spacing w:line="440" w:lineRule="exact"/>
        <w:rPr>
          <w:rFonts w:eastAsia="黑体"/>
          <w:color w:val="auto"/>
          <w:sz w:val="20"/>
          <w:highlight w:val="none"/>
        </w:rPr>
      </w:pPr>
    </w:p>
    <w:p>
      <w:pPr>
        <w:pStyle w:val="3"/>
        <w:bidi w:val="0"/>
        <w:spacing w:before="0" w:after="0" w:line="240" w:lineRule="auto"/>
        <w:rPr>
          <w:rFonts w:hint="eastAsia" w:ascii="宋体" w:hAnsi="宋体"/>
          <w:color w:val="auto"/>
          <w:highlight w:val="none"/>
        </w:rPr>
      </w:pPr>
      <w:bookmarkStart w:id="2595" w:name="_Toc15379"/>
      <w:bookmarkStart w:id="2596" w:name="_Toc3131"/>
      <w:bookmarkStart w:id="2597" w:name="_Toc8871"/>
      <w:r>
        <w:rPr>
          <w:rFonts w:ascii="宋体" w:hAnsi="宋体"/>
          <w:color w:val="auto"/>
          <w:highlight w:val="none"/>
        </w:rPr>
        <w:br w:type="page"/>
      </w:r>
      <w:bookmarkStart w:id="2598" w:name="_Toc19036"/>
      <w:bookmarkStart w:id="2599" w:name="_Toc156398409"/>
      <w:bookmarkStart w:id="2600" w:name="_Toc7614"/>
      <w:r>
        <w:rPr>
          <w:rFonts w:hint="eastAsia" w:ascii="宋体" w:hAnsi="宋体"/>
          <w:color w:val="auto"/>
          <w:highlight w:val="none"/>
        </w:rPr>
        <w:t>3.法定代表人授权委托书</w:t>
      </w:r>
      <w:bookmarkEnd w:id="2595"/>
      <w:bookmarkEnd w:id="2596"/>
      <w:bookmarkEnd w:id="2597"/>
      <w:bookmarkEnd w:id="2598"/>
      <w:bookmarkEnd w:id="2599"/>
      <w:bookmarkEnd w:id="2600"/>
    </w:p>
    <w:p>
      <w:pPr>
        <w:spacing w:line="440" w:lineRule="exact"/>
        <w:jc w:val="center"/>
        <w:rPr>
          <w:rFonts w:hint="eastAsia"/>
          <w:color w:val="auto"/>
          <w:highlight w:val="none"/>
        </w:rPr>
      </w:pPr>
    </w:p>
    <w:p>
      <w:pPr>
        <w:spacing w:line="440" w:lineRule="exact"/>
        <w:jc w:val="center"/>
        <w:rPr>
          <w:color w:val="auto"/>
          <w:highlight w:val="none"/>
        </w:rPr>
      </w:pPr>
      <w:r>
        <w:rPr>
          <w:rFonts w:hint="eastAsia"/>
          <w:color w:val="auto"/>
          <w:highlight w:val="none"/>
        </w:rPr>
        <w:t>授权委托书</w:t>
      </w:r>
    </w:p>
    <w:p>
      <w:pPr>
        <w:spacing w:line="440" w:lineRule="exact"/>
        <w:rPr>
          <w:rFonts w:eastAsia="黑体"/>
          <w:color w:val="auto"/>
          <w:highlight w:val="none"/>
        </w:rPr>
      </w:pPr>
    </w:p>
    <w:p>
      <w:pPr>
        <w:topLinePunct/>
        <w:spacing w:line="440" w:lineRule="exact"/>
        <w:ind w:firstLine="420" w:firstLineChars="200"/>
        <w:rPr>
          <w:color w:val="auto"/>
          <w:highlight w:val="none"/>
        </w:rPr>
      </w:pPr>
      <w:r>
        <w:rPr>
          <w:rFonts w:hint="eastAsia"/>
          <w:color w:val="auto"/>
          <w:highlight w:val="none"/>
        </w:rPr>
        <w:t>本人</w:t>
      </w:r>
      <w:r>
        <w:rPr>
          <w:color w:val="auto"/>
          <w:highlight w:val="none"/>
          <w:u w:val="single"/>
        </w:rPr>
        <w:t xml:space="preserve">              </w:t>
      </w:r>
      <w:r>
        <w:rPr>
          <w:rFonts w:hint="eastAsia"/>
          <w:color w:val="auto"/>
          <w:highlight w:val="none"/>
        </w:rPr>
        <w:t>（姓名）系</w:t>
      </w:r>
      <w:r>
        <w:rPr>
          <w:color w:val="auto"/>
          <w:highlight w:val="none"/>
          <w:u w:val="single"/>
        </w:rPr>
        <w:t xml:space="preserve">                    </w:t>
      </w:r>
      <w:r>
        <w:rPr>
          <w:rFonts w:hint="eastAsia"/>
          <w:color w:val="auto"/>
          <w:highlight w:val="none"/>
        </w:rPr>
        <w:t>（投标人名称）的法定代表人，现委托</w:t>
      </w:r>
      <w:r>
        <w:rPr>
          <w:color w:val="auto"/>
          <w:highlight w:val="none"/>
          <w:u w:val="single"/>
        </w:rPr>
        <w:t xml:space="preserve">            </w:t>
      </w:r>
      <w:r>
        <w:rPr>
          <w:rFonts w:hint="eastAsia"/>
          <w:color w:val="auto"/>
          <w:highlight w:val="none"/>
        </w:rPr>
        <w:t>（姓名）为我方代理人。代理人根据授权，以我方名义签署、澄清确认、递交、撤回、修改</w:t>
      </w:r>
      <w:r>
        <w:rPr>
          <w:rFonts w:hint="eastAsia"/>
          <w:color w:val="auto"/>
          <w:highlight w:val="none"/>
          <w:lang w:val="en-US" w:eastAsia="zh-CN"/>
        </w:rPr>
        <w:t>设备集成服务</w:t>
      </w:r>
      <w:r>
        <w:rPr>
          <w:rFonts w:hint="eastAsia"/>
          <w:color w:val="auto"/>
          <w:highlight w:val="none"/>
        </w:rPr>
        <w:t>招标项目投标文件、签订合同和处理有关事宜，其法律后果由我方承担。</w:t>
      </w:r>
    </w:p>
    <w:p>
      <w:pPr>
        <w:spacing w:line="440" w:lineRule="exact"/>
        <w:rPr>
          <w:color w:val="auto"/>
          <w:highlight w:val="none"/>
        </w:rPr>
      </w:pPr>
      <w:r>
        <w:rPr>
          <w:rFonts w:hint="eastAsia"/>
          <w:color w:val="auto"/>
          <w:highlight w:val="none"/>
        </w:rPr>
        <w:t>委托期限：</w:t>
      </w:r>
      <w:r>
        <w:rPr>
          <w:color w:val="auto"/>
          <w:highlight w:val="none"/>
          <w:u w:val="single"/>
        </w:rPr>
        <w:t xml:space="preserve">                       </w:t>
      </w:r>
      <w:r>
        <w:rPr>
          <w:rFonts w:hint="eastAsia"/>
          <w:color w:val="auto"/>
          <w:highlight w:val="none"/>
        </w:rPr>
        <w:t>。</w:t>
      </w:r>
    </w:p>
    <w:p>
      <w:pPr>
        <w:spacing w:line="440" w:lineRule="exact"/>
        <w:ind w:firstLine="420" w:firstLineChars="200"/>
        <w:rPr>
          <w:color w:val="auto"/>
          <w:highlight w:val="none"/>
        </w:rPr>
      </w:pPr>
      <w:r>
        <w:rPr>
          <w:rFonts w:hint="eastAsia"/>
          <w:color w:val="auto"/>
          <w:highlight w:val="none"/>
        </w:rPr>
        <w:t>代理人无转委托权。</w:t>
      </w:r>
    </w:p>
    <w:p>
      <w:pPr>
        <w:spacing w:line="440" w:lineRule="exact"/>
        <w:ind w:firstLine="420" w:firstLineChars="200"/>
        <w:rPr>
          <w:color w:val="auto"/>
          <w:highlight w:val="none"/>
        </w:rPr>
      </w:pPr>
    </w:p>
    <w:p>
      <w:pPr>
        <w:spacing w:line="440" w:lineRule="exact"/>
        <w:rPr>
          <w:color w:val="auto"/>
          <w:highlight w:val="none"/>
        </w:rPr>
      </w:pPr>
      <w:r>
        <w:rPr>
          <w:rFonts w:hint="eastAsia"/>
          <w:color w:val="auto"/>
          <w:highlight w:val="none"/>
        </w:rPr>
        <w:t>附：法定代表人身份证复印件及授权代表身份证复印件</w:t>
      </w:r>
    </w:p>
    <w:p>
      <w:pPr>
        <w:spacing w:line="440" w:lineRule="exact"/>
        <w:rPr>
          <w:color w:val="auto"/>
          <w:highlight w:val="none"/>
        </w:rPr>
      </w:pPr>
    </w:p>
    <w:p>
      <w:pPr>
        <w:spacing w:line="440" w:lineRule="exact"/>
        <w:rPr>
          <w:color w:val="auto"/>
          <w:highlight w:val="none"/>
        </w:rPr>
      </w:pPr>
      <w:r>
        <w:rPr>
          <w:rFonts w:hint="eastAsia"/>
          <w:color w:val="auto"/>
          <w:highlight w:val="none"/>
        </w:rPr>
        <w:t>注：本授权委托书需由投标人加盖单位公章并由其法定代表人和授权代表签字。法定代表人授权书仅限于法定代表人授权代表参与投标相关事项的情况下提供</w:t>
      </w:r>
    </w:p>
    <w:p>
      <w:pPr>
        <w:spacing w:line="440" w:lineRule="exact"/>
        <w:rPr>
          <w:color w:val="auto"/>
          <w:highlight w:val="none"/>
        </w:rPr>
      </w:pPr>
    </w:p>
    <w:p>
      <w:pPr>
        <w:spacing w:line="440" w:lineRule="exact"/>
        <w:ind w:firstLine="2692" w:firstLineChars="1282"/>
        <w:rPr>
          <w:color w:val="auto"/>
          <w:highlight w:val="none"/>
        </w:rPr>
      </w:pPr>
      <w:r>
        <w:rPr>
          <w:rFonts w:hint="eastAsia"/>
          <w:color w:val="auto"/>
          <w:highlight w:val="none"/>
        </w:rPr>
        <w:t>投</w:t>
      </w:r>
      <w:r>
        <w:rPr>
          <w:color w:val="auto"/>
          <w:highlight w:val="none"/>
        </w:rPr>
        <w:t xml:space="preserve">  </w:t>
      </w:r>
      <w:r>
        <w:rPr>
          <w:rFonts w:hint="eastAsia"/>
          <w:color w:val="auto"/>
          <w:highlight w:val="none"/>
        </w:rPr>
        <w:t>标</w:t>
      </w:r>
      <w:r>
        <w:rPr>
          <w:color w:val="auto"/>
          <w:highlight w:val="none"/>
        </w:rPr>
        <w:t xml:space="preserve">  </w:t>
      </w:r>
      <w:r>
        <w:rPr>
          <w:rFonts w:hint="eastAsia"/>
          <w:color w:val="auto"/>
          <w:highlight w:val="none"/>
        </w:rPr>
        <w:t>人：</w:t>
      </w:r>
      <w:r>
        <w:rPr>
          <w:color w:val="auto"/>
          <w:szCs w:val="21"/>
          <w:highlight w:val="none"/>
          <w:u w:val="single"/>
        </w:rPr>
        <w:tab/>
      </w:r>
      <w:r>
        <w:rPr>
          <w:color w:val="auto"/>
          <w:szCs w:val="21"/>
          <w:highlight w:val="none"/>
          <w:u w:val="single"/>
        </w:rPr>
        <w:tab/>
      </w:r>
      <w:r>
        <w:rPr>
          <w:color w:val="auto"/>
          <w:szCs w:val="21"/>
          <w:highlight w:val="none"/>
          <w:u w:val="single"/>
        </w:rPr>
        <w:tab/>
      </w:r>
      <w:r>
        <w:rPr>
          <w:rFonts w:hint="eastAsia"/>
          <w:color w:val="auto"/>
          <w:highlight w:val="none"/>
        </w:rPr>
        <w:t>（盖单位章）</w:t>
      </w:r>
    </w:p>
    <w:p>
      <w:pPr>
        <w:spacing w:line="440" w:lineRule="exact"/>
        <w:ind w:firstLine="2692" w:firstLineChars="1282"/>
        <w:rPr>
          <w:color w:val="auto"/>
          <w:highlight w:val="none"/>
        </w:rPr>
      </w:pPr>
    </w:p>
    <w:p>
      <w:pPr>
        <w:spacing w:line="440" w:lineRule="exact"/>
        <w:ind w:firstLine="2690" w:firstLineChars="1281"/>
        <w:jc w:val="left"/>
        <w:rPr>
          <w:color w:val="auto"/>
          <w:highlight w:val="none"/>
        </w:rPr>
      </w:pPr>
      <w:r>
        <w:rPr>
          <w:rFonts w:hint="eastAsia"/>
          <w:color w:val="auto"/>
          <w:highlight w:val="none"/>
        </w:rPr>
        <w:t>法定代表人：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highlight w:val="none"/>
        </w:rPr>
        <w:t>（签字</w:t>
      </w:r>
      <w:r>
        <w:rPr>
          <w:rFonts w:hint="eastAsia"/>
          <w:color w:val="auto"/>
          <w:szCs w:val="21"/>
          <w:highlight w:val="none"/>
          <w:lang w:val="en-US" w:eastAsia="zh-CN"/>
        </w:rPr>
        <w:t>或签章</w:t>
      </w:r>
      <w:r>
        <w:rPr>
          <w:rFonts w:hint="eastAsia"/>
          <w:color w:val="auto"/>
          <w:highlight w:val="none"/>
        </w:rPr>
        <w:t>）</w:t>
      </w:r>
    </w:p>
    <w:p>
      <w:pPr>
        <w:spacing w:line="440" w:lineRule="exact"/>
        <w:ind w:firstLine="2692" w:firstLineChars="1282"/>
        <w:rPr>
          <w:color w:val="auto"/>
          <w:highlight w:val="none"/>
        </w:rPr>
      </w:pPr>
    </w:p>
    <w:p>
      <w:pPr>
        <w:spacing w:line="440" w:lineRule="exact"/>
        <w:ind w:firstLine="2692" w:firstLineChars="1282"/>
        <w:rPr>
          <w:color w:val="auto"/>
          <w:highlight w:val="none"/>
        </w:rPr>
      </w:pPr>
      <w:r>
        <w:rPr>
          <w:rFonts w:hint="eastAsia"/>
          <w:color w:val="auto"/>
          <w:highlight w:val="none"/>
        </w:rPr>
        <w:t>身份证号码：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spacing w:line="440" w:lineRule="exact"/>
        <w:ind w:firstLine="2692" w:firstLineChars="1282"/>
        <w:rPr>
          <w:color w:val="auto"/>
          <w:highlight w:val="none"/>
        </w:rPr>
      </w:pPr>
    </w:p>
    <w:p>
      <w:pPr>
        <w:spacing w:line="440" w:lineRule="exact"/>
        <w:ind w:firstLine="2692" w:firstLineChars="1282"/>
        <w:rPr>
          <w:color w:val="auto"/>
          <w:highlight w:val="none"/>
        </w:rPr>
      </w:pPr>
      <w:r>
        <w:rPr>
          <w:rFonts w:hint="eastAsia"/>
          <w:color w:val="auto"/>
          <w:highlight w:val="none"/>
        </w:rPr>
        <w:t>授权代表：</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highlight w:val="none"/>
        </w:rPr>
        <w:t>（签字</w:t>
      </w:r>
      <w:r>
        <w:rPr>
          <w:rFonts w:hint="eastAsia"/>
          <w:color w:val="auto"/>
          <w:szCs w:val="21"/>
          <w:highlight w:val="none"/>
          <w:lang w:val="en-US" w:eastAsia="zh-CN"/>
        </w:rPr>
        <w:t>或签章</w:t>
      </w:r>
      <w:r>
        <w:rPr>
          <w:rFonts w:hint="eastAsia"/>
          <w:color w:val="auto"/>
          <w:highlight w:val="none"/>
        </w:rPr>
        <w:t>）</w:t>
      </w:r>
    </w:p>
    <w:p>
      <w:pPr>
        <w:spacing w:line="440" w:lineRule="exact"/>
        <w:ind w:firstLine="2692" w:firstLineChars="1282"/>
        <w:rPr>
          <w:color w:val="auto"/>
          <w:highlight w:val="none"/>
        </w:rPr>
      </w:pPr>
    </w:p>
    <w:p>
      <w:pPr>
        <w:spacing w:line="440" w:lineRule="exact"/>
        <w:ind w:firstLine="2692" w:firstLineChars="1282"/>
        <w:rPr>
          <w:color w:val="auto"/>
          <w:highlight w:val="none"/>
        </w:rPr>
      </w:pPr>
      <w:r>
        <w:rPr>
          <w:rFonts w:hint="eastAsia"/>
          <w:color w:val="auto"/>
          <w:highlight w:val="none"/>
        </w:rPr>
        <w:t>身份证号码：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spacing w:line="440" w:lineRule="exact"/>
        <w:ind w:firstLine="2692" w:firstLineChars="1282"/>
        <w:rPr>
          <w:color w:val="auto"/>
          <w:highlight w:val="none"/>
        </w:rPr>
      </w:pPr>
    </w:p>
    <w:p>
      <w:pPr>
        <w:ind w:firstLine="2940" w:firstLineChars="1400"/>
        <w:rPr>
          <w:rFonts w:ascii="宋体" w:hAnsi="宋体"/>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pStyle w:val="3"/>
        <w:bidi w:val="0"/>
        <w:spacing w:before="0" w:after="0" w:line="240" w:lineRule="auto"/>
        <w:rPr>
          <w:rFonts w:ascii="宋体" w:hAnsi="宋体"/>
          <w:color w:val="auto"/>
          <w:highlight w:val="none"/>
        </w:rPr>
      </w:pPr>
      <w:r>
        <w:rPr>
          <w:rFonts w:hint="eastAsia" w:ascii="宋体" w:hAnsi="宋体"/>
          <w:color w:val="auto"/>
          <w:highlight w:val="none"/>
        </w:rPr>
        <w:br w:type="page"/>
      </w:r>
      <w:bookmarkStart w:id="2601" w:name="_Toc16157"/>
      <w:bookmarkStart w:id="2602" w:name="_Toc30808"/>
      <w:bookmarkStart w:id="2603" w:name="_Toc5829"/>
      <w:bookmarkStart w:id="2604" w:name="_Toc22715"/>
      <w:bookmarkStart w:id="2605" w:name="_Toc492300725"/>
      <w:bookmarkStart w:id="2606" w:name="_Toc156398410"/>
      <w:bookmarkStart w:id="2607" w:name="_Toc3111"/>
      <w:r>
        <w:rPr>
          <w:rFonts w:hint="eastAsia" w:ascii="宋体" w:hAnsi="宋体"/>
          <w:color w:val="auto"/>
          <w:highlight w:val="none"/>
        </w:rPr>
        <w:t>4.</w:t>
      </w:r>
      <w:bookmarkEnd w:id="2601"/>
      <w:bookmarkEnd w:id="2602"/>
      <w:bookmarkEnd w:id="2603"/>
      <w:bookmarkEnd w:id="2604"/>
      <w:bookmarkEnd w:id="2605"/>
      <w:bookmarkEnd w:id="2606"/>
      <w:r>
        <w:rPr>
          <w:rFonts w:hint="eastAsia"/>
          <w:color w:val="auto"/>
          <w:highlight w:val="none"/>
          <w:lang w:val="en-US" w:eastAsia="zh-CN"/>
        </w:rPr>
        <w:t>集成服务</w:t>
      </w:r>
      <w:r>
        <w:rPr>
          <w:rFonts w:hint="eastAsia"/>
          <w:color w:val="auto"/>
          <w:highlight w:val="none"/>
        </w:rPr>
        <w:t>单位组织机构表及项目</w:t>
      </w:r>
      <w:r>
        <w:rPr>
          <w:rFonts w:hint="eastAsia"/>
          <w:color w:val="auto"/>
          <w:highlight w:val="none"/>
          <w:lang w:val="en-US" w:eastAsia="zh-CN"/>
        </w:rPr>
        <w:t>集成服务</w:t>
      </w:r>
      <w:r>
        <w:rPr>
          <w:rFonts w:hint="eastAsia"/>
          <w:color w:val="auto"/>
          <w:highlight w:val="none"/>
        </w:rPr>
        <w:t>人员配置要求</w:t>
      </w:r>
      <w:bookmarkEnd w:id="2607"/>
    </w:p>
    <w:p>
      <w:pPr>
        <w:bidi w:val="0"/>
        <w:ind w:firstLine="3570" w:firstLineChars="1700"/>
        <w:rPr>
          <w:rFonts w:hint="eastAsia"/>
          <w:color w:val="auto"/>
          <w:highlight w:val="none"/>
        </w:rPr>
      </w:pPr>
      <w:r>
        <w:rPr>
          <w:rFonts w:hint="eastAsia"/>
          <w:color w:val="auto"/>
          <w:highlight w:val="none"/>
          <w:lang w:val="en-US" w:eastAsia="zh-CN"/>
        </w:rPr>
        <w:t>集成服务</w:t>
      </w:r>
      <w:r>
        <w:rPr>
          <w:rFonts w:hint="eastAsia"/>
          <w:color w:val="auto"/>
          <w:highlight w:val="none"/>
        </w:rPr>
        <w:t>单位组织机构表</w:t>
      </w:r>
    </w:p>
    <w:p>
      <w:pPr>
        <w:pStyle w:val="13"/>
        <w:rPr>
          <w:rFonts w:hint="eastAsia"/>
          <w:color w:val="auto"/>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color w:val="auto"/>
                <w:spacing w:val="20"/>
                <w:highlight w:val="none"/>
              </w:rPr>
            </w:pPr>
            <w:r>
              <w:rPr>
                <w:rFonts w:hint="eastAsia" w:ascii="宋体" w:hAnsi="宋体"/>
                <w:color w:val="auto"/>
                <w:spacing w:val="20"/>
                <w:highlight w:val="none"/>
              </w:rPr>
              <w:t>1、简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r>
              <w:rPr>
                <w:rFonts w:hint="eastAsia" w:ascii="宋体" w:hAnsi="宋体"/>
                <w:color w:val="auto"/>
                <w:spacing w:val="20"/>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r>
              <w:rPr>
                <w:rFonts w:hint="eastAsia" w:ascii="宋体" w:hAnsi="宋体"/>
                <w:color w:val="auto"/>
                <w:spacing w:val="20"/>
                <w:highlight w:val="none"/>
              </w:rPr>
              <w:t>上级管理单位名称：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61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r>
              <w:rPr>
                <w:rFonts w:hint="eastAsia" w:ascii="宋体" w:hAnsi="宋体"/>
                <w:color w:val="auto"/>
                <w:spacing w:val="20"/>
                <w:highlight w:val="none"/>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r>
              <w:rPr>
                <w:rFonts w:hint="eastAsia" w:ascii="宋体" w:hAnsi="宋体"/>
                <w:color w:val="auto"/>
                <w:spacing w:val="20"/>
                <w:highlight w:val="none"/>
              </w:rPr>
              <w:t>本届领导班子起始日期：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color w:val="auto"/>
                <w:spacing w:val="20"/>
                <w:highlight w:val="none"/>
              </w:rPr>
            </w:pPr>
            <w:r>
              <w:rPr>
                <w:rFonts w:hint="eastAsia" w:ascii="宋体" w:hAnsi="宋体"/>
                <w:color w:val="auto"/>
                <w:spacing w:val="20"/>
                <w:highlight w:val="none"/>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color w:val="auto"/>
                <w:spacing w:val="20"/>
                <w:highlight w:val="none"/>
              </w:rPr>
            </w:pPr>
            <w:r>
              <w:rPr>
                <w:rFonts w:hint="eastAsia" w:ascii="宋体" w:hAnsi="宋体"/>
                <w:color w:val="auto"/>
                <w:spacing w:val="20"/>
                <w:highlight w:val="none"/>
              </w:rPr>
              <w:t>姓    名</w:t>
            </w:r>
          </w:p>
        </w:tc>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color w:val="auto"/>
                <w:spacing w:val="20"/>
                <w:highlight w:val="none"/>
              </w:rPr>
            </w:pPr>
            <w:r>
              <w:rPr>
                <w:rFonts w:hint="eastAsia" w:ascii="宋体" w:hAnsi="宋体"/>
                <w:color w:val="auto"/>
                <w:spacing w:val="20"/>
                <w:highlight w:val="none"/>
              </w:rPr>
              <w:t>职    务</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color w:val="auto"/>
                <w:spacing w:val="20"/>
                <w:highlight w:val="none"/>
              </w:rPr>
            </w:pPr>
            <w:r>
              <w:rPr>
                <w:rFonts w:hint="eastAsia" w:ascii="宋体" w:hAnsi="宋体"/>
                <w:color w:val="auto"/>
                <w:spacing w:val="20"/>
                <w:highlight w:val="none"/>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861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eastAsia" w:ascii="宋体" w:hAnsi="宋体"/>
                <w:color w:val="auto"/>
                <w:spacing w:val="20"/>
                <w:highlight w:val="none"/>
              </w:rPr>
            </w:pPr>
            <w:r>
              <w:rPr>
                <w:rFonts w:hint="eastAsia" w:ascii="宋体" w:hAnsi="宋体"/>
                <w:color w:val="auto"/>
                <w:spacing w:val="20"/>
                <w:highlight w:val="none"/>
              </w:rPr>
              <w:t>3、组织机构框图</w:t>
            </w:r>
          </w:p>
          <w:p>
            <w:pPr>
              <w:spacing w:line="600" w:lineRule="exact"/>
              <w:jc w:val="center"/>
              <w:rPr>
                <w:rFonts w:hint="eastAsia" w:ascii="宋体" w:hAnsi="宋体"/>
                <w:color w:val="auto"/>
                <w:spacing w:val="20"/>
                <w:highlight w:val="none"/>
              </w:rPr>
            </w:pPr>
            <w:r>
              <w:rPr>
                <w:rFonts w:hint="eastAsia" w:ascii="宋体" w:hAnsi="宋体"/>
                <w:color w:val="auto"/>
                <w:spacing w:val="20"/>
                <w:highlight w:val="none"/>
              </w:rPr>
              <w:t>以框图的形式表示出组织机构、负责人及各职能部门。</w:t>
            </w:r>
          </w:p>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6" w:hRule="atLeast"/>
          <w:jc w:val="center"/>
        </w:trPr>
        <w:tc>
          <w:tcPr>
            <w:tcW w:w="861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color w:val="auto"/>
                <w:spacing w:val="20"/>
                <w:highlight w:val="none"/>
              </w:rPr>
            </w:pPr>
            <w:r>
              <w:rPr>
                <w:rFonts w:hint="eastAsia" w:ascii="宋体" w:hAnsi="宋体"/>
                <w:color w:val="auto"/>
                <w:spacing w:val="20"/>
                <w:highlight w:val="none"/>
              </w:rPr>
              <w:t>4、</w:t>
            </w:r>
            <w:r>
              <w:rPr>
                <w:rFonts w:hint="eastAsia" w:ascii="宋体" w:hAnsi="宋体"/>
                <w:color w:val="auto"/>
                <w:spacing w:val="20"/>
                <w:highlight w:val="none"/>
                <w:lang w:val="en-US" w:eastAsia="zh-CN"/>
              </w:rPr>
              <w:t>集成服务</w:t>
            </w:r>
            <w:r>
              <w:rPr>
                <w:rFonts w:hint="eastAsia" w:ascii="宋体" w:hAnsi="宋体"/>
                <w:color w:val="auto"/>
                <w:spacing w:val="20"/>
                <w:highlight w:val="none"/>
              </w:rPr>
              <w:t>单位概述（文字叙述）</w:t>
            </w:r>
          </w:p>
        </w:tc>
      </w:tr>
    </w:tbl>
    <w:p>
      <w:pPr>
        <w:spacing w:line="500" w:lineRule="exact"/>
        <w:ind w:firstLine="500" w:firstLineChars="200"/>
        <w:rPr>
          <w:rFonts w:hint="eastAsia" w:ascii="宋体" w:hAnsi="宋体"/>
          <w:color w:val="auto"/>
          <w:spacing w:val="20"/>
          <w:szCs w:val="21"/>
          <w:highlight w:val="none"/>
        </w:rPr>
      </w:pPr>
      <w:bookmarkStart w:id="2608" w:name="_Toc24029"/>
    </w:p>
    <w:p>
      <w:pPr>
        <w:spacing w:line="500" w:lineRule="exact"/>
        <w:ind w:firstLine="500" w:firstLineChars="200"/>
        <w:rPr>
          <w:rFonts w:hint="eastAsia" w:ascii="宋体" w:hAnsi="宋体"/>
          <w:color w:val="auto"/>
          <w:spacing w:val="20"/>
          <w:szCs w:val="21"/>
          <w:highlight w:val="none"/>
        </w:rPr>
      </w:pPr>
      <w:r>
        <w:rPr>
          <w:rFonts w:hint="eastAsia" w:ascii="宋体" w:hAnsi="宋体"/>
          <w:color w:val="auto"/>
          <w:spacing w:val="20"/>
          <w:szCs w:val="21"/>
          <w:highlight w:val="none"/>
        </w:rPr>
        <w:t>本</w:t>
      </w:r>
      <w:r>
        <w:rPr>
          <w:rFonts w:hint="eastAsia" w:ascii="宋体" w:hAnsi="宋体"/>
          <w:color w:val="auto"/>
          <w:spacing w:val="20"/>
          <w:szCs w:val="21"/>
          <w:highlight w:val="none"/>
          <w:lang w:val="en-US" w:eastAsia="zh-CN"/>
        </w:rPr>
        <w:t>集成服务</w:t>
      </w:r>
      <w:r>
        <w:rPr>
          <w:rFonts w:hint="eastAsia" w:ascii="宋体" w:hAnsi="宋体"/>
          <w:color w:val="auto"/>
          <w:spacing w:val="20"/>
          <w:szCs w:val="21"/>
          <w:highlight w:val="none"/>
        </w:rPr>
        <w:t>设</w:t>
      </w:r>
      <w:r>
        <w:rPr>
          <w:rFonts w:hint="eastAsia" w:ascii="宋体" w:hAnsi="宋体"/>
          <w:color w:val="auto"/>
          <w:spacing w:val="20"/>
          <w:szCs w:val="21"/>
          <w:highlight w:val="none"/>
          <w:lang w:val="en-US" w:eastAsia="zh-CN"/>
        </w:rPr>
        <w:t>项目经理</w:t>
      </w:r>
      <w:r>
        <w:rPr>
          <w:rFonts w:hint="eastAsia" w:ascii="宋体" w:hAnsi="宋体"/>
          <w:color w:val="auto"/>
          <w:spacing w:val="20"/>
          <w:szCs w:val="21"/>
          <w:highlight w:val="none"/>
        </w:rPr>
        <w:t>1名，</w:t>
      </w:r>
      <w:r>
        <w:rPr>
          <w:rFonts w:hint="eastAsia" w:ascii="宋体" w:hAnsi="宋体"/>
          <w:color w:val="auto"/>
          <w:spacing w:val="20"/>
          <w:szCs w:val="21"/>
          <w:highlight w:val="none"/>
          <w:lang w:val="en-US" w:eastAsia="zh-CN"/>
        </w:rPr>
        <w:t>系统负责人3</w:t>
      </w:r>
      <w:r>
        <w:rPr>
          <w:rFonts w:hint="eastAsia" w:ascii="宋体" w:hAnsi="宋体"/>
          <w:color w:val="auto"/>
          <w:spacing w:val="20"/>
          <w:szCs w:val="21"/>
          <w:highlight w:val="none"/>
        </w:rPr>
        <w:t>名</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强电、弱电、车站设备专业各1人</w:t>
      </w:r>
      <w:r>
        <w:rPr>
          <w:rFonts w:hint="eastAsia" w:ascii="宋体" w:hAnsi="宋体"/>
          <w:color w:val="auto"/>
          <w:szCs w:val="21"/>
          <w:highlight w:val="none"/>
          <w:lang w:eastAsia="zh-CN"/>
        </w:rPr>
        <w:t>）</w:t>
      </w:r>
      <w:r>
        <w:rPr>
          <w:color w:val="auto"/>
          <w:szCs w:val="21"/>
          <w:highlight w:val="none"/>
        </w:rPr>
        <w:t>合同管理</w:t>
      </w:r>
      <w:r>
        <w:rPr>
          <w:rFonts w:hint="eastAsia"/>
          <w:color w:val="auto"/>
          <w:szCs w:val="21"/>
          <w:highlight w:val="none"/>
          <w:lang w:val="en-US" w:eastAsia="zh-CN"/>
        </w:rPr>
        <w:t>工程师</w:t>
      </w:r>
      <w:r>
        <w:rPr>
          <w:color w:val="auto"/>
          <w:szCs w:val="21"/>
          <w:highlight w:val="none"/>
        </w:rPr>
        <w:t>1人，质量</w:t>
      </w:r>
      <w:r>
        <w:rPr>
          <w:rFonts w:hint="eastAsia"/>
          <w:color w:val="auto"/>
          <w:szCs w:val="21"/>
          <w:highlight w:val="none"/>
          <w:lang w:val="en-US" w:eastAsia="zh-CN"/>
        </w:rPr>
        <w:t>管理</w:t>
      </w:r>
      <w:r>
        <w:rPr>
          <w:color w:val="auto"/>
          <w:szCs w:val="21"/>
          <w:highlight w:val="none"/>
        </w:rPr>
        <w:t>工程师3人</w:t>
      </w:r>
      <w:r>
        <w:rPr>
          <w:rFonts w:hint="eastAsia"/>
          <w:color w:val="auto"/>
          <w:szCs w:val="21"/>
          <w:highlight w:val="none"/>
          <w:lang w:eastAsia="zh-CN"/>
        </w:rPr>
        <w:t>（</w:t>
      </w:r>
      <w:r>
        <w:rPr>
          <w:rFonts w:hint="eastAsia"/>
          <w:color w:val="auto"/>
          <w:szCs w:val="21"/>
          <w:highlight w:val="none"/>
          <w:lang w:val="en-US" w:eastAsia="zh-CN"/>
        </w:rPr>
        <w:t>强电系统、弱电系统、车站设备个1人</w:t>
      </w:r>
      <w:r>
        <w:rPr>
          <w:rFonts w:hint="eastAsia"/>
          <w:color w:val="auto"/>
          <w:szCs w:val="21"/>
          <w:highlight w:val="none"/>
          <w:lang w:eastAsia="zh-CN"/>
        </w:rPr>
        <w:t>）</w:t>
      </w:r>
      <w:r>
        <w:rPr>
          <w:color w:val="auto"/>
          <w:szCs w:val="21"/>
          <w:highlight w:val="none"/>
        </w:rPr>
        <w:t>、计划</w:t>
      </w:r>
      <w:r>
        <w:rPr>
          <w:rFonts w:hint="eastAsia"/>
          <w:color w:val="auto"/>
          <w:szCs w:val="21"/>
          <w:highlight w:val="none"/>
          <w:lang w:val="en-US" w:eastAsia="zh-CN"/>
        </w:rPr>
        <w:t>管理</w:t>
      </w:r>
      <w:r>
        <w:rPr>
          <w:color w:val="auto"/>
          <w:szCs w:val="21"/>
          <w:highlight w:val="none"/>
        </w:rPr>
        <w:t>工程师</w:t>
      </w:r>
      <w:r>
        <w:rPr>
          <w:rFonts w:hint="eastAsia"/>
          <w:color w:val="auto"/>
          <w:szCs w:val="21"/>
          <w:highlight w:val="none"/>
          <w:lang w:val="en-US" w:eastAsia="zh-CN"/>
        </w:rPr>
        <w:t>1</w:t>
      </w:r>
      <w:r>
        <w:rPr>
          <w:color w:val="auto"/>
          <w:szCs w:val="21"/>
          <w:highlight w:val="none"/>
        </w:rPr>
        <w:t>人，</w:t>
      </w:r>
      <w:r>
        <w:rPr>
          <w:rFonts w:hint="eastAsia"/>
          <w:color w:val="auto"/>
          <w:szCs w:val="21"/>
          <w:highlight w:val="none"/>
          <w:lang w:val="en-US" w:eastAsia="zh-CN"/>
        </w:rPr>
        <w:t>专业</w:t>
      </w:r>
      <w:r>
        <w:rPr>
          <w:color w:val="auto"/>
          <w:szCs w:val="21"/>
          <w:highlight w:val="none"/>
        </w:rPr>
        <w:t>技术工程师不少于</w:t>
      </w:r>
      <w:r>
        <w:rPr>
          <w:rFonts w:hint="eastAsia"/>
          <w:color w:val="auto"/>
          <w:szCs w:val="21"/>
          <w:highlight w:val="none"/>
        </w:rPr>
        <w:t>1</w:t>
      </w:r>
      <w:r>
        <w:rPr>
          <w:rFonts w:hint="eastAsia"/>
          <w:color w:val="auto"/>
          <w:szCs w:val="21"/>
          <w:highlight w:val="none"/>
          <w:lang w:val="en-US" w:eastAsia="zh-CN"/>
        </w:rPr>
        <w:t>5</w:t>
      </w:r>
      <w:r>
        <w:rPr>
          <w:color w:val="auto"/>
          <w:szCs w:val="21"/>
          <w:highlight w:val="none"/>
        </w:rPr>
        <w:t>人</w:t>
      </w:r>
      <w:r>
        <w:rPr>
          <w:rFonts w:hint="eastAsia"/>
          <w:color w:val="auto"/>
          <w:szCs w:val="21"/>
          <w:highlight w:val="none"/>
          <w:lang w:eastAsia="zh-CN"/>
        </w:rPr>
        <w:t>（</w:t>
      </w:r>
      <w:r>
        <w:rPr>
          <w:rFonts w:hint="eastAsia"/>
          <w:color w:val="auto"/>
          <w:szCs w:val="21"/>
          <w:highlight w:val="none"/>
          <w:lang w:val="en-US" w:eastAsia="zh-CN"/>
        </w:rPr>
        <w:t>其中强电系统2人，弱电系统7人，车站设备6人</w:t>
      </w:r>
      <w:r>
        <w:rPr>
          <w:rFonts w:hint="eastAsia"/>
          <w:color w:val="auto"/>
          <w:szCs w:val="21"/>
          <w:highlight w:val="none"/>
          <w:lang w:eastAsia="zh-CN"/>
        </w:rPr>
        <w:t>）</w:t>
      </w:r>
      <w:r>
        <w:rPr>
          <w:color w:val="auto"/>
          <w:szCs w:val="21"/>
          <w:highlight w:val="none"/>
        </w:rPr>
        <w:t>，文档助理2人，司机</w:t>
      </w:r>
      <w:r>
        <w:rPr>
          <w:rFonts w:hint="eastAsia"/>
          <w:color w:val="auto"/>
          <w:szCs w:val="21"/>
          <w:highlight w:val="none"/>
          <w:lang w:val="en-US" w:eastAsia="zh-CN"/>
        </w:rPr>
        <w:t>2</w:t>
      </w:r>
      <w:r>
        <w:rPr>
          <w:color w:val="auto"/>
          <w:szCs w:val="21"/>
          <w:highlight w:val="none"/>
        </w:rPr>
        <w:t>人</w:t>
      </w:r>
      <w:r>
        <w:rPr>
          <w:rFonts w:hint="eastAsia"/>
          <w:color w:val="auto"/>
          <w:szCs w:val="21"/>
          <w:highlight w:val="none"/>
          <w:lang w:eastAsia="zh-CN"/>
        </w:rPr>
        <w:t>，</w:t>
      </w:r>
      <w:r>
        <w:rPr>
          <w:rFonts w:hint="eastAsia"/>
          <w:color w:val="auto"/>
          <w:szCs w:val="21"/>
          <w:highlight w:val="none"/>
          <w:lang w:val="en-US" w:eastAsia="zh-CN"/>
        </w:rPr>
        <w:t>人员岗位职责详见委托人要求</w:t>
      </w:r>
      <w:r>
        <w:rPr>
          <w:rFonts w:hint="eastAsia" w:ascii="宋体" w:hAnsi="宋体"/>
          <w:color w:val="auto"/>
          <w:spacing w:val="20"/>
          <w:szCs w:val="21"/>
          <w:highlight w:val="none"/>
        </w:rPr>
        <w:t>。</w:t>
      </w:r>
      <w:r>
        <w:rPr>
          <w:rFonts w:hint="eastAsia" w:ascii="宋体" w:hAnsi="宋体"/>
          <w:b w:val="0"/>
          <w:bCs w:val="0"/>
          <w:color w:val="auto"/>
          <w:spacing w:val="20"/>
          <w:szCs w:val="21"/>
          <w:highlight w:val="none"/>
          <w:lang w:val="en-US" w:eastAsia="zh-CN"/>
        </w:rPr>
        <w:t>集成服务</w:t>
      </w:r>
      <w:r>
        <w:rPr>
          <w:rFonts w:hint="eastAsia" w:ascii="宋体" w:hAnsi="宋体"/>
          <w:b w:val="0"/>
          <w:bCs w:val="0"/>
          <w:color w:val="auto"/>
          <w:spacing w:val="20"/>
          <w:szCs w:val="21"/>
          <w:highlight w:val="none"/>
        </w:rPr>
        <w:t>人员配置人数及要求不低于以下要求。</w:t>
      </w:r>
    </w:p>
    <w:p>
      <w:pPr>
        <w:jc w:val="center"/>
        <w:rPr>
          <w:rFonts w:hint="eastAsia" w:eastAsia="宋体"/>
          <w:color w:val="auto"/>
          <w:highlight w:val="none"/>
          <w:lang w:val="en-US" w:eastAsia="zh-CN"/>
        </w:rPr>
      </w:pPr>
      <w:bookmarkStart w:id="2609" w:name="_Toc533597023"/>
      <w:bookmarkStart w:id="2610" w:name="_Toc795"/>
      <w:bookmarkStart w:id="2611" w:name="_Toc534201997"/>
      <w:bookmarkStart w:id="2612" w:name="_Toc531807753"/>
      <w:bookmarkStart w:id="2613" w:name="_Toc18416"/>
      <w:bookmarkStart w:id="2614" w:name="_Toc19370"/>
      <w:bookmarkStart w:id="2615" w:name="_Toc534201198"/>
      <w:r>
        <w:rPr>
          <w:rFonts w:hint="eastAsia"/>
          <w:color w:val="auto"/>
          <w:highlight w:val="none"/>
        </w:rPr>
        <w:t>集成服务人员配置要求</w:t>
      </w:r>
      <w:bookmarkEnd w:id="2609"/>
      <w:bookmarkEnd w:id="2610"/>
      <w:bookmarkEnd w:id="2611"/>
      <w:bookmarkEnd w:id="2612"/>
      <w:bookmarkEnd w:id="2613"/>
      <w:bookmarkEnd w:id="2614"/>
      <w:bookmarkEnd w:id="2615"/>
      <w:r>
        <w:rPr>
          <w:rFonts w:hint="eastAsia"/>
          <w:color w:val="auto"/>
          <w:highlight w:val="none"/>
          <w:lang w:val="en-US" w:eastAsia="zh-CN"/>
        </w:rPr>
        <w:t>表</w:t>
      </w:r>
    </w:p>
    <w:tbl>
      <w:tblPr>
        <w:tblStyle w:val="14"/>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3547"/>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宋体" w:hAnsi="宋体"/>
                <w:color w:val="auto"/>
                <w:spacing w:val="20"/>
                <w:szCs w:val="21"/>
                <w:highlight w:val="none"/>
              </w:rPr>
            </w:pPr>
            <w:r>
              <w:rPr>
                <w:rFonts w:hint="eastAsia" w:ascii="宋体" w:hAnsi="宋体"/>
                <w:color w:val="auto"/>
                <w:spacing w:val="20"/>
                <w:szCs w:val="21"/>
                <w:highlight w:val="none"/>
              </w:rPr>
              <w:t>岗位</w:t>
            </w:r>
          </w:p>
        </w:tc>
        <w:tc>
          <w:tcPr>
            <w:tcW w:w="354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宋体" w:hAnsi="宋体"/>
                <w:color w:val="auto"/>
                <w:spacing w:val="20"/>
                <w:szCs w:val="21"/>
                <w:highlight w:val="none"/>
              </w:rPr>
            </w:pPr>
            <w:r>
              <w:rPr>
                <w:rFonts w:hint="eastAsia" w:ascii="宋体" w:hAnsi="宋体"/>
                <w:color w:val="auto"/>
                <w:spacing w:val="20"/>
                <w:szCs w:val="21"/>
                <w:highlight w:val="none"/>
                <w:lang w:val="en-US" w:eastAsia="zh-CN"/>
              </w:rPr>
              <w:t>集成服务</w:t>
            </w:r>
            <w:r>
              <w:rPr>
                <w:rFonts w:hint="eastAsia" w:ascii="宋体" w:hAnsi="宋体"/>
                <w:color w:val="auto"/>
                <w:spacing w:val="20"/>
                <w:szCs w:val="21"/>
                <w:highlight w:val="none"/>
              </w:rPr>
              <w:t>人员配额</w:t>
            </w:r>
          </w:p>
        </w:tc>
        <w:tc>
          <w:tcPr>
            <w:tcW w:w="40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default" w:ascii="宋体" w:hAnsi="宋体"/>
                <w:color w:val="auto"/>
                <w:spacing w:val="20"/>
                <w:szCs w:val="21"/>
                <w:highlight w:val="none"/>
                <w:lang w:val="en-US" w:eastAsia="zh-CN"/>
              </w:rPr>
            </w:pPr>
            <w:r>
              <w:rPr>
                <w:rFonts w:hint="eastAsia" w:ascii="宋体" w:hAnsi="宋体"/>
                <w:color w:val="auto"/>
                <w:spacing w:val="20"/>
                <w:szCs w:val="21"/>
                <w:highlight w:val="none"/>
                <w:lang w:val="en-US" w:eastAsia="zh-CN"/>
              </w:rPr>
              <w:t>委托人要求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b/>
                <w:color w:val="auto"/>
                <w:spacing w:val="20"/>
                <w:szCs w:val="21"/>
                <w:highlight w:val="none"/>
                <w:lang w:eastAsia="zh-CN"/>
              </w:rPr>
            </w:pPr>
            <w:r>
              <w:rPr>
                <w:rFonts w:hint="eastAsia" w:ascii="宋体" w:hAnsi="宋体"/>
                <w:color w:val="auto"/>
                <w:szCs w:val="21"/>
                <w:highlight w:val="none"/>
                <w:lang w:val="en-US" w:eastAsia="zh-CN"/>
              </w:rPr>
              <w:t>项目经理</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1人</w:t>
            </w:r>
          </w:p>
        </w:tc>
        <w:tc>
          <w:tcPr>
            <w:tcW w:w="40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rPr>
                <w:rFonts w:hint="eastAsia" w:ascii="宋体" w:hAnsi="宋体"/>
                <w:strike w:val="0"/>
                <w:color w:val="auto"/>
                <w:szCs w:val="21"/>
                <w:highlight w:val="none"/>
              </w:rPr>
            </w:pPr>
            <w:r>
              <w:rPr>
                <w:rFonts w:hint="eastAsia"/>
                <w:strike w:val="0"/>
                <w:color w:val="auto"/>
                <w:highlight w:val="none"/>
                <w:lang w:eastAsia="zh-CN"/>
              </w:rPr>
              <w:t>（</w:t>
            </w:r>
            <w:r>
              <w:rPr>
                <w:rFonts w:hint="eastAsia"/>
                <w:strike w:val="0"/>
                <w:color w:val="auto"/>
                <w:highlight w:val="none"/>
                <w:lang w:val="en-US" w:eastAsia="zh-CN"/>
              </w:rPr>
              <w:t>1</w:t>
            </w:r>
            <w:r>
              <w:rPr>
                <w:rFonts w:hint="eastAsia"/>
                <w:strike w:val="0"/>
                <w:color w:val="auto"/>
                <w:highlight w:val="none"/>
                <w:lang w:eastAsia="zh-CN"/>
              </w:rPr>
              <w:t>）</w:t>
            </w:r>
            <w:r>
              <w:rPr>
                <w:rFonts w:hint="eastAsia"/>
                <w:strike w:val="0"/>
                <w:color w:val="auto"/>
                <w:highlight w:val="none"/>
              </w:rPr>
              <w:t>具有高级工程师</w:t>
            </w:r>
            <w:r>
              <w:rPr>
                <w:rFonts w:hint="eastAsia"/>
                <w:strike w:val="0"/>
                <w:color w:val="auto"/>
                <w:highlight w:val="none"/>
                <w:lang w:val="en-US" w:eastAsia="zh-CN"/>
              </w:rPr>
              <w:t>或</w:t>
            </w:r>
            <w:r>
              <w:rPr>
                <w:rFonts w:hint="eastAsia"/>
                <w:strike w:val="0"/>
                <w:color w:val="auto"/>
                <w:highlight w:val="none"/>
              </w:rPr>
              <w:t>以上技术职称和10年以上工程管理经验，相关工程技术专业大学本科及以上学历，年龄</w:t>
            </w:r>
            <w:r>
              <w:rPr>
                <w:rFonts w:hint="eastAsia"/>
                <w:strike w:val="0"/>
                <w:color w:val="auto"/>
                <w:highlight w:val="none"/>
                <w:lang w:val="en-US" w:eastAsia="zh-CN"/>
              </w:rPr>
              <w:t>35</w:t>
            </w:r>
            <w:r>
              <w:rPr>
                <w:rFonts w:hint="eastAsia"/>
                <w:strike w:val="0"/>
                <w:color w:val="auto"/>
                <w:highlight w:val="none"/>
              </w:rPr>
              <w:t>岁-55岁。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宋体" w:hAnsi="宋体" w:eastAsia="宋体"/>
                <w:color w:val="auto"/>
                <w:spacing w:val="20"/>
                <w:szCs w:val="21"/>
                <w:highlight w:val="none"/>
                <w:lang w:val="en-US" w:eastAsia="zh-CN"/>
              </w:rPr>
            </w:pPr>
            <w:r>
              <w:rPr>
                <w:rFonts w:hint="eastAsia" w:ascii="宋体" w:hAnsi="宋体"/>
                <w:color w:val="auto"/>
                <w:szCs w:val="21"/>
                <w:highlight w:val="none"/>
                <w:lang w:val="en-US" w:eastAsia="zh-CN"/>
              </w:rPr>
              <w:t>系统负责人</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人</w:t>
            </w:r>
          </w:p>
          <w:p>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强电、弱电、车站设备</w:t>
            </w:r>
            <w:r>
              <w:rPr>
                <w:rFonts w:hint="eastAsia" w:ascii="宋体" w:hAnsi="宋体"/>
                <w:color w:val="auto"/>
                <w:szCs w:val="21"/>
                <w:highlight w:val="none"/>
              </w:rPr>
              <w:t>专业</w:t>
            </w:r>
            <w:r>
              <w:rPr>
                <w:rFonts w:hint="eastAsia" w:ascii="宋体" w:hAnsi="宋体"/>
                <w:color w:val="auto"/>
                <w:szCs w:val="21"/>
                <w:highlight w:val="none"/>
                <w:lang w:val="en-US" w:eastAsia="zh-CN"/>
              </w:rPr>
              <w:t>各1人</w:t>
            </w:r>
            <w:r>
              <w:rPr>
                <w:rFonts w:hint="eastAsia" w:ascii="宋体" w:hAnsi="宋体"/>
                <w:color w:val="auto"/>
                <w:szCs w:val="21"/>
                <w:highlight w:val="none"/>
                <w:lang w:eastAsia="zh-CN"/>
              </w:rPr>
              <w:t>）</w:t>
            </w:r>
          </w:p>
        </w:tc>
        <w:tc>
          <w:tcPr>
            <w:tcW w:w="40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rPr>
                <w:rFonts w:hint="eastAsia"/>
                <w:strike w:val="0"/>
                <w:color w:val="auto"/>
                <w:highlight w:val="none"/>
              </w:rPr>
            </w:pPr>
            <w:r>
              <w:rPr>
                <w:rFonts w:hint="eastAsia"/>
                <w:strike w:val="0"/>
                <w:color w:val="auto"/>
                <w:highlight w:val="none"/>
                <w:lang w:eastAsia="zh-CN"/>
              </w:rPr>
              <w:t>（</w:t>
            </w:r>
            <w:r>
              <w:rPr>
                <w:rFonts w:hint="eastAsia"/>
                <w:strike w:val="0"/>
                <w:color w:val="auto"/>
                <w:highlight w:val="none"/>
                <w:lang w:val="en-US" w:eastAsia="zh-CN"/>
              </w:rPr>
              <w:t>1</w:t>
            </w:r>
            <w:r>
              <w:rPr>
                <w:rFonts w:hint="eastAsia"/>
                <w:strike w:val="0"/>
                <w:color w:val="auto"/>
                <w:highlight w:val="none"/>
                <w:lang w:eastAsia="zh-CN"/>
              </w:rPr>
              <w:t>）</w:t>
            </w:r>
            <w:r>
              <w:rPr>
                <w:rFonts w:hint="eastAsia"/>
                <w:strike w:val="0"/>
                <w:color w:val="auto"/>
                <w:highlight w:val="none"/>
              </w:rPr>
              <w:t>具有高级工程师</w:t>
            </w:r>
            <w:r>
              <w:rPr>
                <w:rFonts w:hint="eastAsia"/>
                <w:strike w:val="0"/>
                <w:color w:val="auto"/>
                <w:highlight w:val="none"/>
                <w:lang w:val="en-US" w:eastAsia="zh-CN"/>
              </w:rPr>
              <w:t>或</w:t>
            </w:r>
            <w:r>
              <w:rPr>
                <w:rFonts w:hint="eastAsia"/>
                <w:strike w:val="0"/>
                <w:color w:val="auto"/>
                <w:highlight w:val="none"/>
              </w:rPr>
              <w:t>以上技术职称，8年以上工作经验，相关工程技术专业大学本科及以上学历，年龄30岁-55岁</w:t>
            </w:r>
            <w:r>
              <w:rPr>
                <w:rFonts w:hint="eastAsia"/>
                <w:strike w:val="0"/>
                <w:color w:val="auto"/>
                <w:highlight w:val="none"/>
                <w:lang w:eastAsia="zh-CN"/>
              </w:rPr>
              <w:t>。</w:t>
            </w:r>
          </w:p>
          <w:p>
            <w:pPr>
              <w:numPr>
                <w:ilvl w:val="0"/>
                <w:numId w:val="0"/>
              </w:numPr>
              <w:spacing w:line="400" w:lineRule="exact"/>
              <w:rPr>
                <w:rFonts w:hint="eastAsia" w:ascii="宋体" w:hAnsi="宋体"/>
                <w:strike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auto"/>
                <w:spacing w:val="20"/>
                <w:szCs w:val="21"/>
                <w:highlight w:val="none"/>
              </w:rPr>
            </w:pPr>
            <w:r>
              <w:rPr>
                <w:rFonts w:hint="eastAsia" w:ascii="宋体" w:hAnsi="宋体" w:cs="宋体"/>
                <w:color w:val="auto"/>
                <w:highlight w:val="none"/>
                <w:lang w:val="en-US" w:eastAsia="zh-CN"/>
              </w:rPr>
              <w:t>合同管理</w:t>
            </w:r>
            <w:r>
              <w:rPr>
                <w:rFonts w:hint="eastAsia" w:ascii="宋体" w:hAnsi="宋体"/>
                <w:color w:val="auto"/>
                <w:szCs w:val="21"/>
                <w:highlight w:val="none"/>
              </w:rPr>
              <w:t>工程师</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1人</w:t>
            </w:r>
          </w:p>
        </w:tc>
        <w:tc>
          <w:tcPr>
            <w:tcW w:w="402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rPr>
                <w:rFonts w:hint="eastAsia" w:eastAsia="宋体"/>
                <w:strike w:val="0"/>
                <w:color w:val="auto"/>
                <w:highlight w:val="none"/>
                <w:lang w:eastAsia="zh-CN"/>
              </w:rPr>
            </w:pPr>
            <w:r>
              <w:rPr>
                <w:rFonts w:hint="eastAsia"/>
                <w:strike w:val="0"/>
                <w:color w:val="auto"/>
                <w:highlight w:val="none"/>
                <w:lang w:eastAsia="zh-CN"/>
              </w:rPr>
              <w:t>（</w:t>
            </w:r>
            <w:r>
              <w:rPr>
                <w:rFonts w:hint="eastAsia"/>
                <w:strike w:val="0"/>
                <w:color w:val="auto"/>
                <w:highlight w:val="none"/>
                <w:lang w:val="en-US" w:eastAsia="zh-CN"/>
              </w:rPr>
              <w:t>1</w:t>
            </w:r>
            <w:r>
              <w:rPr>
                <w:rFonts w:hint="eastAsia"/>
                <w:strike w:val="0"/>
                <w:color w:val="auto"/>
                <w:highlight w:val="none"/>
                <w:lang w:eastAsia="zh-CN"/>
              </w:rPr>
              <w:t>）</w:t>
            </w:r>
            <w:r>
              <w:rPr>
                <w:rFonts w:hint="eastAsia"/>
                <w:strike w:val="0"/>
                <w:color w:val="auto"/>
                <w:highlight w:val="none"/>
              </w:rPr>
              <w:t>经济或管理类专业</w:t>
            </w:r>
            <w:r>
              <w:rPr>
                <w:rFonts w:hint="eastAsia"/>
                <w:strike w:val="0"/>
                <w:color w:val="auto"/>
                <w:highlight w:val="none"/>
                <w:lang w:val="en-US" w:eastAsia="zh-CN"/>
              </w:rPr>
              <w:t>本科</w:t>
            </w:r>
            <w:r>
              <w:rPr>
                <w:rFonts w:hint="eastAsia"/>
                <w:strike w:val="0"/>
                <w:color w:val="auto"/>
                <w:highlight w:val="none"/>
              </w:rPr>
              <w:t>或以上学历</w:t>
            </w:r>
            <w:r>
              <w:rPr>
                <w:rFonts w:hint="eastAsia"/>
                <w:strike w:val="0"/>
                <w:color w:val="auto"/>
                <w:highlight w:val="none"/>
                <w:lang w:eastAsia="zh-CN"/>
              </w:rPr>
              <w:t>。</w:t>
            </w:r>
          </w:p>
          <w:p>
            <w:pPr>
              <w:numPr>
                <w:ilvl w:val="0"/>
                <w:numId w:val="0"/>
              </w:numPr>
              <w:spacing w:line="400" w:lineRule="exact"/>
              <w:rPr>
                <w:rFonts w:hint="eastAsia" w:ascii="宋体" w:hAnsi="宋体" w:eastAsia="宋体"/>
                <w:strike w:val="0"/>
                <w:color w:val="auto"/>
                <w:szCs w:val="21"/>
                <w:highlight w:val="none"/>
                <w:lang w:eastAsia="zh-CN"/>
              </w:rPr>
            </w:pPr>
            <w:r>
              <w:rPr>
                <w:rFonts w:hint="eastAsia"/>
                <w:strike w:val="0"/>
                <w:color w:val="auto"/>
                <w:highlight w:val="none"/>
                <w:lang w:eastAsia="zh-CN"/>
              </w:rPr>
              <w:t>（</w:t>
            </w:r>
            <w:r>
              <w:rPr>
                <w:rFonts w:hint="eastAsia"/>
                <w:strike w:val="0"/>
                <w:color w:val="auto"/>
                <w:highlight w:val="none"/>
                <w:lang w:val="en-US" w:eastAsia="zh-CN"/>
              </w:rPr>
              <w:t>2</w:t>
            </w:r>
            <w:r>
              <w:rPr>
                <w:rFonts w:hint="eastAsia"/>
                <w:strike w:val="0"/>
                <w:color w:val="auto"/>
                <w:highlight w:val="none"/>
                <w:lang w:eastAsia="zh-CN"/>
              </w:rPr>
              <w:t>）</w:t>
            </w:r>
            <w:r>
              <w:rPr>
                <w:rFonts w:hint="eastAsia"/>
                <w:strike w:val="0"/>
                <w:color w:val="auto"/>
                <w:highlight w:val="none"/>
              </w:rPr>
              <w:t>具有助理级或以上职称</w:t>
            </w:r>
            <w:r>
              <w:rPr>
                <w:rFonts w:hint="eastAsia"/>
                <w:strike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auto"/>
                <w:highlight w:val="none"/>
              </w:rPr>
            </w:pPr>
            <w:r>
              <w:rPr>
                <w:rFonts w:hint="eastAsia" w:ascii="宋体" w:hAnsi="宋体"/>
                <w:color w:val="auto"/>
                <w:spacing w:val="20"/>
                <w:szCs w:val="21"/>
                <w:highlight w:val="none"/>
                <w:lang w:val="en-US" w:eastAsia="zh-CN"/>
              </w:rPr>
              <w:t>质量管理</w:t>
            </w:r>
            <w:r>
              <w:rPr>
                <w:rFonts w:hint="eastAsia" w:ascii="宋体" w:hAnsi="宋体"/>
                <w:color w:val="auto"/>
                <w:szCs w:val="21"/>
                <w:highlight w:val="none"/>
              </w:rPr>
              <w:t>工程师</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人</w:t>
            </w:r>
          </w:p>
          <w:p>
            <w:pPr>
              <w:spacing w:line="360" w:lineRule="exact"/>
              <w:jc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强电、弱电、车站设备</w:t>
            </w:r>
            <w:r>
              <w:rPr>
                <w:rFonts w:hint="eastAsia" w:ascii="宋体" w:hAnsi="宋体"/>
                <w:color w:val="auto"/>
                <w:szCs w:val="21"/>
                <w:highlight w:val="none"/>
              </w:rPr>
              <w:t>专业</w:t>
            </w:r>
            <w:r>
              <w:rPr>
                <w:rFonts w:hint="eastAsia" w:ascii="宋体" w:hAnsi="宋体"/>
                <w:color w:val="auto"/>
                <w:szCs w:val="21"/>
                <w:highlight w:val="none"/>
                <w:lang w:val="en-US" w:eastAsia="zh-CN"/>
              </w:rPr>
              <w:t>各1人</w:t>
            </w:r>
            <w:r>
              <w:rPr>
                <w:rFonts w:hint="eastAsia" w:ascii="宋体" w:hAnsi="宋体"/>
                <w:color w:val="auto"/>
                <w:szCs w:val="21"/>
                <w:highlight w:val="none"/>
                <w:lang w:eastAsia="zh-CN"/>
              </w:rPr>
              <w:t>）</w:t>
            </w:r>
          </w:p>
        </w:tc>
        <w:tc>
          <w:tcPr>
            <w:tcW w:w="40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strike w:val="0"/>
                <w:color w:val="auto"/>
                <w:szCs w:val="21"/>
                <w:highlight w:val="none"/>
                <w:lang w:val="en-US" w:eastAsia="zh-CN"/>
              </w:rPr>
            </w:pPr>
            <w:r>
              <w:rPr>
                <w:rFonts w:hint="eastAsia" w:ascii="宋体" w:hAnsi="宋体"/>
                <w:strike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b/>
                <w:color w:val="auto"/>
                <w:spacing w:val="20"/>
                <w:szCs w:val="21"/>
                <w:highlight w:val="none"/>
              </w:rPr>
            </w:pPr>
            <w:r>
              <w:rPr>
                <w:color w:val="auto"/>
                <w:szCs w:val="21"/>
                <w:highlight w:val="none"/>
              </w:rPr>
              <w:t>计划</w:t>
            </w:r>
            <w:r>
              <w:rPr>
                <w:rFonts w:hint="eastAsia"/>
                <w:color w:val="auto"/>
                <w:szCs w:val="21"/>
                <w:highlight w:val="none"/>
                <w:lang w:val="en-US" w:eastAsia="zh-CN"/>
              </w:rPr>
              <w:t>管理</w:t>
            </w:r>
            <w:r>
              <w:rPr>
                <w:color w:val="auto"/>
                <w:szCs w:val="21"/>
                <w:highlight w:val="none"/>
              </w:rPr>
              <w:t>工程师</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1人</w:t>
            </w:r>
          </w:p>
        </w:tc>
        <w:tc>
          <w:tcPr>
            <w:tcW w:w="40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trike w:val="0"/>
                <w:color w:val="auto"/>
                <w:szCs w:val="21"/>
                <w:highlight w:val="none"/>
                <w:lang w:val="en-US" w:eastAsia="zh-CN"/>
              </w:rPr>
            </w:pPr>
            <w:r>
              <w:rPr>
                <w:rFonts w:hint="eastAsia" w:ascii="宋体" w:hAnsi="宋体"/>
                <w:strike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pacing w:val="20"/>
                <w:szCs w:val="21"/>
                <w:highlight w:val="none"/>
              </w:rPr>
            </w:pPr>
            <w:r>
              <w:rPr>
                <w:rFonts w:hint="eastAsia"/>
                <w:color w:val="auto"/>
                <w:szCs w:val="21"/>
                <w:highlight w:val="none"/>
                <w:lang w:val="en-US" w:eastAsia="zh-CN"/>
              </w:rPr>
              <w:t>强电系统专业</w:t>
            </w:r>
            <w:r>
              <w:rPr>
                <w:rFonts w:hint="eastAsia" w:ascii="宋体" w:hAnsi="宋体"/>
                <w:color w:val="auto"/>
                <w:szCs w:val="21"/>
                <w:highlight w:val="none"/>
              </w:rPr>
              <w:t>工程师</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人</w:t>
            </w:r>
          </w:p>
        </w:tc>
        <w:tc>
          <w:tcPr>
            <w:tcW w:w="4020" w:type="dxa"/>
            <w:vMerge w:val="restart"/>
            <w:tcBorders>
              <w:top w:val="single" w:color="auto" w:sz="4" w:space="0"/>
              <w:left w:val="single" w:color="auto" w:sz="4" w:space="0"/>
              <w:right w:val="single" w:color="auto" w:sz="4" w:space="0"/>
            </w:tcBorders>
            <w:noWrap w:val="0"/>
            <w:vAlign w:val="center"/>
          </w:tcPr>
          <w:p>
            <w:pPr>
              <w:numPr>
                <w:ilvl w:val="0"/>
                <w:numId w:val="0"/>
              </w:numPr>
              <w:spacing w:line="400" w:lineRule="exact"/>
              <w:rPr>
                <w:rFonts w:hint="eastAsia" w:ascii="Times New Roman" w:hAnsi="Times New Roman" w:eastAsia="宋体" w:cs="宋体"/>
                <w:strike w:val="0"/>
                <w:color w:val="auto"/>
                <w:highlight w:val="none"/>
                <w:lang w:val="en-US" w:eastAsia="zh-CN"/>
              </w:rPr>
            </w:pPr>
            <w:r>
              <w:rPr>
                <w:rFonts w:hint="eastAsia" w:eastAsia="宋体" w:cs="宋体"/>
                <w:color w:val="auto"/>
                <w:highlight w:val="none"/>
              </w:rPr>
              <w:t>（</w:t>
            </w:r>
            <w:r>
              <w:rPr>
                <w:rFonts w:hint="eastAsia" w:ascii="Times New Roman" w:hAnsi="Times New Roman" w:eastAsia="宋体" w:cs="宋体"/>
                <w:color w:val="auto"/>
                <w:highlight w:val="none"/>
                <w:lang w:val="en-US" w:eastAsia="zh-CN"/>
              </w:rPr>
              <w:t>1）</w:t>
            </w:r>
            <w:r>
              <w:rPr>
                <w:rFonts w:hint="eastAsia" w:ascii="Times New Roman" w:hAnsi="Times New Roman" w:eastAsia="宋体" w:cs="宋体"/>
                <w:strike w:val="0"/>
                <w:color w:val="auto"/>
                <w:highlight w:val="none"/>
                <w:lang w:val="en-US" w:eastAsia="zh-CN"/>
              </w:rPr>
              <w:t>对口工程技术专业，大学本科及以上学历，具有工程师以上（含工程师）技术职称。</w:t>
            </w:r>
          </w:p>
          <w:p>
            <w:pPr>
              <w:numPr>
                <w:ilvl w:val="0"/>
                <w:numId w:val="0"/>
              </w:numPr>
              <w:spacing w:line="400" w:lineRule="exac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w:t>
            </w:r>
            <w:r>
              <w:rPr>
                <w:rFonts w:hint="eastAsia" w:cs="宋体"/>
                <w:color w:val="auto"/>
                <w:highlight w:val="none"/>
                <w:lang w:val="en-US" w:eastAsia="zh-CN"/>
              </w:rPr>
              <w:t>2</w:t>
            </w:r>
            <w:r>
              <w:rPr>
                <w:rFonts w:hint="eastAsia" w:ascii="Times New Roman" w:hAnsi="Times New Roman" w:eastAsia="宋体" w:cs="宋体"/>
                <w:color w:val="auto"/>
                <w:highlight w:val="none"/>
                <w:lang w:val="en-US" w:eastAsia="zh-CN"/>
              </w:rPr>
              <w:t>）高级工程师人数不得少于总人数的1/5，年龄超过60岁的集成人员不得超过2人，具备工地现场服务职责的人员年龄不超过50周岁。</w:t>
            </w:r>
          </w:p>
          <w:p>
            <w:pPr>
              <w:snapToGrid w:val="0"/>
              <w:jc w:val="center"/>
              <w:rPr>
                <w:rFonts w:hint="eastAsia" w:ascii="宋体" w:hAnsi="宋体"/>
                <w:strike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r>
              <w:rPr>
                <w:rFonts w:hint="eastAsia"/>
                <w:color w:val="auto"/>
                <w:szCs w:val="21"/>
                <w:highlight w:val="none"/>
                <w:lang w:val="en-US" w:eastAsia="zh-CN"/>
              </w:rPr>
              <w:t>弱电系统专业</w:t>
            </w:r>
            <w:r>
              <w:rPr>
                <w:rFonts w:hint="eastAsia" w:ascii="宋体" w:hAnsi="宋体"/>
                <w:color w:val="auto"/>
                <w:szCs w:val="21"/>
                <w:highlight w:val="none"/>
              </w:rPr>
              <w:t>工程师</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人</w:t>
            </w:r>
          </w:p>
        </w:tc>
        <w:tc>
          <w:tcPr>
            <w:tcW w:w="4020"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strike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Cs w:val="21"/>
                <w:highlight w:val="none"/>
                <w:lang w:val="en-US"/>
              </w:rPr>
            </w:pPr>
            <w:r>
              <w:rPr>
                <w:rFonts w:hint="eastAsia"/>
                <w:color w:val="auto"/>
                <w:szCs w:val="21"/>
                <w:highlight w:val="none"/>
                <w:lang w:val="en-US" w:eastAsia="zh-CN"/>
              </w:rPr>
              <w:t>车站设备专业</w:t>
            </w:r>
            <w:r>
              <w:rPr>
                <w:rFonts w:hint="eastAsia" w:ascii="宋体" w:hAnsi="宋体"/>
                <w:color w:val="auto"/>
                <w:szCs w:val="21"/>
                <w:highlight w:val="none"/>
              </w:rPr>
              <w:t>工程师</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人</w:t>
            </w:r>
          </w:p>
        </w:tc>
        <w:tc>
          <w:tcPr>
            <w:tcW w:w="402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strike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Cs w:val="21"/>
                <w:highlight w:val="none"/>
                <w:lang w:val="en-US"/>
              </w:rPr>
            </w:pPr>
            <w:r>
              <w:rPr>
                <w:color w:val="auto"/>
                <w:szCs w:val="21"/>
                <w:highlight w:val="none"/>
              </w:rPr>
              <w:t>文档助理</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人</w:t>
            </w:r>
          </w:p>
        </w:tc>
        <w:tc>
          <w:tcPr>
            <w:tcW w:w="40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司机</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人</w:t>
            </w:r>
          </w:p>
        </w:tc>
        <w:tc>
          <w:tcPr>
            <w:tcW w:w="40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ascii="宋体" w:hAnsi="宋体"/>
                <w:b/>
                <w:color w:val="auto"/>
                <w:spacing w:val="20"/>
                <w:szCs w:val="21"/>
                <w:highlight w:val="none"/>
              </w:rPr>
            </w:pPr>
            <w:r>
              <w:rPr>
                <w:rFonts w:hint="eastAsia" w:ascii="宋体" w:hAnsi="宋体"/>
                <w:b/>
                <w:color w:val="auto"/>
                <w:spacing w:val="20"/>
                <w:szCs w:val="21"/>
                <w:highlight w:val="none"/>
              </w:rPr>
              <w:t>合计</w:t>
            </w:r>
          </w:p>
        </w:tc>
        <w:tc>
          <w:tcPr>
            <w:tcW w:w="354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b/>
                <w:color w:val="auto"/>
                <w:spacing w:val="20"/>
                <w:szCs w:val="21"/>
                <w:highlight w:val="none"/>
                <w:lang w:val="en-US" w:eastAsia="zh-CN"/>
              </w:rPr>
            </w:pPr>
            <w:r>
              <w:rPr>
                <w:rFonts w:hint="eastAsia" w:ascii="宋体" w:hAnsi="宋体"/>
                <w:b/>
                <w:color w:val="auto"/>
                <w:spacing w:val="20"/>
                <w:szCs w:val="21"/>
                <w:highlight w:val="none"/>
                <w:lang w:val="en-US" w:eastAsia="zh-CN"/>
              </w:rPr>
              <w:t>28</w:t>
            </w:r>
            <w:r>
              <w:rPr>
                <w:rFonts w:hint="eastAsia" w:ascii="宋体" w:hAnsi="宋体"/>
                <w:b/>
                <w:color w:val="auto"/>
                <w:spacing w:val="20"/>
                <w:szCs w:val="21"/>
                <w:highlight w:val="none"/>
              </w:rPr>
              <w:t>人</w:t>
            </w:r>
            <w:r>
              <w:rPr>
                <w:rFonts w:hint="eastAsia" w:ascii="宋体" w:hAnsi="宋体"/>
                <w:b/>
                <w:color w:val="auto"/>
                <w:spacing w:val="20"/>
                <w:szCs w:val="21"/>
                <w:highlight w:val="none"/>
                <w:lang w:val="en-US" w:eastAsia="zh-CN"/>
              </w:rPr>
              <w:t xml:space="preserve"> </w:t>
            </w:r>
          </w:p>
        </w:tc>
        <w:tc>
          <w:tcPr>
            <w:tcW w:w="40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b/>
                <w:color w:val="auto"/>
                <w:spacing w:val="2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9705" w:type="dxa"/>
            <w:gridSpan w:val="3"/>
            <w:noWrap w:val="0"/>
            <w:vAlign w:val="top"/>
          </w:tcPr>
          <w:p>
            <w:pPr>
              <w:numPr>
                <w:ilvl w:val="0"/>
                <w:numId w:val="0"/>
              </w:numPr>
              <w:tabs>
                <w:tab w:val="left" w:pos="510"/>
              </w:tabs>
              <w:spacing w:line="360" w:lineRule="exact"/>
              <w:ind w:left="0" w:firstLine="0"/>
              <w:rPr>
                <w:rFonts w:hint="eastAsia"/>
                <w:color w:val="auto"/>
                <w:highlight w:val="none"/>
              </w:rPr>
            </w:pPr>
            <w:r>
              <w:rPr>
                <w:rFonts w:hint="eastAsia"/>
                <w:color w:val="auto"/>
                <w:highlight w:val="none"/>
              </w:rPr>
              <w:t>附注：</w:t>
            </w:r>
          </w:p>
          <w:p>
            <w:pPr>
              <w:numPr>
                <w:ilvl w:val="0"/>
                <w:numId w:val="0"/>
              </w:numPr>
              <w:tabs>
                <w:tab w:val="left" w:pos="510"/>
              </w:tabs>
              <w:spacing w:line="360" w:lineRule="exact"/>
              <w:ind w:left="0" w:firstLine="0"/>
              <w:rPr>
                <w:color w:val="auto"/>
                <w:highlight w:val="none"/>
              </w:rPr>
            </w:pPr>
            <w:r>
              <w:rPr>
                <w:rFonts w:hint="eastAsia"/>
                <w:color w:val="auto"/>
                <w:highlight w:val="none"/>
                <w:lang w:eastAsia="zh-CN"/>
              </w:rPr>
              <w:t>（</w:t>
            </w:r>
            <w:r>
              <w:rPr>
                <w:rFonts w:hint="eastAsia"/>
                <w:color w:val="auto"/>
                <w:highlight w:val="none"/>
                <w:lang w:val="en-US" w:eastAsia="zh-CN"/>
              </w:rPr>
              <w:t>a</w:t>
            </w:r>
            <w:r>
              <w:rPr>
                <w:rFonts w:hint="eastAsia"/>
                <w:color w:val="auto"/>
                <w:highlight w:val="none"/>
                <w:lang w:eastAsia="zh-CN"/>
              </w:rPr>
              <w:t>）</w:t>
            </w:r>
            <w:r>
              <w:rPr>
                <w:rFonts w:hint="eastAsia"/>
                <w:b/>
                <w:bCs/>
                <w:color w:val="auto"/>
                <w:highlight w:val="none"/>
              </w:rPr>
              <w:t>对项目</w:t>
            </w:r>
            <w:r>
              <w:rPr>
                <w:rFonts w:hint="eastAsia"/>
                <w:b/>
                <w:bCs/>
                <w:color w:val="auto"/>
                <w:highlight w:val="none"/>
                <w:lang w:val="en-US" w:eastAsia="zh-CN"/>
              </w:rPr>
              <w:t>集成服务人员</w:t>
            </w:r>
            <w:r>
              <w:rPr>
                <w:rFonts w:hint="eastAsia"/>
                <w:b/>
                <w:bCs/>
                <w:color w:val="auto"/>
                <w:highlight w:val="none"/>
              </w:rPr>
              <w:t>分时间段分别列明人员名单。</w:t>
            </w:r>
          </w:p>
          <w:p>
            <w:pPr>
              <w:numPr>
                <w:ilvl w:val="0"/>
                <w:numId w:val="0"/>
              </w:numPr>
              <w:tabs>
                <w:tab w:val="left" w:pos="510"/>
              </w:tabs>
              <w:spacing w:line="360" w:lineRule="exact"/>
              <w:ind w:left="0" w:firstLine="0"/>
              <w:rPr>
                <w:rFonts w:hint="eastAsia"/>
                <w:color w:val="auto"/>
                <w:highlight w:val="none"/>
              </w:rPr>
            </w:pPr>
            <w:r>
              <w:rPr>
                <w:rFonts w:hint="eastAsia"/>
                <w:color w:val="auto"/>
                <w:highlight w:val="none"/>
                <w:lang w:eastAsia="zh-CN"/>
              </w:rPr>
              <w:t>（</w:t>
            </w:r>
            <w:r>
              <w:rPr>
                <w:rFonts w:hint="eastAsia"/>
                <w:color w:val="auto"/>
                <w:highlight w:val="none"/>
                <w:lang w:val="en-US" w:eastAsia="zh-CN"/>
              </w:rPr>
              <w:t>b</w:t>
            </w:r>
            <w:r>
              <w:rPr>
                <w:rFonts w:hint="eastAsia"/>
                <w:color w:val="auto"/>
                <w:highlight w:val="none"/>
                <w:lang w:eastAsia="zh-CN"/>
              </w:rPr>
              <w:t>）</w:t>
            </w:r>
            <w:r>
              <w:rPr>
                <w:rFonts w:hint="eastAsia"/>
                <w:color w:val="auto"/>
                <w:highlight w:val="none"/>
              </w:rPr>
              <w:t>表中所列主要</w:t>
            </w:r>
            <w:r>
              <w:rPr>
                <w:rFonts w:hint="eastAsia"/>
                <w:color w:val="auto"/>
                <w:highlight w:val="none"/>
                <w:lang w:val="en-US" w:eastAsia="zh-CN"/>
              </w:rPr>
              <w:t>集成服务</w:t>
            </w:r>
            <w:r>
              <w:rPr>
                <w:rFonts w:hint="eastAsia"/>
                <w:color w:val="auto"/>
                <w:highlight w:val="none"/>
              </w:rPr>
              <w:t>人员配额为最低限度；</w:t>
            </w:r>
            <w:r>
              <w:rPr>
                <w:rFonts w:hint="eastAsia"/>
                <w:color w:val="auto"/>
                <w:highlight w:val="none"/>
                <w:lang w:val="en-US" w:eastAsia="zh-CN"/>
              </w:rPr>
              <w:t>且在本标段服务期内，不能在其他工程项目上重复任职。</w:t>
            </w:r>
            <w:r>
              <w:rPr>
                <w:rFonts w:hint="eastAsia"/>
                <w:color w:val="auto"/>
                <w:highlight w:val="none"/>
              </w:rPr>
              <w:t>委托人保留要求增加人员的权利，但不增加费用。</w:t>
            </w:r>
          </w:p>
          <w:p>
            <w:pPr>
              <w:numPr>
                <w:ilvl w:val="0"/>
                <w:numId w:val="0"/>
              </w:numPr>
              <w:tabs>
                <w:tab w:val="left" w:pos="510"/>
              </w:tabs>
              <w:spacing w:line="360" w:lineRule="exact"/>
              <w:ind w:left="0" w:firstLine="0"/>
              <w:rPr>
                <w:rFonts w:hint="eastAsia"/>
                <w:color w:val="auto"/>
                <w:highlight w:val="none"/>
              </w:rPr>
            </w:pPr>
            <w:r>
              <w:rPr>
                <w:rFonts w:hint="eastAsia"/>
                <w:color w:val="auto"/>
                <w:highlight w:val="none"/>
                <w:lang w:eastAsia="zh-CN"/>
              </w:rPr>
              <w:t>（</w:t>
            </w:r>
            <w:r>
              <w:rPr>
                <w:rFonts w:hint="eastAsia"/>
                <w:color w:val="auto"/>
                <w:highlight w:val="none"/>
                <w:lang w:val="en-US" w:eastAsia="zh-CN"/>
              </w:rPr>
              <w:t>c</w:t>
            </w:r>
            <w:r>
              <w:rPr>
                <w:rFonts w:hint="eastAsia"/>
                <w:color w:val="auto"/>
                <w:highlight w:val="none"/>
                <w:lang w:eastAsia="zh-CN"/>
              </w:rPr>
              <w:t>）</w:t>
            </w:r>
            <w:r>
              <w:rPr>
                <w:rFonts w:hint="eastAsia"/>
                <w:color w:val="auto"/>
                <w:highlight w:val="none"/>
              </w:rPr>
              <w:t>主要人员指</w:t>
            </w:r>
            <w:r>
              <w:rPr>
                <w:rFonts w:hint="eastAsia"/>
                <w:color w:val="auto"/>
                <w:highlight w:val="none"/>
                <w:lang w:val="en-US" w:eastAsia="zh-CN"/>
              </w:rPr>
              <w:t>项目经理</w:t>
            </w:r>
            <w:r>
              <w:rPr>
                <w:rFonts w:hint="eastAsia"/>
                <w:color w:val="auto"/>
                <w:highlight w:val="none"/>
              </w:rPr>
              <w:t>、</w:t>
            </w:r>
            <w:r>
              <w:rPr>
                <w:rFonts w:hint="eastAsia"/>
                <w:color w:val="auto"/>
                <w:highlight w:val="none"/>
                <w:lang w:val="en-US" w:eastAsia="zh-CN"/>
              </w:rPr>
              <w:t>系统负责人</w:t>
            </w:r>
            <w:r>
              <w:rPr>
                <w:rFonts w:hint="eastAsia"/>
                <w:color w:val="auto"/>
                <w:highlight w:val="none"/>
              </w:rPr>
              <w:t>、</w:t>
            </w:r>
            <w:r>
              <w:rPr>
                <w:rFonts w:hint="eastAsia"/>
                <w:color w:val="auto"/>
                <w:highlight w:val="none"/>
                <w:lang w:val="en-US" w:eastAsia="zh-CN"/>
              </w:rPr>
              <w:t>质量管理工程师、系统专业工程师，在人员简历表（每人一表）中后附证明材料</w:t>
            </w:r>
            <w:r>
              <w:rPr>
                <w:rFonts w:hint="eastAsia"/>
                <w:color w:val="auto"/>
                <w:highlight w:val="none"/>
              </w:rPr>
              <w:t>。</w:t>
            </w:r>
          </w:p>
          <w:p>
            <w:pPr>
              <w:numPr>
                <w:ilvl w:val="0"/>
                <w:numId w:val="0"/>
              </w:numPr>
              <w:tabs>
                <w:tab w:val="left" w:pos="510"/>
              </w:tabs>
              <w:spacing w:line="360" w:lineRule="exact"/>
              <w:ind w:left="0" w:firstLine="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d</w:t>
            </w:r>
            <w:r>
              <w:rPr>
                <w:rFonts w:hint="eastAsia"/>
                <w:color w:val="auto"/>
                <w:highlight w:val="none"/>
                <w:lang w:eastAsia="zh-CN"/>
              </w:rPr>
              <w:t>）</w:t>
            </w:r>
            <w:r>
              <w:rPr>
                <w:rFonts w:hint="eastAsia"/>
                <w:color w:val="auto"/>
                <w:highlight w:val="none"/>
                <w:lang w:val="en-US" w:eastAsia="zh-CN"/>
              </w:rPr>
              <w:t>相关人员资质等具体要求详见委托人要求</w:t>
            </w:r>
          </w:p>
        </w:tc>
      </w:tr>
    </w:tbl>
    <w:p>
      <w:pPr>
        <w:pStyle w:val="11"/>
        <w:rPr>
          <w:rFonts w:hint="eastAsia" w:ascii="宋体" w:hAnsi="宋体"/>
          <w:color w:val="auto"/>
          <w:spacing w:val="20"/>
          <w:szCs w:val="21"/>
          <w:highlight w:val="none"/>
        </w:rPr>
      </w:pPr>
    </w:p>
    <w:p>
      <w:pPr>
        <w:spacing w:line="500" w:lineRule="exact"/>
        <w:rPr>
          <w:rFonts w:hint="eastAsia" w:ascii="宋体" w:hAnsi="宋体" w:eastAsia="宋体"/>
          <w:b/>
          <w:bCs/>
          <w:color w:val="auto"/>
          <w:spacing w:val="20"/>
          <w:szCs w:val="21"/>
          <w:highlight w:val="none"/>
          <w:lang w:val="en-US" w:eastAsia="zh-CN"/>
        </w:rPr>
      </w:pPr>
    </w:p>
    <w:p>
      <w:pPr>
        <w:pStyle w:val="11"/>
        <w:rPr>
          <w:rFonts w:hint="eastAsia" w:ascii="宋体" w:hAnsi="宋体"/>
          <w:color w:val="auto"/>
          <w:highlight w:val="none"/>
        </w:rPr>
      </w:pPr>
    </w:p>
    <w:p>
      <w:pPr>
        <w:pStyle w:val="11"/>
        <w:rPr>
          <w:rFonts w:hint="eastAsia" w:ascii="宋体" w:hAnsi="宋体"/>
          <w:color w:val="auto"/>
          <w:highlight w:val="none"/>
        </w:rPr>
      </w:pPr>
    </w:p>
    <w:p>
      <w:pPr>
        <w:bidi w:val="0"/>
        <w:rPr>
          <w:rFonts w:hint="eastAsia"/>
          <w:color w:val="auto"/>
          <w:highlight w:val="none"/>
        </w:rPr>
      </w:pPr>
      <w:bookmarkStart w:id="2616" w:name="_Toc27960"/>
      <w:bookmarkStart w:id="2617" w:name="_Toc156398411"/>
      <w:bookmarkStart w:id="2618" w:name="_Toc19556"/>
      <w:r>
        <w:rPr>
          <w:rFonts w:hint="eastAsia"/>
          <w:color w:val="auto"/>
          <w:highlight w:val="none"/>
        </w:rPr>
        <w:br w:type="page"/>
      </w:r>
      <w:bookmarkEnd w:id="2608"/>
      <w:bookmarkEnd w:id="2616"/>
      <w:bookmarkEnd w:id="2617"/>
      <w:bookmarkEnd w:id="2618"/>
      <w:bookmarkStart w:id="2619" w:name="_Toc27384_WPSOffice_Level1"/>
      <w:bookmarkStart w:id="2620" w:name="_Toc28905_WPSOffice_Level2"/>
      <w:bookmarkStart w:id="2621" w:name="_Toc6986_WPSOffice_Level2"/>
    </w:p>
    <w:p>
      <w:pPr>
        <w:bidi w:val="0"/>
        <w:ind w:firstLine="3150" w:firstLineChars="1500"/>
        <w:rPr>
          <w:rFonts w:hint="eastAsia"/>
          <w:color w:val="auto"/>
          <w:highlight w:val="none"/>
        </w:rPr>
      </w:pPr>
      <w:r>
        <w:rPr>
          <w:rFonts w:hint="eastAsia"/>
          <w:color w:val="auto"/>
          <w:highlight w:val="none"/>
        </w:rPr>
        <w:t>人员简历表（每人一表）</w:t>
      </w:r>
    </w:p>
    <w:p>
      <w:pPr>
        <w:pStyle w:val="13"/>
        <w:rPr>
          <w:color w:val="auto"/>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年龄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执业资格证书（或上岗证书）名称</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3071"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从事</w:t>
            </w:r>
            <w:r>
              <w:rPr>
                <w:rFonts w:hint="eastAsia"/>
                <w:color w:val="auto"/>
                <w:highlight w:val="none"/>
                <w:lang w:val="en-US" w:eastAsia="zh-CN"/>
              </w:rPr>
              <w:t>相关</w:t>
            </w:r>
            <w:r>
              <w:rPr>
                <w:rFonts w:hint="eastAsia"/>
                <w:color w:val="auto"/>
                <w:highlight w:val="none"/>
              </w:rPr>
              <w:t>工作年限</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35" w:type="dxa"/>
            <w:gridSpan w:val="8"/>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highlight w:val="none"/>
              </w:rPr>
            </w:pPr>
          </w:p>
        </w:tc>
      </w:tr>
    </w:tbl>
    <w:p>
      <w:pPr>
        <w:jc w:val="center"/>
        <w:rPr>
          <w:rFonts w:hint="eastAsia"/>
          <w:b/>
          <w:bCs/>
          <w:color w:val="auto"/>
          <w:highlight w:val="none"/>
        </w:rPr>
      </w:pPr>
      <w:r>
        <w:rPr>
          <w:rFonts w:hint="eastAsia"/>
          <w:color w:val="auto"/>
          <w:highlight w:val="none"/>
        </w:rPr>
        <w:t>注：投标人应根据</w:t>
      </w:r>
      <w:r>
        <w:rPr>
          <w:rFonts w:hint="eastAsia"/>
          <w:color w:val="auto"/>
          <w:highlight w:val="none"/>
          <w:lang w:val="en-US" w:eastAsia="zh-CN"/>
        </w:rPr>
        <w:t>委托人</w:t>
      </w:r>
      <w:r>
        <w:rPr>
          <w:rFonts w:hint="eastAsia"/>
          <w:color w:val="auto"/>
          <w:highlight w:val="none"/>
        </w:rPr>
        <w:t>要求在本表后附相关证明材料，其中主要</w:t>
      </w:r>
      <w:r>
        <w:rPr>
          <w:rFonts w:hint="eastAsia"/>
          <w:color w:val="auto"/>
          <w:highlight w:val="none"/>
          <w:lang w:val="en-US" w:eastAsia="zh-CN"/>
        </w:rPr>
        <w:t>集成服务</w:t>
      </w:r>
      <w:r>
        <w:rPr>
          <w:rFonts w:hint="eastAsia"/>
          <w:color w:val="auto"/>
          <w:highlight w:val="none"/>
        </w:rPr>
        <w:t>人员（</w:t>
      </w:r>
      <w:r>
        <w:rPr>
          <w:rFonts w:hint="eastAsia"/>
          <w:b/>
          <w:bCs/>
          <w:color w:val="auto"/>
          <w:highlight w:val="none"/>
        </w:rPr>
        <w:t>主要</w:t>
      </w:r>
    </w:p>
    <w:p>
      <w:pPr>
        <w:jc w:val="both"/>
        <w:rPr>
          <w:rFonts w:hint="eastAsia" w:eastAsia="宋体"/>
          <w:b/>
          <w:bCs/>
          <w:color w:val="auto"/>
          <w:highlight w:val="none"/>
          <w:lang w:eastAsia="zh-CN"/>
        </w:rPr>
      </w:pPr>
      <w:r>
        <w:rPr>
          <w:rFonts w:hint="eastAsia"/>
          <w:b/>
          <w:bCs/>
          <w:color w:val="auto"/>
          <w:highlight w:val="none"/>
          <w:lang w:val="en-US" w:eastAsia="zh-CN"/>
        </w:rPr>
        <w:t>集成服务</w:t>
      </w:r>
      <w:r>
        <w:rPr>
          <w:rFonts w:hint="eastAsia"/>
          <w:b/>
          <w:bCs/>
          <w:color w:val="auto"/>
          <w:highlight w:val="none"/>
        </w:rPr>
        <w:t>人员指</w:t>
      </w:r>
      <w:r>
        <w:rPr>
          <w:rFonts w:hint="eastAsia"/>
          <w:b/>
          <w:bCs/>
          <w:color w:val="auto"/>
          <w:highlight w:val="none"/>
          <w:lang w:val="en-US" w:eastAsia="zh-CN"/>
        </w:rPr>
        <w:t>项目经理</w:t>
      </w:r>
      <w:r>
        <w:rPr>
          <w:rFonts w:hint="eastAsia"/>
          <w:b/>
          <w:bCs/>
          <w:color w:val="auto"/>
          <w:highlight w:val="none"/>
        </w:rPr>
        <w:t>、</w:t>
      </w:r>
      <w:r>
        <w:rPr>
          <w:rFonts w:hint="eastAsia"/>
          <w:b/>
          <w:bCs/>
          <w:color w:val="auto"/>
          <w:highlight w:val="none"/>
          <w:lang w:val="en-US" w:eastAsia="zh-CN"/>
        </w:rPr>
        <w:t>系统负责人</w:t>
      </w:r>
      <w:r>
        <w:rPr>
          <w:rFonts w:hint="eastAsia"/>
          <w:b/>
          <w:bCs/>
          <w:color w:val="auto"/>
          <w:highlight w:val="none"/>
        </w:rPr>
        <w:t>、</w:t>
      </w:r>
      <w:r>
        <w:rPr>
          <w:rFonts w:hint="eastAsia"/>
          <w:b/>
          <w:bCs/>
          <w:color w:val="auto"/>
          <w:highlight w:val="none"/>
          <w:lang w:val="en-US" w:eastAsia="zh-CN"/>
        </w:rPr>
        <w:t>系统专业</w:t>
      </w:r>
      <w:r>
        <w:rPr>
          <w:rFonts w:hint="eastAsia"/>
          <w:b/>
          <w:bCs/>
          <w:color w:val="auto"/>
          <w:highlight w:val="none"/>
        </w:rPr>
        <w:t>工程师）</w:t>
      </w:r>
      <w:r>
        <w:rPr>
          <w:rFonts w:hint="eastAsia"/>
          <w:b/>
          <w:bCs/>
          <w:color w:val="auto"/>
          <w:highlight w:val="none"/>
          <w:lang w:eastAsia="zh-CN"/>
        </w:rPr>
        <w:t>，</w:t>
      </w:r>
      <w:r>
        <w:rPr>
          <w:rFonts w:hint="eastAsia"/>
          <w:color w:val="auto"/>
          <w:highlight w:val="none"/>
        </w:rPr>
        <w:t>需</w:t>
      </w:r>
      <w:r>
        <w:rPr>
          <w:rFonts w:hint="eastAsia"/>
          <w:color w:val="auto"/>
          <w:highlight w:val="none"/>
          <w:lang w:eastAsia="zh-CN"/>
        </w:rPr>
        <w:t>《</w:t>
      </w:r>
      <w:r>
        <w:rPr>
          <w:rFonts w:hint="eastAsia"/>
          <w:color w:val="auto"/>
          <w:highlight w:val="none"/>
        </w:rPr>
        <w:t>集成服务人员配置要求</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rPr>
        <w:t>提供</w:t>
      </w:r>
      <w:r>
        <w:rPr>
          <w:rFonts w:hint="eastAsia"/>
          <w:color w:val="auto"/>
          <w:highlight w:val="none"/>
          <w:lang w:val="en-US" w:eastAsia="zh-CN"/>
        </w:rPr>
        <w:t>职称证书、毕业证书、身份证及</w:t>
      </w:r>
      <w:r>
        <w:rPr>
          <w:rFonts w:hint="eastAsia"/>
          <w:color w:val="auto"/>
          <w:highlight w:val="none"/>
        </w:rPr>
        <w:t>投标截止日前近6个月（20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12</w:t>
      </w:r>
      <w:r>
        <w:rPr>
          <w:rFonts w:hint="eastAsia"/>
          <w:color w:val="auto"/>
          <w:highlight w:val="none"/>
        </w:rPr>
        <w:t>月至202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月）以上的社保证明</w:t>
      </w:r>
      <w:r>
        <w:rPr>
          <w:rFonts w:hint="eastAsia"/>
          <w:color w:val="auto"/>
          <w:highlight w:val="none"/>
          <w:lang w:eastAsia="zh-CN"/>
        </w:rPr>
        <w:t>（如部分地区社保证明显示隔月缴费状态，则提供</w:t>
      </w:r>
      <w:r>
        <w:rPr>
          <w:rFonts w:hint="eastAsia"/>
          <w:color w:val="auto"/>
          <w:highlight w:val="none"/>
        </w:rPr>
        <w:t>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11</w:t>
      </w:r>
      <w:r>
        <w:rPr>
          <w:rFonts w:hint="eastAsia"/>
          <w:color w:val="auto"/>
          <w:highlight w:val="none"/>
        </w:rPr>
        <w:t>月至202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eastAsia="zh-CN"/>
        </w:rPr>
        <w:t>的社保证明）</w:t>
      </w:r>
      <w:r>
        <w:rPr>
          <w:rFonts w:hint="eastAsia"/>
          <w:color w:val="auto"/>
          <w:highlight w:val="none"/>
        </w:rPr>
        <w:t>。</w:t>
      </w:r>
      <w:r>
        <w:rPr>
          <w:rFonts w:hint="eastAsia" w:ascii="宋体" w:hAnsi="宋体" w:cs="宋体"/>
          <w:color w:val="auto"/>
          <w:szCs w:val="21"/>
          <w:highlight w:val="none"/>
        </w:rPr>
        <w:t>社保证明文件应具备社保管理机构印章</w:t>
      </w:r>
      <w:r>
        <w:rPr>
          <w:rFonts w:hint="eastAsia" w:ascii="宋体" w:hAnsi="宋体" w:cs="宋体"/>
          <w:color w:val="auto"/>
          <w:szCs w:val="21"/>
          <w:highlight w:val="none"/>
          <w:lang w:eastAsia="zh-CN"/>
        </w:rPr>
        <w:t>，</w:t>
      </w:r>
      <w:r>
        <w:rPr>
          <w:rFonts w:hint="eastAsia" w:ascii="宋体" w:hAnsi="宋体" w:cs="宋体"/>
          <w:color w:val="auto"/>
          <w:szCs w:val="21"/>
          <w:highlight w:val="none"/>
        </w:rPr>
        <w:t>社保可以是投标人总公司或其分公司缴纳的社保</w:t>
      </w:r>
      <w:r>
        <w:rPr>
          <w:rFonts w:hint="eastAsia" w:ascii="宋体" w:hAnsi="宋体" w:cs="宋体"/>
          <w:color w:val="auto"/>
          <w:szCs w:val="21"/>
          <w:highlight w:val="none"/>
          <w:lang w:eastAsia="zh-CN"/>
        </w:rPr>
        <w:t>。</w:t>
      </w:r>
    </w:p>
    <w:p>
      <w:pPr>
        <w:spacing w:line="500" w:lineRule="exact"/>
        <w:ind w:firstLine="500" w:firstLineChars="200"/>
        <w:rPr>
          <w:rFonts w:hint="eastAsia" w:ascii="宋体" w:hAnsi="宋体"/>
          <w:color w:val="auto"/>
          <w:spacing w:val="20"/>
          <w:szCs w:val="21"/>
          <w:highlight w:val="none"/>
        </w:rPr>
      </w:pPr>
    </w:p>
    <w:p>
      <w:pPr>
        <w:widowControl/>
        <w:jc w:val="left"/>
        <w:rPr>
          <w:color w:val="auto"/>
          <w:highlight w:val="none"/>
        </w:rPr>
      </w:pPr>
      <w:r>
        <w:rPr>
          <w:color w:val="auto"/>
          <w:highlight w:val="none"/>
        </w:rPr>
        <w:br w:type="page"/>
      </w:r>
    </w:p>
    <w:p>
      <w:pPr>
        <w:spacing w:line="276" w:lineRule="auto"/>
        <w:ind w:firstLine="420" w:firstLineChars="200"/>
        <w:rPr>
          <w:rFonts w:hint="eastAsia" w:ascii="宋体" w:hAnsi="宋体"/>
          <w:color w:val="auto"/>
          <w:spacing w:val="20"/>
          <w:highlight w:val="none"/>
        </w:rPr>
      </w:pPr>
      <w:r>
        <w:rPr>
          <w:rFonts w:hint="eastAsia" w:eastAsia="宋体" w:cs="宋体"/>
          <w:color w:val="auto"/>
          <w:highlight w:val="none"/>
        </w:rPr>
        <w:t>投标人需根据</w:t>
      </w:r>
      <w:r>
        <w:rPr>
          <w:rFonts w:hint="eastAsia" w:eastAsia="宋体" w:cs="宋体"/>
          <w:color w:val="auto"/>
          <w:highlight w:val="none"/>
          <w:lang w:eastAsia="zh-CN"/>
        </w:rPr>
        <w:t>《</w:t>
      </w:r>
      <w:r>
        <w:rPr>
          <w:rFonts w:hint="eastAsia" w:eastAsia="宋体" w:cs="宋体"/>
          <w:color w:val="auto"/>
          <w:highlight w:val="none"/>
          <w:lang w:val="en-US" w:eastAsia="zh-CN"/>
        </w:rPr>
        <w:t>委托人要求</w:t>
      </w:r>
      <w:r>
        <w:rPr>
          <w:rFonts w:hint="eastAsia" w:eastAsia="宋体" w:cs="宋体"/>
          <w:color w:val="auto"/>
          <w:highlight w:val="none"/>
          <w:lang w:eastAsia="zh-CN"/>
        </w:rPr>
        <w:t>》</w:t>
      </w:r>
      <w:r>
        <w:rPr>
          <w:rFonts w:hint="eastAsia" w:eastAsia="宋体" w:cs="宋体"/>
          <w:color w:val="auto"/>
          <w:highlight w:val="none"/>
        </w:rPr>
        <w:t>的要求列出主要项目管理人员和技术人员的资格、业绩、和相关的证明材料。项目经理、</w:t>
      </w:r>
      <w:r>
        <w:rPr>
          <w:rFonts w:hint="eastAsia" w:eastAsia="宋体" w:cs="宋体"/>
          <w:color w:val="auto"/>
          <w:highlight w:val="none"/>
          <w:lang w:val="en-US" w:eastAsia="zh-CN"/>
        </w:rPr>
        <w:t>系统负责人和专业工程师</w:t>
      </w:r>
      <w:r>
        <w:rPr>
          <w:rFonts w:hint="eastAsia" w:eastAsia="宋体" w:cs="宋体"/>
          <w:color w:val="auto"/>
          <w:highlight w:val="none"/>
        </w:rPr>
        <w:t>不允许外聘、返聘</w:t>
      </w:r>
      <w:r>
        <w:rPr>
          <w:rFonts w:eastAsia="宋体" w:cs="宋体"/>
          <w:color w:val="auto"/>
          <w:highlight w:val="none"/>
        </w:rPr>
        <w:t>。</w:t>
      </w:r>
      <w:r>
        <w:rPr>
          <w:rFonts w:hint="eastAsia" w:eastAsia="宋体" w:cs="宋体"/>
          <w:color w:val="auto"/>
          <w:highlight w:val="none"/>
        </w:rPr>
        <w:t>并着重阐明其拟负责具体事务。所有资料必须真实。包括但不限于以下人员</w:t>
      </w:r>
    </w:p>
    <w:p>
      <w:pPr>
        <w:spacing w:line="600" w:lineRule="exact"/>
        <w:jc w:val="center"/>
        <w:rPr>
          <w:rFonts w:eastAsia="宋体" w:cs="宋体"/>
          <w:color w:val="auto"/>
          <w:spacing w:val="20"/>
          <w:highlight w:val="none"/>
        </w:rPr>
      </w:pPr>
      <w:r>
        <w:rPr>
          <w:rFonts w:hint="eastAsia" w:eastAsia="宋体" w:cs="宋体"/>
          <w:color w:val="auto"/>
          <w:spacing w:val="20"/>
          <w:highlight w:val="none"/>
        </w:rPr>
        <w:t>拟委任的主要人员汇总表</w:t>
      </w:r>
    </w:p>
    <w:p>
      <w:pPr>
        <w:spacing w:line="600" w:lineRule="exact"/>
        <w:ind w:firstLine="282" w:firstLineChars="113"/>
        <w:rPr>
          <w:rFonts w:eastAsia="宋体" w:cs="宋体"/>
          <w:color w:val="auto"/>
          <w:spacing w:val="20"/>
          <w:highlight w:val="none"/>
        </w:rPr>
      </w:pPr>
      <w:r>
        <w:rPr>
          <w:rFonts w:hint="eastAsia" w:eastAsia="宋体" w:cs="宋体"/>
          <w:color w:val="auto"/>
          <w:spacing w:val="20"/>
          <w:highlight w:val="none"/>
        </w:rPr>
        <w:t>投标单位：</w:t>
      </w:r>
      <w:r>
        <w:rPr>
          <w:rFonts w:eastAsia="宋体" w:cs="宋体"/>
          <w:color w:val="auto"/>
          <w:spacing w:val="20"/>
          <w:highlight w:val="none"/>
        </w:rPr>
        <w:t xml:space="preserve">                 </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638"/>
        <w:gridCol w:w="804"/>
        <w:gridCol w:w="806"/>
        <w:gridCol w:w="804"/>
        <w:gridCol w:w="1074"/>
        <w:gridCol w:w="1344"/>
        <w:gridCol w:w="12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序号</w:t>
            </w:r>
          </w:p>
        </w:tc>
        <w:tc>
          <w:tcPr>
            <w:tcW w:w="8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拟担任的职务</w:t>
            </w:r>
          </w:p>
        </w:tc>
        <w:tc>
          <w:tcPr>
            <w:tcW w:w="40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姓名</w:t>
            </w:r>
          </w:p>
        </w:tc>
        <w:tc>
          <w:tcPr>
            <w:tcW w:w="40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性别</w:t>
            </w:r>
          </w:p>
        </w:tc>
        <w:tc>
          <w:tcPr>
            <w:tcW w:w="40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年龄</w:t>
            </w:r>
          </w:p>
        </w:tc>
        <w:tc>
          <w:tcPr>
            <w:tcW w:w="54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职称</w:t>
            </w:r>
          </w:p>
        </w:tc>
        <w:tc>
          <w:tcPr>
            <w:tcW w:w="6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学历</w:t>
            </w:r>
            <w:r>
              <w:rPr>
                <w:rFonts w:eastAsia="宋体" w:cs="宋体"/>
                <w:color w:val="auto"/>
                <w:spacing w:val="20"/>
                <w:highlight w:val="none"/>
              </w:rPr>
              <w:t>/学位</w:t>
            </w:r>
          </w:p>
        </w:tc>
        <w:tc>
          <w:tcPr>
            <w:tcW w:w="65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毕业院校</w:t>
            </w:r>
          </w:p>
        </w:tc>
        <w:tc>
          <w:tcPr>
            <w:tcW w:w="75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color w:val="auto"/>
                <w:spacing w:val="20"/>
                <w:highlight w:val="none"/>
              </w:rPr>
            </w:pPr>
            <w:r>
              <w:rPr>
                <w:rFonts w:hint="eastAsia" w:eastAsia="宋体" w:cs="宋体"/>
                <w:color w:val="auto"/>
                <w:spacing w:val="20"/>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r>
              <w:rPr>
                <w:rFonts w:hint="eastAsia" w:eastAsia="宋体" w:cs="宋体"/>
                <w:color w:val="auto"/>
                <w:spacing w:val="20"/>
                <w:highlight w:val="none"/>
              </w:rPr>
              <w:t>项目经理</w:t>
            </w: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hint="default" w:eastAsia="宋体" w:cs="宋体"/>
                <w:color w:val="auto"/>
                <w:spacing w:val="20"/>
                <w:highlight w:val="none"/>
                <w:lang w:val="en-US" w:eastAsia="zh-CN"/>
              </w:rPr>
            </w:pPr>
            <w:r>
              <w:rPr>
                <w:rFonts w:hint="eastAsia" w:eastAsia="宋体" w:cs="宋体"/>
                <w:color w:val="auto"/>
                <w:spacing w:val="20"/>
                <w:highlight w:val="none"/>
                <w:lang w:val="en-US" w:eastAsia="zh-CN"/>
              </w:rPr>
              <w:t>系统负责人</w:t>
            </w: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hint="eastAsia" w:eastAsia="宋体" w:cs="宋体"/>
                <w:color w:val="auto"/>
                <w:spacing w:val="20"/>
                <w:highlight w:val="none"/>
                <w:lang w:eastAsia="zh-CN"/>
              </w:rPr>
            </w:pPr>
            <w:r>
              <w:rPr>
                <w:rFonts w:hint="eastAsia" w:eastAsia="宋体" w:cs="宋体"/>
                <w:color w:val="auto"/>
                <w:highlight w:val="none"/>
                <w:lang w:val="en-US" w:eastAsia="zh-CN"/>
              </w:rPr>
              <w:t>....专业工程师</w:t>
            </w: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hint="eastAsia" w:eastAsia="宋体" w:cs="宋体"/>
                <w:color w:val="auto"/>
                <w:spacing w:val="20"/>
                <w:highlight w:val="none"/>
                <w:lang w:val="en-US" w:eastAsia="zh-CN"/>
              </w:rPr>
            </w:pPr>
            <w:r>
              <w:rPr>
                <w:rFonts w:hint="eastAsia" w:eastAsia="宋体" w:cs="宋体"/>
                <w:color w:val="auto"/>
                <w:spacing w:val="20"/>
                <w:highlight w:val="none"/>
                <w:lang w:val="en-US" w:eastAsia="zh-CN"/>
              </w:rPr>
              <w:t>质量管理</w:t>
            </w:r>
          </w:p>
          <w:p>
            <w:pPr>
              <w:rPr>
                <w:rFonts w:hint="default" w:eastAsia="宋体" w:cs="宋体"/>
                <w:color w:val="auto"/>
                <w:spacing w:val="20"/>
                <w:highlight w:val="none"/>
                <w:lang w:val="en-US" w:eastAsia="zh-CN"/>
              </w:rPr>
            </w:pPr>
            <w:r>
              <w:rPr>
                <w:rFonts w:hint="eastAsia" w:eastAsia="宋体" w:cs="宋体"/>
                <w:color w:val="auto"/>
                <w:spacing w:val="20"/>
                <w:highlight w:val="none"/>
                <w:lang w:val="en-US" w:eastAsia="zh-CN"/>
              </w:rPr>
              <w:t>工程师</w:t>
            </w: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r>
              <w:rPr>
                <w:rFonts w:hint="eastAsia" w:eastAsia="宋体" w:cs="宋体"/>
                <w:color w:val="auto"/>
                <w:spacing w:val="20"/>
                <w:highlight w:val="none"/>
              </w:rPr>
              <w:t>···</w:t>
            </w: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545"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rPr>
                <w:rFonts w:eastAsia="宋体" w:cs="宋体"/>
                <w:color w:val="auto"/>
                <w:spacing w:val="20"/>
                <w:highlight w:val="none"/>
              </w:rPr>
            </w:pPr>
          </w:p>
        </w:tc>
      </w:tr>
    </w:tbl>
    <w:p>
      <w:pPr>
        <w:spacing w:line="600" w:lineRule="exact"/>
        <w:rPr>
          <w:rFonts w:eastAsia="宋体" w:cs="宋体"/>
          <w:color w:val="auto"/>
          <w:spacing w:val="20"/>
          <w:highlight w:val="none"/>
        </w:rPr>
      </w:pPr>
    </w:p>
    <w:p>
      <w:pPr>
        <w:spacing w:line="440" w:lineRule="exact"/>
        <w:rPr>
          <w:rFonts w:eastAsia="宋体" w:cs="宋体"/>
          <w:color w:val="auto"/>
          <w:highlight w:val="none"/>
        </w:rPr>
      </w:pPr>
    </w:p>
    <w:p>
      <w:pPr>
        <w:spacing w:line="440" w:lineRule="exact"/>
        <w:rPr>
          <w:rFonts w:hint="eastAsia" w:ascii="宋体" w:hAnsi="宋体"/>
          <w:color w:val="auto"/>
          <w:highlight w:val="none"/>
        </w:rPr>
      </w:pPr>
    </w:p>
    <w:p>
      <w:pPr>
        <w:pStyle w:val="11"/>
        <w:rPr>
          <w:rFonts w:hint="eastAsia" w:ascii="宋体" w:hAnsi="宋体"/>
          <w:color w:val="auto"/>
          <w:highlight w:val="none"/>
        </w:rPr>
      </w:pPr>
    </w:p>
    <w:p>
      <w:pPr>
        <w:pStyle w:val="11"/>
        <w:rPr>
          <w:rFonts w:hint="eastAsia" w:ascii="宋体" w:hAnsi="宋体"/>
          <w:color w:val="auto"/>
          <w:highlight w:val="none"/>
        </w:rPr>
      </w:pPr>
    </w:p>
    <w:p>
      <w:pPr>
        <w:pStyle w:val="11"/>
        <w:rPr>
          <w:rFonts w:hint="eastAsia" w:ascii="宋体" w:hAnsi="宋体"/>
          <w:color w:val="auto"/>
          <w:highlight w:val="none"/>
        </w:rPr>
      </w:pPr>
    </w:p>
    <w:p>
      <w:pPr>
        <w:rPr>
          <w:rFonts w:hint="eastAsia" w:ascii="宋体" w:hAnsi="宋体"/>
          <w:color w:val="auto"/>
          <w:spacing w:val="20"/>
          <w:szCs w:val="21"/>
          <w:highlight w:val="none"/>
        </w:rPr>
      </w:pPr>
      <w:r>
        <w:rPr>
          <w:rFonts w:ascii="宋体" w:hAnsi="宋体"/>
          <w:color w:val="auto"/>
          <w:highlight w:val="none"/>
        </w:rPr>
        <w:br w:type="page"/>
      </w:r>
    </w:p>
    <w:bookmarkEnd w:id="2619"/>
    <w:bookmarkEnd w:id="2620"/>
    <w:bookmarkEnd w:id="2621"/>
    <w:p>
      <w:pPr>
        <w:pStyle w:val="3"/>
        <w:bidi w:val="0"/>
        <w:spacing w:before="0" w:after="0" w:line="240" w:lineRule="auto"/>
        <w:rPr>
          <w:rFonts w:hint="eastAsia" w:ascii="宋体" w:hAnsi="宋体"/>
          <w:color w:val="auto"/>
          <w:highlight w:val="none"/>
        </w:rPr>
      </w:pPr>
      <w:bookmarkStart w:id="2622" w:name="_Toc16289"/>
      <w:r>
        <w:rPr>
          <w:rFonts w:hint="eastAsia" w:ascii="宋体" w:hAnsi="宋体" w:eastAsia="宋体"/>
          <w:color w:val="auto"/>
          <w:highlight w:val="none"/>
          <w:lang w:val="en-US" w:eastAsia="zh-CN"/>
        </w:rPr>
        <w:t>5.</w:t>
      </w:r>
      <w:r>
        <w:rPr>
          <w:rFonts w:hint="eastAsia" w:ascii="宋体" w:hAnsi="宋体"/>
          <w:color w:val="auto"/>
          <w:highlight w:val="none"/>
        </w:rPr>
        <w:t>设备集成服务报价清单</w:t>
      </w:r>
      <w:bookmarkEnd w:id="2622"/>
    </w:p>
    <w:p>
      <w:pPr>
        <w:bidi w:val="0"/>
        <w:jc w:val="center"/>
        <w:rPr>
          <w:color w:val="auto"/>
          <w:highlight w:val="none"/>
        </w:rPr>
      </w:pPr>
      <w:r>
        <w:rPr>
          <w:rFonts w:hint="eastAsia"/>
          <w:color w:val="auto"/>
          <w:highlight w:val="none"/>
          <w:lang w:val="en-US" w:eastAsia="zh-CN"/>
        </w:rPr>
        <w:t>5</w:t>
      </w:r>
      <w:r>
        <w:rPr>
          <w:color w:val="auto"/>
          <w:highlight w:val="none"/>
        </w:rPr>
        <w:t>-1</w:t>
      </w:r>
      <w:r>
        <w:rPr>
          <w:rFonts w:hint="eastAsia"/>
          <w:color w:val="auto"/>
          <w:highlight w:val="none"/>
        </w:rPr>
        <w:t>设备集成服务报价</w:t>
      </w:r>
      <w:r>
        <w:rPr>
          <w:color w:val="auto"/>
          <w:highlight w:val="none"/>
        </w:rPr>
        <w:t>一览表</w:t>
      </w:r>
    </w:p>
    <w:p>
      <w:pPr>
        <w:tabs>
          <w:tab w:val="left" w:pos="8364"/>
        </w:tabs>
        <w:snapToGrid w:val="0"/>
        <w:spacing w:line="240" w:lineRule="atLeast"/>
        <w:ind w:right="-58"/>
        <w:rPr>
          <w:rFonts w:eastAsia="宋体" w:cs="宋体"/>
          <w:color w:val="auto"/>
          <w:szCs w:val="20"/>
          <w:highlight w:val="none"/>
        </w:rPr>
      </w:pPr>
      <w:r>
        <w:rPr>
          <w:rFonts w:hint="eastAsia" w:eastAsia="宋体" w:cs="宋体"/>
          <w:color w:val="auto"/>
          <w:szCs w:val="20"/>
          <w:highlight w:val="none"/>
        </w:rPr>
        <w:t>投标项目名称：</w:t>
      </w:r>
      <w:r>
        <w:rPr>
          <w:rFonts w:hint="eastAsia" w:cs="宋体"/>
          <w:color w:val="auto"/>
          <w:szCs w:val="20"/>
          <w:highlight w:val="none"/>
          <w:u w:val="single"/>
          <w:lang w:val="en-US" w:eastAsia="zh-CN"/>
        </w:rPr>
        <w:t xml:space="preserve">           </w:t>
      </w:r>
      <w:r>
        <w:rPr>
          <w:rFonts w:hint="eastAsia" w:eastAsia="宋体" w:cs="宋体"/>
          <w:color w:val="auto"/>
          <w:szCs w:val="20"/>
          <w:highlight w:val="none"/>
        </w:rPr>
        <w:t>（项目名称）</w:t>
      </w:r>
    </w:p>
    <w:p>
      <w:pPr>
        <w:tabs>
          <w:tab w:val="left" w:pos="8364"/>
        </w:tabs>
        <w:snapToGrid w:val="0"/>
        <w:spacing w:after="120" w:line="240" w:lineRule="atLeast"/>
        <w:ind w:right="-57"/>
        <w:rPr>
          <w:rFonts w:eastAsia="宋体" w:cs="宋体"/>
          <w:color w:val="auto"/>
          <w:szCs w:val="20"/>
          <w:highlight w:val="none"/>
        </w:rPr>
      </w:pPr>
      <w:r>
        <w:rPr>
          <w:rFonts w:hint="eastAsia" w:eastAsia="宋体" w:cs="宋体"/>
          <w:color w:val="auto"/>
          <w:szCs w:val="20"/>
          <w:highlight w:val="none"/>
        </w:rPr>
        <w:t>招标编号：</w:t>
      </w:r>
      <w:r>
        <w:rPr>
          <w:rFonts w:eastAsia="宋体" w:cs="宋体"/>
          <w:color w:val="auto"/>
          <w:szCs w:val="20"/>
          <w:highlight w:val="none"/>
        </w:rPr>
        <w:t>____</w:t>
      </w:r>
    </w:p>
    <w:tbl>
      <w:tblPr>
        <w:tblStyle w:val="14"/>
        <w:tblW w:w="4997" w:type="pct"/>
        <w:tblInd w:w="0" w:type="dxa"/>
        <w:tblLayout w:type="autofit"/>
        <w:tblCellMar>
          <w:top w:w="0" w:type="dxa"/>
          <w:left w:w="108" w:type="dxa"/>
          <w:bottom w:w="0" w:type="dxa"/>
          <w:right w:w="108" w:type="dxa"/>
        </w:tblCellMar>
      </w:tblPr>
      <w:tblGrid>
        <w:gridCol w:w="825"/>
        <w:gridCol w:w="3491"/>
        <w:gridCol w:w="1347"/>
        <w:gridCol w:w="944"/>
        <w:gridCol w:w="1078"/>
        <w:gridCol w:w="1282"/>
        <w:gridCol w:w="881"/>
      </w:tblGrid>
      <w:tr>
        <w:tblPrEx>
          <w:tblCellMar>
            <w:top w:w="0" w:type="dxa"/>
            <w:left w:w="108" w:type="dxa"/>
            <w:bottom w:w="0" w:type="dxa"/>
            <w:right w:w="108" w:type="dxa"/>
          </w:tblCellMar>
        </w:tblPrEx>
        <w:trPr>
          <w:trHeight w:val="270" w:hRule="atLeast"/>
        </w:trPr>
        <w:tc>
          <w:tcPr>
            <w:tcW w:w="41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序号</w:t>
            </w:r>
          </w:p>
        </w:tc>
        <w:tc>
          <w:tcPr>
            <w:tcW w:w="177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分项内容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金</w:t>
            </w:r>
            <w:r>
              <w:rPr>
                <w:rFonts w:eastAsia="宋体" w:cs="宋体"/>
                <w:color w:val="auto"/>
                <w:kern w:val="0"/>
                <w:szCs w:val="21"/>
                <w:highlight w:val="none"/>
              </w:rPr>
              <w:t xml:space="preserve">    </w:t>
            </w:r>
            <w:r>
              <w:rPr>
                <w:rFonts w:hint="eastAsia" w:eastAsia="宋体" w:cs="宋体"/>
                <w:color w:val="auto"/>
                <w:kern w:val="0"/>
                <w:szCs w:val="21"/>
                <w:highlight w:val="none"/>
              </w:rPr>
              <w:t>额</w:t>
            </w:r>
          </w:p>
        </w:tc>
        <w:tc>
          <w:tcPr>
            <w:tcW w:w="4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发票的税率</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税率所对应的金额</w:t>
            </w: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金</w:t>
            </w:r>
            <w:r>
              <w:rPr>
                <w:rFonts w:eastAsia="宋体" w:cs="宋体"/>
                <w:color w:val="auto"/>
                <w:kern w:val="0"/>
                <w:szCs w:val="21"/>
                <w:highlight w:val="none"/>
              </w:rPr>
              <w:t xml:space="preserve">    </w:t>
            </w:r>
            <w:r>
              <w:rPr>
                <w:rFonts w:hint="eastAsia" w:eastAsia="宋体" w:cs="宋体"/>
                <w:color w:val="auto"/>
                <w:kern w:val="0"/>
                <w:szCs w:val="21"/>
                <w:highlight w:val="none"/>
              </w:rPr>
              <w:t>额</w:t>
            </w:r>
          </w:p>
        </w:tc>
        <w:tc>
          <w:tcPr>
            <w:tcW w:w="44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备注</w:t>
            </w:r>
          </w:p>
        </w:tc>
      </w:tr>
      <w:tr>
        <w:tblPrEx>
          <w:tblCellMar>
            <w:top w:w="0" w:type="dxa"/>
            <w:left w:w="108" w:type="dxa"/>
            <w:bottom w:w="0" w:type="dxa"/>
            <w:right w:w="108" w:type="dxa"/>
          </w:tblCellMar>
        </w:tblPrEx>
        <w:trPr>
          <w:trHeight w:val="285" w:hRule="atLeast"/>
        </w:trPr>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color w:val="auto"/>
                <w:kern w:val="0"/>
                <w:szCs w:val="21"/>
                <w:highlight w:val="none"/>
              </w:rPr>
            </w:pPr>
          </w:p>
        </w:tc>
        <w:tc>
          <w:tcPr>
            <w:tcW w:w="17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color w:val="auto"/>
                <w:kern w:val="0"/>
                <w:szCs w:val="21"/>
                <w:highlight w:val="none"/>
              </w:rPr>
            </w:pP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（不含税金）</w:t>
            </w: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color w:val="auto"/>
                <w:kern w:val="0"/>
                <w:szCs w:val="21"/>
                <w:highlight w:val="none"/>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（含税金）</w:t>
            </w: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color w:val="auto"/>
                <w:kern w:val="0"/>
                <w:szCs w:val="21"/>
                <w:highlight w:val="none"/>
              </w:rPr>
            </w:pPr>
          </w:p>
        </w:tc>
      </w:tr>
      <w:tr>
        <w:tblPrEx>
          <w:tblCellMar>
            <w:top w:w="0" w:type="dxa"/>
            <w:left w:w="108" w:type="dxa"/>
            <w:bottom w:w="0" w:type="dxa"/>
            <w:right w:w="108" w:type="dxa"/>
          </w:tblCellMar>
        </w:tblPrEx>
        <w:trPr>
          <w:trHeight w:val="278"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1</w:t>
            </w:r>
          </w:p>
        </w:tc>
        <w:tc>
          <w:tcPr>
            <w:tcW w:w="177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hint="eastAsia" w:eastAsia="宋体" w:cs="宋体"/>
                <w:color w:val="auto"/>
                <w:spacing w:val="20"/>
                <w:szCs w:val="21"/>
                <w:highlight w:val="none"/>
              </w:rPr>
              <w:t>集成服务人员服务费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pacing w:val="20"/>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r>
      <w:tr>
        <w:tblPrEx>
          <w:tblCellMar>
            <w:top w:w="0" w:type="dxa"/>
            <w:left w:w="108" w:type="dxa"/>
            <w:bottom w:w="0" w:type="dxa"/>
            <w:right w:w="108" w:type="dxa"/>
          </w:tblCellMar>
        </w:tblPrEx>
        <w:trPr>
          <w:trHeight w:val="226"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2</w:t>
            </w:r>
          </w:p>
        </w:tc>
        <w:tc>
          <w:tcPr>
            <w:tcW w:w="1772"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宋体" w:cs="宋体"/>
                <w:color w:val="auto"/>
                <w:szCs w:val="21"/>
                <w:highlight w:val="none"/>
              </w:rPr>
            </w:pPr>
            <w:r>
              <w:rPr>
                <w:rFonts w:hint="eastAsia" w:eastAsia="宋体" w:cs="宋体"/>
                <w:color w:val="auto"/>
                <w:szCs w:val="21"/>
                <w:highlight w:val="none"/>
              </w:rPr>
              <w:t>机构设施设备与服务费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r>
      <w:tr>
        <w:tblPrEx>
          <w:tblCellMar>
            <w:top w:w="0" w:type="dxa"/>
            <w:left w:w="108" w:type="dxa"/>
            <w:bottom w:w="0" w:type="dxa"/>
            <w:right w:w="108" w:type="dxa"/>
          </w:tblCellMar>
        </w:tblPrEx>
        <w:trPr>
          <w:trHeight w:val="315"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2.1</w:t>
            </w:r>
          </w:p>
        </w:tc>
        <w:tc>
          <w:tcPr>
            <w:tcW w:w="1772"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宋体" w:cs="宋体"/>
                <w:color w:val="auto"/>
                <w:szCs w:val="21"/>
                <w:highlight w:val="none"/>
                <w:u w:val="single"/>
              </w:rPr>
            </w:pPr>
            <w:r>
              <w:rPr>
                <w:rFonts w:hint="eastAsia" w:eastAsia="宋体" w:cs="宋体"/>
                <w:color w:val="auto"/>
                <w:szCs w:val="21"/>
                <w:highlight w:val="none"/>
              </w:rPr>
              <w:t>（</w:t>
            </w:r>
            <w:r>
              <w:rPr>
                <w:rFonts w:eastAsia="宋体" w:cs="宋体"/>
                <w:color w:val="auto"/>
                <w:szCs w:val="21"/>
                <w:highlight w:val="none"/>
              </w:rPr>
              <w:t>1）交通费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r>
      <w:tr>
        <w:tblPrEx>
          <w:tblCellMar>
            <w:top w:w="0" w:type="dxa"/>
            <w:left w:w="108" w:type="dxa"/>
            <w:bottom w:w="0" w:type="dxa"/>
            <w:right w:w="108" w:type="dxa"/>
          </w:tblCellMar>
        </w:tblPrEx>
        <w:trPr>
          <w:trHeight w:val="264"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2.2</w:t>
            </w:r>
          </w:p>
        </w:tc>
        <w:tc>
          <w:tcPr>
            <w:tcW w:w="1772"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宋体" w:cs="宋体"/>
                <w:color w:val="auto"/>
                <w:szCs w:val="21"/>
                <w:highlight w:val="none"/>
              </w:rPr>
            </w:pPr>
            <w:r>
              <w:rPr>
                <w:rFonts w:hint="eastAsia" w:eastAsia="宋体" w:cs="宋体"/>
                <w:color w:val="auto"/>
                <w:szCs w:val="21"/>
                <w:highlight w:val="none"/>
              </w:rPr>
              <w:t>（</w:t>
            </w:r>
            <w:r>
              <w:rPr>
                <w:rFonts w:eastAsia="宋体" w:cs="宋体"/>
                <w:color w:val="auto"/>
                <w:szCs w:val="21"/>
                <w:highlight w:val="none"/>
              </w:rPr>
              <w:t>2）办公及生活用房费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r>
      <w:tr>
        <w:tblPrEx>
          <w:tblCellMar>
            <w:top w:w="0" w:type="dxa"/>
            <w:left w:w="108" w:type="dxa"/>
            <w:bottom w:w="0" w:type="dxa"/>
            <w:right w:w="108" w:type="dxa"/>
          </w:tblCellMar>
        </w:tblPrEx>
        <w:trPr>
          <w:trHeight w:val="211"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2.3</w:t>
            </w:r>
          </w:p>
        </w:tc>
        <w:tc>
          <w:tcPr>
            <w:tcW w:w="1772" w:type="pct"/>
            <w:tcBorders>
              <w:top w:val="single" w:color="auto" w:sz="4" w:space="0"/>
              <w:left w:val="single" w:color="auto" w:sz="4" w:space="0"/>
              <w:bottom w:val="single" w:color="auto" w:sz="4" w:space="0"/>
              <w:right w:val="single" w:color="auto" w:sz="4" w:space="0"/>
            </w:tcBorders>
            <w:vAlign w:val="center"/>
          </w:tcPr>
          <w:p>
            <w:pPr>
              <w:tabs>
                <w:tab w:val="left" w:pos="567"/>
                <w:tab w:val="left" w:pos="1701"/>
              </w:tabs>
              <w:adjustRightInd w:val="0"/>
              <w:snapToGrid w:val="0"/>
              <w:ind w:left="105" w:leftChars="50" w:right="105" w:rightChars="50"/>
              <w:jc w:val="center"/>
              <w:rPr>
                <w:rFonts w:eastAsia="宋体" w:cs="宋体"/>
                <w:color w:val="auto"/>
                <w:kern w:val="0"/>
                <w:szCs w:val="21"/>
                <w:highlight w:val="none"/>
              </w:rPr>
            </w:pPr>
            <w:r>
              <w:rPr>
                <w:rFonts w:hint="eastAsia" w:eastAsia="宋体" w:cs="宋体"/>
                <w:color w:val="auto"/>
                <w:szCs w:val="21"/>
                <w:highlight w:val="none"/>
              </w:rPr>
              <w:t>（</w:t>
            </w:r>
            <w:r>
              <w:rPr>
                <w:rFonts w:eastAsia="宋体" w:cs="宋体"/>
                <w:color w:val="auto"/>
                <w:szCs w:val="21"/>
                <w:highlight w:val="none"/>
              </w:rPr>
              <w:t>3）特殊办公设备费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r>
      <w:tr>
        <w:tblPrEx>
          <w:tblCellMar>
            <w:top w:w="0" w:type="dxa"/>
            <w:left w:w="108" w:type="dxa"/>
            <w:bottom w:w="0" w:type="dxa"/>
            <w:right w:w="108" w:type="dxa"/>
          </w:tblCellMar>
        </w:tblPrEx>
        <w:trPr>
          <w:trHeight w:val="198"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2.4</w:t>
            </w:r>
          </w:p>
        </w:tc>
        <w:tc>
          <w:tcPr>
            <w:tcW w:w="1772"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宋体" w:cs="宋体"/>
                <w:color w:val="auto"/>
                <w:szCs w:val="21"/>
                <w:highlight w:val="none"/>
              </w:rPr>
            </w:pPr>
            <w:r>
              <w:rPr>
                <w:rFonts w:hint="eastAsia" w:eastAsia="宋体" w:cs="宋体"/>
                <w:color w:val="auto"/>
                <w:szCs w:val="21"/>
                <w:highlight w:val="none"/>
              </w:rPr>
              <w:t>（</w:t>
            </w:r>
            <w:r>
              <w:rPr>
                <w:rFonts w:eastAsia="宋体" w:cs="宋体"/>
                <w:color w:val="auto"/>
                <w:szCs w:val="21"/>
                <w:highlight w:val="none"/>
              </w:rPr>
              <w:t>4）一般办公设备和用品费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　</w:t>
            </w:r>
          </w:p>
        </w:tc>
      </w:tr>
      <w:tr>
        <w:tblPrEx>
          <w:tblCellMar>
            <w:top w:w="0" w:type="dxa"/>
            <w:left w:w="108" w:type="dxa"/>
            <w:bottom w:w="0" w:type="dxa"/>
            <w:right w:w="108" w:type="dxa"/>
          </w:tblCellMar>
        </w:tblPrEx>
        <w:trPr>
          <w:trHeight w:val="198"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2.5</w:t>
            </w:r>
          </w:p>
        </w:tc>
        <w:tc>
          <w:tcPr>
            <w:tcW w:w="1772" w:type="pct"/>
            <w:tcBorders>
              <w:top w:val="single" w:color="auto" w:sz="4" w:space="0"/>
              <w:left w:val="single" w:color="auto" w:sz="4" w:space="0"/>
              <w:bottom w:val="single" w:color="auto" w:sz="4" w:space="0"/>
              <w:right w:val="single" w:color="auto" w:sz="4" w:space="0"/>
            </w:tcBorders>
            <w:vAlign w:val="center"/>
          </w:tcPr>
          <w:p>
            <w:pPr>
              <w:tabs>
                <w:tab w:val="left" w:pos="567"/>
                <w:tab w:val="left" w:pos="1701"/>
              </w:tabs>
              <w:adjustRightInd w:val="0"/>
              <w:snapToGrid w:val="0"/>
              <w:ind w:left="105" w:leftChars="50" w:right="105" w:rightChars="50"/>
              <w:jc w:val="center"/>
              <w:rPr>
                <w:rFonts w:eastAsia="宋体" w:cs="宋体"/>
                <w:color w:val="auto"/>
                <w:kern w:val="0"/>
                <w:szCs w:val="21"/>
                <w:highlight w:val="none"/>
              </w:rPr>
            </w:pPr>
            <w:r>
              <w:rPr>
                <w:rFonts w:hint="eastAsia" w:eastAsia="宋体" w:cs="宋体"/>
                <w:color w:val="auto"/>
                <w:szCs w:val="21"/>
                <w:highlight w:val="none"/>
              </w:rPr>
              <w:t>（</w:t>
            </w:r>
            <w:r>
              <w:rPr>
                <w:rFonts w:eastAsia="宋体" w:cs="宋体"/>
                <w:color w:val="auto"/>
                <w:szCs w:val="21"/>
                <w:highlight w:val="none"/>
              </w:rPr>
              <w:t>5）专用检测、测量及摄影设备费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r>
      <w:tr>
        <w:tblPrEx>
          <w:tblCellMar>
            <w:top w:w="0" w:type="dxa"/>
            <w:left w:w="108" w:type="dxa"/>
            <w:bottom w:w="0" w:type="dxa"/>
            <w:right w:w="108" w:type="dxa"/>
          </w:tblCellMar>
        </w:tblPrEx>
        <w:trPr>
          <w:trHeight w:val="198"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2.6</w:t>
            </w:r>
          </w:p>
        </w:tc>
        <w:tc>
          <w:tcPr>
            <w:tcW w:w="177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hint="eastAsia" w:eastAsia="宋体" w:cs="宋体"/>
                <w:color w:val="auto"/>
                <w:szCs w:val="21"/>
                <w:highlight w:val="none"/>
              </w:rPr>
              <w:t>（</w:t>
            </w:r>
            <w:r>
              <w:rPr>
                <w:rFonts w:eastAsia="宋体" w:cs="宋体"/>
                <w:color w:val="auto"/>
                <w:szCs w:val="21"/>
                <w:highlight w:val="none"/>
              </w:rPr>
              <w:t>6）生活设施费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r>
      <w:tr>
        <w:tblPrEx>
          <w:tblCellMar>
            <w:top w:w="0" w:type="dxa"/>
            <w:left w:w="108" w:type="dxa"/>
            <w:bottom w:w="0" w:type="dxa"/>
            <w:right w:w="108" w:type="dxa"/>
          </w:tblCellMar>
        </w:tblPrEx>
        <w:trPr>
          <w:trHeight w:val="198"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2.7</w:t>
            </w:r>
          </w:p>
        </w:tc>
        <w:tc>
          <w:tcPr>
            <w:tcW w:w="177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hint="eastAsia" w:eastAsia="宋体" w:cs="宋体"/>
                <w:color w:val="auto"/>
                <w:szCs w:val="21"/>
                <w:highlight w:val="none"/>
              </w:rPr>
              <w:t>（</w:t>
            </w:r>
            <w:r>
              <w:rPr>
                <w:rFonts w:eastAsia="宋体" w:cs="宋体"/>
                <w:color w:val="auto"/>
                <w:szCs w:val="21"/>
                <w:highlight w:val="none"/>
              </w:rPr>
              <w:t>7）服务人员费</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r>
      <w:tr>
        <w:tblPrEx>
          <w:tblCellMar>
            <w:top w:w="0" w:type="dxa"/>
            <w:left w:w="108" w:type="dxa"/>
            <w:bottom w:w="0" w:type="dxa"/>
            <w:right w:w="108" w:type="dxa"/>
          </w:tblCellMar>
        </w:tblPrEx>
        <w:trPr>
          <w:trHeight w:val="198"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eastAsia="宋体" w:cs="宋体"/>
                <w:color w:val="auto"/>
                <w:szCs w:val="21"/>
                <w:highlight w:val="none"/>
              </w:rPr>
              <w:t>3</w:t>
            </w:r>
          </w:p>
        </w:tc>
        <w:tc>
          <w:tcPr>
            <w:tcW w:w="177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szCs w:val="21"/>
                <w:highlight w:val="none"/>
              </w:rPr>
            </w:pPr>
            <w:r>
              <w:rPr>
                <w:rFonts w:hint="eastAsia" w:eastAsia="宋体" w:cs="宋体"/>
                <w:color w:val="auto"/>
                <w:szCs w:val="21"/>
                <w:highlight w:val="none"/>
              </w:rPr>
              <w:t>其他费用</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szCs w:val="21"/>
                <w:highlight w:val="none"/>
              </w:rPr>
              <w:t>1项</w:t>
            </w: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p>
        </w:tc>
      </w:tr>
      <w:tr>
        <w:tblPrEx>
          <w:tblCellMar>
            <w:top w:w="0" w:type="dxa"/>
            <w:left w:w="108" w:type="dxa"/>
            <w:bottom w:w="0" w:type="dxa"/>
            <w:right w:w="108" w:type="dxa"/>
          </w:tblCellMar>
        </w:tblPrEx>
        <w:trPr>
          <w:trHeight w:val="60"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kern w:val="0"/>
                <w:szCs w:val="21"/>
                <w:highlight w:val="none"/>
              </w:rPr>
              <w:t>4</w:t>
            </w:r>
          </w:p>
        </w:tc>
        <w:tc>
          <w:tcPr>
            <w:tcW w:w="177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hint="eastAsia" w:eastAsia="宋体" w:cs="宋体"/>
                <w:color w:val="auto"/>
                <w:kern w:val="0"/>
                <w:szCs w:val="21"/>
                <w:highlight w:val="none"/>
              </w:rPr>
              <w:t>合计（投标总价）</w:t>
            </w:r>
          </w:p>
        </w:tc>
        <w:tc>
          <w:tcPr>
            <w:tcW w:w="2807"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kern w:val="0"/>
                <w:szCs w:val="21"/>
                <w:highlight w:val="none"/>
              </w:rPr>
              <w:t xml:space="preserve">           </w:t>
            </w:r>
          </w:p>
          <w:p>
            <w:pPr>
              <w:widowControl/>
              <w:jc w:val="center"/>
              <w:rPr>
                <w:rFonts w:eastAsia="宋体" w:cs="宋体"/>
                <w:color w:val="auto"/>
                <w:kern w:val="0"/>
                <w:szCs w:val="21"/>
                <w:highlight w:val="none"/>
              </w:rPr>
            </w:pPr>
          </w:p>
        </w:tc>
      </w:tr>
      <w:tr>
        <w:tblPrEx>
          <w:tblCellMar>
            <w:top w:w="0" w:type="dxa"/>
            <w:left w:w="108" w:type="dxa"/>
            <w:bottom w:w="0" w:type="dxa"/>
            <w:right w:w="108" w:type="dxa"/>
          </w:tblCellMar>
        </w:tblPrEx>
        <w:trPr>
          <w:trHeight w:val="60" w:hRule="atLeast"/>
        </w:trPr>
        <w:tc>
          <w:tcPr>
            <w:tcW w:w="41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color w:val="auto"/>
                <w:kern w:val="0"/>
                <w:szCs w:val="21"/>
                <w:highlight w:val="none"/>
              </w:rPr>
            </w:pPr>
            <w:r>
              <w:rPr>
                <w:rFonts w:eastAsia="宋体" w:cs="宋体"/>
                <w:color w:val="auto"/>
                <w:kern w:val="0"/>
                <w:szCs w:val="21"/>
                <w:highlight w:val="none"/>
              </w:rPr>
              <w:t>5</w:t>
            </w:r>
          </w:p>
        </w:tc>
        <w:tc>
          <w:tcPr>
            <w:tcW w:w="4580" w:type="pct"/>
            <w:gridSpan w:val="6"/>
            <w:tcBorders>
              <w:top w:val="single" w:color="auto" w:sz="4" w:space="0"/>
              <w:left w:val="single" w:color="auto" w:sz="4" w:space="0"/>
              <w:bottom w:val="single" w:color="auto" w:sz="4" w:space="0"/>
              <w:right w:val="single" w:color="auto" w:sz="4" w:space="0"/>
            </w:tcBorders>
          </w:tcPr>
          <w:p>
            <w:pPr>
              <w:widowControl/>
              <w:jc w:val="center"/>
              <w:rPr>
                <w:rFonts w:eastAsia="宋体" w:cs="宋体"/>
                <w:color w:val="auto"/>
                <w:kern w:val="0"/>
                <w:szCs w:val="21"/>
                <w:highlight w:val="none"/>
              </w:rPr>
            </w:pPr>
            <w:r>
              <w:rPr>
                <w:rFonts w:hint="eastAsia" w:eastAsia="宋体" w:cs="宋体"/>
                <w:color w:val="auto"/>
                <w:spacing w:val="20"/>
                <w:szCs w:val="21"/>
                <w:highlight w:val="none"/>
              </w:rPr>
              <w:t>其中：不含税价（</w:t>
            </w:r>
            <w:r>
              <w:rPr>
                <w:rFonts w:eastAsia="宋体" w:cs="宋体"/>
                <w:color w:val="auto"/>
                <w:spacing w:val="20"/>
                <w:szCs w:val="21"/>
                <w:highlight w:val="none"/>
              </w:rPr>
              <w:t xml:space="preserve">RMB：         </w:t>
            </w:r>
            <w:r>
              <w:rPr>
                <w:rFonts w:hint="eastAsia" w:eastAsia="宋体" w:cs="宋体"/>
                <w:color w:val="auto"/>
                <w:spacing w:val="20"/>
                <w:szCs w:val="21"/>
                <w:highlight w:val="none"/>
              </w:rPr>
              <w:t>元），税额：（</w:t>
            </w:r>
            <w:r>
              <w:rPr>
                <w:rFonts w:eastAsia="宋体" w:cs="宋体"/>
                <w:color w:val="auto"/>
                <w:spacing w:val="20"/>
                <w:szCs w:val="21"/>
                <w:highlight w:val="none"/>
              </w:rPr>
              <w:t xml:space="preserve">RMB：         </w:t>
            </w:r>
            <w:r>
              <w:rPr>
                <w:rFonts w:hint="eastAsia" w:eastAsia="宋体" w:cs="宋体"/>
                <w:color w:val="auto"/>
                <w:spacing w:val="20"/>
                <w:szCs w:val="21"/>
                <w:highlight w:val="none"/>
              </w:rPr>
              <w:t>元）</w:t>
            </w:r>
          </w:p>
        </w:tc>
      </w:tr>
    </w:tbl>
    <w:p>
      <w:pPr>
        <w:spacing w:line="360" w:lineRule="auto"/>
        <w:ind w:left="798" w:hanging="798" w:hangingChars="380"/>
        <w:rPr>
          <w:rFonts w:eastAsia="宋体" w:cs="宋体"/>
          <w:color w:val="auto"/>
          <w:szCs w:val="21"/>
          <w:highlight w:val="none"/>
        </w:rPr>
      </w:pPr>
      <w:r>
        <w:rPr>
          <w:rFonts w:hint="eastAsia" w:eastAsia="宋体" w:cs="宋体"/>
          <w:color w:val="auto"/>
          <w:szCs w:val="21"/>
          <w:highlight w:val="none"/>
        </w:rPr>
        <w:t>注：</w:t>
      </w:r>
      <w:r>
        <w:rPr>
          <w:rFonts w:eastAsia="宋体" w:cs="宋体"/>
          <w:color w:val="auto"/>
          <w:szCs w:val="21"/>
          <w:highlight w:val="none"/>
        </w:rPr>
        <w:t xml:space="preserve">1. </w:t>
      </w:r>
      <w:r>
        <w:rPr>
          <w:rFonts w:hint="eastAsia" w:eastAsia="宋体" w:cs="宋体"/>
          <w:color w:val="auto"/>
          <w:szCs w:val="21"/>
          <w:highlight w:val="none"/>
        </w:rPr>
        <w:t>请投标人在</w:t>
      </w:r>
      <w:r>
        <w:rPr>
          <w:rFonts w:hint="eastAsia" w:cs="宋体"/>
          <w:color w:val="auto"/>
          <w:szCs w:val="21"/>
          <w:highlight w:val="none"/>
          <w:lang w:val="en-US" w:eastAsia="zh-CN"/>
        </w:rPr>
        <w:t>表</w:t>
      </w:r>
      <w:r>
        <w:rPr>
          <w:rFonts w:hint="eastAsia" w:eastAsia="宋体" w:cs="宋体"/>
          <w:color w:val="auto"/>
          <w:szCs w:val="21"/>
          <w:highlight w:val="none"/>
        </w:rPr>
        <w:t>中列出本项目服务费税率。</w:t>
      </w:r>
      <w:r>
        <w:rPr>
          <w:rFonts w:eastAsia="宋体" w:cs="宋体"/>
          <w:color w:val="auto"/>
          <w:szCs w:val="21"/>
          <w:highlight w:val="none"/>
        </w:rPr>
        <w:t>在合同执行中由于税务机关调整税率的，以不含税价为准调整相应税额</w:t>
      </w:r>
      <w:r>
        <w:rPr>
          <w:rFonts w:hint="eastAsia" w:eastAsia="宋体" w:cs="宋体"/>
          <w:color w:val="auto"/>
          <w:szCs w:val="21"/>
          <w:highlight w:val="none"/>
        </w:rPr>
        <w:t>。</w:t>
      </w:r>
    </w:p>
    <w:p>
      <w:pPr>
        <w:spacing w:line="360" w:lineRule="auto"/>
        <w:ind w:firstLine="420" w:firstLineChars="200"/>
        <w:rPr>
          <w:rFonts w:eastAsia="宋体" w:cs="宋体"/>
          <w:color w:val="auto"/>
          <w:szCs w:val="21"/>
          <w:highlight w:val="none"/>
        </w:rPr>
      </w:pPr>
      <w:r>
        <w:rPr>
          <w:rFonts w:eastAsia="宋体" w:cs="宋体"/>
          <w:color w:val="auto"/>
          <w:szCs w:val="21"/>
          <w:highlight w:val="none"/>
        </w:rPr>
        <w:t>2.此表的合计系需业主应支付给设备集成服务商的用于完成本次招标标的物所有工作的金额总数即</w:t>
      </w:r>
      <w:r>
        <w:rPr>
          <w:rFonts w:hint="eastAsia" w:eastAsia="宋体" w:cs="宋体"/>
          <w:b/>
          <w:color w:val="auto"/>
          <w:szCs w:val="21"/>
          <w:highlight w:val="none"/>
        </w:rPr>
        <w:t>投标总价</w:t>
      </w:r>
      <w:r>
        <w:rPr>
          <w:rFonts w:hint="eastAsia" w:eastAsia="宋体" w:cs="宋体"/>
          <w:color w:val="auto"/>
          <w:szCs w:val="21"/>
          <w:highlight w:val="none"/>
        </w:rPr>
        <w:t>。</w:t>
      </w:r>
    </w:p>
    <w:p>
      <w:pPr>
        <w:spacing w:line="360" w:lineRule="auto"/>
        <w:ind w:left="735" w:hanging="735"/>
        <w:rPr>
          <w:rFonts w:eastAsia="宋体" w:cs="宋体"/>
          <w:color w:val="auto"/>
          <w:szCs w:val="21"/>
          <w:highlight w:val="none"/>
        </w:rPr>
      </w:pPr>
      <w:r>
        <w:rPr>
          <w:rFonts w:eastAsia="宋体" w:cs="宋体"/>
          <w:color w:val="auto"/>
          <w:szCs w:val="21"/>
          <w:highlight w:val="none"/>
        </w:rPr>
        <w:t xml:space="preserve">    3.总计价为包干价，由中标人包干使用，合同执行过程中不予调整（</w:t>
      </w:r>
      <w:r>
        <w:rPr>
          <w:rFonts w:hint="eastAsia" w:cs="宋体"/>
          <w:color w:val="auto"/>
          <w:szCs w:val="21"/>
          <w:highlight w:val="none"/>
          <w:lang w:val="en-US" w:eastAsia="zh-CN"/>
        </w:rPr>
        <w:t>合同</w:t>
      </w:r>
      <w:r>
        <w:rPr>
          <w:rFonts w:eastAsia="宋体" w:cs="宋体"/>
          <w:color w:val="auto"/>
          <w:szCs w:val="21"/>
          <w:highlight w:val="none"/>
        </w:rPr>
        <w:t>另有规定</w:t>
      </w:r>
      <w:r>
        <w:rPr>
          <w:rFonts w:hint="eastAsia" w:cs="宋体"/>
          <w:color w:val="auto"/>
          <w:szCs w:val="21"/>
          <w:highlight w:val="none"/>
          <w:lang w:val="en-US" w:eastAsia="zh-CN"/>
        </w:rPr>
        <w:t>除外</w:t>
      </w:r>
      <w:r>
        <w:rPr>
          <w:rFonts w:eastAsia="宋体" w:cs="宋体"/>
          <w:color w:val="auto"/>
          <w:szCs w:val="21"/>
          <w:highlight w:val="none"/>
        </w:rPr>
        <w:t>）。</w:t>
      </w:r>
    </w:p>
    <w:p>
      <w:pPr>
        <w:spacing w:line="360" w:lineRule="auto"/>
        <w:ind w:left="735" w:hanging="735"/>
        <w:rPr>
          <w:rFonts w:eastAsia="宋体" w:cs="宋体"/>
          <w:color w:val="auto"/>
          <w:szCs w:val="21"/>
          <w:highlight w:val="none"/>
        </w:rPr>
      </w:pPr>
      <w:r>
        <w:rPr>
          <w:rFonts w:eastAsia="宋体" w:cs="宋体"/>
          <w:color w:val="auto"/>
          <w:szCs w:val="21"/>
          <w:highlight w:val="none"/>
        </w:rPr>
        <w:t xml:space="preserve">    4.上述报价已包含投标人按中国法律规定应该交纳的一切税费。</w:t>
      </w:r>
    </w:p>
    <w:p>
      <w:pPr>
        <w:bidi w:val="0"/>
        <w:rPr>
          <w:color w:val="auto"/>
          <w:highlight w:val="none"/>
        </w:rPr>
      </w:pPr>
      <w:r>
        <w:rPr>
          <w:color w:val="auto"/>
          <w:highlight w:val="none"/>
        </w:rPr>
        <w:t xml:space="preserve">    </w:t>
      </w:r>
      <w:bookmarkStart w:id="2623" w:name="_Toc32384"/>
      <w:r>
        <w:rPr>
          <w:color w:val="auto"/>
          <w:highlight w:val="none"/>
        </w:rPr>
        <w:t>5</w:t>
      </w:r>
      <w:r>
        <w:rPr>
          <w:rFonts w:hint="eastAsia"/>
          <w:color w:val="auto"/>
          <w:highlight w:val="none"/>
          <w:lang w:val="en-US" w:eastAsia="zh-CN"/>
        </w:rPr>
        <w:t>.</w:t>
      </w:r>
      <w:r>
        <w:rPr>
          <w:rFonts w:hint="eastAsia"/>
          <w:color w:val="auto"/>
          <w:highlight w:val="none"/>
        </w:rPr>
        <w:t>投标报价均采用人民币计算</w:t>
      </w:r>
      <w:r>
        <w:rPr>
          <w:rFonts w:hint="eastAsia"/>
          <w:color w:val="auto"/>
          <w:highlight w:val="none"/>
          <w:lang w:eastAsia="zh-CN"/>
        </w:rPr>
        <w:t>，</w:t>
      </w:r>
      <w:r>
        <w:rPr>
          <w:color w:val="auto"/>
          <w:highlight w:val="none"/>
        </w:rPr>
        <w:t>保留小数点后两位小数</w:t>
      </w:r>
      <w:r>
        <w:rPr>
          <w:rFonts w:hint="eastAsia"/>
          <w:color w:val="auto"/>
          <w:highlight w:val="none"/>
        </w:rPr>
        <w:t>。</w:t>
      </w:r>
      <w:bookmarkEnd w:id="2623"/>
    </w:p>
    <w:p>
      <w:pPr>
        <w:tabs>
          <w:tab w:val="left" w:pos="8364"/>
        </w:tabs>
        <w:snapToGrid w:val="0"/>
        <w:spacing w:line="240" w:lineRule="atLeast"/>
        <w:ind w:right="-58"/>
        <w:rPr>
          <w:rFonts w:eastAsia="宋体" w:cs="宋体"/>
          <w:color w:val="auto"/>
          <w:szCs w:val="20"/>
          <w:highlight w:val="none"/>
        </w:rPr>
      </w:pPr>
    </w:p>
    <w:p>
      <w:pPr>
        <w:tabs>
          <w:tab w:val="left" w:pos="8364"/>
        </w:tabs>
        <w:snapToGrid w:val="0"/>
        <w:spacing w:line="360" w:lineRule="auto"/>
        <w:ind w:right="-58"/>
        <w:rPr>
          <w:rFonts w:hint="eastAsia" w:ascii="Times New Roman" w:hAnsi="Times New Roman" w:eastAsia="宋体" w:cs="宋体"/>
          <w:color w:val="auto"/>
          <w:szCs w:val="20"/>
          <w:highlight w:val="none"/>
        </w:rPr>
      </w:pPr>
      <w:r>
        <w:rPr>
          <w:rFonts w:hint="eastAsia" w:ascii="Times New Roman" w:hAnsi="Times New Roman" w:eastAsia="宋体" w:cs="宋体"/>
          <w:color w:val="auto"/>
          <w:szCs w:val="20"/>
          <w:highlight w:val="none"/>
        </w:rPr>
        <w:t>投标人名称：</w:t>
      </w:r>
      <w:r>
        <w:rPr>
          <w:rFonts w:hint="eastAsia" w:ascii="Times New Roman" w:hAnsi="Times New Roman" w:eastAsia="宋体" w:cs="宋体"/>
          <w:color w:val="auto"/>
          <w:szCs w:val="20"/>
          <w:highlight w:val="none"/>
          <w:u w:val="single"/>
        </w:rPr>
        <w:t xml:space="preserve">                                    </w:t>
      </w:r>
      <w:r>
        <w:rPr>
          <w:rFonts w:hint="eastAsia" w:ascii="Times New Roman" w:hAnsi="Times New Roman" w:eastAsia="宋体" w:cs="宋体"/>
          <w:color w:val="auto"/>
          <w:szCs w:val="20"/>
          <w:highlight w:val="none"/>
        </w:rPr>
        <w:t>（盖单位章）</w:t>
      </w:r>
    </w:p>
    <w:p>
      <w:pPr>
        <w:tabs>
          <w:tab w:val="left" w:pos="8364"/>
        </w:tabs>
        <w:snapToGrid w:val="0"/>
        <w:spacing w:line="360" w:lineRule="auto"/>
        <w:ind w:right="-58"/>
        <w:rPr>
          <w:rFonts w:hint="eastAsia" w:ascii="Times New Roman" w:hAnsi="Times New Roman" w:eastAsia="宋体" w:cs="宋体"/>
          <w:color w:val="auto"/>
          <w:szCs w:val="20"/>
          <w:highlight w:val="none"/>
        </w:rPr>
      </w:pPr>
      <w:r>
        <w:rPr>
          <w:rFonts w:hint="eastAsia" w:ascii="Times New Roman" w:hAnsi="Times New Roman" w:eastAsia="宋体" w:cs="宋体"/>
          <w:color w:val="auto"/>
          <w:szCs w:val="20"/>
          <w:highlight w:val="none"/>
        </w:rPr>
        <w:t>投标人法定代表人或授权代表：</w:t>
      </w:r>
      <w:r>
        <w:rPr>
          <w:rFonts w:hint="eastAsia" w:ascii="Times New Roman" w:hAnsi="Times New Roman" w:eastAsia="宋体" w:cs="宋体"/>
          <w:color w:val="auto"/>
          <w:szCs w:val="20"/>
          <w:highlight w:val="none"/>
          <w:u w:val="single"/>
        </w:rPr>
        <w:t xml:space="preserve">                   </w:t>
      </w:r>
      <w:r>
        <w:rPr>
          <w:rFonts w:hint="eastAsia" w:ascii="Times New Roman" w:hAnsi="Times New Roman" w:eastAsia="宋体" w:cs="宋体"/>
          <w:color w:val="auto"/>
          <w:szCs w:val="20"/>
          <w:highlight w:val="none"/>
        </w:rPr>
        <w:t>（签字</w:t>
      </w:r>
      <w:r>
        <w:rPr>
          <w:rFonts w:hint="eastAsia" w:ascii="Times New Roman" w:hAnsi="Times New Roman" w:eastAsia="宋体" w:cs="宋体"/>
          <w:color w:val="auto"/>
          <w:szCs w:val="20"/>
          <w:highlight w:val="none"/>
          <w:lang w:val="en-US" w:eastAsia="zh-CN"/>
        </w:rPr>
        <w:t>或签章</w:t>
      </w:r>
      <w:r>
        <w:rPr>
          <w:rFonts w:hint="eastAsia" w:ascii="Times New Roman" w:hAnsi="Times New Roman" w:eastAsia="宋体" w:cs="宋体"/>
          <w:color w:val="auto"/>
          <w:szCs w:val="20"/>
          <w:highlight w:val="none"/>
        </w:rPr>
        <w:t>）</w:t>
      </w:r>
    </w:p>
    <w:p>
      <w:pPr>
        <w:tabs>
          <w:tab w:val="left" w:pos="8364"/>
        </w:tabs>
        <w:snapToGrid w:val="0"/>
        <w:spacing w:line="360" w:lineRule="auto"/>
        <w:ind w:right="-58"/>
        <w:rPr>
          <w:rFonts w:eastAsia="宋体" w:cs="宋体"/>
          <w:color w:val="auto"/>
          <w:szCs w:val="20"/>
          <w:highlight w:val="none"/>
        </w:rPr>
      </w:pPr>
      <w:r>
        <w:rPr>
          <w:rFonts w:hint="eastAsia" w:ascii="Times New Roman" w:hAnsi="Times New Roman" w:eastAsia="宋体" w:cs="宋体"/>
          <w:color w:val="auto"/>
          <w:szCs w:val="20"/>
          <w:highlight w:val="none"/>
        </w:rPr>
        <w:t xml:space="preserve">       年       月       日</w:t>
      </w:r>
      <w:r>
        <w:rPr>
          <w:rFonts w:eastAsia="宋体" w:cs="宋体"/>
          <w:color w:val="auto"/>
          <w:szCs w:val="20"/>
          <w:highlight w:val="none"/>
        </w:rPr>
        <w:br w:type="page"/>
      </w:r>
    </w:p>
    <w:p>
      <w:pPr>
        <w:tabs>
          <w:tab w:val="left" w:pos="676"/>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jc w:val="center"/>
        <w:rPr>
          <w:rFonts w:eastAsia="宋体" w:cs="宋体"/>
          <w:b/>
          <w:color w:val="auto"/>
          <w:sz w:val="24"/>
          <w:szCs w:val="20"/>
          <w:highlight w:val="none"/>
        </w:rPr>
      </w:pPr>
      <w:r>
        <w:rPr>
          <w:rFonts w:hint="eastAsia" w:cs="宋体"/>
          <w:b/>
          <w:color w:val="auto"/>
          <w:sz w:val="24"/>
          <w:szCs w:val="20"/>
          <w:highlight w:val="none"/>
          <w:lang w:val="en-US" w:eastAsia="zh-CN"/>
        </w:rPr>
        <w:t>5</w:t>
      </w:r>
      <w:r>
        <w:rPr>
          <w:rFonts w:eastAsia="宋体" w:cs="宋体"/>
          <w:b/>
          <w:color w:val="auto"/>
          <w:sz w:val="24"/>
          <w:szCs w:val="20"/>
          <w:highlight w:val="none"/>
        </w:rPr>
        <w:t xml:space="preserve">-2 </w:t>
      </w:r>
      <w:r>
        <w:rPr>
          <w:rFonts w:hint="eastAsia" w:eastAsia="宋体" w:cs="宋体"/>
          <w:b/>
          <w:color w:val="auto"/>
          <w:sz w:val="24"/>
          <w:szCs w:val="20"/>
          <w:highlight w:val="none"/>
        </w:rPr>
        <w:t>单价分析表</w:t>
      </w:r>
    </w:p>
    <w:p>
      <w:pPr>
        <w:tabs>
          <w:tab w:val="left" w:pos="676"/>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jc w:val="center"/>
        <w:rPr>
          <w:rFonts w:eastAsia="宋体" w:cs="宋体"/>
          <w:color w:val="auto"/>
          <w:sz w:val="24"/>
          <w:szCs w:val="20"/>
          <w:highlight w:val="none"/>
        </w:rPr>
      </w:pPr>
    </w:p>
    <w:p>
      <w:pPr>
        <w:tabs>
          <w:tab w:val="left" w:pos="676"/>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jc w:val="center"/>
        <w:rPr>
          <w:rFonts w:eastAsia="宋体" w:cs="宋体"/>
          <w:color w:val="auto"/>
          <w:sz w:val="24"/>
          <w:szCs w:val="20"/>
          <w:highlight w:val="none"/>
        </w:rPr>
      </w:pPr>
      <w:r>
        <w:rPr>
          <w:rFonts w:hint="eastAsia" w:eastAsia="宋体" w:cs="宋体"/>
          <w:color w:val="auto"/>
          <w:szCs w:val="20"/>
          <w:highlight w:val="none"/>
        </w:rPr>
        <w:t>投标人名称：</w:t>
      </w:r>
      <w:r>
        <w:rPr>
          <w:rFonts w:eastAsia="宋体" w:cs="宋体"/>
          <w:color w:val="auto"/>
          <w:szCs w:val="20"/>
          <w:highlight w:val="none"/>
        </w:rPr>
        <w:t xml:space="preserve">                                                 [</w:t>
      </w:r>
      <w:r>
        <w:rPr>
          <w:rFonts w:hint="eastAsia" w:eastAsia="宋体" w:cs="宋体"/>
          <w:color w:val="auto"/>
          <w:szCs w:val="20"/>
          <w:highlight w:val="none"/>
        </w:rPr>
        <w:t>货币单位：人民币元</w:t>
      </w:r>
      <w:r>
        <w:rPr>
          <w:rFonts w:eastAsia="宋体" w:cs="宋体"/>
          <w:color w:val="auto"/>
          <w:szCs w:val="20"/>
          <w:highlight w:val="none"/>
        </w:rPr>
        <w:t>]</w:t>
      </w:r>
    </w:p>
    <w:tbl>
      <w:tblPr>
        <w:tblStyle w:val="14"/>
        <w:tblW w:w="9220" w:type="dxa"/>
        <w:tblInd w:w="0" w:type="dxa"/>
        <w:tblLayout w:type="fixed"/>
        <w:tblCellMar>
          <w:top w:w="0" w:type="dxa"/>
          <w:left w:w="30" w:type="dxa"/>
          <w:bottom w:w="0" w:type="dxa"/>
          <w:right w:w="30" w:type="dxa"/>
        </w:tblCellMar>
      </w:tblPr>
      <w:tblGrid>
        <w:gridCol w:w="1080"/>
        <w:gridCol w:w="1080"/>
        <w:gridCol w:w="1370"/>
        <w:gridCol w:w="824"/>
        <w:gridCol w:w="1066"/>
        <w:gridCol w:w="1200"/>
        <w:gridCol w:w="600"/>
        <w:gridCol w:w="900"/>
        <w:gridCol w:w="1100"/>
      </w:tblGrid>
      <w:tr>
        <w:tblPrEx>
          <w:tblCellMar>
            <w:top w:w="0" w:type="dxa"/>
            <w:left w:w="30" w:type="dxa"/>
            <w:bottom w:w="0" w:type="dxa"/>
            <w:right w:w="30" w:type="dxa"/>
          </w:tblCellMar>
        </w:tblPrEx>
        <w:trPr>
          <w:cantSplit/>
          <w:trHeight w:val="340" w:hRule="atLeast"/>
        </w:trPr>
        <w:tc>
          <w:tcPr>
            <w:tcW w:w="21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项目或费用名称</w:t>
            </w:r>
          </w:p>
        </w:tc>
        <w:tc>
          <w:tcPr>
            <w:tcW w:w="706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21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单价编号</w:t>
            </w:r>
          </w:p>
        </w:tc>
        <w:tc>
          <w:tcPr>
            <w:tcW w:w="3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计量单位</w:t>
            </w:r>
          </w:p>
        </w:tc>
        <w:tc>
          <w:tcPr>
            <w:tcW w:w="20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21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项目含盖内容</w:t>
            </w:r>
          </w:p>
        </w:tc>
        <w:tc>
          <w:tcPr>
            <w:tcW w:w="3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综合单价</w:t>
            </w:r>
          </w:p>
        </w:tc>
        <w:tc>
          <w:tcPr>
            <w:tcW w:w="20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序号</w:t>
            </w:r>
          </w:p>
        </w:tc>
        <w:tc>
          <w:tcPr>
            <w:tcW w:w="245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项目及费用名称</w:t>
            </w:r>
          </w:p>
        </w:tc>
        <w:tc>
          <w:tcPr>
            <w:tcW w:w="824"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单位</w:t>
            </w:r>
          </w:p>
        </w:tc>
        <w:tc>
          <w:tcPr>
            <w:tcW w:w="106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数量</w:t>
            </w:r>
          </w:p>
        </w:tc>
        <w:tc>
          <w:tcPr>
            <w:tcW w:w="27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费用（元）</w:t>
            </w: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备注</w:t>
            </w:r>
          </w:p>
        </w:tc>
      </w:tr>
      <w:tr>
        <w:tblPrEx>
          <w:tblCellMar>
            <w:top w:w="0" w:type="dxa"/>
            <w:left w:w="30" w:type="dxa"/>
            <w:bottom w:w="0" w:type="dxa"/>
            <w:right w:w="30" w:type="dxa"/>
          </w:tblCellMar>
        </w:tblPrEx>
        <w:trPr>
          <w:cantSplit/>
          <w:trHeight w:val="340" w:hRule="atLeast"/>
        </w:trPr>
        <w:tc>
          <w:tcPr>
            <w:tcW w:w="10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cs="宋体"/>
                <w:color w:val="auto"/>
                <w:szCs w:val="20"/>
                <w:highlight w:val="none"/>
              </w:rPr>
            </w:pPr>
          </w:p>
        </w:tc>
        <w:tc>
          <w:tcPr>
            <w:tcW w:w="245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cs="宋体"/>
                <w:color w:val="auto"/>
                <w:szCs w:val="20"/>
                <w:highlight w:val="none"/>
              </w:rPr>
            </w:pPr>
          </w:p>
        </w:tc>
        <w:tc>
          <w:tcPr>
            <w:tcW w:w="82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cs="宋体"/>
                <w:color w:val="auto"/>
                <w:szCs w:val="20"/>
                <w:highlight w:val="none"/>
              </w:rPr>
            </w:pPr>
          </w:p>
        </w:tc>
        <w:tc>
          <w:tcPr>
            <w:tcW w:w="106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单价</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hint="eastAsia" w:eastAsia="宋体" w:cs="宋体"/>
                <w:color w:val="auto"/>
                <w:szCs w:val="20"/>
                <w:highlight w:val="none"/>
              </w:rPr>
              <w:t>合价</w:t>
            </w: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eastAsia="宋体" w:cs="宋体"/>
                <w:color w:val="auto"/>
                <w:szCs w:val="20"/>
                <w:highlight w:val="none"/>
              </w:rPr>
              <w:t>1</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18" w:leftChars="104"/>
              <w:rPr>
                <w:rFonts w:eastAsia="宋体" w:cs="宋体"/>
                <w:b/>
                <w:color w:val="auto"/>
                <w:szCs w:val="20"/>
                <w:highlight w:val="none"/>
              </w:rPr>
            </w:pPr>
            <w:r>
              <w:rPr>
                <w:rFonts w:hint="eastAsia" w:eastAsia="宋体" w:cs="宋体"/>
                <w:b/>
                <w:color w:val="auto"/>
                <w:szCs w:val="20"/>
                <w:highlight w:val="none"/>
              </w:rPr>
              <w:t>直接费</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eastAsia="宋体" w:cs="宋体"/>
                <w:color w:val="auto"/>
                <w:szCs w:val="20"/>
                <w:highlight w:val="none"/>
              </w:rPr>
              <w:t>2</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18" w:leftChars="104"/>
              <w:rPr>
                <w:rFonts w:eastAsia="宋体" w:cs="宋体"/>
                <w:b/>
                <w:color w:val="auto"/>
                <w:szCs w:val="20"/>
                <w:highlight w:val="none"/>
              </w:rPr>
            </w:pPr>
            <w:r>
              <w:rPr>
                <w:rFonts w:hint="eastAsia" w:eastAsia="宋体" w:cs="宋体"/>
                <w:b/>
                <w:color w:val="auto"/>
                <w:szCs w:val="20"/>
                <w:highlight w:val="none"/>
              </w:rPr>
              <w:t>间接费</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r>
              <w:rPr>
                <w:rFonts w:hint="eastAsia" w:eastAsia="宋体" w:cs="宋体"/>
                <w:color w:val="auto"/>
                <w:szCs w:val="20"/>
                <w:highlight w:val="none"/>
              </w:rPr>
              <w:t>……</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eastAsia="宋体" w:cs="宋体"/>
                <w:color w:val="auto"/>
                <w:szCs w:val="20"/>
                <w:highlight w:val="none"/>
              </w:rPr>
              <w:t>3</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18" w:leftChars="104"/>
              <w:rPr>
                <w:rFonts w:eastAsia="宋体" w:cs="宋体"/>
                <w:b/>
                <w:color w:val="auto"/>
                <w:szCs w:val="20"/>
                <w:highlight w:val="none"/>
              </w:rPr>
            </w:pPr>
            <w:r>
              <w:rPr>
                <w:rFonts w:hint="eastAsia" w:eastAsia="宋体" w:cs="宋体"/>
                <w:b/>
                <w:color w:val="auto"/>
                <w:szCs w:val="20"/>
                <w:highlight w:val="none"/>
              </w:rPr>
              <w:t>利润</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r>
              <w:rPr>
                <w:rFonts w:eastAsia="宋体" w:cs="宋体"/>
                <w:color w:val="auto"/>
                <w:szCs w:val="20"/>
                <w:highlight w:val="none"/>
              </w:rPr>
              <w:t>4</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18" w:leftChars="104"/>
              <w:rPr>
                <w:rFonts w:eastAsia="宋体" w:cs="宋体"/>
                <w:b/>
                <w:color w:val="auto"/>
                <w:szCs w:val="20"/>
                <w:highlight w:val="none"/>
              </w:rPr>
            </w:pPr>
            <w:r>
              <w:rPr>
                <w:rFonts w:hint="eastAsia" w:eastAsia="宋体" w:cs="宋体"/>
                <w:b/>
                <w:color w:val="auto"/>
                <w:szCs w:val="20"/>
                <w:highlight w:val="none"/>
              </w:rPr>
              <w:t>税金</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r>
              <w:rPr>
                <w:rFonts w:hint="eastAsia" w:eastAsia="宋体" w:cs="宋体"/>
                <w:color w:val="auto"/>
                <w:szCs w:val="20"/>
                <w:highlight w:val="none"/>
              </w:rPr>
              <w:t>……</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color w:val="auto"/>
                <w:szCs w:val="20"/>
                <w:highlight w:val="none"/>
              </w:rPr>
            </w:pPr>
            <w:r>
              <w:rPr>
                <w:rFonts w:hint="eastAsia" w:eastAsia="宋体" w:cs="宋体"/>
                <w:b/>
                <w:color w:val="auto"/>
                <w:szCs w:val="20"/>
                <w:highlight w:val="none"/>
              </w:rPr>
              <w:t>综合单价</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color w:val="auto"/>
                <w:szCs w:val="20"/>
                <w:highlight w:val="none"/>
              </w:rPr>
            </w:pPr>
          </w:p>
        </w:tc>
      </w:tr>
      <w:tr>
        <w:tblPrEx>
          <w:tblCellMar>
            <w:top w:w="0" w:type="dxa"/>
            <w:left w:w="30" w:type="dxa"/>
            <w:bottom w:w="0" w:type="dxa"/>
            <w:right w:w="30" w:type="dxa"/>
          </w:tblCellMar>
        </w:tblPrEx>
        <w:trPr>
          <w:cantSplit/>
          <w:trHeight w:val="793" w:hRule="atLeast"/>
        </w:trPr>
        <w:tc>
          <w:tcPr>
            <w:tcW w:w="9220"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eastAsia="宋体" w:cs="宋体"/>
                <w:color w:val="auto"/>
                <w:szCs w:val="20"/>
                <w:highlight w:val="none"/>
              </w:rPr>
            </w:pPr>
            <w:r>
              <w:rPr>
                <w:rFonts w:eastAsia="宋体" w:cs="宋体"/>
                <w:color w:val="auto"/>
                <w:szCs w:val="20"/>
                <w:highlight w:val="none"/>
              </w:rPr>
              <w:t xml:space="preserve">       编 制：                                      复 核：</w:t>
            </w:r>
          </w:p>
          <w:p>
            <w:pPr>
              <w:autoSpaceDE w:val="0"/>
              <w:autoSpaceDN w:val="0"/>
              <w:adjustRightInd w:val="0"/>
              <w:rPr>
                <w:rFonts w:eastAsia="宋体" w:cs="宋体"/>
                <w:color w:val="auto"/>
                <w:szCs w:val="20"/>
                <w:highlight w:val="none"/>
              </w:rPr>
            </w:pPr>
            <w:r>
              <w:rPr>
                <w:rFonts w:eastAsia="宋体" w:cs="宋体"/>
                <w:color w:val="auto"/>
                <w:szCs w:val="20"/>
                <w:highlight w:val="none"/>
              </w:rPr>
              <w:t xml:space="preserve">          年   月   日                                     年    月    日</w:t>
            </w:r>
          </w:p>
        </w:tc>
      </w:tr>
    </w:tbl>
    <w:p>
      <w:pPr>
        <w:tabs>
          <w:tab w:val="left" w:pos="676"/>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rPr>
          <w:rFonts w:eastAsia="宋体" w:cs="宋体"/>
          <w:color w:val="auto"/>
          <w:szCs w:val="20"/>
          <w:highlight w:val="none"/>
        </w:rPr>
      </w:pPr>
      <w:r>
        <w:rPr>
          <w:rFonts w:hint="eastAsia" w:eastAsia="宋体" w:cs="宋体"/>
          <w:color w:val="auto"/>
          <w:szCs w:val="20"/>
          <w:highlight w:val="none"/>
        </w:rPr>
        <w:t>说明：</w:t>
      </w:r>
      <w:r>
        <w:rPr>
          <w:rFonts w:eastAsia="宋体" w:cs="宋体"/>
          <w:color w:val="auto"/>
          <w:szCs w:val="20"/>
          <w:highlight w:val="none"/>
        </w:rPr>
        <w:t xml:space="preserve">1. </w:t>
      </w:r>
      <w:r>
        <w:rPr>
          <w:rFonts w:hint="eastAsia" w:eastAsia="宋体" w:cs="宋体"/>
          <w:color w:val="auto"/>
          <w:szCs w:val="20"/>
          <w:highlight w:val="none"/>
        </w:rPr>
        <w:t>投标人需对合同范围内的所有工作项目的单价，逐个根据本表形式作出详细分项。</w:t>
      </w:r>
    </w:p>
    <w:p>
      <w:pPr>
        <w:tabs>
          <w:tab w:val="left" w:pos="8364"/>
        </w:tabs>
        <w:snapToGrid w:val="0"/>
        <w:spacing w:line="360" w:lineRule="auto"/>
        <w:ind w:right="-58"/>
        <w:rPr>
          <w:rFonts w:hint="eastAsia" w:ascii="Times New Roman" w:hAnsi="Times New Roman" w:eastAsia="宋体" w:cs="宋体"/>
          <w:color w:val="auto"/>
          <w:szCs w:val="20"/>
          <w:highlight w:val="none"/>
        </w:rPr>
      </w:pPr>
    </w:p>
    <w:p>
      <w:pPr>
        <w:tabs>
          <w:tab w:val="left" w:pos="8364"/>
        </w:tabs>
        <w:snapToGrid w:val="0"/>
        <w:spacing w:line="360" w:lineRule="auto"/>
        <w:ind w:right="-58"/>
        <w:rPr>
          <w:rFonts w:hint="eastAsia" w:ascii="Times New Roman" w:hAnsi="Times New Roman" w:eastAsia="宋体" w:cs="宋体"/>
          <w:color w:val="auto"/>
          <w:szCs w:val="20"/>
          <w:highlight w:val="none"/>
        </w:rPr>
      </w:pPr>
      <w:r>
        <w:rPr>
          <w:rFonts w:hint="eastAsia" w:ascii="Times New Roman" w:hAnsi="Times New Roman" w:eastAsia="宋体" w:cs="宋体"/>
          <w:color w:val="auto"/>
          <w:szCs w:val="20"/>
          <w:highlight w:val="none"/>
        </w:rPr>
        <w:t>投标人名称：</w:t>
      </w:r>
      <w:r>
        <w:rPr>
          <w:rFonts w:hint="eastAsia" w:ascii="Times New Roman" w:hAnsi="Times New Roman" w:eastAsia="宋体" w:cs="宋体"/>
          <w:color w:val="auto"/>
          <w:szCs w:val="20"/>
          <w:highlight w:val="none"/>
          <w:u w:val="single"/>
        </w:rPr>
        <w:t xml:space="preserve">                                    </w:t>
      </w:r>
      <w:r>
        <w:rPr>
          <w:rFonts w:hint="eastAsia" w:ascii="Times New Roman" w:hAnsi="Times New Roman" w:eastAsia="宋体" w:cs="宋体"/>
          <w:color w:val="auto"/>
          <w:szCs w:val="20"/>
          <w:highlight w:val="none"/>
        </w:rPr>
        <w:t>（盖单位章）</w:t>
      </w:r>
    </w:p>
    <w:p>
      <w:pPr>
        <w:tabs>
          <w:tab w:val="left" w:pos="8364"/>
        </w:tabs>
        <w:snapToGrid w:val="0"/>
        <w:spacing w:line="360" w:lineRule="auto"/>
        <w:ind w:right="-58"/>
        <w:rPr>
          <w:rFonts w:hint="eastAsia" w:ascii="Times New Roman" w:hAnsi="Times New Roman" w:eastAsia="宋体" w:cs="宋体"/>
          <w:color w:val="auto"/>
          <w:szCs w:val="20"/>
          <w:highlight w:val="none"/>
        </w:rPr>
      </w:pPr>
      <w:r>
        <w:rPr>
          <w:rFonts w:hint="eastAsia" w:ascii="Times New Roman" w:hAnsi="Times New Roman" w:eastAsia="宋体" w:cs="宋体"/>
          <w:color w:val="auto"/>
          <w:szCs w:val="20"/>
          <w:highlight w:val="none"/>
        </w:rPr>
        <w:t>投标人法定代表人或授权代表：</w:t>
      </w:r>
      <w:r>
        <w:rPr>
          <w:rFonts w:hint="eastAsia" w:ascii="Times New Roman" w:hAnsi="Times New Roman" w:eastAsia="宋体" w:cs="宋体"/>
          <w:color w:val="auto"/>
          <w:szCs w:val="20"/>
          <w:highlight w:val="none"/>
          <w:u w:val="single"/>
        </w:rPr>
        <w:t xml:space="preserve">                   </w:t>
      </w:r>
      <w:r>
        <w:rPr>
          <w:rFonts w:hint="eastAsia" w:ascii="Times New Roman" w:hAnsi="Times New Roman" w:eastAsia="宋体" w:cs="宋体"/>
          <w:color w:val="auto"/>
          <w:szCs w:val="20"/>
          <w:highlight w:val="none"/>
        </w:rPr>
        <w:t>（签字</w:t>
      </w:r>
      <w:r>
        <w:rPr>
          <w:rFonts w:hint="eastAsia" w:ascii="Times New Roman" w:hAnsi="Times New Roman" w:eastAsia="宋体" w:cs="宋体"/>
          <w:color w:val="auto"/>
          <w:szCs w:val="20"/>
          <w:highlight w:val="none"/>
          <w:lang w:val="en-US" w:eastAsia="zh-CN"/>
        </w:rPr>
        <w:t>或签章</w:t>
      </w:r>
      <w:r>
        <w:rPr>
          <w:rFonts w:hint="eastAsia" w:ascii="Times New Roman" w:hAnsi="Times New Roman" w:eastAsia="宋体" w:cs="宋体"/>
          <w:color w:val="auto"/>
          <w:szCs w:val="20"/>
          <w:highlight w:val="none"/>
        </w:rPr>
        <w:t>）</w:t>
      </w:r>
    </w:p>
    <w:p>
      <w:pPr>
        <w:tabs>
          <w:tab w:val="left" w:pos="8364"/>
        </w:tabs>
        <w:snapToGrid w:val="0"/>
        <w:spacing w:line="360" w:lineRule="exact"/>
        <w:ind w:right="-58"/>
        <w:rPr>
          <w:rFonts w:eastAsia="宋体" w:cs="宋体"/>
          <w:color w:val="auto"/>
          <w:szCs w:val="21"/>
          <w:highlight w:val="none"/>
        </w:rPr>
      </w:pPr>
      <w:r>
        <w:rPr>
          <w:rFonts w:hint="eastAsia" w:ascii="Times New Roman" w:hAnsi="Times New Roman" w:eastAsia="宋体" w:cs="宋体"/>
          <w:color w:val="auto"/>
          <w:szCs w:val="20"/>
          <w:highlight w:val="none"/>
        </w:rPr>
        <w:t xml:space="preserve">       年       月       日</w:t>
      </w:r>
      <w:r>
        <w:rPr>
          <w:rFonts w:eastAsia="宋体" w:cs="宋体"/>
          <w:color w:val="auto"/>
          <w:szCs w:val="21"/>
          <w:highlight w:val="none"/>
        </w:rPr>
        <w:t xml:space="preserve"> </w:t>
      </w:r>
    </w:p>
    <w:p>
      <w:pPr>
        <w:rPr>
          <w:rFonts w:eastAsia="宋体" w:cs="宋体"/>
          <w:color w:val="auto"/>
          <w:szCs w:val="21"/>
          <w:highlight w:val="none"/>
        </w:rPr>
      </w:pPr>
      <w:r>
        <w:rPr>
          <w:rFonts w:eastAsia="宋体" w:cs="宋体"/>
          <w:color w:val="auto"/>
          <w:szCs w:val="21"/>
          <w:highlight w:val="none"/>
        </w:rPr>
        <w:br w:type="page"/>
      </w:r>
    </w:p>
    <w:p>
      <w:pPr>
        <w:tabs>
          <w:tab w:val="left" w:pos="8364"/>
        </w:tabs>
        <w:snapToGrid w:val="0"/>
        <w:spacing w:line="360" w:lineRule="exact"/>
        <w:ind w:right="-58"/>
        <w:rPr>
          <w:rFonts w:eastAsia="宋体" w:cs="宋体"/>
          <w:color w:val="auto"/>
          <w:szCs w:val="20"/>
          <w:highlight w:val="none"/>
        </w:rPr>
      </w:pPr>
      <w:r>
        <w:rPr>
          <w:rFonts w:eastAsia="宋体" w:cs="宋体"/>
          <w:color w:val="auto"/>
          <w:szCs w:val="21"/>
          <w:highlight w:val="none"/>
        </w:rPr>
        <w:t xml:space="preserve"> </w:t>
      </w:r>
    </w:p>
    <w:p>
      <w:pPr>
        <w:pStyle w:val="3"/>
        <w:bidi w:val="0"/>
        <w:spacing w:before="0" w:after="0" w:line="240" w:lineRule="auto"/>
        <w:rPr>
          <w:rFonts w:ascii="宋体" w:hAnsi="宋体"/>
          <w:strike/>
          <w:color w:val="auto"/>
          <w:spacing w:val="20"/>
          <w:sz w:val="24"/>
          <w:highlight w:val="none"/>
        </w:rPr>
      </w:pPr>
      <w:bookmarkStart w:id="2624" w:name="_Toc19152"/>
      <w:bookmarkStart w:id="2625" w:name="_Toc18921"/>
      <w:bookmarkStart w:id="2626" w:name="_Toc21803"/>
      <w:bookmarkStart w:id="2627" w:name="_Toc7516"/>
      <w:bookmarkStart w:id="2628" w:name="_Toc30126"/>
      <w:bookmarkStart w:id="2629" w:name="_Toc156398412"/>
      <w:r>
        <w:rPr>
          <w:rFonts w:hint="eastAsia" w:ascii="宋体" w:hAnsi="宋体" w:eastAsia="宋体"/>
          <w:color w:val="auto"/>
          <w:highlight w:val="none"/>
          <w:lang w:val="en-US" w:eastAsia="zh-CN"/>
        </w:rPr>
        <w:t>6</w:t>
      </w:r>
      <w:r>
        <w:rPr>
          <w:rFonts w:hint="eastAsia" w:ascii="宋体" w:hAnsi="宋体"/>
          <w:color w:val="auto"/>
          <w:highlight w:val="none"/>
        </w:rPr>
        <w:t>.合同条款响应性承诺书</w:t>
      </w:r>
      <w:bookmarkEnd w:id="2624"/>
      <w:bookmarkEnd w:id="2625"/>
      <w:bookmarkEnd w:id="2626"/>
      <w:bookmarkEnd w:id="2627"/>
      <w:bookmarkEnd w:id="2628"/>
      <w:bookmarkEnd w:id="2629"/>
    </w:p>
    <w:p>
      <w:pPr>
        <w:jc w:val="center"/>
        <w:rPr>
          <w:rFonts w:hint="eastAsia" w:ascii="宋体" w:hAnsi="宋体"/>
          <w:b/>
          <w:color w:val="auto"/>
          <w:sz w:val="28"/>
          <w:szCs w:val="28"/>
          <w:highlight w:val="none"/>
        </w:rPr>
      </w:pPr>
      <w:r>
        <w:rPr>
          <w:rFonts w:hint="eastAsia" w:ascii="宋体" w:hAnsi="宋体"/>
          <w:b/>
          <w:color w:val="auto"/>
          <w:sz w:val="28"/>
          <w:szCs w:val="28"/>
          <w:highlight w:val="none"/>
        </w:rPr>
        <w:t>承诺书</w:t>
      </w:r>
    </w:p>
    <w:p>
      <w:pPr>
        <w:jc w:val="center"/>
        <w:rPr>
          <w:rFonts w:hint="eastAsia"/>
          <w:color w:val="auto"/>
          <w:sz w:val="24"/>
          <w:szCs w:val="24"/>
          <w:highlight w:val="none"/>
        </w:rPr>
      </w:pPr>
      <w:r>
        <w:rPr>
          <w:rFonts w:hint="eastAsia"/>
          <w:color w:val="auto"/>
          <w:sz w:val="24"/>
          <w:szCs w:val="24"/>
          <w:highlight w:val="none"/>
        </w:rPr>
        <w:t>（项目名称：</w:t>
      </w:r>
      <w:r>
        <w:rPr>
          <w:color w:val="auto"/>
          <w:sz w:val="24"/>
          <w:szCs w:val="24"/>
          <w:highlight w:val="none"/>
        </w:rPr>
        <w:t xml:space="preserve">        </w:t>
      </w:r>
      <w:r>
        <w:rPr>
          <w:rFonts w:hint="eastAsia"/>
          <w:color w:val="auto"/>
          <w:sz w:val="24"/>
          <w:szCs w:val="24"/>
          <w:highlight w:val="none"/>
        </w:rPr>
        <w:t>）</w:t>
      </w:r>
    </w:p>
    <w:p>
      <w:pPr>
        <w:rPr>
          <w:color w:val="auto"/>
          <w:sz w:val="24"/>
          <w:szCs w:val="24"/>
          <w:highlight w:val="none"/>
        </w:rPr>
      </w:pPr>
    </w:p>
    <w:p>
      <w:pPr>
        <w:rPr>
          <w:color w:val="auto"/>
          <w:sz w:val="24"/>
          <w:szCs w:val="24"/>
          <w:highlight w:val="none"/>
        </w:rPr>
      </w:pPr>
      <w:r>
        <w:rPr>
          <w:rFonts w:hint="eastAsia"/>
          <w:color w:val="auto"/>
          <w:sz w:val="24"/>
          <w:szCs w:val="24"/>
          <w:highlight w:val="none"/>
        </w:rPr>
        <w:t>东莞市轨道交通有限公司：</w:t>
      </w:r>
    </w:p>
    <w:p>
      <w:pPr>
        <w:tabs>
          <w:tab w:val="left" w:pos="7027"/>
        </w:tabs>
        <w:snapToGrid w:val="0"/>
        <w:spacing w:line="440" w:lineRule="exact"/>
        <w:ind w:left="171" w:firstLine="567"/>
        <w:rPr>
          <w:rFonts w:ascii="宋体" w:hAnsi="宋体"/>
          <w:color w:val="auto"/>
          <w:sz w:val="24"/>
          <w:szCs w:val="24"/>
          <w:highlight w:val="none"/>
        </w:rPr>
      </w:pPr>
      <w:r>
        <w:rPr>
          <w:rFonts w:hint="eastAsia" w:ascii="宋体" w:hAnsi="宋体"/>
          <w:color w:val="auto"/>
          <w:sz w:val="24"/>
          <w:szCs w:val="24"/>
          <w:highlight w:val="none"/>
        </w:rPr>
        <w:t>我司承诺：我方提交的投标文件的内容实质上响应</w:t>
      </w:r>
      <w:r>
        <w:rPr>
          <w:rFonts w:hint="eastAsia"/>
          <w:color w:val="auto"/>
          <w:sz w:val="24"/>
          <w:szCs w:val="24"/>
          <w:highlight w:val="none"/>
        </w:rPr>
        <w:t>招标文件的合同条款的要求</w:t>
      </w:r>
      <w:r>
        <w:rPr>
          <w:rFonts w:hint="eastAsia" w:ascii="宋体" w:hAnsi="宋体"/>
          <w:color w:val="auto"/>
          <w:sz w:val="24"/>
          <w:szCs w:val="24"/>
          <w:highlight w:val="none"/>
        </w:rPr>
        <w:t>，若投标文件中与招标文件有重大偏离或保留的内容自动作废并按招标文件的要求执行。若我方中标，我方同意并承诺按照</w:t>
      </w:r>
      <w:r>
        <w:rPr>
          <w:rFonts w:hint="eastAsia"/>
          <w:color w:val="auto"/>
          <w:sz w:val="24"/>
          <w:szCs w:val="24"/>
          <w:highlight w:val="none"/>
        </w:rPr>
        <w:t>招标文件的合同条款的要求履行合同，否</w:t>
      </w:r>
      <w:r>
        <w:rPr>
          <w:rFonts w:hint="eastAsia" w:ascii="宋体" w:hAnsi="宋体"/>
          <w:color w:val="auto"/>
          <w:sz w:val="24"/>
          <w:szCs w:val="24"/>
          <w:highlight w:val="none"/>
        </w:rPr>
        <w:t>则视同我司放弃中标。</w:t>
      </w:r>
    </w:p>
    <w:p>
      <w:pPr>
        <w:spacing w:line="440" w:lineRule="exact"/>
        <w:rPr>
          <w:rFonts w:hint="eastAsia"/>
          <w:color w:val="auto"/>
          <w:sz w:val="24"/>
          <w:szCs w:val="24"/>
          <w:highlight w:val="none"/>
        </w:rPr>
      </w:pPr>
    </w:p>
    <w:p>
      <w:pPr>
        <w:spacing w:line="360" w:lineRule="auto"/>
        <w:ind w:firstLine="523" w:firstLineChars="218"/>
        <w:rPr>
          <w:rFonts w:ascii="宋体" w:hAnsi="宋体"/>
          <w:color w:val="auto"/>
          <w:sz w:val="24"/>
          <w:szCs w:val="24"/>
          <w:highlight w:val="none"/>
        </w:rPr>
      </w:pPr>
    </w:p>
    <w:p>
      <w:pPr>
        <w:pStyle w:val="8"/>
        <w:spacing w:line="440" w:lineRule="exact"/>
        <w:ind w:firstLine="4337" w:firstLineChars="1800"/>
        <w:rPr>
          <w:rFonts w:hint="eastAsia"/>
          <w:color w:val="auto"/>
          <w:sz w:val="24"/>
          <w:szCs w:val="24"/>
          <w:highlight w:val="none"/>
        </w:rPr>
      </w:pPr>
    </w:p>
    <w:p>
      <w:pPr>
        <w:pStyle w:val="8"/>
        <w:spacing w:line="440" w:lineRule="exact"/>
        <w:rPr>
          <w:color w:val="auto"/>
          <w:sz w:val="24"/>
          <w:szCs w:val="24"/>
          <w:highlight w:val="none"/>
        </w:rPr>
      </w:pPr>
    </w:p>
    <w:p>
      <w:pPr>
        <w:rPr>
          <w:color w:val="auto"/>
          <w:sz w:val="24"/>
          <w:szCs w:val="24"/>
          <w:highlight w:val="none"/>
          <w:u w:val="single"/>
        </w:rPr>
      </w:pPr>
      <w:r>
        <w:rPr>
          <w:rFonts w:hint="eastAsia"/>
          <w:color w:val="auto"/>
          <w:sz w:val="24"/>
          <w:szCs w:val="24"/>
          <w:highlight w:val="none"/>
        </w:rPr>
        <w:t>投标人名称：</w:t>
      </w:r>
      <w:r>
        <w:rPr>
          <w:color w:val="auto"/>
          <w:sz w:val="24"/>
          <w:szCs w:val="24"/>
          <w:highlight w:val="none"/>
          <w:u w:val="single"/>
        </w:rPr>
        <w:t xml:space="preserve">                              </w:t>
      </w:r>
      <w:r>
        <w:rPr>
          <w:rFonts w:hint="eastAsia"/>
          <w:color w:val="auto"/>
          <w:sz w:val="24"/>
          <w:szCs w:val="24"/>
          <w:highlight w:val="none"/>
        </w:rPr>
        <w:t>（盖章）</w:t>
      </w:r>
    </w:p>
    <w:p>
      <w:pPr>
        <w:rPr>
          <w:color w:val="auto"/>
          <w:sz w:val="24"/>
          <w:szCs w:val="24"/>
          <w:highlight w:val="none"/>
        </w:rPr>
      </w:pPr>
    </w:p>
    <w:p>
      <w:pPr>
        <w:rPr>
          <w:color w:val="auto"/>
          <w:sz w:val="24"/>
          <w:szCs w:val="24"/>
          <w:highlight w:val="none"/>
        </w:rPr>
      </w:pPr>
      <w:r>
        <w:rPr>
          <w:rFonts w:hint="eastAsia"/>
          <w:color w:val="auto"/>
          <w:sz w:val="24"/>
          <w:szCs w:val="24"/>
          <w:highlight w:val="none"/>
        </w:rPr>
        <w:t>法定代表人：</w:t>
      </w:r>
      <w:r>
        <w:rPr>
          <w:color w:val="auto"/>
          <w:sz w:val="24"/>
          <w:szCs w:val="24"/>
          <w:highlight w:val="none"/>
          <w:u w:val="single"/>
        </w:rPr>
        <w:t xml:space="preserve">                              </w:t>
      </w:r>
      <w:r>
        <w:rPr>
          <w:rFonts w:hint="eastAsia"/>
          <w:color w:val="auto"/>
          <w:sz w:val="24"/>
          <w:szCs w:val="24"/>
          <w:highlight w:val="none"/>
        </w:rPr>
        <w:t>（签字</w:t>
      </w:r>
      <w:r>
        <w:rPr>
          <w:rFonts w:hint="eastAsia"/>
          <w:color w:val="auto"/>
          <w:sz w:val="24"/>
          <w:szCs w:val="24"/>
          <w:highlight w:val="none"/>
          <w:lang w:val="en-US" w:eastAsia="zh-CN"/>
        </w:rPr>
        <w:t>或签章</w:t>
      </w:r>
      <w:r>
        <w:rPr>
          <w:rFonts w:hint="eastAsia"/>
          <w:color w:val="auto"/>
          <w:sz w:val="24"/>
          <w:szCs w:val="24"/>
          <w:highlight w:val="none"/>
        </w:rPr>
        <w:t>）</w:t>
      </w:r>
    </w:p>
    <w:p>
      <w:pPr>
        <w:rPr>
          <w:color w:val="auto"/>
          <w:sz w:val="24"/>
          <w:szCs w:val="24"/>
          <w:highlight w:val="none"/>
        </w:rPr>
      </w:pPr>
    </w:p>
    <w:p>
      <w:pPr>
        <w:rPr>
          <w:color w:val="auto"/>
          <w:sz w:val="24"/>
          <w:szCs w:val="24"/>
          <w:highlight w:val="none"/>
        </w:rPr>
      </w:pPr>
      <w:r>
        <w:rPr>
          <w:rFonts w:hint="eastAsia"/>
          <w:color w:val="auto"/>
          <w:sz w:val="24"/>
          <w:szCs w:val="24"/>
          <w:highlight w:val="none"/>
        </w:rPr>
        <w:t>法定代表人授权代表：</w:t>
      </w:r>
      <w:r>
        <w:rPr>
          <w:color w:val="auto"/>
          <w:sz w:val="24"/>
          <w:szCs w:val="24"/>
          <w:highlight w:val="none"/>
          <w:u w:val="single"/>
        </w:rPr>
        <w:t xml:space="preserve">                       </w:t>
      </w:r>
      <w:r>
        <w:rPr>
          <w:rFonts w:hint="eastAsia"/>
          <w:color w:val="auto"/>
          <w:sz w:val="24"/>
          <w:szCs w:val="24"/>
          <w:highlight w:val="none"/>
        </w:rPr>
        <w:t>（签字</w:t>
      </w:r>
      <w:r>
        <w:rPr>
          <w:rFonts w:hint="eastAsia"/>
          <w:color w:val="auto"/>
          <w:sz w:val="24"/>
          <w:szCs w:val="24"/>
          <w:highlight w:val="none"/>
          <w:lang w:val="en-US" w:eastAsia="zh-CN"/>
        </w:rPr>
        <w:t>或签章</w:t>
      </w:r>
      <w:r>
        <w:rPr>
          <w:rFonts w:hint="eastAsia"/>
          <w:color w:val="auto"/>
          <w:sz w:val="24"/>
          <w:szCs w:val="24"/>
          <w:highlight w:val="none"/>
        </w:rPr>
        <w:t>）</w:t>
      </w:r>
    </w:p>
    <w:p>
      <w:pPr>
        <w:rPr>
          <w:color w:val="auto"/>
          <w:sz w:val="24"/>
          <w:szCs w:val="24"/>
          <w:highlight w:val="none"/>
        </w:rPr>
      </w:pPr>
    </w:p>
    <w:p>
      <w:pPr>
        <w:rPr>
          <w:rFonts w:hint="default" w:eastAsia="宋体"/>
          <w:color w:val="auto"/>
          <w:sz w:val="24"/>
          <w:szCs w:val="24"/>
          <w:highlight w:val="none"/>
          <w:u w:val="single"/>
          <w:lang w:val="en-US" w:eastAsia="zh-CN"/>
        </w:rPr>
      </w:pPr>
      <w:r>
        <w:rPr>
          <w:rFonts w:hint="eastAsia"/>
          <w:color w:val="auto"/>
          <w:sz w:val="24"/>
          <w:szCs w:val="24"/>
          <w:highlight w:val="none"/>
        </w:rPr>
        <w:t>地址：</w:t>
      </w:r>
      <w:r>
        <w:rPr>
          <w:rFonts w:hint="eastAsia"/>
          <w:color w:val="auto"/>
          <w:sz w:val="24"/>
          <w:szCs w:val="24"/>
          <w:highlight w:val="none"/>
          <w:u w:val="single"/>
          <w:lang w:val="en-US" w:eastAsia="zh-CN"/>
        </w:rPr>
        <w:t xml:space="preserve">                 </w:t>
      </w:r>
    </w:p>
    <w:p>
      <w:pPr>
        <w:rPr>
          <w:color w:val="auto"/>
          <w:sz w:val="24"/>
          <w:szCs w:val="24"/>
          <w:highlight w:val="none"/>
        </w:rPr>
      </w:pPr>
    </w:p>
    <w:p>
      <w:pPr>
        <w:rPr>
          <w:color w:val="auto"/>
          <w:sz w:val="24"/>
          <w:szCs w:val="24"/>
          <w:highlight w:val="none"/>
        </w:rPr>
      </w:pPr>
      <w:r>
        <w:rPr>
          <w:rFonts w:hint="eastAsia"/>
          <w:color w:val="auto"/>
          <w:sz w:val="24"/>
          <w:szCs w:val="24"/>
          <w:highlight w:val="none"/>
        </w:rPr>
        <w:t>日期：</w:t>
      </w:r>
      <w:r>
        <w:rPr>
          <w:color w:val="auto"/>
          <w:sz w:val="24"/>
          <w:szCs w:val="24"/>
          <w:highlight w:val="none"/>
          <w:u w:val="single"/>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rPr>
        <w:t>日</w:t>
      </w:r>
    </w:p>
    <w:p>
      <w:pPr>
        <w:rPr>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bidi w:val="0"/>
        <w:spacing w:before="0" w:after="0" w:line="240" w:lineRule="auto"/>
        <w:rPr>
          <w:rFonts w:hint="eastAsia" w:ascii="宋体" w:hAnsi="宋体" w:cs="宋体"/>
          <w:color w:val="auto"/>
          <w:kern w:val="0"/>
          <w:szCs w:val="28"/>
          <w:highlight w:val="none"/>
        </w:rPr>
      </w:pPr>
      <w:bookmarkStart w:id="2630" w:name="_Toc32465"/>
      <w:bookmarkStart w:id="2631" w:name="_Toc156398413"/>
      <w:bookmarkStart w:id="2632" w:name="_Toc744"/>
      <w:bookmarkStart w:id="2633" w:name="_Toc7777"/>
      <w:r>
        <w:rPr>
          <w:rFonts w:hint="eastAsia" w:ascii="宋体" w:hAnsi="宋体"/>
          <w:color w:val="auto"/>
          <w:highlight w:val="none"/>
        </w:rPr>
        <w:br w:type="page"/>
      </w:r>
      <w:bookmarkStart w:id="2634" w:name="_Toc7226"/>
      <w:bookmarkStart w:id="2635" w:name="_Toc30130"/>
      <w:r>
        <w:rPr>
          <w:rFonts w:hint="eastAsia" w:ascii="宋体" w:hAnsi="宋体" w:eastAsia="宋体"/>
          <w:color w:val="auto"/>
          <w:highlight w:val="none"/>
          <w:lang w:val="en-US" w:eastAsia="zh-CN"/>
        </w:rPr>
        <w:t>7</w:t>
      </w:r>
      <w:r>
        <w:rPr>
          <w:rFonts w:hint="eastAsia" w:ascii="宋体" w:hAnsi="宋体"/>
          <w:color w:val="auto"/>
          <w:highlight w:val="none"/>
        </w:rPr>
        <w:t>.</w:t>
      </w:r>
      <w:bookmarkEnd w:id="2630"/>
      <w:bookmarkEnd w:id="2631"/>
      <w:bookmarkEnd w:id="2632"/>
      <w:bookmarkEnd w:id="2633"/>
      <w:bookmarkEnd w:id="2634"/>
      <w:r>
        <w:rPr>
          <w:rFonts w:hint="eastAsia" w:ascii="宋体" w:hAnsi="宋体" w:cs="宋体"/>
          <w:color w:val="auto"/>
          <w:kern w:val="0"/>
          <w:szCs w:val="28"/>
          <w:highlight w:val="none"/>
        </w:rPr>
        <w:t>设备集成服务人员承诺函</w:t>
      </w:r>
      <w:bookmarkEnd w:id="2635"/>
    </w:p>
    <w:p>
      <w:pPr>
        <w:jc w:val="center"/>
        <w:rPr>
          <w:rFonts w:hint="eastAsia" w:eastAsia="宋体" w:cs="宋体"/>
          <w:b/>
          <w:color w:val="auto"/>
          <w:sz w:val="28"/>
          <w:szCs w:val="28"/>
          <w:highlight w:val="none"/>
        </w:rPr>
      </w:pPr>
    </w:p>
    <w:p>
      <w:pPr>
        <w:bidi w:val="0"/>
        <w:jc w:val="center"/>
        <w:rPr>
          <w:color w:val="auto"/>
          <w:sz w:val="32"/>
          <w:szCs w:val="32"/>
          <w:highlight w:val="none"/>
        </w:rPr>
      </w:pPr>
      <w:r>
        <w:rPr>
          <w:rFonts w:hint="eastAsia"/>
          <w:color w:val="auto"/>
          <w:sz w:val="32"/>
          <w:szCs w:val="32"/>
          <w:highlight w:val="none"/>
        </w:rPr>
        <w:t>设备集成服务人员承诺函</w:t>
      </w:r>
    </w:p>
    <w:p>
      <w:pPr>
        <w:rPr>
          <w:rFonts w:hint="eastAsia"/>
          <w:color w:val="auto"/>
          <w:sz w:val="24"/>
          <w:szCs w:val="24"/>
          <w:highlight w:val="none"/>
        </w:rPr>
      </w:pPr>
    </w:p>
    <w:p>
      <w:pPr>
        <w:rPr>
          <w:rFonts w:hint="eastAsia"/>
          <w:color w:val="auto"/>
          <w:sz w:val="24"/>
          <w:szCs w:val="24"/>
          <w:highlight w:val="none"/>
        </w:rPr>
      </w:pPr>
    </w:p>
    <w:p>
      <w:pPr>
        <w:rPr>
          <w:color w:val="auto"/>
          <w:sz w:val="24"/>
          <w:szCs w:val="24"/>
          <w:highlight w:val="none"/>
        </w:rPr>
      </w:pPr>
      <w:r>
        <w:rPr>
          <w:rFonts w:hint="eastAsia"/>
          <w:color w:val="auto"/>
          <w:sz w:val="24"/>
          <w:szCs w:val="24"/>
          <w:highlight w:val="none"/>
        </w:rPr>
        <w:t>东莞市轨道交通有限公司：</w:t>
      </w:r>
    </w:p>
    <w:p>
      <w:pPr>
        <w:tabs>
          <w:tab w:val="left" w:pos="7027"/>
        </w:tabs>
        <w:snapToGrid w:val="0"/>
        <w:spacing w:line="440" w:lineRule="exact"/>
        <w:ind w:left="171" w:firstLine="567"/>
        <w:rPr>
          <w:color w:val="auto"/>
          <w:sz w:val="24"/>
          <w:szCs w:val="24"/>
          <w:highlight w:val="none"/>
        </w:rPr>
      </w:pPr>
      <w:r>
        <w:rPr>
          <w:rFonts w:hint="eastAsia"/>
          <w:color w:val="auto"/>
          <w:sz w:val="24"/>
          <w:szCs w:val="24"/>
          <w:highlight w:val="none"/>
        </w:rPr>
        <w:t>我司承诺：参加本项目的</w:t>
      </w:r>
      <w:r>
        <w:rPr>
          <w:rFonts w:hint="eastAsia"/>
          <w:color w:val="auto"/>
          <w:sz w:val="24"/>
          <w:szCs w:val="24"/>
          <w:highlight w:val="none"/>
          <w:lang w:val="en-US" w:eastAsia="zh-CN"/>
        </w:rPr>
        <w:t>项目经理</w:t>
      </w:r>
      <w:r>
        <w:rPr>
          <w:rFonts w:hint="eastAsia"/>
          <w:color w:val="auto"/>
          <w:sz w:val="24"/>
          <w:szCs w:val="24"/>
          <w:highlight w:val="none"/>
        </w:rPr>
        <w:t>在签订合同时到位。</w:t>
      </w:r>
    </w:p>
    <w:p>
      <w:pPr>
        <w:spacing w:line="440" w:lineRule="exact"/>
        <w:rPr>
          <w:rFonts w:hint="eastAsia" w:ascii="宋体" w:hAnsi="宋体" w:cs="宋体"/>
          <w:color w:val="auto"/>
          <w:kern w:val="0"/>
          <w:sz w:val="24"/>
          <w:szCs w:val="24"/>
          <w:highlight w:val="none"/>
        </w:rPr>
      </w:pPr>
    </w:p>
    <w:p>
      <w:pPr>
        <w:spacing w:line="360" w:lineRule="auto"/>
        <w:ind w:firstLine="523" w:firstLineChars="218"/>
        <w:rPr>
          <w:rFonts w:hint="eastAsia" w:ascii="宋体" w:hAnsi="宋体"/>
          <w:color w:val="auto"/>
          <w:sz w:val="24"/>
          <w:szCs w:val="24"/>
          <w:highlight w:val="none"/>
        </w:rPr>
      </w:pPr>
    </w:p>
    <w:p>
      <w:pPr>
        <w:pStyle w:val="8"/>
        <w:spacing w:line="440" w:lineRule="exact"/>
        <w:ind w:firstLine="4337" w:firstLineChars="1800"/>
        <w:rPr>
          <w:rFonts w:hint="eastAsia"/>
          <w:color w:val="auto"/>
          <w:sz w:val="24"/>
          <w:szCs w:val="24"/>
          <w:highlight w:val="none"/>
        </w:rPr>
      </w:pPr>
    </w:p>
    <w:p>
      <w:pPr>
        <w:pStyle w:val="8"/>
        <w:spacing w:line="440" w:lineRule="exact"/>
        <w:rPr>
          <w:color w:val="auto"/>
          <w:sz w:val="24"/>
          <w:szCs w:val="24"/>
          <w:highlight w:val="none"/>
        </w:rPr>
      </w:pPr>
    </w:p>
    <w:p>
      <w:pPr>
        <w:rPr>
          <w:color w:val="auto"/>
          <w:sz w:val="24"/>
          <w:szCs w:val="24"/>
          <w:highlight w:val="none"/>
          <w:u w:val="single"/>
        </w:rPr>
      </w:pPr>
      <w:r>
        <w:rPr>
          <w:rFonts w:hint="eastAsia"/>
          <w:color w:val="auto"/>
          <w:sz w:val="24"/>
          <w:szCs w:val="24"/>
          <w:highlight w:val="none"/>
        </w:rPr>
        <w:t>投标人名称：</w:t>
      </w:r>
      <w:r>
        <w:rPr>
          <w:color w:val="auto"/>
          <w:sz w:val="24"/>
          <w:szCs w:val="24"/>
          <w:highlight w:val="none"/>
          <w:u w:val="single"/>
        </w:rPr>
        <w:t xml:space="preserve">                              </w:t>
      </w:r>
      <w:r>
        <w:rPr>
          <w:rFonts w:hint="eastAsia"/>
          <w:color w:val="auto"/>
          <w:sz w:val="24"/>
          <w:szCs w:val="24"/>
          <w:highlight w:val="none"/>
        </w:rPr>
        <w:t>（盖章）</w:t>
      </w:r>
    </w:p>
    <w:p>
      <w:pPr>
        <w:rPr>
          <w:color w:val="auto"/>
          <w:sz w:val="24"/>
          <w:szCs w:val="24"/>
          <w:highlight w:val="none"/>
        </w:rPr>
      </w:pPr>
    </w:p>
    <w:p>
      <w:pPr>
        <w:rPr>
          <w:color w:val="auto"/>
          <w:sz w:val="24"/>
          <w:szCs w:val="24"/>
          <w:highlight w:val="none"/>
        </w:rPr>
      </w:pPr>
      <w:r>
        <w:rPr>
          <w:rFonts w:hint="eastAsia"/>
          <w:color w:val="auto"/>
          <w:sz w:val="24"/>
          <w:szCs w:val="24"/>
          <w:highlight w:val="none"/>
        </w:rPr>
        <w:t>法定代表人：</w:t>
      </w:r>
      <w:r>
        <w:rPr>
          <w:color w:val="auto"/>
          <w:sz w:val="24"/>
          <w:szCs w:val="24"/>
          <w:highlight w:val="none"/>
          <w:u w:val="single"/>
        </w:rPr>
        <w:t xml:space="preserve">                              </w:t>
      </w:r>
      <w:r>
        <w:rPr>
          <w:rFonts w:hint="eastAsia"/>
          <w:color w:val="auto"/>
          <w:sz w:val="24"/>
          <w:szCs w:val="24"/>
          <w:highlight w:val="none"/>
        </w:rPr>
        <w:t>（签字</w:t>
      </w:r>
      <w:r>
        <w:rPr>
          <w:rFonts w:hint="eastAsia"/>
          <w:color w:val="auto"/>
          <w:sz w:val="24"/>
          <w:szCs w:val="24"/>
          <w:highlight w:val="none"/>
          <w:lang w:val="en-US" w:eastAsia="zh-CN"/>
        </w:rPr>
        <w:t>或签章</w:t>
      </w:r>
      <w:r>
        <w:rPr>
          <w:rFonts w:hint="eastAsia"/>
          <w:color w:val="auto"/>
          <w:sz w:val="24"/>
          <w:szCs w:val="24"/>
          <w:highlight w:val="none"/>
        </w:rPr>
        <w:t>）</w:t>
      </w:r>
    </w:p>
    <w:p>
      <w:pPr>
        <w:rPr>
          <w:color w:val="auto"/>
          <w:sz w:val="24"/>
          <w:szCs w:val="24"/>
          <w:highlight w:val="none"/>
        </w:rPr>
      </w:pPr>
    </w:p>
    <w:p>
      <w:pPr>
        <w:rPr>
          <w:color w:val="auto"/>
          <w:sz w:val="24"/>
          <w:szCs w:val="24"/>
          <w:highlight w:val="none"/>
        </w:rPr>
      </w:pPr>
      <w:r>
        <w:rPr>
          <w:rFonts w:hint="eastAsia"/>
          <w:color w:val="auto"/>
          <w:sz w:val="24"/>
          <w:szCs w:val="24"/>
          <w:highlight w:val="none"/>
        </w:rPr>
        <w:t>法定代表人授权代表：</w:t>
      </w:r>
      <w:r>
        <w:rPr>
          <w:color w:val="auto"/>
          <w:sz w:val="24"/>
          <w:szCs w:val="24"/>
          <w:highlight w:val="none"/>
          <w:u w:val="single"/>
        </w:rPr>
        <w:t xml:space="preserve">                       </w:t>
      </w:r>
      <w:r>
        <w:rPr>
          <w:rFonts w:hint="eastAsia"/>
          <w:color w:val="auto"/>
          <w:sz w:val="24"/>
          <w:szCs w:val="24"/>
          <w:highlight w:val="none"/>
        </w:rPr>
        <w:t>（签字</w:t>
      </w:r>
      <w:r>
        <w:rPr>
          <w:rFonts w:hint="eastAsia"/>
          <w:color w:val="auto"/>
          <w:sz w:val="24"/>
          <w:szCs w:val="24"/>
          <w:highlight w:val="none"/>
          <w:lang w:val="en-US" w:eastAsia="zh-CN"/>
        </w:rPr>
        <w:t>或签章</w:t>
      </w:r>
      <w:r>
        <w:rPr>
          <w:rFonts w:hint="eastAsia"/>
          <w:color w:val="auto"/>
          <w:sz w:val="24"/>
          <w:szCs w:val="24"/>
          <w:highlight w:val="none"/>
        </w:rPr>
        <w:t>）</w:t>
      </w:r>
    </w:p>
    <w:p>
      <w:pPr>
        <w:rPr>
          <w:color w:val="auto"/>
          <w:sz w:val="24"/>
          <w:szCs w:val="24"/>
          <w:highlight w:val="none"/>
        </w:rPr>
      </w:pPr>
    </w:p>
    <w:p>
      <w:pPr>
        <w:rPr>
          <w:rFonts w:hint="default" w:eastAsia="宋体"/>
          <w:color w:val="auto"/>
          <w:sz w:val="24"/>
          <w:szCs w:val="24"/>
          <w:highlight w:val="none"/>
          <w:u w:val="single"/>
          <w:lang w:val="en-US" w:eastAsia="zh-CN"/>
        </w:rPr>
      </w:pPr>
      <w:r>
        <w:rPr>
          <w:rFonts w:hint="eastAsia"/>
          <w:color w:val="auto"/>
          <w:sz w:val="24"/>
          <w:szCs w:val="24"/>
          <w:highlight w:val="none"/>
        </w:rPr>
        <w:t>地址：</w:t>
      </w:r>
      <w:r>
        <w:rPr>
          <w:rFonts w:hint="eastAsia"/>
          <w:color w:val="auto"/>
          <w:sz w:val="24"/>
          <w:szCs w:val="24"/>
          <w:highlight w:val="none"/>
          <w:u w:val="single"/>
          <w:lang w:val="en-US" w:eastAsia="zh-CN"/>
        </w:rPr>
        <w:t xml:space="preserve">                       </w:t>
      </w:r>
    </w:p>
    <w:p>
      <w:pPr>
        <w:rPr>
          <w:color w:val="auto"/>
          <w:sz w:val="24"/>
          <w:szCs w:val="24"/>
          <w:highlight w:val="none"/>
        </w:rPr>
      </w:pPr>
    </w:p>
    <w:p>
      <w:pPr>
        <w:rPr>
          <w:color w:val="auto"/>
          <w:sz w:val="24"/>
          <w:szCs w:val="24"/>
          <w:highlight w:val="none"/>
        </w:rPr>
      </w:pPr>
      <w:r>
        <w:rPr>
          <w:rFonts w:hint="eastAsia"/>
          <w:color w:val="auto"/>
          <w:sz w:val="24"/>
          <w:szCs w:val="24"/>
          <w:highlight w:val="none"/>
        </w:rPr>
        <w:t>日期：</w:t>
      </w:r>
      <w:r>
        <w:rPr>
          <w:color w:val="auto"/>
          <w:sz w:val="24"/>
          <w:szCs w:val="24"/>
          <w:highlight w:val="none"/>
          <w:u w:val="single"/>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rPr>
        <w:t>日</w:t>
      </w:r>
    </w:p>
    <w:p>
      <w:pPr>
        <w:rPr>
          <w:color w:val="auto"/>
          <w:sz w:val="24"/>
          <w:highlight w:val="none"/>
        </w:rPr>
      </w:pPr>
    </w:p>
    <w:p>
      <w:pPr>
        <w:rPr>
          <w:color w:val="auto"/>
          <w:sz w:val="24"/>
          <w:highlight w:val="none"/>
        </w:rPr>
      </w:pPr>
    </w:p>
    <w:p>
      <w:pPr>
        <w:rPr>
          <w:color w:val="auto"/>
          <w:sz w:val="24"/>
          <w:highlight w:val="none"/>
        </w:rPr>
      </w:pPr>
    </w:p>
    <w:p>
      <w:pPr>
        <w:pStyle w:val="3"/>
        <w:bidi w:val="0"/>
        <w:spacing w:before="0" w:after="0" w:line="240" w:lineRule="auto"/>
        <w:rPr>
          <w:rFonts w:ascii="宋体" w:hAnsi="宋体" w:cs="宋体"/>
          <w:color w:val="auto"/>
          <w:kern w:val="0"/>
          <w:szCs w:val="28"/>
          <w:highlight w:val="none"/>
        </w:rPr>
      </w:pPr>
      <w:bookmarkStart w:id="2636" w:name="_Toc19146"/>
      <w:bookmarkStart w:id="2637" w:name="_Toc16163"/>
      <w:bookmarkStart w:id="2638" w:name="_Toc11912"/>
      <w:bookmarkStart w:id="2639" w:name="_Toc156398414"/>
      <w:r>
        <w:rPr>
          <w:rFonts w:hint="eastAsia" w:ascii="宋体" w:hAnsi="宋体" w:cs="宋体"/>
          <w:color w:val="auto"/>
          <w:kern w:val="0"/>
          <w:szCs w:val="28"/>
          <w:highlight w:val="none"/>
        </w:rPr>
        <w:br w:type="page"/>
      </w:r>
      <w:bookmarkStart w:id="2640" w:name="_Toc19679"/>
      <w:bookmarkStart w:id="2641" w:name="_Toc559"/>
      <w:r>
        <w:rPr>
          <w:rFonts w:hint="eastAsia" w:ascii="宋体" w:hAnsi="宋体" w:eastAsia="宋体" w:cs="宋体"/>
          <w:color w:val="auto"/>
          <w:kern w:val="0"/>
          <w:szCs w:val="28"/>
          <w:highlight w:val="none"/>
          <w:lang w:val="en-US" w:eastAsia="zh-CN"/>
        </w:rPr>
        <w:t>8</w:t>
      </w:r>
      <w:r>
        <w:rPr>
          <w:rFonts w:hint="eastAsia" w:ascii="宋体" w:hAnsi="宋体" w:cs="宋体"/>
          <w:color w:val="auto"/>
          <w:kern w:val="0"/>
          <w:szCs w:val="28"/>
          <w:highlight w:val="none"/>
        </w:rPr>
        <w:t>.</w:t>
      </w:r>
      <w:bookmarkEnd w:id="2636"/>
      <w:bookmarkEnd w:id="2637"/>
      <w:bookmarkEnd w:id="2638"/>
      <w:bookmarkEnd w:id="2639"/>
      <w:bookmarkEnd w:id="2640"/>
      <w:r>
        <w:rPr>
          <w:rFonts w:hint="eastAsia" w:ascii="宋体" w:hAnsi="宋体" w:cs="宋体"/>
          <w:color w:val="auto"/>
          <w:kern w:val="0"/>
          <w:szCs w:val="28"/>
          <w:highlight w:val="none"/>
        </w:rPr>
        <w:t>拟投入本项目的主要办公设施、设备表</w:t>
      </w:r>
      <w:bookmarkEnd w:id="2641"/>
    </w:p>
    <w:tbl>
      <w:tblPr>
        <w:tblStyle w:val="1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96"/>
        <w:gridCol w:w="128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hint="eastAsia" w:eastAsia="宋体" w:cs="宋体"/>
                <w:color w:val="auto"/>
                <w:szCs w:val="21"/>
                <w:highlight w:val="none"/>
              </w:rPr>
              <w:t>序号</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hint="eastAsia" w:eastAsia="宋体" w:cs="宋体"/>
                <w:color w:val="auto"/>
                <w:szCs w:val="21"/>
                <w:highlight w:val="none"/>
              </w:rPr>
              <w:t>名</w:t>
            </w:r>
            <w:r>
              <w:rPr>
                <w:rFonts w:eastAsia="宋体" w:cs="宋体"/>
                <w:color w:val="auto"/>
                <w:szCs w:val="21"/>
                <w:highlight w:val="none"/>
              </w:rPr>
              <w:t xml:space="preserve">  </w:t>
            </w:r>
            <w:r>
              <w:rPr>
                <w:rFonts w:hint="eastAsia" w:eastAsia="宋体" w:cs="宋体"/>
                <w:color w:val="auto"/>
                <w:szCs w:val="21"/>
                <w:highlight w:val="none"/>
              </w:rPr>
              <w:t>称</w:t>
            </w: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hint="eastAsia" w:eastAsia="宋体" w:cs="宋体"/>
                <w:color w:val="auto"/>
                <w:szCs w:val="21"/>
                <w:highlight w:val="none"/>
              </w:rPr>
              <w:t>数量</w:t>
            </w: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hint="eastAsia" w:eastAsia="宋体" w:cs="宋体"/>
                <w:color w:val="auto"/>
                <w:szCs w:val="21"/>
                <w:highlight w:val="none"/>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1</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tabs>
                <w:tab w:val="left" w:pos="225"/>
                <w:tab w:val="center" w:pos="679"/>
              </w:tabs>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2</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3</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4</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5</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pStyle w:val="22"/>
              <w:widowControl w:val="0"/>
              <w:pBdr>
                <w:bottom w:val="none" w:color="auto" w:sz="0" w:space="0"/>
                <w:right w:val="none" w:color="auto" w:sz="0" w:space="0"/>
              </w:pBdr>
              <w:spacing w:before="312" w:beforeAutospacing="0" w:after="0" w:afterAutospacing="0" w:line="360" w:lineRule="auto"/>
              <w:rPr>
                <w:rFonts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6</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7</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8</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9</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10</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11</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12</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r>
              <w:rPr>
                <w:rFonts w:eastAsia="宋体" w:cs="宋体"/>
                <w:color w:val="auto"/>
                <w:szCs w:val="21"/>
                <w:highlight w:val="none"/>
              </w:rPr>
              <w:t>13</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color w:val="auto"/>
                <w:szCs w:val="21"/>
                <w:highlight w:val="none"/>
              </w:rPr>
            </w:pPr>
          </w:p>
        </w:tc>
      </w:tr>
    </w:tbl>
    <w:p>
      <w:pPr>
        <w:spacing w:line="360" w:lineRule="auto"/>
        <w:ind w:firstLine="500" w:firstLineChars="200"/>
        <w:rPr>
          <w:rFonts w:hint="eastAsia" w:ascii="宋体" w:hAnsi="宋体"/>
          <w:color w:val="auto"/>
          <w:spacing w:val="20"/>
          <w:szCs w:val="21"/>
          <w:highlight w:val="none"/>
        </w:rPr>
      </w:pPr>
    </w:p>
    <w:p>
      <w:pPr>
        <w:widowControl/>
        <w:jc w:val="left"/>
        <w:rPr>
          <w:rFonts w:hint="eastAsia" w:ascii="宋体" w:hAnsi="宋体" w:cs="宋体"/>
          <w:b/>
          <w:color w:val="auto"/>
          <w:kern w:val="0"/>
          <w:sz w:val="44"/>
          <w:szCs w:val="28"/>
          <w:highlight w:val="none"/>
        </w:rPr>
      </w:pPr>
      <w:r>
        <w:rPr>
          <w:rFonts w:hint="eastAsia"/>
          <w:color w:val="auto"/>
          <w:sz w:val="24"/>
          <w:highlight w:val="none"/>
        </w:rPr>
        <w:t>注：投标人应按《</w:t>
      </w:r>
      <w:r>
        <w:rPr>
          <w:rFonts w:hint="eastAsia"/>
          <w:color w:val="auto"/>
          <w:sz w:val="24"/>
          <w:highlight w:val="none"/>
          <w:lang w:val="en-US" w:eastAsia="zh-CN"/>
        </w:rPr>
        <w:t>委托人要求</w:t>
      </w:r>
      <w:r>
        <w:rPr>
          <w:rFonts w:hint="eastAsia"/>
          <w:color w:val="auto"/>
          <w:sz w:val="24"/>
          <w:highlight w:val="none"/>
        </w:rPr>
        <w:t>》</w:t>
      </w:r>
      <w:r>
        <w:rPr>
          <w:rFonts w:hint="eastAsia"/>
          <w:color w:val="auto"/>
          <w:sz w:val="24"/>
          <w:highlight w:val="none"/>
          <w:lang w:val="en-US" w:eastAsia="zh-CN"/>
        </w:rPr>
        <w:t>和项目实际情况</w:t>
      </w:r>
      <w:r>
        <w:rPr>
          <w:rFonts w:hint="eastAsia"/>
          <w:color w:val="auto"/>
          <w:sz w:val="24"/>
          <w:highlight w:val="none"/>
        </w:rPr>
        <w:t>，描述拟投入东莞现场的办公、通讯等设施以及应配备的特殊工器具等。</w:t>
      </w:r>
      <w:r>
        <w:rPr>
          <w:rFonts w:hint="eastAsia" w:ascii="宋体" w:hAnsi="宋体" w:cs="宋体"/>
          <w:color w:val="auto"/>
          <w:kern w:val="0"/>
          <w:szCs w:val="28"/>
          <w:highlight w:val="none"/>
        </w:rPr>
        <w:br w:type="page"/>
      </w:r>
    </w:p>
    <w:p>
      <w:pPr>
        <w:pStyle w:val="3"/>
        <w:bidi w:val="0"/>
        <w:spacing w:before="0" w:after="0" w:line="240" w:lineRule="auto"/>
        <w:rPr>
          <w:rFonts w:hint="eastAsia"/>
          <w:color w:val="auto"/>
          <w:highlight w:val="none"/>
        </w:rPr>
      </w:pPr>
      <w:bookmarkStart w:id="2642" w:name="_Toc16273"/>
      <w:bookmarkStart w:id="2643" w:name="_Toc7249"/>
      <w:bookmarkStart w:id="2644" w:name="_Toc17022"/>
      <w:bookmarkStart w:id="2645" w:name="_Toc21860"/>
      <w:bookmarkStart w:id="2646" w:name="_Toc21619"/>
      <w:bookmarkStart w:id="2647" w:name="_Toc156398415"/>
      <w:r>
        <w:rPr>
          <w:rFonts w:hint="eastAsia" w:eastAsia="宋体"/>
          <w:color w:val="auto"/>
          <w:highlight w:val="none"/>
          <w:lang w:val="en-US" w:eastAsia="zh-CN"/>
        </w:rPr>
        <w:t>9</w:t>
      </w:r>
      <w:r>
        <w:rPr>
          <w:rFonts w:hint="eastAsia"/>
          <w:color w:val="auto"/>
          <w:highlight w:val="none"/>
        </w:rPr>
        <w:t>.</w:t>
      </w:r>
      <w:r>
        <w:rPr>
          <w:rFonts w:hint="eastAsia"/>
          <w:color w:val="auto"/>
          <w:highlight w:val="none"/>
          <w:lang w:val="en-US" w:eastAsia="zh-CN"/>
        </w:rPr>
        <w:t>集成服务</w:t>
      </w:r>
      <w:r>
        <w:rPr>
          <w:rFonts w:hint="eastAsia"/>
          <w:color w:val="auto"/>
          <w:highlight w:val="none"/>
        </w:rPr>
        <w:t>大纲</w:t>
      </w:r>
      <w:bookmarkEnd w:id="2642"/>
      <w:bookmarkEnd w:id="2643"/>
      <w:bookmarkEnd w:id="2644"/>
      <w:bookmarkEnd w:id="2645"/>
      <w:bookmarkEnd w:id="2646"/>
      <w:bookmarkEnd w:id="2647"/>
    </w:p>
    <w:p>
      <w:pPr>
        <w:spacing w:line="360" w:lineRule="auto"/>
        <w:ind w:firstLine="474" w:firstLineChars="226"/>
        <w:rPr>
          <w:rFonts w:hint="eastAsia"/>
          <w:color w:val="auto"/>
          <w:sz w:val="21"/>
          <w:szCs w:val="21"/>
          <w:highlight w:val="none"/>
        </w:rPr>
      </w:pPr>
      <w:r>
        <w:rPr>
          <w:rFonts w:hint="eastAsia"/>
          <w:color w:val="auto"/>
          <w:sz w:val="21"/>
          <w:szCs w:val="21"/>
          <w:highlight w:val="none"/>
          <w:lang w:val="en-US" w:eastAsia="zh-CN"/>
        </w:rPr>
        <w:t>集成服务</w:t>
      </w:r>
      <w:r>
        <w:rPr>
          <w:rFonts w:hint="eastAsia"/>
          <w:color w:val="auto"/>
          <w:sz w:val="21"/>
          <w:szCs w:val="21"/>
          <w:highlight w:val="none"/>
        </w:rPr>
        <w:t>大纲应包括（但不限于）下列内容：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b w:val="0"/>
          <w:bCs w:val="0"/>
          <w:color w:val="auto"/>
          <w:szCs w:val="22"/>
          <w:highlight w:val="none"/>
        </w:rPr>
      </w:pPr>
      <w:r>
        <w:rPr>
          <w:rFonts w:hint="eastAsia" w:eastAsia="宋体"/>
          <w:color w:val="auto"/>
          <w:highlight w:val="none"/>
          <w:lang w:val="en-US" w:eastAsia="zh-CN"/>
        </w:rPr>
        <w:t>一、</w:t>
      </w:r>
      <w:r>
        <w:rPr>
          <w:rFonts w:hint="eastAsia" w:ascii="Calibri" w:hAnsi="Calibri"/>
          <w:b w:val="0"/>
          <w:bCs w:val="0"/>
          <w:color w:val="auto"/>
          <w:szCs w:val="22"/>
          <w:highlight w:val="none"/>
          <w:lang w:val="en-US" w:eastAsia="zh-CN"/>
        </w:rPr>
        <w:t>设备集成服务</w:t>
      </w:r>
      <w:r>
        <w:rPr>
          <w:rFonts w:hint="eastAsia" w:ascii="Calibri" w:hAnsi="Calibri"/>
          <w:b w:val="0"/>
          <w:bCs w:val="0"/>
          <w:color w:val="auto"/>
          <w:szCs w:val="22"/>
          <w:highlight w:val="none"/>
        </w:rPr>
        <w:t>实施方案</w:t>
      </w:r>
      <w:r>
        <w:rPr>
          <w:rFonts w:hint="eastAsia" w:ascii="Calibri" w:hAnsi="Calibri"/>
          <w:b w:val="0"/>
          <w:bCs w:val="0"/>
          <w:color w:val="auto"/>
          <w:szCs w:val="22"/>
          <w:highlight w:val="none"/>
          <w:lang w:val="en-US" w:eastAsia="zh-CN"/>
        </w:rPr>
        <w:t>及设备检验</w:t>
      </w:r>
      <w:r>
        <w:rPr>
          <w:rFonts w:hint="eastAsia" w:ascii="Calibri" w:hAnsi="Calibri"/>
          <w:b w:val="0"/>
          <w:bCs w:val="0"/>
          <w:color w:val="auto"/>
          <w:szCs w:val="22"/>
          <w:highlight w:val="none"/>
        </w:rPr>
        <w:t>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ascii="Calibri" w:hAnsi="Calibri" w:eastAsia="宋体"/>
          <w:b w:val="0"/>
          <w:bCs w:val="0"/>
          <w:color w:val="auto"/>
          <w:szCs w:val="22"/>
          <w:highlight w:val="none"/>
          <w:lang w:val="en-US" w:eastAsia="zh-CN"/>
        </w:rPr>
        <w:t>二、</w:t>
      </w:r>
      <w:r>
        <w:rPr>
          <w:rFonts w:hint="eastAsia"/>
          <w:color w:val="auto"/>
          <w:highlight w:val="none"/>
          <w:lang w:val="en-US" w:eastAsia="zh-CN"/>
        </w:rPr>
        <w:t>集成服务控制措施及重难点分析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strike w:val="0"/>
          <w:dstrike w:val="0"/>
          <w:color w:val="auto"/>
          <w:szCs w:val="21"/>
          <w:highlight w:val="none"/>
          <w:lang w:eastAsia="zh-CN"/>
        </w:rPr>
      </w:pPr>
      <w:r>
        <w:rPr>
          <w:rFonts w:hint="eastAsia"/>
          <w:color w:val="auto"/>
          <w:highlight w:val="none"/>
          <w:lang w:val="en-US" w:eastAsia="zh-CN"/>
        </w:rPr>
        <w:t>三、</w:t>
      </w:r>
      <w:r>
        <w:rPr>
          <w:rFonts w:hint="eastAsia" w:ascii="Calibri" w:hAnsi="Calibri"/>
          <w:color w:val="auto"/>
          <w:szCs w:val="22"/>
          <w:highlight w:val="none"/>
          <w:lang w:val="en-US" w:eastAsia="zh-CN"/>
        </w:rPr>
        <w:t>设备集成服务案例分析（含</w:t>
      </w:r>
      <w:r>
        <w:rPr>
          <w:rFonts w:hint="eastAsia" w:eastAsia="宋体" w:cs="宋体"/>
          <w:color w:val="auto"/>
          <w:highlight w:val="none"/>
        </w:rPr>
        <w:t>设备</w:t>
      </w:r>
      <w:r>
        <w:rPr>
          <w:rFonts w:hint="eastAsia" w:cs="宋体"/>
          <w:color w:val="auto"/>
          <w:highlight w:val="none"/>
          <w:lang w:val="en-US" w:eastAsia="zh-CN"/>
        </w:rPr>
        <w:t>监造及</w:t>
      </w:r>
      <w:r>
        <w:rPr>
          <w:rFonts w:hint="eastAsia" w:eastAsia="宋体" w:cs="宋体"/>
          <w:strike w:val="0"/>
          <w:dstrike w:val="0"/>
          <w:color w:val="auto"/>
          <w:szCs w:val="21"/>
          <w:highlight w:val="none"/>
        </w:rPr>
        <w:t>设计联络</w:t>
      </w:r>
      <w:r>
        <w:rPr>
          <w:rFonts w:hint="eastAsia" w:cs="宋体"/>
          <w:strike w:val="0"/>
          <w:dstrike w:val="0"/>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none"/>
        </w:rPr>
      </w:pPr>
      <w:r>
        <w:rPr>
          <w:rFonts w:hint="eastAsia" w:cs="宋体"/>
          <w:strike w:val="0"/>
          <w:dstrike w:val="0"/>
          <w:color w:val="auto"/>
          <w:szCs w:val="21"/>
          <w:highlight w:val="none"/>
          <w:lang w:val="en-US" w:eastAsia="zh-CN"/>
        </w:rPr>
        <w:t>四、</w:t>
      </w:r>
      <w:r>
        <w:rPr>
          <w:rFonts w:hint="eastAsia" w:ascii="宋体" w:hAnsi="宋体" w:eastAsia="宋体" w:cs="宋体"/>
          <w:color w:val="auto"/>
          <w:szCs w:val="21"/>
          <w:highlight w:val="none"/>
          <w:u w:val="none"/>
        </w:rPr>
        <w:t>各系统设计联络实施要点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五、</w:t>
      </w:r>
      <w:r>
        <w:rPr>
          <w:rFonts w:hint="default" w:ascii="宋体" w:hAnsi="宋体" w:eastAsia="宋体" w:cs="宋体"/>
          <w:color w:val="auto"/>
          <w:szCs w:val="21"/>
          <w:highlight w:val="none"/>
          <w:lang w:val="en-US" w:eastAsia="zh-CN"/>
        </w:rPr>
        <w:t>单机调试</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lang w:val="en-US" w:eastAsia="zh-CN"/>
        </w:rPr>
        <w:t>系统联调</w:t>
      </w:r>
      <w:r>
        <w:rPr>
          <w:rFonts w:hint="eastAsia" w:ascii="宋体" w:hAnsi="宋体" w:cs="宋体"/>
          <w:color w:val="auto"/>
          <w:szCs w:val="21"/>
          <w:highlight w:val="none"/>
          <w:lang w:val="en-US" w:eastAsia="zh-CN"/>
        </w:rPr>
        <w:t>和综合联调</w:t>
      </w:r>
      <w:r>
        <w:rPr>
          <w:rFonts w:hint="default" w:ascii="宋体" w:hAnsi="宋体" w:eastAsia="宋体" w:cs="宋体"/>
          <w:color w:val="auto"/>
          <w:szCs w:val="21"/>
          <w:highlight w:val="none"/>
          <w:lang w:val="en-US" w:eastAsia="zh-CN"/>
        </w:rPr>
        <w:t>分析方案</w:t>
      </w:r>
    </w:p>
    <w:p>
      <w:pPr>
        <w:bidi w:val="0"/>
        <w:rPr>
          <w:color w:val="auto"/>
          <w:highlight w:val="none"/>
        </w:rPr>
      </w:pPr>
      <w:r>
        <w:rPr>
          <w:rFonts w:hint="eastAsia" w:ascii="Times New Roman" w:hAnsi="Times New Roman" w:eastAsia="宋体" w:cs="Times New Roman"/>
          <w:color w:val="auto"/>
          <w:kern w:val="2"/>
          <w:sz w:val="21"/>
          <w:szCs w:val="22"/>
          <w:highlight w:val="none"/>
          <w:lang w:val="en-US" w:eastAsia="zh-CN" w:bidi="ar-SA"/>
        </w:rPr>
        <w:t>六、合同、信息与档案资料管理措施</w:t>
      </w:r>
      <w:r>
        <w:rPr>
          <w:color w:val="auto"/>
          <w:highlight w:val="none"/>
        </w:rPr>
        <w:br w:type="page"/>
      </w:r>
      <w:bookmarkStart w:id="2648" w:name="_Toc12462"/>
      <w:bookmarkStart w:id="2649" w:name="_Toc20039"/>
      <w:bookmarkStart w:id="2650" w:name="_Toc6301"/>
      <w:bookmarkStart w:id="2651" w:name="_Toc1420"/>
      <w:bookmarkStart w:id="2652" w:name="_Toc1828"/>
      <w:bookmarkStart w:id="2653" w:name="_Toc156398416"/>
    </w:p>
    <w:p>
      <w:pPr>
        <w:bidi w:val="0"/>
        <w:rPr>
          <w:color w:val="auto"/>
          <w:highlight w:val="none"/>
        </w:rPr>
      </w:pPr>
    </w:p>
    <w:p>
      <w:pPr>
        <w:pStyle w:val="3"/>
        <w:bidi w:val="0"/>
        <w:rPr>
          <w:rFonts w:hint="eastAsia"/>
          <w:color w:val="auto"/>
          <w:highlight w:val="none"/>
        </w:rPr>
      </w:pPr>
      <w:r>
        <w:rPr>
          <w:rStyle w:val="21"/>
          <w:rFonts w:hint="eastAsia"/>
          <w:color w:val="auto"/>
          <w:highlight w:val="none"/>
          <w:lang w:val="en-US" w:eastAsia="zh-CN"/>
        </w:rPr>
        <w:t>10.资格审查材料</w:t>
      </w:r>
      <w:bookmarkEnd w:id="2648"/>
      <w:bookmarkEnd w:id="2649"/>
      <w:bookmarkEnd w:id="2650"/>
      <w:bookmarkEnd w:id="2651"/>
      <w:bookmarkEnd w:id="2652"/>
      <w:bookmarkEnd w:id="2653"/>
      <w:bookmarkStart w:id="2654" w:name="_Toc2911"/>
      <w:bookmarkStart w:id="2655" w:name="_Toc1308"/>
      <w:bookmarkStart w:id="2656" w:name="_Toc14847"/>
      <w:bookmarkStart w:id="2657" w:name="_Toc156398417"/>
      <w:bookmarkStart w:id="2658" w:name="_Toc247"/>
    </w:p>
    <w:p>
      <w:pPr>
        <w:numPr>
          <w:ilvl w:val="0"/>
          <w:numId w:val="0"/>
        </w:numPr>
        <w:bidi w:val="0"/>
        <w:rPr>
          <w:rFonts w:hint="eastAsia"/>
          <w:color w:val="auto"/>
          <w:highlight w:val="none"/>
        </w:rPr>
      </w:pPr>
    </w:p>
    <w:p>
      <w:pPr>
        <w:numPr>
          <w:ilvl w:val="0"/>
          <w:numId w:val="11"/>
        </w:numPr>
        <w:bidi w:val="0"/>
        <w:rPr>
          <w:rFonts w:hint="eastAsia"/>
          <w:color w:val="auto"/>
          <w:highlight w:val="none"/>
        </w:rPr>
      </w:pPr>
      <w:r>
        <w:rPr>
          <w:rFonts w:hint="eastAsia"/>
          <w:color w:val="auto"/>
          <w:highlight w:val="none"/>
        </w:rPr>
        <w:t>投标人基本情况表</w:t>
      </w:r>
      <w:bookmarkEnd w:id="2654"/>
      <w:bookmarkEnd w:id="2655"/>
      <w:bookmarkEnd w:id="2656"/>
      <w:bookmarkEnd w:id="2657"/>
      <w:bookmarkEnd w:id="2658"/>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5"/>
        <w:gridCol w:w="898"/>
        <w:gridCol w:w="1025"/>
        <w:gridCol w:w="1286"/>
        <w:gridCol w:w="414"/>
        <w:gridCol w:w="872"/>
        <w:gridCol w:w="827"/>
        <w:gridCol w:w="284"/>
        <w:gridCol w:w="1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r>
              <w:rPr>
                <w:rFonts w:hint="eastAsia"/>
                <w:color w:val="auto"/>
                <w:highlight w:val="none"/>
              </w:rPr>
              <w:t>投标人名称</w:t>
            </w:r>
          </w:p>
        </w:tc>
        <w:tc>
          <w:tcPr>
            <w:tcW w:w="6835"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r>
              <w:rPr>
                <w:rFonts w:hint="eastAsia"/>
                <w:color w:val="auto"/>
                <w:highlight w:val="none"/>
              </w:rPr>
              <w:t>注册地址</w:t>
            </w:r>
          </w:p>
        </w:tc>
        <w:tc>
          <w:tcPr>
            <w:tcW w:w="320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邮政编码</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204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r>
              <w:rPr>
                <w:rFonts w:hint="eastAsia"/>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联系人</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电</w:t>
            </w:r>
            <w:r>
              <w:rPr>
                <w:color w:val="auto"/>
                <w:highlight w:val="none"/>
              </w:rPr>
              <w:t xml:space="preserve"> </w:t>
            </w:r>
            <w:r>
              <w:rPr>
                <w:rFonts w:hint="eastAsia"/>
                <w:color w:val="auto"/>
                <w:highlight w:val="none"/>
              </w:rPr>
              <w:t>话</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20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传</w:t>
            </w:r>
            <w:r>
              <w:rPr>
                <w:color w:val="auto"/>
                <w:highlight w:val="none"/>
              </w:rPr>
              <w:t xml:space="preserve">  </w:t>
            </w:r>
            <w:r>
              <w:rPr>
                <w:rFonts w:hint="eastAsia"/>
                <w:color w:val="auto"/>
                <w:highlight w:val="none"/>
              </w:rPr>
              <w:t>真</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网</w:t>
            </w:r>
            <w:r>
              <w:rPr>
                <w:color w:val="auto"/>
                <w:highlight w:val="none"/>
              </w:rPr>
              <w:t xml:space="preserve"> </w:t>
            </w:r>
            <w:r>
              <w:rPr>
                <w:rFonts w:hint="eastAsia"/>
                <w:color w:val="auto"/>
                <w:highlight w:val="none"/>
              </w:rPr>
              <w:t>址</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姓名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技术职称</w:t>
            </w: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111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电话</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r>
              <w:rPr>
                <w:rFonts w:hint="eastAsia"/>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姓名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技术职称</w:t>
            </w: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111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电话</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企业资质证书</w:t>
            </w:r>
          </w:p>
        </w:tc>
        <w:tc>
          <w:tcPr>
            <w:tcW w:w="6835"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ind w:firstLine="105" w:firstLineChars="50"/>
              <w:jc w:val="center"/>
              <w:rPr>
                <w:color w:val="auto"/>
                <w:highlight w:val="none"/>
              </w:rPr>
            </w:pPr>
            <w:r>
              <w:rPr>
                <w:rFonts w:hint="eastAsia"/>
                <w:color w:val="auto"/>
                <w:highlight w:val="none"/>
              </w:rPr>
              <w:t>类型：</w:t>
            </w:r>
            <w:r>
              <w:rPr>
                <w:color w:val="auto"/>
                <w:highlight w:val="none"/>
              </w:rPr>
              <w:t xml:space="preserve">                    </w:t>
            </w:r>
            <w:r>
              <w:rPr>
                <w:rFonts w:hint="eastAsia"/>
                <w:color w:val="auto"/>
                <w:highlight w:val="none"/>
              </w:rPr>
              <w:t>等级：</w:t>
            </w:r>
            <w:r>
              <w:rPr>
                <w:color w:val="auto"/>
                <w:highlight w:val="none"/>
              </w:rPr>
              <w:t xml:space="preserve">      </w:t>
            </w:r>
            <w:r>
              <w:rPr>
                <w:rFonts w:hint="eastAsia"/>
                <w:color w:val="auto"/>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质量管理体系证书（如有）</w:t>
            </w:r>
          </w:p>
        </w:tc>
        <w:tc>
          <w:tcPr>
            <w:tcW w:w="6835"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ind w:firstLine="105" w:firstLineChars="50"/>
              <w:jc w:val="center"/>
              <w:rPr>
                <w:color w:val="auto"/>
                <w:highlight w:val="none"/>
              </w:rPr>
            </w:pPr>
            <w:r>
              <w:rPr>
                <w:rFonts w:hint="eastAsia"/>
                <w:color w:val="auto"/>
                <w:highlight w:val="none"/>
              </w:rPr>
              <w:t>类型：</w:t>
            </w:r>
            <w:r>
              <w:rPr>
                <w:color w:val="auto"/>
                <w:highlight w:val="none"/>
              </w:rPr>
              <w:t xml:space="preserve">                    </w:t>
            </w:r>
            <w:r>
              <w:rPr>
                <w:rFonts w:hint="eastAsia"/>
                <w:color w:val="auto"/>
                <w:highlight w:val="none"/>
              </w:rPr>
              <w:t>等级：</w:t>
            </w:r>
            <w:r>
              <w:rPr>
                <w:color w:val="auto"/>
                <w:highlight w:val="none"/>
              </w:rPr>
              <w:t xml:space="preserve">      </w:t>
            </w:r>
            <w:r>
              <w:rPr>
                <w:rFonts w:hint="eastAsia"/>
                <w:color w:val="auto"/>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营业执照号</w:t>
            </w:r>
          </w:p>
        </w:tc>
        <w:tc>
          <w:tcPr>
            <w:tcW w:w="320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3626"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注册资本</w:t>
            </w:r>
          </w:p>
        </w:tc>
        <w:tc>
          <w:tcPr>
            <w:tcW w:w="320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414" w:type="dxa"/>
            <w:vMerge w:val="restart"/>
            <w:tcBorders>
              <w:top w:val="single" w:color="auto" w:sz="4" w:space="0"/>
              <w:left w:val="single" w:color="auto" w:sz="4" w:space="0"/>
              <w:bottom w:val="nil"/>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其中</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高级职称人员</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成立日期</w:t>
            </w:r>
          </w:p>
        </w:tc>
        <w:tc>
          <w:tcPr>
            <w:tcW w:w="320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414" w:type="dxa"/>
            <w:vMerge w:val="continue"/>
            <w:tcBorders>
              <w:top w:val="single" w:color="auto" w:sz="4" w:space="0"/>
              <w:left w:val="single" w:color="auto" w:sz="4" w:space="0"/>
              <w:bottom w:val="nil"/>
              <w:right w:val="single" w:color="auto" w:sz="4" w:space="0"/>
            </w:tcBorders>
            <w:noWrap w:val="0"/>
            <w:vAlign w:val="center"/>
          </w:tcPr>
          <w:p>
            <w:pPr>
              <w:widowControl/>
              <w:jc w:val="left"/>
              <w:rPr>
                <w:color w:val="auto"/>
                <w:highlight w:val="none"/>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中级职称人员</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基本账户开户银行</w:t>
            </w:r>
          </w:p>
        </w:tc>
        <w:tc>
          <w:tcPr>
            <w:tcW w:w="320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414" w:type="dxa"/>
            <w:vMerge w:val="continue"/>
            <w:tcBorders>
              <w:top w:val="single" w:color="auto" w:sz="4" w:space="0"/>
              <w:left w:val="single" w:color="auto" w:sz="4" w:space="0"/>
              <w:bottom w:val="nil"/>
              <w:right w:val="single" w:color="auto" w:sz="4" w:space="0"/>
            </w:tcBorders>
            <w:noWrap w:val="0"/>
            <w:vAlign w:val="center"/>
          </w:tcPr>
          <w:p>
            <w:pPr>
              <w:widowControl/>
              <w:jc w:val="left"/>
              <w:rPr>
                <w:color w:val="auto"/>
                <w:highlight w:val="none"/>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技术人员数量</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基本账户银行账号</w:t>
            </w:r>
          </w:p>
        </w:tc>
        <w:tc>
          <w:tcPr>
            <w:tcW w:w="320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c>
          <w:tcPr>
            <w:tcW w:w="414" w:type="dxa"/>
            <w:vMerge w:val="continue"/>
            <w:tcBorders>
              <w:top w:val="single" w:color="auto" w:sz="4" w:space="0"/>
              <w:left w:val="single" w:color="auto" w:sz="4" w:space="0"/>
              <w:bottom w:val="nil"/>
              <w:right w:val="single" w:color="auto" w:sz="4" w:space="0"/>
            </w:tcBorders>
            <w:noWrap w:val="0"/>
            <w:vAlign w:val="center"/>
          </w:tcPr>
          <w:p>
            <w:pPr>
              <w:widowControl/>
              <w:jc w:val="left"/>
              <w:rPr>
                <w:color w:val="auto"/>
                <w:highlight w:val="none"/>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szCs w:val="21"/>
                <w:highlight w:val="none"/>
              </w:rPr>
              <w:t>各类注册人员</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045" w:type="dxa"/>
            <w:tcBorders>
              <w:top w:val="single" w:color="auto" w:sz="4" w:space="0"/>
              <w:left w:val="single" w:color="auto" w:sz="4" w:space="0"/>
              <w:bottom w:val="nil"/>
              <w:right w:val="single" w:color="auto" w:sz="4" w:space="0"/>
            </w:tcBorders>
            <w:noWrap w:val="0"/>
            <w:vAlign w:val="center"/>
          </w:tcPr>
          <w:p>
            <w:pPr>
              <w:topLinePunct/>
              <w:spacing w:before="100" w:beforeAutospacing="1" w:after="100" w:afterAutospacing="1" w:line="440" w:lineRule="exact"/>
              <w:ind w:firstLine="210" w:firstLineChars="100"/>
              <w:jc w:val="center"/>
              <w:rPr>
                <w:color w:val="auto"/>
                <w:highlight w:val="none"/>
              </w:rPr>
            </w:pPr>
            <w:r>
              <w:rPr>
                <w:rFonts w:hint="eastAsia"/>
                <w:color w:val="auto"/>
                <w:highlight w:val="none"/>
              </w:rPr>
              <w:t>经营范围</w:t>
            </w:r>
          </w:p>
        </w:tc>
        <w:tc>
          <w:tcPr>
            <w:tcW w:w="6835" w:type="dxa"/>
            <w:gridSpan w:val="8"/>
            <w:tcBorders>
              <w:top w:val="single" w:color="auto" w:sz="4" w:space="0"/>
              <w:left w:val="single" w:color="auto" w:sz="4" w:space="0"/>
              <w:bottom w:val="nil"/>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nil"/>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szCs w:val="21"/>
                <w:highlight w:val="none"/>
              </w:rPr>
              <w:t>投标人关联企业情况（包括但不限于与投标人法定代表人为同一人或者存在控股、管理关系的不同单位）</w:t>
            </w:r>
          </w:p>
        </w:tc>
        <w:tc>
          <w:tcPr>
            <w:tcW w:w="6835" w:type="dxa"/>
            <w:gridSpan w:val="8"/>
            <w:tcBorders>
              <w:top w:val="single" w:color="auto" w:sz="4" w:space="0"/>
              <w:left w:val="single" w:color="auto" w:sz="4" w:space="0"/>
              <w:bottom w:val="nil"/>
              <w:right w:val="single" w:color="auto" w:sz="4" w:space="0"/>
            </w:tcBorders>
            <w:noWrap w:val="0"/>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2045"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备注</w:t>
            </w:r>
          </w:p>
        </w:tc>
        <w:tc>
          <w:tcPr>
            <w:tcW w:w="6835"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p>
        </w:tc>
      </w:tr>
    </w:tbl>
    <w:p>
      <w:pPr>
        <w:spacing w:line="400" w:lineRule="exact"/>
        <w:rPr>
          <w:rFonts w:hint="eastAsia"/>
          <w:color w:val="auto"/>
          <w:highlight w:val="none"/>
        </w:rPr>
      </w:pPr>
      <w:r>
        <w:rPr>
          <w:rFonts w:hint="eastAsia"/>
          <w:color w:val="auto"/>
          <w:highlight w:val="none"/>
        </w:rPr>
        <w:t>注：投标人应根据投标人须知第</w:t>
      </w:r>
      <w:r>
        <w:rPr>
          <w:color w:val="auto"/>
          <w:highlight w:val="none"/>
        </w:rPr>
        <w:t>3.5.1</w:t>
      </w:r>
      <w:r>
        <w:rPr>
          <w:rFonts w:hint="eastAsia"/>
          <w:color w:val="auto"/>
          <w:highlight w:val="none"/>
        </w:rPr>
        <w:t>项的要求在本表后附相关证明材料。境内投标人以现金或者支票形式提交投标保证金的，还应附基本账户开户许可证复印件或基本存款账户开户银行开具的《基本存款账户信息》扫描件。</w:t>
      </w:r>
    </w:p>
    <w:p>
      <w:pPr>
        <w:rPr>
          <w:color w:val="auto"/>
          <w:highlight w:val="none"/>
        </w:rPr>
      </w:pPr>
    </w:p>
    <w:p>
      <w:pPr>
        <w:bidi w:val="0"/>
        <w:rPr>
          <w:rFonts w:ascii="宋体" w:hAnsi="宋体"/>
          <w:color w:val="auto"/>
          <w:highlight w:val="none"/>
        </w:rPr>
      </w:pPr>
      <w:r>
        <w:rPr>
          <w:rFonts w:hint="eastAsia" w:ascii="宋体" w:hAnsi="宋体"/>
          <w:color w:val="auto"/>
          <w:highlight w:val="none"/>
        </w:rPr>
        <w:br w:type="page"/>
      </w:r>
      <w:bookmarkStart w:id="2659" w:name="_Toc1316"/>
      <w:bookmarkStart w:id="2660" w:name="_Toc30619"/>
      <w:bookmarkStart w:id="2661" w:name="_Toc24863"/>
      <w:bookmarkStart w:id="2662" w:name="_Toc156398418"/>
      <w:bookmarkStart w:id="2663" w:name="_Toc6200"/>
      <w:bookmarkStart w:id="2664" w:name="_Toc6802"/>
      <w:r>
        <w:rPr>
          <w:rStyle w:val="21"/>
          <w:rFonts w:hint="eastAsia"/>
          <w:color w:val="auto"/>
          <w:highlight w:val="none"/>
        </w:rPr>
        <w:t>（二）近年完成的类似</w:t>
      </w:r>
      <w:r>
        <w:rPr>
          <w:rStyle w:val="21"/>
          <w:rFonts w:hint="eastAsia"/>
          <w:color w:val="auto"/>
          <w:highlight w:val="none"/>
          <w:lang w:val="en-US" w:eastAsia="zh-CN"/>
        </w:rPr>
        <w:t>设备集成服务</w:t>
      </w:r>
      <w:r>
        <w:rPr>
          <w:rStyle w:val="21"/>
          <w:rFonts w:hint="eastAsia"/>
          <w:color w:val="auto"/>
          <w:highlight w:val="none"/>
        </w:rPr>
        <w:t>项目情况表</w:t>
      </w:r>
      <w:bookmarkEnd w:id="2659"/>
      <w:bookmarkEnd w:id="2660"/>
      <w:bookmarkEnd w:id="2661"/>
      <w:bookmarkEnd w:id="2662"/>
      <w:bookmarkEnd w:id="2663"/>
      <w:bookmarkEnd w:id="2664"/>
    </w:p>
    <w:p>
      <w:pPr>
        <w:jc w:val="center"/>
        <w:rPr>
          <w:rFonts w:hint="eastAsia" w:ascii="宋体" w:hAnsi="宋体"/>
          <w:color w:val="auto"/>
          <w:spacing w:val="20"/>
          <w:highlight w:val="none"/>
        </w:rPr>
      </w:pPr>
    </w:p>
    <w:p>
      <w:pPr>
        <w:jc w:val="center"/>
        <w:rPr>
          <w:rFonts w:hint="eastAsia" w:ascii="宋体" w:hAnsi="宋体"/>
          <w:color w:val="auto"/>
          <w:spacing w:val="20"/>
          <w:highlight w:val="none"/>
        </w:rPr>
      </w:pPr>
      <w:r>
        <w:rPr>
          <w:rFonts w:hint="eastAsia" w:ascii="宋体" w:hAnsi="宋体"/>
          <w:color w:val="auto"/>
          <w:spacing w:val="20"/>
          <w:highlight w:val="none"/>
        </w:rPr>
        <w:t>近年完成的类似</w:t>
      </w:r>
      <w:r>
        <w:rPr>
          <w:rFonts w:hint="eastAsia" w:ascii="宋体" w:hAnsi="宋体"/>
          <w:color w:val="auto"/>
          <w:spacing w:val="20"/>
          <w:highlight w:val="none"/>
          <w:lang w:val="en-US" w:eastAsia="zh-CN"/>
        </w:rPr>
        <w:t>设备集成服务</w:t>
      </w:r>
      <w:r>
        <w:rPr>
          <w:rFonts w:hint="eastAsia" w:ascii="宋体" w:hAnsi="宋体"/>
          <w:color w:val="auto"/>
          <w:spacing w:val="20"/>
          <w:highlight w:val="none"/>
        </w:rPr>
        <w:t>项目情况表</w:t>
      </w:r>
    </w:p>
    <w:p>
      <w:pPr>
        <w:jc w:val="center"/>
        <w:rPr>
          <w:rFonts w:hint="eastAsia" w:ascii="宋体" w:hAnsi="宋体"/>
          <w:color w:val="auto"/>
          <w:highlight w:val="none"/>
        </w:rPr>
      </w:pPr>
      <w:r>
        <w:rPr>
          <w:rFonts w:hint="eastAsia" w:ascii="宋体" w:hAnsi="宋体"/>
          <w:color w:val="auto"/>
          <w:highlight w:val="none"/>
        </w:rPr>
        <w:t>（类似工程的主要业绩）</w:t>
      </w:r>
    </w:p>
    <w:p>
      <w:pPr>
        <w:jc w:val="center"/>
        <w:rPr>
          <w:rFonts w:hint="eastAsia" w:ascii="宋体" w:hAnsi="宋体"/>
          <w:color w:val="auto"/>
          <w:spacing w:val="20"/>
          <w:highlight w:val="none"/>
        </w:rPr>
      </w:pPr>
    </w:p>
    <w:p>
      <w:pPr>
        <w:ind w:firstLine="420"/>
        <w:rPr>
          <w:color w:val="auto"/>
          <w:szCs w:val="20"/>
          <w:highlight w:val="none"/>
        </w:rPr>
      </w:pPr>
      <w:r>
        <w:rPr>
          <w:rFonts w:hint="eastAsia"/>
          <w:color w:val="auto"/>
          <w:szCs w:val="20"/>
          <w:highlight w:val="none"/>
        </w:rPr>
        <w:t>投标人必须提供近</w:t>
      </w:r>
      <w:r>
        <w:rPr>
          <w:color w:val="auto"/>
          <w:szCs w:val="20"/>
          <w:highlight w:val="none"/>
        </w:rPr>
        <w:t>20</w:t>
      </w:r>
      <w:r>
        <w:rPr>
          <w:rFonts w:hint="eastAsia"/>
          <w:color w:val="auto"/>
          <w:szCs w:val="20"/>
          <w:highlight w:val="none"/>
          <w:lang w:val="en-US" w:eastAsia="zh-CN"/>
        </w:rPr>
        <w:t>15</w:t>
      </w:r>
      <w:r>
        <w:rPr>
          <w:rFonts w:hint="eastAsia"/>
          <w:color w:val="auto"/>
          <w:szCs w:val="20"/>
          <w:highlight w:val="none"/>
        </w:rPr>
        <w:t>年</w:t>
      </w:r>
      <w:r>
        <w:rPr>
          <w:color w:val="auto"/>
          <w:szCs w:val="20"/>
          <w:highlight w:val="none"/>
        </w:rPr>
        <w:t>1</w:t>
      </w:r>
      <w:r>
        <w:rPr>
          <w:rFonts w:hint="eastAsia"/>
          <w:color w:val="auto"/>
          <w:szCs w:val="20"/>
          <w:highlight w:val="none"/>
        </w:rPr>
        <w:t>月</w:t>
      </w:r>
      <w:r>
        <w:rPr>
          <w:color w:val="auto"/>
          <w:szCs w:val="20"/>
          <w:highlight w:val="none"/>
        </w:rPr>
        <w:t>1</w:t>
      </w:r>
      <w:r>
        <w:rPr>
          <w:rFonts w:hint="eastAsia"/>
          <w:color w:val="auto"/>
          <w:szCs w:val="20"/>
          <w:highlight w:val="none"/>
        </w:rPr>
        <w:t>日至今完成的</w:t>
      </w:r>
      <w:r>
        <w:rPr>
          <w:rFonts w:hint="eastAsia"/>
          <w:color w:val="auto"/>
          <w:highlight w:val="none"/>
        </w:rPr>
        <w:t>的</w:t>
      </w:r>
      <w:r>
        <w:rPr>
          <w:rFonts w:hint="eastAsia"/>
          <w:color w:val="auto"/>
          <w:szCs w:val="20"/>
          <w:highlight w:val="none"/>
        </w:rPr>
        <w:t>同类集成服务合同业绩。</w:t>
      </w:r>
    </w:p>
    <w:p>
      <w:pPr>
        <w:ind w:left="420"/>
        <w:rPr>
          <w:color w:val="auto"/>
          <w:szCs w:val="21"/>
          <w:highlight w:val="none"/>
        </w:rPr>
      </w:pPr>
    </w:p>
    <w:p>
      <w:pPr>
        <w:ind w:left="420"/>
        <w:jc w:val="center"/>
        <w:rPr>
          <w:b/>
          <w:bCs/>
          <w:color w:val="auto"/>
          <w:szCs w:val="21"/>
          <w:highlight w:val="none"/>
        </w:rPr>
      </w:pPr>
      <w:r>
        <w:rPr>
          <w:rFonts w:hint="eastAsia"/>
          <w:b/>
          <w:bCs/>
          <w:color w:val="auto"/>
          <w:szCs w:val="21"/>
          <w:highlight w:val="none"/>
        </w:rPr>
        <w:t>完成的</w:t>
      </w:r>
      <w:r>
        <w:rPr>
          <w:rFonts w:hint="eastAsia" w:ascii="宋体" w:hAnsi="宋体"/>
          <w:b/>
          <w:color w:val="auto"/>
          <w:spacing w:val="20"/>
          <w:highlight w:val="none"/>
        </w:rPr>
        <w:t>类似集成服务项目情况表</w:t>
      </w:r>
    </w:p>
    <w:p>
      <w:pPr>
        <w:ind w:left="420"/>
        <w:jc w:val="center"/>
        <w:rPr>
          <w:color w:val="auto"/>
          <w:szCs w:val="21"/>
          <w:highlight w:val="none"/>
        </w:rPr>
      </w:pPr>
      <w:r>
        <w:rPr>
          <w:rFonts w:hint="eastAsia"/>
          <w:color w:val="auto"/>
          <w:szCs w:val="21"/>
          <w:highlight w:val="none"/>
        </w:rPr>
        <w:t>（列出过去</w:t>
      </w:r>
      <w:r>
        <w:rPr>
          <w:color w:val="auto"/>
          <w:szCs w:val="20"/>
          <w:highlight w:val="none"/>
        </w:rPr>
        <w:t>20</w:t>
      </w:r>
      <w:r>
        <w:rPr>
          <w:rFonts w:hint="eastAsia"/>
          <w:color w:val="auto"/>
          <w:szCs w:val="20"/>
          <w:highlight w:val="none"/>
          <w:lang w:val="en-US" w:eastAsia="zh-CN"/>
        </w:rPr>
        <w:t>15</w:t>
      </w:r>
      <w:r>
        <w:rPr>
          <w:rFonts w:hint="eastAsia"/>
          <w:color w:val="auto"/>
          <w:szCs w:val="20"/>
          <w:highlight w:val="none"/>
        </w:rPr>
        <w:t>年</w:t>
      </w:r>
      <w:r>
        <w:rPr>
          <w:color w:val="auto"/>
          <w:szCs w:val="20"/>
          <w:highlight w:val="none"/>
        </w:rPr>
        <w:t>1</w:t>
      </w:r>
      <w:r>
        <w:rPr>
          <w:rFonts w:hint="eastAsia"/>
          <w:color w:val="auto"/>
          <w:szCs w:val="20"/>
          <w:highlight w:val="none"/>
        </w:rPr>
        <w:t>月</w:t>
      </w:r>
      <w:r>
        <w:rPr>
          <w:color w:val="auto"/>
          <w:szCs w:val="20"/>
          <w:highlight w:val="none"/>
        </w:rPr>
        <w:t>1</w:t>
      </w:r>
      <w:r>
        <w:rPr>
          <w:rFonts w:hint="eastAsia"/>
          <w:color w:val="auto"/>
          <w:szCs w:val="20"/>
          <w:highlight w:val="none"/>
        </w:rPr>
        <w:t>日至今</w:t>
      </w:r>
      <w:r>
        <w:rPr>
          <w:rFonts w:hint="eastAsia"/>
          <w:color w:val="auto"/>
          <w:szCs w:val="21"/>
          <w:highlight w:val="none"/>
        </w:rPr>
        <w:t>完成的所有类似工程项目）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956"/>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序号</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项目名称</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项目内容</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项目地点</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合同总价（万元）</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开通日期</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合同工期（月）</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业主单位</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地址</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传真</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r>
              <w:rPr>
                <w:rFonts w:hint="eastAsia"/>
                <w:color w:val="auto"/>
                <w:szCs w:val="21"/>
                <w:highlight w:val="none"/>
              </w:rPr>
              <w:t>电话</w:t>
            </w:r>
          </w:p>
        </w:tc>
        <w:tc>
          <w:tcPr>
            <w:tcW w:w="1956"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bl>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r>
        <w:rPr>
          <w:rFonts w:hint="eastAsia"/>
          <w:color w:val="auto"/>
          <w:highlight w:val="none"/>
        </w:rPr>
        <w:t>注：投标人应根据招标公告第3.1.</w:t>
      </w:r>
      <w:r>
        <w:rPr>
          <w:rFonts w:hint="eastAsia"/>
          <w:color w:val="auto"/>
          <w:highlight w:val="none"/>
          <w:lang w:val="en-US" w:eastAsia="zh-CN"/>
        </w:rPr>
        <w:t>1</w:t>
      </w:r>
      <w:r>
        <w:rPr>
          <w:rFonts w:hint="eastAsia"/>
          <w:color w:val="auto"/>
          <w:highlight w:val="none"/>
        </w:rPr>
        <w:t>项的要求及</w:t>
      </w:r>
      <w:r>
        <w:rPr>
          <w:color w:val="auto"/>
          <w:highlight w:val="none"/>
        </w:rPr>
        <w:t>评分标准</w:t>
      </w:r>
      <w:r>
        <w:rPr>
          <w:rFonts w:hint="eastAsia"/>
          <w:color w:val="auto"/>
          <w:highlight w:val="none"/>
        </w:rPr>
        <w:t>在本表后附相关证明材料</w:t>
      </w:r>
      <w:r>
        <w:rPr>
          <w:rFonts w:hint="eastAsia"/>
          <w:color w:val="auto"/>
          <w:szCs w:val="21"/>
          <w:highlight w:val="none"/>
        </w:rPr>
        <w:t>。</w:t>
      </w:r>
    </w:p>
    <w:p>
      <w:pPr>
        <w:spacing w:line="440" w:lineRule="exact"/>
        <w:rPr>
          <w:color w:val="auto"/>
          <w:highlight w:val="none"/>
        </w:rPr>
      </w:pPr>
    </w:p>
    <w:p>
      <w:pPr>
        <w:spacing w:line="440" w:lineRule="exact"/>
        <w:rPr>
          <w:rFonts w:hint="eastAsia"/>
          <w:color w:val="auto"/>
          <w:highlight w:val="none"/>
        </w:rPr>
      </w:pPr>
    </w:p>
    <w:p>
      <w:pPr>
        <w:jc w:val="center"/>
        <w:rPr>
          <w:rFonts w:hint="eastAsia" w:ascii="宋体" w:hAnsi="宋体"/>
          <w:color w:val="auto"/>
          <w:spacing w:val="20"/>
          <w:highlight w:val="none"/>
        </w:rPr>
      </w:pPr>
    </w:p>
    <w:p>
      <w:pPr>
        <w:jc w:val="center"/>
        <w:rPr>
          <w:rFonts w:hint="eastAsia" w:ascii="宋体" w:hAnsi="宋体"/>
          <w:color w:val="auto"/>
          <w:spacing w:val="20"/>
          <w:highlight w:val="none"/>
        </w:rPr>
      </w:pPr>
    </w:p>
    <w:p>
      <w:pPr>
        <w:jc w:val="center"/>
        <w:rPr>
          <w:rFonts w:hint="eastAsia" w:ascii="宋体" w:hAnsi="宋体"/>
          <w:color w:val="auto"/>
          <w:spacing w:val="20"/>
          <w:highlight w:val="none"/>
        </w:rPr>
      </w:pPr>
    </w:p>
    <w:p>
      <w:pPr>
        <w:jc w:val="center"/>
        <w:rPr>
          <w:rFonts w:hint="eastAsia" w:ascii="宋体" w:hAnsi="宋体"/>
          <w:color w:val="auto"/>
          <w:spacing w:val="20"/>
          <w:highlight w:val="none"/>
        </w:rPr>
      </w:pPr>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spacing w:line="400" w:lineRule="exact"/>
        <w:rPr>
          <w:rFonts w:hint="eastAsia"/>
          <w:color w:val="auto"/>
          <w:highlight w:val="none"/>
        </w:rPr>
      </w:pPr>
      <w:bookmarkStart w:id="2665" w:name="_Toc28062"/>
      <w:bookmarkStart w:id="2666" w:name="_Toc3929"/>
      <w:bookmarkStart w:id="2667" w:name="_Toc23468"/>
      <w:bookmarkStart w:id="2668" w:name="_Toc26326"/>
      <w:bookmarkStart w:id="2669" w:name="_Toc156398419"/>
    </w:p>
    <w:p>
      <w:pPr>
        <w:pStyle w:val="12"/>
        <w:rPr>
          <w:rFonts w:hint="eastAsia"/>
          <w:color w:val="auto"/>
          <w:highlight w:val="none"/>
        </w:rPr>
      </w:pPr>
    </w:p>
    <w:bookmarkEnd w:id="2665"/>
    <w:bookmarkEnd w:id="2666"/>
    <w:bookmarkEnd w:id="2667"/>
    <w:bookmarkEnd w:id="2668"/>
    <w:bookmarkEnd w:id="2669"/>
    <w:p>
      <w:pPr>
        <w:bidi w:val="0"/>
        <w:rPr>
          <w:rFonts w:ascii="宋体" w:hAnsi="宋体"/>
          <w:color w:val="auto"/>
          <w:highlight w:val="none"/>
        </w:rPr>
      </w:pPr>
      <w:bookmarkStart w:id="2670" w:name="_Toc3786"/>
      <w:bookmarkStart w:id="2671" w:name="_Toc10622"/>
      <w:bookmarkStart w:id="2672" w:name="_Toc14744"/>
      <w:bookmarkStart w:id="2673" w:name="_Toc31754"/>
      <w:bookmarkStart w:id="2674" w:name="_Toc156398421"/>
      <w:bookmarkStart w:id="2675" w:name="_Toc28146"/>
      <w:r>
        <w:rPr>
          <w:rStyle w:val="21"/>
          <w:rFonts w:hint="eastAsia"/>
          <w:color w:val="auto"/>
          <w:highlight w:val="none"/>
        </w:rPr>
        <w:t>（</w:t>
      </w:r>
      <w:r>
        <w:rPr>
          <w:rStyle w:val="21"/>
          <w:rFonts w:hint="eastAsia" w:eastAsia="宋体"/>
          <w:color w:val="auto"/>
          <w:highlight w:val="none"/>
          <w:lang w:val="en-US" w:eastAsia="zh-CN"/>
        </w:rPr>
        <w:t>三</w:t>
      </w:r>
      <w:r>
        <w:rPr>
          <w:rStyle w:val="21"/>
          <w:rFonts w:hint="eastAsia"/>
          <w:color w:val="auto"/>
          <w:highlight w:val="none"/>
        </w:rPr>
        <w:t>）投标申请人声明格式</w:t>
      </w:r>
      <w:bookmarkEnd w:id="2670"/>
      <w:bookmarkEnd w:id="2671"/>
      <w:bookmarkEnd w:id="2672"/>
      <w:bookmarkEnd w:id="2673"/>
      <w:bookmarkEnd w:id="2674"/>
      <w:bookmarkEnd w:id="2675"/>
    </w:p>
    <w:p>
      <w:pPr>
        <w:widowControl/>
        <w:adjustRightInd w:val="0"/>
        <w:snapToGrid w:val="0"/>
        <w:spacing w:line="360" w:lineRule="auto"/>
        <w:ind w:firstLine="2409" w:firstLineChars="750"/>
        <w:rPr>
          <w:rFonts w:hint="eastAsia" w:ascii="宋体" w:hAnsi="宋体" w:cs="宋体"/>
          <w:b/>
          <w:bCs/>
          <w:color w:val="auto"/>
          <w:kern w:val="0"/>
          <w:sz w:val="32"/>
          <w:szCs w:val="32"/>
          <w:highlight w:val="none"/>
        </w:rPr>
      </w:pPr>
    </w:p>
    <w:p>
      <w:pPr>
        <w:ind w:firstLine="495" w:firstLineChars="177"/>
        <w:rPr>
          <w:rFonts w:hint="eastAsia"/>
          <w:color w:val="auto"/>
          <w:sz w:val="28"/>
          <w:szCs w:val="28"/>
          <w:highlight w:val="none"/>
        </w:rPr>
      </w:pPr>
      <w:r>
        <w:rPr>
          <w:rFonts w:hint="eastAsia" w:ascii="宋体" w:hAnsi="宋体" w:cs="宋体"/>
          <w:bCs/>
          <w:color w:val="auto"/>
          <w:kern w:val="0"/>
          <w:sz w:val="28"/>
          <w:szCs w:val="28"/>
          <w:highlight w:val="none"/>
        </w:rPr>
        <w:t>投标申请人声明格式详见</w:t>
      </w:r>
      <w:r>
        <w:rPr>
          <w:rFonts w:hint="eastAsia" w:ascii="宋体" w:hAnsi="宋体" w:cs="宋体"/>
          <w:bCs/>
          <w:color w:val="auto"/>
          <w:kern w:val="0"/>
          <w:sz w:val="28"/>
          <w:szCs w:val="28"/>
          <w:highlight w:val="none"/>
          <w:u w:val="single"/>
        </w:rPr>
        <w:t>招标公告附件一</w:t>
      </w:r>
      <w:r>
        <w:rPr>
          <w:rFonts w:hint="eastAsia" w:ascii="宋体" w:hAnsi="宋体" w:cs="宋体"/>
          <w:bCs/>
          <w:color w:val="auto"/>
          <w:kern w:val="0"/>
          <w:sz w:val="28"/>
          <w:szCs w:val="28"/>
          <w:highlight w:val="none"/>
        </w:rPr>
        <w:t>。</w:t>
      </w:r>
    </w:p>
    <w:p>
      <w:pPr>
        <w:bidi w:val="0"/>
        <w:rPr>
          <w:rFonts w:ascii="宋体" w:hAnsi="宋体"/>
          <w:color w:val="auto"/>
          <w:highlight w:val="none"/>
        </w:rPr>
      </w:pPr>
      <w:r>
        <w:rPr>
          <w:rFonts w:hint="eastAsia" w:ascii="宋体" w:hAnsi="宋体" w:cs="Tahoma"/>
          <w:color w:val="auto"/>
          <w:highlight w:val="none"/>
        </w:rPr>
        <w:br w:type="page"/>
      </w:r>
      <w:bookmarkStart w:id="2676" w:name="_Toc12163"/>
      <w:bookmarkStart w:id="2677" w:name="_Toc18559"/>
      <w:bookmarkStart w:id="2678" w:name="_Toc22774"/>
      <w:bookmarkStart w:id="2679" w:name="_Toc156398422"/>
      <w:r>
        <w:rPr>
          <w:rStyle w:val="21"/>
          <w:rFonts w:hint="eastAsia"/>
          <w:color w:val="auto"/>
          <w:highlight w:val="none"/>
        </w:rPr>
        <w:t>（</w:t>
      </w:r>
      <w:r>
        <w:rPr>
          <w:rStyle w:val="21"/>
          <w:rFonts w:hint="eastAsia" w:eastAsia="宋体"/>
          <w:color w:val="auto"/>
          <w:highlight w:val="none"/>
          <w:lang w:val="en-US" w:eastAsia="zh-CN"/>
        </w:rPr>
        <w:t>四</w:t>
      </w:r>
      <w:r>
        <w:rPr>
          <w:rStyle w:val="21"/>
          <w:rFonts w:hint="eastAsia"/>
          <w:color w:val="auto"/>
          <w:highlight w:val="none"/>
        </w:rPr>
        <w:t>）投标保函格式</w:t>
      </w:r>
      <w:bookmarkEnd w:id="2676"/>
      <w:bookmarkEnd w:id="2677"/>
      <w:bookmarkEnd w:id="2678"/>
      <w:bookmarkEnd w:id="2679"/>
    </w:p>
    <w:p>
      <w:pPr>
        <w:jc w:val="center"/>
        <w:rPr>
          <w:b/>
          <w:color w:val="auto"/>
          <w:sz w:val="32"/>
          <w:highlight w:val="none"/>
        </w:rPr>
      </w:pPr>
      <w:r>
        <w:rPr>
          <w:rFonts w:hint="eastAsia"/>
          <w:b/>
          <w:color w:val="auto"/>
          <w:sz w:val="32"/>
          <w:highlight w:val="none"/>
        </w:rPr>
        <w:t>投标保函</w:t>
      </w:r>
    </w:p>
    <w:p>
      <w:pPr>
        <w:widowControl/>
        <w:autoSpaceDE w:val="0"/>
        <w:autoSpaceDN w:val="0"/>
        <w:spacing w:line="300" w:lineRule="auto"/>
        <w:jc w:val="center"/>
        <w:textAlignment w:val="bottom"/>
        <w:rPr>
          <w:rFonts w:ascii="宋体" w:hAnsi="宋体"/>
          <w:color w:val="auto"/>
          <w:szCs w:val="21"/>
          <w:highlight w:val="none"/>
        </w:rPr>
      </w:pPr>
      <w:r>
        <w:rPr>
          <w:rFonts w:hint="eastAsia" w:ascii="宋体" w:hAnsi="宋体"/>
          <w:color w:val="auto"/>
          <w:szCs w:val="21"/>
          <w:highlight w:val="none"/>
        </w:rPr>
        <w:t>（由银行出具）</w:t>
      </w:r>
    </w:p>
    <w:p>
      <w:pPr>
        <w:pStyle w:val="9"/>
        <w:spacing w:line="300" w:lineRule="auto"/>
        <w:rPr>
          <w:rFonts w:hAnsi="宋体"/>
          <w:color w:val="auto"/>
          <w:highlight w:val="none"/>
        </w:rPr>
      </w:pPr>
      <w:r>
        <w:rPr>
          <w:rFonts w:hAnsi="宋体"/>
          <w:color w:val="auto"/>
          <w:highlight w:val="none"/>
        </w:rPr>
        <w:t xml:space="preserve">                                            </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出具日期</w:t>
      </w:r>
      <w:r>
        <w:rPr>
          <w:rFonts w:hAnsi="宋体"/>
          <w:color w:val="auto"/>
          <w:highlight w:val="none"/>
        </w:rPr>
        <w:t>:______________</w:t>
      </w:r>
    </w:p>
    <w:p>
      <w:pPr>
        <w:pStyle w:val="9"/>
        <w:spacing w:line="300" w:lineRule="auto"/>
        <w:rPr>
          <w:rFonts w:hAnsi="宋体"/>
          <w:color w:val="auto"/>
          <w:highlight w:val="none"/>
        </w:rPr>
      </w:pPr>
      <w:r>
        <w:rPr>
          <w:rFonts w:hint="eastAsia" w:hAnsi="宋体"/>
          <w:color w:val="auto"/>
          <w:highlight w:val="none"/>
        </w:rPr>
        <w:t xml:space="preserve">                                                                保函编号：</w:t>
      </w:r>
      <w:r>
        <w:rPr>
          <w:rFonts w:hAnsi="宋体"/>
          <w:color w:val="auto"/>
          <w:highlight w:val="none"/>
        </w:rPr>
        <w:t>______________</w:t>
      </w:r>
    </w:p>
    <w:p>
      <w:pPr>
        <w:pStyle w:val="9"/>
        <w:spacing w:line="300" w:lineRule="auto"/>
        <w:rPr>
          <w:rFonts w:hAnsi="宋体"/>
          <w:color w:val="auto"/>
          <w:highlight w:val="none"/>
        </w:rPr>
      </w:pPr>
    </w:p>
    <w:p>
      <w:pPr>
        <w:pStyle w:val="9"/>
        <w:spacing w:line="300" w:lineRule="auto"/>
        <w:rPr>
          <w:rFonts w:hAnsi="宋体"/>
          <w:color w:val="auto"/>
          <w:highlight w:val="none"/>
        </w:rPr>
      </w:pPr>
      <w:r>
        <w:rPr>
          <w:rFonts w:hint="eastAsia" w:hAnsi="宋体"/>
          <w:color w:val="auto"/>
          <w:highlight w:val="none"/>
        </w:rPr>
        <w:t>致：</w:t>
      </w:r>
      <w:r>
        <w:rPr>
          <w:rFonts w:hAnsi="宋体"/>
          <w:color w:val="auto"/>
          <w:highlight w:val="none"/>
        </w:rPr>
        <w:t>______________</w:t>
      </w:r>
      <w:r>
        <w:rPr>
          <w:rFonts w:hint="eastAsia" w:hAnsi="宋体"/>
          <w:color w:val="auto"/>
          <w:highlight w:val="none"/>
        </w:rPr>
        <w:t>（招标人名称，以下简称贵方）</w:t>
      </w:r>
    </w:p>
    <w:p>
      <w:pPr>
        <w:pStyle w:val="9"/>
        <w:spacing w:line="300" w:lineRule="auto"/>
        <w:rPr>
          <w:rFonts w:hAnsi="宋体"/>
          <w:color w:val="auto"/>
          <w:highlight w:val="none"/>
        </w:rPr>
      </w:pPr>
      <w:r>
        <w:rPr>
          <w:rFonts w:hAnsi="宋体"/>
          <w:color w:val="auto"/>
          <w:highlight w:val="none"/>
        </w:rPr>
        <w:t>招标编号：___________</w:t>
      </w:r>
      <w:r>
        <w:rPr>
          <w:rFonts w:hint="eastAsia" w:hAnsi="宋体"/>
          <w:color w:val="auto"/>
          <w:highlight w:val="none"/>
        </w:rPr>
        <w:t>号标之投标担保</w:t>
      </w:r>
    </w:p>
    <w:p>
      <w:pPr>
        <w:pStyle w:val="9"/>
        <w:spacing w:line="300" w:lineRule="auto"/>
        <w:rPr>
          <w:rFonts w:hAnsi="宋体"/>
          <w:color w:val="auto"/>
          <w:highlight w:val="none"/>
        </w:rPr>
      </w:pPr>
      <w:r>
        <w:rPr>
          <w:rFonts w:hint="eastAsia" w:hAnsi="宋体"/>
          <w:color w:val="auto"/>
          <w:highlight w:val="none"/>
        </w:rPr>
        <w:t>项目名称</w:t>
      </w:r>
      <w:r>
        <w:rPr>
          <w:rFonts w:hAnsi="宋体"/>
          <w:color w:val="auto"/>
          <w:highlight w:val="none"/>
        </w:rPr>
        <w:t>：______________</w:t>
      </w:r>
    </w:p>
    <w:p>
      <w:pPr>
        <w:pStyle w:val="9"/>
        <w:spacing w:line="300" w:lineRule="auto"/>
        <w:ind w:firstLine="420" w:firstLineChars="200"/>
        <w:rPr>
          <w:rFonts w:hAnsi="宋体"/>
          <w:color w:val="auto"/>
          <w:highlight w:val="none"/>
        </w:rPr>
      </w:pPr>
      <w:r>
        <w:rPr>
          <w:rFonts w:hint="eastAsia" w:hAnsi="宋体"/>
          <w:color w:val="auto"/>
          <w:highlight w:val="none"/>
        </w:rPr>
        <w:t>本担保作为</w:t>
      </w:r>
      <w:r>
        <w:rPr>
          <w:rFonts w:hAnsi="宋体"/>
          <w:color w:val="auto"/>
          <w:highlight w:val="none"/>
        </w:rPr>
        <w:t>______________</w:t>
      </w:r>
      <w:r>
        <w:rPr>
          <w:rFonts w:hint="eastAsia" w:hAnsi="宋体"/>
          <w:color w:val="auto"/>
          <w:highlight w:val="none"/>
        </w:rPr>
        <w:t>（投标人名称，以下简称投标人）按</w:t>
      </w:r>
      <w:r>
        <w:rPr>
          <w:rFonts w:hAnsi="宋体"/>
          <w:color w:val="auto"/>
          <w:highlight w:val="none"/>
        </w:rPr>
        <w:t>招标编号：____</w:t>
      </w:r>
      <w:r>
        <w:rPr>
          <w:rFonts w:hint="eastAsia" w:hAnsi="宋体"/>
          <w:color w:val="auto"/>
          <w:highlight w:val="none"/>
        </w:rPr>
        <w:t>号招标邀请向贵方提供</w:t>
      </w:r>
      <w:r>
        <w:rPr>
          <w:rFonts w:hAnsi="宋体"/>
          <w:color w:val="auto"/>
          <w:highlight w:val="none"/>
        </w:rPr>
        <w:t>______________</w:t>
      </w:r>
      <w:r>
        <w:rPr>
          <w:rFonts w:hint="eastAsia" w:hAnsi="宋体"/>
          <w:color w:val="auto"/>
          <w:highlight w:val="none"/>
        </w:rPr>
        <w:t>（项目名称）之投标担保。</w:t>
      </w:r>
    </w:p>
    <w:p>
      <w:pPr>
        <w:pStyle w:val="9"/>
        <w:spacing w:line="300" w:lineRule="auto"/>
        <w:ind w:firstLine="420" w:firstLineChars="200"/>
        <w:rPr>
          <w:rFonts w:hAnsi="宋体"/>
          <w:color w:val="auto"/>
          <w:highlight w:val="none"/>
        </w:rPr>
      </w:pPr>
      <w:r>
        <w:rPr>
          <w:rFonts w:hAnsi="宋体"/>
          <w:color w:val="auto"/>
          <w:highlight w:val="none"/>
        </w:rPr>
        <w:t>______________</w:t>
      </w:r>
      <w:r>
        <w:rPr>
          <w:rFonts w:hint="eastAsia" w:hAnsi="宋体"/>
          <w:color w:val="auto"/>
          <w:highlight w:val="none"/>
        </w:rPr>
        <w:t>（银行名称，以下简称本行）兹无条件及不可撤销地保证，本行第一次收到贵方有关以下任一情况之书面通知后7日内，本行及其继承者和受托者将无论投标人有何反对，无条件地、不可撤消地以该通知中规定的方式支付给贵方投标保证金人民币</w:t>
      </w:r>
      <w:r>
        <w:rPr>
          <w:rFonts w:hAnsi="宋体"/>
          <w:color w:val="auto"/>
          <w:highlight w:val="none"/>
        </w:rPr>
        <w:t>__________</w:t>
      </w:r>
      <w:r>
        <w:rPr>
          <w:rFonts w:hint="eastAsia" w:hAnsi="宋体"/>
          <w:color w:val="auto"/>
          <w:highlight w:val="none"/>
        </w:rPr>
        <w:t>元（金额大小写）：</w:t>
      </w:r>
    </w:p>
    <w:p>
      <w:pPr>
        <w:pStyle w:val="9"/>
        <w:spacing w:line="300" w:lineRule="auto"/>
        <w:ind w:firstLine="420" w:firstLineChars="200"/>
        <w:rPr>
          <w:rFonts w:hint="eastAsia" w:hAnsi="宋体"/>
          <w:color w:val="auto"/>
          <w:szCs w:val="21"/>
          <w:highlight w:val="none"/>
        </w:rPr>
      </w:pPr>
      <w:r>
        <w:rPr>
          <w:rFonts w:hint="eastAsia" w:hAnsi="宋体"/>
          <w:color w:val="auto"/>
          <w:szCs w:val="21"/>
          <w:highlight w:val="none"/>
        </w:rPr>
        <w:t>（1）投标人在投标有效期内撤销其投标或放弃中标（含对投标文件提出实质性修改）；</w:t>
      </w:r>
    </w:p>
    <w:p>
      <w:pPr>
        <w:pStyle w:val="9"/>
        <w:spacing w:line="300" w:lineRule="auto"/>
        <w:ind w:firstLine="420" w:firstLineChars="200"/>
        <w:rPr>
          <w:rFonts w:hint="eastAsia" w:hAnsi="宋体"/>
          <w:color w:val="auto"/>
          <w:szCs w:val="21"/>
          <w:highlight w:val="none"/>
        </w:rPr>
      </w:pPr>
      <w:r>
        <w:rPr>
          <w:rFonts w:hint="eastAsia" w:hAnsi="宋体"/>
          <w:color w:val="auto"/>
          <w:szCs w:val="21"/>
          <w:highlight w:val="none"/>
        </w:rPr>
        <w:t>（2）投标人不接受按招标文件规定修正投标价；</w:t>
      </w:r>
    </w:p>
    <w:p>
      <w:pPr>
        <w:pStyle w:val="9"/>
        <w:spacing w:line="300" w:lineRule="auto"/>
        <w:ind w:firstLine="420" w:firstLineChars="200"/>
        <w:rPr>
          <w:rFonts w:hint="eastAsia" w:hAnsi="宋体"/>
          <w:color w:val="auto"/>
          <w:szCs w:val="21"/>
          <w:highlight w:val="none"/>
        </w:rPr>
      </w:pPr>
      <w:r>
        <w:rPr>
          <w:rFonts w:hint="eastAsia" w:hAnsi="宋体"/>
          <w:color w:val="auto"/>
          <w:szCs w:val="21"/>
          <w:highlight w:val="none"/>
        </w:rPr>
        <w:t>（3）中标人在收到中标通知书后，无正当理由不与招标人订立合同，在签订合同时向招标人提出附加条件，或者不按照招标文件要求提交履约保证金；</w:t>
      </w:r>
    </w:p>
    <w:p>
      <w:pPr>
        <w:pStyle w:val="9"/>
        <w:spacing w:line="300" w:lineRule="auto"/>
        <w:ind w:firstLine="420" w:firstLineChars="200"/>
        <w:rPr>
          <w:rFonts w:hint="eastAsia" w:hAnsi="宋体"/>
          <w:color w:val="auto"/>
          <w:szCs w:val="21"/>
          <w:highlight w:val="none"/>
        </w:rPr>
      </w:pPr>
      <w:r>
        <w:rPr>
          <w:rFonts w:hint="eastAsia" w:hAnsi="宋体"/>
          <w:color w:val="auto"/>
          <w:szCs w:val="21"/>
          <w:highlight w:val="none"/>
        </w:rPr>
        <w:t>（4）投标人中标后未按招标文件要求办理相关手续，影响合同签订工作的；</w:t>
      </w:r>
    </w:p>
    <w:p>
      <w:pPr>
        <w:pStyle w:val="9"/>
        <w:spacing w:line="300" w:lineRule="auto"/>
        <w:ind w:firstLine="420" w:firstLineChars="200"/>
        <w:rPr>
          <w:rFonts w:hint="eastAsia" w:hAnsi="宋体"/>
          <w:color w:val="auto"/>
          <w:szCs w:val="21"/>
          <w:highlight w:val="none"/>
        </w:rPr>
      </w:pPr>
      <w:r>
        <w:rPr>
          <w:rFonts w:hint="eastAsia" w:hAnsi="宋体"/>
          <w:color w:val="auto"/>
          <w:szCs w:val="21"/>
          <w:highlight w:val="none"/>
        </w:rPr>
        <w:t>（5）投标人中标后未能按照招标文件规定向招标代理机构支付“中标服务费”（适用于有招标代理的项目）；</w:t>
      </w:r>
    </w:p>
    <w:p>
      <w:pPr>
        <w:pStyle w:val="9"/>
        <w:spacing w:line="300" w:lineRule="auto"/>
        <w:ind w:firstLine="420" w:firstLineChars="200"/>
        <w:rPr>
          <w:rFonts w:hint="eastAsia" w:hAnsi="宋体"/>
          <w:color w:val="auto"/>
          <w:szCs w:val="21"/>
          <w:highlight w:val="none"/>
        </w:rPr>
      </w:pPr>
      <w:r>
        <w:rPr>
          <w:rFonts w:hint="eastAsia" w:hAnsi="宋体"/>
          <w:color w:val="auto"/>
          <w:szCs w:val="21"/>
          <w:highlight w:val="none"/>
        </w:rPr>
        <w:t>（6）经查实投标人有串通投标、弄虚作假违法行为；</w:t>
      </w:r>
    </w:p>
    <w:p>
      <w:pPr>
        <w:widowControl/>
        <w:autoSpaceDE w:val="0"/>
        <w:autoSpaceDN w:val="0"/>
        <w:spacing w:line="300" w:lineRule="auto"/>
        <w:ind w:firstLine="420" w:firstLineChars="200"/>
        <w:textAlignment w:val="bottom"/>
        <w:rPr>
          <w:rFonts w:hint="eastAsia" w:hAnsi="宋体"/>
          <w:color w:val="auto"/>
          <w:szCs w:val="21"/>
          <w:highlight w:val="none"/>
        </w:rPr>
      </w:pPr>
      <w:r>
        <w:rPr>
          <w:rFonts w:hint="eastAsia" w:hAnsi="宋体"/>
          <w:color w:val="auto"/>
          <w:szCs w:val="21"/>
          <w:highlight w:val="none"/>
        </w:rPr>
        <w:t>（7）投标人原因投标文件未解密（适用于电子标）。</w:t>
      </w:r>
    </w:p>
    <w:p>
      <w:pPr>
        <w:widowControl/>
        <w:autoSpaceDE w:val="0"/>
        <w:autoSpaceDN w:val="0"/>
        <w:spacing w:line="300" w:lineRule="auto"/>
        <w:ind w:firstLine="420" w:firstLineChars="200"/>
        <w:textAlignment w:val="bottom"/>
        <w:rPr>
          <w:rFonts w:ascii="宋体" w:hAnsi="宋体"/>
          <w:color w:val="auto"/>
          <w:highlight w:val="none"/>
        </w:rPr>
      </w:pPr>
      <w:r>
        <w:rPr>
          <w:rFonts w:hint="eastAsia" w:ascii="宋体" w:hAnsi="宋体"/>
          <w:color w:val="auto"/>
          <w:highlight w:val="none"/>
        </w:rPr>
        <w:t>本行将在接到贵方第一次书面要求时向贵方支付上述款项</w:t>
      </w:r>
      <w:r>
        <w:rPr>
          <w:rFonts w:ascii="宋体" w:hAnsi="宋体"/>
          <w:color w:val="auto"/>
          <w:highlight w:val="none"/>
        </w:rPr>
        <w:t>，</w:t>
      </w:r>
      <w:r>
        <w:rPr>
          <w:rFonts w:hint="eastAsia" w:ascii="宋体" w:hAnsi="宋体"/>
          <w:color w:val="auto"/>
          <w:highlight w:val="none"/>
        </w:rPr>
        <w:t>无须贵方证实此要求</w:t>
      </w:r>
      <w:r>
        <w:rPr>
          <w:rFonts w:ascii="宋体" w:hAnsi="宋体"/>
          <w:color w:val="auto"/>
          <w:highlight w:val="none"/>
        </w:rPr>
        <w:t>，</w:t>
      </w:r>
      <w:r>
        <w:rPr>
          <w:rFonts w:hint="eastAsia" w:ascii="宋体" w:hAnsi="宋体"/>
          <w:color w:val="auto"/>
          <w:highlight w:val="none"/>
        </w:rPr>
        <w:t>本行完全同意担保自投标截止日起生效</w:t>
      </w:r>
      <w:r>
        <w:rPr>
          <w:rFonts w:ascii="宋体" w:hAnsi="宋体"/>
          <w:color w:val="auto"/>
          <w:highlight w:val="none"/>
        </w:rPr>
        <w:t>，</w:t>
      </w:r>
      <w:r>
        <w:rPr>
          <w:rFonts w:hint="eastAsia" w:ascii="宋体" w:hAnsi="宋体"/>
          <w:color w:val="auto"/>
          <w:highlight w:val="none"/>
        </w:rPr>
        <w:t>并在其后</w:t>
      </w:r>
      <w:r>
        <w:rPr>
          <w:rFonts w:hint="eastAsia" w:ascii="宋体" w:hAnsi="宋体"/>
          <w:color w:val="auto"/>
          <w:highlight w:val="none"/>
          <w:u w:val="single"/>
        </w:rPr>
        <w:t xml:space="preserve">      </w:t>
      </w:r>
      <w:r>
        <w:rPr>
          <w:rFonts w:hint="eastAsia" w:ascii="宋体" w:hAnsi="宋体"/>
          <w:color w:val="auto"/>
          <w:highlight w:val="none"/>
        </w:rPr>
        <w:t>天内（必须与投标有效期一致）以及贵方终止本担保前通知本行的由贵方与投标人同意之标书有效延长期内保持有效。</w:t>
      </w:r>
    </w:p>
    <w:p>
      <w:pPr>
        <w:spacing w:line="300" w:lineRule="auto"/>
        <w:ind w:firstLine="4676" w:firstLineChars="2227"/>
        <w:rPr>
          <w:rFonts w:ascii="宋体" w:hAnsi="宋体"/>
          <w:color w:val="auto"/>
          <w:highlight w:val="none"/>
          <w:u w:val="single"/>
        </w:rPr>
      </w:pPr>
      <w:r>
        <w:rPr>
          <w:rFonts w:hint="eastAsia" w:ascii="宋体" w:hAnsi="宋体"/>
          <w:color w:val="auto"/>
          <w:highlight w:val="none"/>
        </w:rPr>
        <w:t>出证行名称：</w:t>
      </w:r>
      <w:r>
        <w:rPr>
          <w:rFonts w:hint="eastAsia" w:ascii="宋体" w:hAnsi="宋体"/>
          <w:color w:val="auto"/>
          <w:highlight w:val="none"/>
          <w:u w:val="single"/>
        </w:rPr>
        <w:t xml:space="preserve">                         </w:t>
      </w:r>
    </w:p>
    <w:p>
      <w:pPr>
        <w:spacing w:line="300" w:lineRule="auto"/>
        <w:ind w:firstLine="4676" w:firstLineChars="2227"/>
        <w:rPr>
          <w:rFonts w:ascii="宋体" w:hAnsi="宋体"/>
          <w:color w:val="auto"/>
          <w:highlight w:val="none"/>
        </w:rPr>
      </w:pPr>
      <w:r>
        <w:rPr>
          <w:rFonts w:hint="eastAsia" w:ascii="宋体" w:hAnsi="宋体"/>
          <w:color w:val="auto"/>
          <w:highlight w:val="none"/>
        </w:rPr>
        <w:t>签名（或签章）：</w:t>
      </w:r>
      <w:r>
        <w:rPr>
          <w:rFonts w:hint="eastAsia" w:ascii="宋体" w:hAnsi="宋体"/>
          <w:color w:val="auto"/>
          <w:highlight w:val="none"/>
          <w:u w:val="single"/>
        </w:rPr>
        <w:t xml:space="preserve">                      </w:t>
      </w:r>
    </w:p>
    <w:p>
      <w:pPr>
        <w:spacing w:line="300" w:lineRule="auto"/>
        <w:ind w:firstLine="4676" w:firstLineChars="2227"/>
        <w:rPr>
          <w:rFonts w:ascii="宋体" w:hAnsi="宋体"/>
          <w:color w:val="auto"/>
          <w:highlight w:val="none"/>
        </w:rPr>
      </w:pPr>
      <w:r>
        <w:rPr>
          <w:rFonts w:hint="eastAsia" w:ascii="宋体" w:hAnsi="宋体"/>
          <w:color w:val="auto"/>
          <w:highlight w:val="none"/>
        </w:rPr>
        <w:t>（印刷姓名和职务）</w:t>
      </w:r>
      <w:r>
        <w:rPr>
          <w:rFonts w:hint="eastAsia" w:ascii="宋体" w:hAnsi="宋体"/>
          <w:color w:val="auto"/>
          <w:highlight w:val="none"/>
          <w:u w:val="single"/>
        </w:rPr>
        <w:t xml:space="preserve">             </w:t>
      </w:r>
    </w:p>
    <w:p>
      <w:pPr>
        <w:spacing w:line="300" w:lineRule="auto"/>
        <w:ind w:firstLine="4676" w:firstLineChars="2227"/>
        <w:rPr>
          <w:rFonts w:ascii="宋体" w:hAnsi="宋体"/>
          <w:color w:val="auto"/>
          <w:highlight w:val="none"/>
          <w:u w:val="single"/>
        </w:rPr>
      </w:pPr>
      <w:r>
        <w:rPr>
          <w:rFonts w:hint="eastAsia" w:ascii="宋体" w:hAnsi="宋体"/>
          <w:color w:val="auto"/>
          <w:highlight w:val="none"/>
        </w:rPr>
        <w:t>公</w:t>
      </w:r>
      <w:r>
        <w:rPr>
          <w:rFonts w:ascii="宋体" w:hAnsi="宋体"/>
          <w:color w:val="auto"/>
          <w:highlight w:val="none"/>
        </w:rPr>
        <w:t xml:space="preserve">     </w:t>
      </w:r>
      <w:r>
        <w:rPr>
          <w:rFonts w:hint="eastAsia" w:ascii="宋体" w:hAnsi="宋体"/>
          <w:color w:val="auto"/>
          <w:highlight w:val="none"/>
        </w:rPr>
        <w:t>章：</w:t>
      </w:r>
      <w:r>
        <w:rPr>
          <w:rFonts w:hint="eastAsia" w:ascii="宋体" w:hAnsi="宋体"/>
          <w:color w:val="auto"/>
          <w:highlight w:val="none"/>
          <w:u w:val="single"/>
        </w:rPr>
        <w:t xml:space="preserve">                      </w:t>
      </w:r>
    </w:p>
    <w:p>
      <w:pPr>
        <w:spacing w:line="300" w:lineRule="auto"/>
        <w:ind w:firstLine="4676" w:firstLineChars="2227"/>
        <w:rPr>
          <w:rFonts w:ascii="宋体" w:hAnsi="宋体"/>
          <w:color w:val="auto"/>
          <w:highlight w:val="none"/>
          <w:u w:val="singl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hint="eastAsia" w:ascii="宋体" w:hAnsi="宋体"/>
          <w:color w:val="auto"/>
          <w:highlight w:val="none"/>
          <w:u w:val="single"/>
        </w:rPr>
        <w:t xml:space="preserve">                       </w:t>
      </w:r>
    </w:p>
    <w:p>
      <w:pPr>
        <w:spacing w:line="300" w:lineRule="auto"/>
        <w:ind w:firstLine="4676" w:firstLineChars="2227"/>
        <w:rPr>
          <w:rFonts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 xml:space="preserve">                       </w:t>
      </w:r>
    </w:p>
    <w:p>
      <w:pPr>
        <w:spacing w:line="300" w:lineRule="auto"/>
        <w:ind w:firstLine="4676" w:firstLineChars="2227"/>
        <w:rPr>
          <w:rFonts w:hint="eastAsia"/>
          <w:color w:val="auto"/>
          <w:highlight w:val="non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hint="eastAsia" w:ascii="宋体" w:hAnsi="宋体"/>
          <w:color w:val="auto"/>
          <w:highlight w:val="none"/>
          <w:u w:val="single"/>
        </w:rPr>
        <w:t xml:space="preserve">                           </w:t>
      </w:r>
      <w:bookmarkStart w:id="2680" w:name="_Toc30470"/>
      <w:bookmarkStart w:id="2681" w:name="_Toc156398423"/>
      <w:bookmarkStart w:id="2682" w:name="_Toc22538"/>
      <w:bookmarkStart w:id="2683" w:name="_Toc22621"/>
      <w:bookmarkStart w:id="2684" w:name="_Toc23042"/>
    </w:p>
    <w:p>
      <w:pPr>
        <w:pStyle w:val="3"/>
        <w:bidi w:val="0"/>
        <w:spacing w:before="0" w:after="0" w:line="240" w:lineRule="auto"/>
        <w:rPr>
          <w:rFonts w:hint="eastAsia"/>
          <w:color w:val="auto"/>
          <w:highlight w:val="none"/>
        </w:rPr>
      </w:pPr>
      <w:bookmarkStart w:id="2685" w:name="_Toc12021"/>
      <w:r>
        <w:rPr>
          <w:rFonts w:hint="eastAsia"/>
          <w:color w:val="auto"/>
          <w:highlight w:val="none"/>
        </w:rPr>
        <w:t>11.须评审的其他资料（格式自拟）</w:t>
      </w:r>
      <w:bookmarkEnd w:id="2680"/>
      <w:bookmarkEnd w:id="2681"/>
      <w:bookmarkEnd w:id="2682"/>
      <w:bookmarkEnd w:id="2683"/>
      <w:bookmarkEnd w:id="2684"/>
      <w:bookmarkEnd w:id="2685"/>
    </w:p>
    <w:p>
      <w:pPr>
        <w:spacing w:line="440" w:lineRule="exact"/>
        <w:rPr>
          <w:rFonts w:hint="eastAsia"/>
          <w:color w:val="auto"/>
          <w:highlight w:val="none"/>
        </w:rPr>
      </w:pPr>
    </w:p>
    <w:p>
      <w:pPr>
        <w:rPr>
          <w:color w:val="auto"/>
          <w:highlight w:val="none"/>
        </w:rPr>
      </w:pPr>
    </w:p>
    <w:p>
      <w:pPr>
        <w:rPr>
          <w:color w:val="auto"/>
          <w:highlight w:val="none"/>
        </w:rPr>
      </w:pPr>
    </w:p>
    <w:p>
      <w:pPr>
        <w:rPr>
          <w:color w:val="auto"/>
          <w:highlight w:val="none"/>
        </w:rPr>
      </w:pPr>
      <w:bookmarkStart w:id="2686" w:name="_Toc9766"/>
      <w:bookmarkEnd w:id="2686"/>
      <w:bookmarkStart w:id="2687" w:name="_Toc247085834"/>
      <w:bookmarkEnd w:id="2687"/>
      <w:bookmarkStart w:id="2688" w:name="_Toc369531676"/>
      <w:bookmarkEnd w:id="2688"/>
      <w:bookmarkStart w:id="2689" w:name="_Toc296602565"/>
      <w:bookmarkEnd w:id="2689"/>
      <w:bookmarkStart w:id="2690" w:name="_Toc352691659"/>
      <w:bookmarkEnd w:id="2690"/>
      <w:bookmarkStart w:id="2691" w:name="_Toc16568"/>
      <w:bookmarkEnd w:id="2691"/>
      <w:bookmarkStart w:id="2692" w:name="_Toc29298"/>
      <w:bookmarkEnd w:id="2692"/>
      <w:bookmarkStart w:id="2693" w:name="_Toc246997062"/>
      <w:bookmarkEnd w:id="2693"/>
      <w:bookmarkStart w:id="2694" w:name="_Toc352691660"/>
      <w:bookmarkEnd w:id="2694"/>
      <w:bookmarkStart w:id="2695" w:name="_Toc369531695"/>
      <w:bookmarkEnd w:id="2695"/>
      <w:bookmarkStart w:id="2696" w:name="_Toc369531675"/>
      <w:bookmarkEnd w:id="2696"/>
      <w:bookmarkStart w:id="2697" w:name="_Toc246996319"/>
      <w:bookmarkEnd w:id="2697"/>
      <w:bookmarkStart w:id="2698" w:name="_Toc184635117"/>
      <w:bookmarkEnd w:id="2698"/>
      <w:bookmarkStart w:id="2699" w:name="_Toc16824"/>
      <w:bookmarkEnd w:id="2699"/>
      <w:bookmarkStart w:id="2700" w:name="_Toc369531696"/>
      <w:bookmarkEnd w:id="2700"/>
    </w:p>
    <w:p>
      <w:pPr>
        <w:rPr>
          <w:color w:val="auto"/>
          <w:highlight w:val="none"/>
        </w:rPr>
      </w:pPr>
    </w:p>
    <w:p>
      <w:pPr>
        <w:keepNext w:val="0"/>
        <w:keepLines w:val="0"/>
        <w:pageBreakBefore w:val="0"/>
        <w:widowControl/>
        <w:kinsoku/>
        <w:wordWrap/>
        <w:overflowPunct w:val="0"/>
        <w:topLinePunct w:val="0"/>
        <w:autoSpaceDE/>
        <w:autoSpaceDN/>
        <w:bidi w:val="0"/>
        <w:adjustRightInd/>
        <w:snapToGrid/>
        <w:spacing w:line="440" w:lineRule="exact"/>
        <w:textAlignment w:val="auto"/>
        <w:rPr>
          <w:rFonts w:hint="default" w:eastAsia="宋体" w:cs="宋体"/>
          <w:color w:val="auto"/>
          <w:szCs w:val="21"/>
          <w:highlight w:val="none"/>
          <w:lang w:val="en-US" w:eastAsia="zh-CN"/>
        </w:rPr>
      </w:pPr>
    </w:p>
    <w:sectPr>
      <w:footerReference r:id="rId14" w:type="default"/>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Light">
    <w:altName w:val="Yu Gothic"/>
    <w:panose1 w:val="00000000000000000000"/>
    <w:charset w:val="80"/>
    <w:family w:val="roman"/>
    <w:pitch w:val="default"/>
    <w:sig w:usb0="00000000" w:usb1="00000000" w:usb2="00000012" w:usb3="00000000" w:csb0="000200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cs="Times New Roman" w:eastAsiaTheme="minorEastAsia"/>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cs="Times New Roman" w:eastAsiaTheme="minorEastAsia"/>
      </w:rPr>
    </w:pPr>
  </w:p>
  <w:p>
    <w:pPr>
      <w:widowControl w:val="0"/>
      <w:pBdr>
        <w:bottom w:val="none" w:color="auto" w:sz="0" w:space="0"/>
      </w:pBdr>
      <w:snapToGrid w:val="0"/>
      <w:jc w:val="center"/>
      <w:rPr>
        <w:rFonts w:ascii="Times New Roman" w:hAnsi="Times New Roman" w:cs="Times New Roman" w:eastAsiaTheme="minorEastAsia"/>
        <w:kern w:val="2"/>
        <w:sz w:val="18"/>
        <w:szCs w:val="15"/>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2"/>
      <w:pBdr>
        <w:bottom w:val="none" w:color="auto" w:sz="0" w:space="0"/>
      </w:pBdr>
      <w:rPr>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rPr>
        <w:rFonts w:hint="default" w:eastAsia="宋体"/>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rPr>
        <w:rFonts w:hint="default" w:eastAsia="宋体"/>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5B3EA"/>
    <w:multiLevelType w:val="singleLevel"/>
    <w:tmpl w:val="F775B3EA"/>
    <w:lvl w:ilvl="0" w:tentative="0">
      <w:start w:val="3"/>
      <w:numFmt w:val="decimal"/>
      <w:suff w:val="nothing"/>
      <w:lvlText w:val="（%1）"/>
      <w:lvlJc w:val="left"/>
    </w:lvl>
  </w:abstractNum>
  <w:abstractNum w:abstractNumId="1">
    <w:nsid w:val="FA2448C1"/>
    <w:multiLevelType w:val="singleLevel"/>
    <w:tmpl w:val="FA2448C1"/>
    <w:lvl w:ilvl="0" w:tentative="0">
      <w:start w:val="8"/>
      <w:numFmt w:val="chineseCounting"/>
      <w:suff w:val="nothing"/>
      <w:lvlText w:val="%1、"/>
      <w:lvlJc w:val="left"/>
      <w:rPr>
        <w:rFonts w:hint="eastAsia"/>
      </w:rPr>
    </w:lvl>
  </w:abstractNum>
  <w:abstractNum w:abstractNumId="2">
    <w:nsid w:val="FFFFFF83"/>
    <w:multiLevelType w:val="singleLevel"/>
    <w:tmpl w:val="FFFFFF83"/>
    <w:lvl w:ilvl="0" w:tentative="0">
      <w:start w:val="1"/>
      <w:numFmt w:val="bullet"/>
      <w:pStyle w:val="29"/>
      <w:lvlText w:val=""/>
      <w:lvlJc w:val="left"/>
      <w:pPr>
        <w:tabs>
          <w:tab w:val="left" w:pos="780"/>
        </w:tabs>
        <w:ind w:left="780" w:hanging="360"/>
      </w:pPr>
      <w:rPr>
        <w:rFonts w:hint="default" w:ascii="Cambria Math" w:hAnsi="Cambria Math"/>
      </w:rPr>
    </w:lvl>
  </w:abstractNum>
  <w:abstractNum w:abstractNumId="3">
    <w:nsid w:val="00000009"/>
    <w:multiLevelType w:val="multilevel"/>
    <w:tmpl w:val="00000009"/>
    <w:lvl w:ilvl="0" w:tentative="0">
      <w:start w:val="1"/>
      <w:numFmt w:val="decimal"/>
      <w:lvlText w:val="（%1）"/>
      <w:lvlJc w:val="left"/>
      <w:pPr>
        <w:tabs>
          <w:tab w:val="left" w:pos="1080"/>
        </w:tabs>
        <w:ind w:left="1861" w:hanging="720"/>
      </w:pPr>
      <w:rPr>
        <w:rFonts w:hint="eastAsia"/>
      </w:rPr>
    </w:lvl>
    <w:lvl w:ilvl="1" w:tentative="0">
      <w:start w:val="1"/>
      <w:numFmt w:val="lowerLetter"/>
      <w:lvlText w:val="%2)"/>
      <w:lvlJc w:val="left"/>
      <w:pPr>
        <w:tabs>
          <w:tab w:val="left" w:pos="780"/>
        </w:tabs>
        <w:ind w:left="1561" w:hanging="420"/>
      </w:pPr>
    </w:lvl>
    <w:lvl w:ilvl="2" w:tentative="0">
      <w:start w:val="1"/>
      <w:numFmt w:val="lowerRoman"/>
      <w:lvlText w:val="%3."/>
      <w:lvlJc w:val="right"/>
      <w:pPr>
        <w:tabs>
          <w:tab w:val="left" w:pos="1200"/>
        </w:tabs>
        <w:ind w:left="1981" w:hanging="420"/>
      </w:pPr>
    </w:lvl>
    <w:lvl w:ilvl="3" w:tentative="0">
      <w:start w:val="1"/>
      <w:numFmt w:val="decimal"/>
      <w:lvlText w:val="%4."/>
      <w:lvlJc w:val="left"/>
      <w:pPr>
        <w:tabs>
          <w:tab w:val="left" w:pos="1620"/>
        </w:tabs>
        <w:ind w:left="2401" w:hanging="420"/>
      </w:pPr>
    </w:lvl>
    <w:lvl w:ilvl="4" w:tentative="0">
      <w:start w:val="1"/>
      <w:numFmt w:val="lowerLetter"/>
      <w:lvlText w:val="%5)"/>
      <w:lvlJc w:val="left"/>
      <w:pPr>
        <w:tabs>
          <w:tab w:val="left" w:pos="2040"/>
        </w:tabs>
        <w:ind w:left="2821" w:hanging="420"/>
      </w:pPr>
    </w:lvl>
    <w:lvl w:ilvl="5" w:tentative="0">
      <w:start w:val="1"/>
      <w:numFmt w:val="lowerRoman"/>
      <w:lvlText w:val="%6."/>
      <w:lvlJc w:val="right"/>
      <w:pPr>
        <w:tabs>
          <w:tab w:val="left" w:pos="2460"/>
        </w:tabs>
        <w:ind w:left="3241" w:hanging="420"/>
      </w:pPr>
    </w:lvl>
    <w:lvl w:ilvl="6" w:tentative="0">
      <w:start w:val="1"/>
      <w:numFmt w:val="decimal"/>
      <w:lvlText w:val="%7."/>
      <w:lvlJc w:val="left"/>
      <w:pPr>
        <w:tabs>
          <w:tab w:val="left" w:pos="2880"/>
        </w:tabs>
        <w:ind w:left="3661" w:hanging="420"/>
      </w:pPr>
    </w:lvl>
    <w:lvl w:ilvl="7" w:tentative="0">
      <w:start w:val="1"/>
      <w:numFmt w:val="lowerLetter"/>
      <w:lvlText w:val="%8)"/>
      <w:lvlJc w:val="left"/>
      <w:pPr>
        <w:tabs>
          <w:tab w:val="left" w:pos="3300"/>
        </w:tabs>
        <w:ind w:left="4081" w:hanging="420"/>
      </w:pPr>
    </w:lvl>
    <w:lvl w:ilvl="8" w:tentative="0">
      <w:start w:val="1"/>
      <w:numFmt w:val="lowerRoman"/>
      <w:lvlText w:val="%9."/>
      <w:lvlJc w:val="right"/>
      <w:pPr>
        <w:tabs>
          <w:tab w:val="left" w:pos="3720"/>
        </w:tabs>
        <w:ind w:left="4501" w:hanging="420"/>
      </w:pPr>
    </w:lvl>
  </w:abstractNum>
  <w:abstractNum w:abstractNumId="4">
    <w:nsid w:val="0762733B"/>
    <w:multiLevelType w:val="multilevel"/>
    <w:tmpl w:val="0762733B"/>
    <w:lvl w:ilvl="0" w:tentative="0">
      <w:start w:val="1"/>
      <w:numFmt w:val="bullet"/>
      <w:lvlText w:val=""/>
      <w:lvlJc w:val="left"/>
      <w:pPr>
        <w:ind w:left="1388" w:hanging="420"/>
      </w:pPr>
      <w:rPr>
        <w:rFonts w:hint="default" w:ascii="Wingdings" w:hAnsi="Wingdings"/>
      </w:rPr>
    </w:lvl>
    <w:lvl w:ilvl="1" w:tentative="0">
      <w:start w:val="1"/>
      <w:numFmt w:val="bullet"/>
      <w:lvlText w:val=""/>
      <w:lvlJc w:val="left"/>
      <w:pPr>
        <w:ind w:left="1808" w:hanging="420"/>
      </w:pPr>
      <w:rPr>
        <w:rFonts w:hint="default" w:ascii="Wingdings" w:hAnsi="Wingdings"/>
      </w:rPr>
    </w:lvl>
    <w:lvl w:ilvl="2" w:tentative="0">
      <w:start w:val="1"/>
      <w:numFmt w:val="bullet"/>
      <w:lvlText w:val=""/>
      <w:lvlJc w:val="left"/>
      <w:pPr>
        <w:ind w:left="2228" w:hanging="420"/>
      </w:pPr>
      <w:rPr>
        <w:rFonts w:hint="default" w:ascii="Wingdings" w:hAnsi="Wingdings"/>
      </w:rPr>
    </w:lvl>
    <w:lvl w:ilvl="3" w:tentative="0">
      <w:start w:val="1"/>
      <w:numFmt w:val="bullet"/>
      <w:lvlText w:val=""/>
      <w:lvlJc w:val="left"/>
      <w:pPr>
        <w:ind w:left="2648" w:hanging="420"/>
      </w:pPr>
      <w:rPr>
        <w:rFonts w:hint="default" w:ascii="Wingdings" w:hAnsi="Wingdings"/>
      </w:rPr>
    </w:lvl>
    <w:lvl w:ilvl="4" w:tentative="0">
      <w:start w:val="1"/>
      <w:numFmt w:val="bullet"/>
      <w:lvlText w:val=""/>
      <w:lvlJc w:val="left"/>
      <w:pPr>
        <w:ind w:left="3068" w:hanging="420"/>
      </w:pPr>
      <w:rPr>
        <w:rFonts w:hint="default" w:ascii="Wingdings" w:hAnsi="Wingdings"/>
      </w:rPr>
    </w:lvl>
    <w:lvl w:ilvl="5" w:tentative="0">
      <w:start w:val="1"/>
      <w:numFmt w:val="bullet"/>
      <w:lvlText w:val=""/>
      <w:lvlJc w:val="left"/>
      <w:pPr>
        <w:ind w:left="3488" w:hanging="420"/>
      </w:pPr>
      <w:rPr>
        <w:rFonts w:hint="default" w:ascii="Wingdings" w:hAnsi="Wingdings"/>
      </w:rPr>
    </w:lvl>
    <w:lvl w:ilvl="6" w:tentative="0">
      <w:start w:val="1"/>
      <w:numFmt w:val="bullet"/>
      <w:lvlText w:val=""/>
      <w:lvlJc w:val="left"/>
      <w:pPr>
        <w:ind w:left="3908" w:hanging="420"/>
      </w:pPr>
      <w:rPr>
        <w:rFonts w:hint="default" w:ascii="Wingdings" w:hAnsi="Wingdings"/>
      </w:rPr>
    </w:lvl>
    <w:lvl w:ilvl="7" w:tentative="0">
      <w:start w:val="1"/>
      <w:numFmt w:val="bullet"/>
      <w:lvlText w:val=""/>
      <w:lvlJc w:val="left"/>
      <w:pPr>
        <w:ind w:left="4328" w:hanging="420"/>
      </w:pPr>
      <w:rPr>
        <w:rFonts w:hint="default" w:ascii="Wingdings" w:hAnsi="Wingdings"/>
      </w:rPr>
    </w:lvl>
    <w:lvl w:ilvl="8" w:tentative="0">
      <w:start w:val="1"/>
      <w:numFmt w:val="bullet"/>
      <w:lvlText w:val=""/>
      <w:lvlJc w:val="left"/>
      <w:pPr>
        <w:ind w:left="4748" w:hanging="420"/>
      </w:pPr>
      <w:rPr>
        <w:rFonts w:hint="default" w:ascii="Wingdings" w:hAnsi="Wingdings"/>
      </w:rPr>
    </w:lvl>
  </w:abstractNum>
  <w:abstractNum w:abstractNumId="5">
    <w:nsid w:val="10344AAC"/>
    <w:multiLevelType w:val="multilevel"/>
    <w:tmpl w:val="10344AAC"/>
    <w:lvl w:ilvl="0" w:tentative="0">
      <w:start w:val="6"/>
      <w:numFmt w:val="decimal"/>
      <w:lvlText w:val="%1"/>
      <w:lvlJc w:val="left"/>
      <w:pPr>
        <w:tabs>
          <w:tab w:val="left" w:pos="420"/>
        </w:tabs>
        <w:ind w:left="420" w:hanging="420"/>
      </w:pPr>
      <w:rPr>
        <w:rFonts w:hint="default"/>
      </w:rPr>
    </w:lvl>
    <w:lvl w:ilvl="1" w:tentative="0">
      <w:start w:val="7"/>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17026A6"/>
    <w:multiLevelType w:val="singleLevel"/>
    <w:tmpl w:val="117026A6"/>
    <w:lvl w:ilvl="0" w:tentative="0">
      <w:start w:val="1"/>
      <w:numFmt w:val="decimal"/>
      <w:suff w:val="nothing"/>
      <w:lvlText w:val="（%1）"/>
      <w:lvlJc w:val="left"/>
    </w:lvl>
  </w:abstractNum>
  <w:abstractNum w:abstractNumId="7">
    <w:nsid w:val="1DFB4CA4"/>
    <w:multiLevelType w:val="multilevel"/>
    <w:tmpl w:val="1DFB4CA4"/>
    <w:lvl w:ilvl="0" w:tentative="0">
      <w:start w:val="4"/>
      <w:numFmt w:val="decimal"/>
      <w:lvlText w:val="%1"/>
      <w:lvlJc w:val="left"/>
      <w:pPr>
        <w:tabs>
          <w:tab w:val="left" w:pos="528"/>
        </w:tabs>
        <w:ind w:left="528" w:hanging="528"/>
      </w:pPr>
      <w:rPr>
        <w:rFonts w:hint="default"/>
      </w:rPr>
    </w:lvl>
    <w:lvl w:ilvl="1" w:tentative="0">
      <w:start w:val="2"/>
      <w:numFmt w:val="decimal"/>
      <w:lvlText w:val="%1.%2"/>
      <w:lvlJc w:val="left"/>
      <w:pPr>
        <w:tabs>
          <w:tab w:val="left" w:pos="528"/>
        </w:tabs>
        <w:ind w:left="528" w:hanging="528"/>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59D9F47"/>
    <w:multiLevelType w:val="singleLevel"/>
    <w:tmpl w:val="459D9F47"/>
    <w:lvl w:ilvl="0" w:tentative="0">
      <w:start w:val="1"/>
      <w:numFmt w:val="chineseCounting"/>
      <w:suff w:val="nothing"/>
      <w:lvlText w:val="（%1）"/>
      <w:lvlJc w:val="left"/>
      <w:rPr>
        <w:rFonts w:hint="eastAsia"/>
      </w:rPr>
    </w:lvl>
  </w:abstractNum>
  <w:abstractNum w:abstractNumId="9">
    <w:nsid w:val="512A57A3"/>
    <w:multiLevelType w:val="singleLevel"/>
    <w:tmpl w:val="512A57A3"/>
    <w:lvl w:ilvl="0" w:tentative="0">
      <w:start w:val="16"/>
      <w:numFmt w:val="decimal"/>
      <w:suff w:val="nothing"/>
      <w:lvlText w:val="（%1）"/>
      <w:lvlJc w:val="left"/>
    </w:lvl>
  </w:abstractNum>
  <w:abstractNum w:abstractNumId="10">
    <w:nsid w:val="5245E333"/>
    <w:multiLevelType w:val="singleLevel"/>
    <w:tmpl w:val="5245E333"/>
    <w:lvl w:ilvl="0" w:tentative="0">
      <w:start w:val="2"/>
      <w:numFmt w:val="decimal"/>
      <w:suff w:val="nothing"/>
      <w:lvlText w:val="（%1）"/>
      <w:lvlJc w:val="left"/>
    </w:lvl>
  </w:abstractNum>
  <w:num w:numId="1">
    <w:abstractNumId w:val="2"/>
  </w:num>
  <w:num w:numId="2">
    <w:abstractNumId w:val="6"/>
  </w:num>
  <w:num w:numId="3">
    <w:abstractNumId w:val="10"/>
  </w:num>
  <w:num w:numId="4">
    <w:abstractNumId w:val="9"/>
  </w:num>
  <w:num w:numId="5">
    <w:abstractNumId w:val="3"/>
  </w:num>
  <w:num w:numId="6">
    <w:abstractNumId w:val="7"/>
  </w:num>
  <w:num w:numId="7">
    <w:abstractNumId w:val="5"/>
  </w:num>
  <w:num w:numId="8">
    <w:abstractNumId w:val="4"/>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mU2Y2Y1MzdkOTliODYwZTU4MDM1ODE2YjczZWIifQ=="/>
  </w:docVars>
  <w:rsids>
    <w:rsidRoot w:val="00000000"/>
    <w:rsid w:val="0002561E"/>
    <w:rsid w:val="00563274"/>
    <w:rsid w:val="00AB6006"/>
    <w:rsid w:val="012B64AF"/>
    <w:rsid w:val="012D3DC7"/>
    <w:rsid w:val="01427590"/>
    <w:rsid w:val="018502B5"/>
    <w:rsid w:val="01894F76"/>
    <w:rsid w:val="018B3135"/>
    <w:rsid w:val="02182AA4"/>
    <w:rsid w:val="0285568F"/>
    <w:rsid w:val="029C5C75"/>
    <w:rsid w:val="02C72A80"/>
    <w:rsid w:val="03065425"/>
    <w:rsid w:val="03416415"/>
    <w:rsid w:val="03630182"/>
    <w:rsid w:val="03C43552"/>
    <w:rsid w:val="04066971"/>
    <w:rsid w:val="0416694E"/>
    <w:rsid w:val="0442248D"/>
    <w:rsid w:val="045C5412"/>
    <w:rsid w:val="046917C8"/>
    <w:rsid w:val="046E6DDE"/>
    <w:rsid w:val="047654EA"/>
    <w:rsid w:val="049A7BD3"/>
    <w:rsid w:val="04CB01BD"/>
    <w:rsid w:val="05216546"/>
    <w:rsid w:val="0543777F"/>
    <w:rsid w:val="05476ED2"/>
    <w:rsid w:val="058F525E"/>
    <w:rsid w:val="059C1B39"/>
    <w:rsid w:val="06255BC2"/>
    <w:rsid w:val="062A4D16"/>
    <w:rsid w:val="06AE1963"/>
    <w:rsid w:val="06F253D7"/>
    <w:rsid w:val="0706450A"/>
    <w:rsid w:val="0708529A"/>
    <w:rsid w:val="0748600C"/>
    <w:rsid w:val="076B1961"/>
    <w:rsid w:val="077076BC"/>
    <w:rsid w:val="07F70609"/>
    <w:rsid w:val="0837398B"/>
    <w:rsid w:val="085A5EF2"/>
    <w:rsid w:val="08714603"/>
    <w:rsid w:val="08770EAA"/>
    <w:rsid w:val="08AE1C6C"/>
    <w:rsid w:val="09114AFB"/>
    <w:rsid w:val="09300B06"/>
    <w:rsid w:val="094B5940"/>
    <w:rsid w:val="095A3046"/>
    <w:rsid w:val="095E7BCE"/>
    <w:rsid w:val="096B1699"/>
    <w:rsid w:val="09860098"/>
    <w:rsid w:val="099D5AB8"/>
    <w:rsid w:val="09A91F6D"/>
    <w:rsid w:val="09CC2C5B"/>
    <w:rsid w:val="0A0C7D0D"/>
    <w:rsid w:val="0A193C90"/>
    <w:rsid w:val="0A6745A8"/>
    <w:rsid w:val="0A992A96"/>
    <w:rsid w:val="0AA37E16"/>
    <w:rsid w:val="0ACF403A"/>
    <w:rsid w:val="0B817646"/>
    <w:rsid w:val="0BAD043B"/>
    <w:rsid w:val="0C603811"/>
    <w:rsid w:val="0CD63DF7"/>
    <w:rsid w:val="0CEE6026"/>
    <w:rsid w:val="0D46272A"/>
    <w:rsid w:val="0DB60ADD"/>
    <w:rsid w:val="0DBB7B04"/>
    <w:rsid w:val="0E011AF0"/>
    <w:rsid w:val="0E08218F"/>
    <w:rsid w:val="0E35161A"/>
    <w:rsid w:val="0E41187E"/>
    <w:rsid w:val="0E653000"/>
    <w:rsid w:val="0E6B51F6"/>
    <w:rsid w:val="0E6D1E78"/>
    <w:rsid w:val="0E801332"/>
    <w:rsid w:val="0EE637D2"/>
    <w:rsid w:val="0F085103"/>
    <w:rsid w:val="0F137935"/>
    <w:rsid w:val="0F234C69"/>
    <w:rsid w:val="0F256B48"/>
    <w:rsid w:val="0F64775C"/>
    <w:rsid w:val="0F9A0595"/>
    <w:rsid w:val="0FF22D35"/>
    <w:rsid w:val="102C252C"/>
    <w:rsid w:val="11230F50"/>
    <w:rsid w:val="11592BC4"/>
    <w:rsid w:val="116A2732"/>
    <w:rsid w:val="118063A3"/>
    <w:rsid w:val="11845E93"/>
    <w:rsid w:val="11AD02D1"/>
    <w:rsid w:val="11B42F19"/>
    <w:rsid w:val="11F6465A"/>
    <w:rsid w:val="12263BEA"/>
    <w:rsid w:val="128771E6"/>
    <w:rsid w:val="128D60CB"/>
    <w:rsid w:val="12F157AA"/>
    <w:rsid w:val="131C4F5D"/>
    <w:rsid w:val="1327248E"/>
    <w:rsid w:val="13272F7A"/>
    <w:rsid w:val="138C102F"/>
    <w:rsid w:val="139F2EE6"/>
    <w:rsid w:val="13F67F03"/>
    <w:rsid w:val="14852447"/>
    <w:rsid w:val="14B4083D"/>
    <w:rsid w:val="14CC4FDD"/>
    <w:rsid w:val="14CE13D2"/>
    <w:rsid w:val="159D1CEE"/>
    <w:rsid w:val="15A06528"/>
    <w:rsid w:val="15BB5BFB"/>
    <w:rsid w:val="15E55C17"/>
    <w:rsid w:val="165C118C"/>
    <w:rsid w:val="16612C47"/>
    <w:rsid w:val="16810BF3"/>
    <w:rsid w:val="168B1779"/>
    <w:rsid w:val="16962A9A"/>
    <w:rsid w:val="16CA55B5"/>
    <w:rsid w:val="174F6F43"/>
    <w:rsid w:val="17603620"/>
    <w:rsid w:val="177A7508"/>
    <w:rsid w:val="17822E75"/>
    <w:rsid w:val="17F33017"/>
    <w:rsid w:val="17F6260B"/>
    <w:rsid w:val="17F97693"/>
    <w:rsid w:val="180B10BC"/>
    <w:rsid w:val="18456D28"/>
    <w:rsid w:val="186C7681"/>
    <w:rsid w:val="187F4D45"/>
    <w:rsid w:val="18DF7E53"/>
    <w:rsid w:val="18F57676"/>
    <w:rsid w:val="190221B4"/>
    <w:rsid w:val="19187E6D"/>
    <w:rsid w:val="19947DB1"/>
    <w:rsid w:val="1A022A7D"/>
    <w:rsid w:val="1A0D279E"/>
    <w:rsid w:val="1A0E74EB"/>
    <w:rsid w:val="1A141292"/>
    <w:rsid w:val="1A7F76EC"/>
    <w:rsid w:val="1A920C31"/>
    <w:rsid w:val="1AC258FD"/>
    <w:rsid w:val="1B812958"/>
    <w:rsid w:val="1B8D5B93"/>
    <w:rsid w:val="1B8E5924"/>
    <w:rsid w:val="1CBC0BD7"/>
    <w:rsid w:val="1CD35F20"/>
    <w:rsid w:val="1D1E0E92"/>
    <w:rsid w:val="1D592DCA"/>
    <w:rsid w:val="1E18008F"/>
    <w:rsid w:val="1E2A6FD2"/>
    <w:rsid w:val="1E9C5287"/>
    <w:rsid w:val="1ECC70CB"/>
    <w:rsid w:val="1ECF44C6"/>
    <w:rsid w:val="1ED30A3E"/>
    <w:rsid w:val="1F10520A"/>
    <w:rsid w:val="1F146641"/>
    <w:rsid w:val="1F1E24CA"/>
    <w:rsid w:val="1F302869"/>
    <w:rsid w:val="1FA02254"/>
    <w:rsid w:val="1FD2426D"/>
    <w:rsid w:val="1FD97136"/>
    <w:rsid w:val="1FE66D4A"/>
    <w:rsid w:val="1FE94496"/>
    <w:rsid w:val="204D5FEA"/>
    <w:rsid w:val="20931C4F"/>
    <w:rsid w:val="20B97273"/>
    <w:rsid w:val="210C1A01"/>
    <w:rsid w:val="2135166E"/>
    <w:rsid w:val="2136082C"/>
    <w:rsid w:val="214474E7"/>
    <w:rsid w:val="217015FC"/>
    <w:rsid w:val="21B05586"/>
    <w:rsid w:val="21B82DB6"/>
    <w:rsid w:val="21F760FC"/>
    <w:rsid w:val="2212255B"/>
    <w:rsid w:val="222C3618"/>
    <w:rsid w:val="225E628C"/>
    <w:rsid w:val="227F78B3"/>
    <w:rsid w:val="22B55DF5"/>
    <w:rsid w:val="22FD68B7"/>
    <w:rsid w:val="23175358"/>
    <w:rsid w:val="234753F5"/>
    <w:rsid w:val="23496F3C"/>
    <w:rsid w:val="237D4851"/>
    <w:rsid w:val="23941554"/>
    <w:rsid w:val="23A012D2"/>
    <w:rsid w:val="23AB5088"/>
    <w:rsid w:val="23C94C24"/>
    <w:rsid w:val="24066C5C"/>
    <w:rsid w:val="244C4FA7"/>
    <w:rsid w:val="24961D0D"/>
    <w:rsid w:val="24AD7057"/>
    <w:rsid w:val="24F26F2B"/>
    <w:rsid w:val="251976A1"/>
    <w:rsid w:val="256E4A38"/>
    <w:rsid w:val="25B61F61"/>
    <w:rsid w:val="25E96E2B"/>
    <w:rsid w:val="26170C2C"/>
    <w:rsid w:val="26182999"/>
    <w:rsid w:val="26366AEF"/>
    <w:rsid w:val="266A16A4"/>
    <w:rsid w:val="266E1CB8"/>
    <w:rsid w:val="269A4378"/>
    <w:rsid w:val="26E96CED"/>
    <w:rsid w:val="27215B0A"/>
    <w:rsid w:val="27C2106B"/>
    <w:rsid w:val="27D4456C"/>
    <w:rsid w:val="27EB05C2"/>
    <w:rsid w:val="27EE60FC"/>
    <w:rsid w:val="28067A29"/>
    <w:rsid w:val="28125156"/>
    <w:rsid w:val="28374ACA"/>
    <w:rsid w:val="28536947"/>
    <w:rsid w:val="28675CDE"/>
    <w:rsid w:val="286861C3"/>
    <w:rsid w:val="28F9286B"/>
    <w:rsid w:val="29057462"/>
    <w:rsid w:val="29383C9F"/>
    <w:rsid w:val="29484FE6"/>
    <w:rsid w:val="299D769A"/>
    <w:rsid w:val="299E27E7"/>
    <w:rsid w:val="29E67293"/>
    <w:rsid w:val="29EA20C3"/>
    <w:rsid w:val="2A5D593C"/>
    <w:rsid w:val="2A8075E6"/>
    <w:rsid w:val="2AB01D19"/>
    <w:rsid w:val="2ABC299F"/>
    <w:rsid w:val="2B3B716B"/>
    <w:rsid w:val="2B541747"/>
    <w:rsid w:val="2B876854"/>
    <w:rsid w:val="2B886128"/>
    <w:rsid w:val="2BBB2FE0"/>
    <w:rsid w:val="2C03089B"/>
    <w:rsid w:val="2C387B4E"/>
    <w:rsid w:val="2C7F7943"/>
    <w:rsid w:val="2C8B04FF"/>
    <w:rsid w:val="2CB20151"/>
    <w:rsid w:val="2CC43190"/>
    <w:rsid w:val="2D173C07"/>
    <w:rsid w:val="2D440A9C"/>
    <w:rsid w:val="2D581CC1"/>
    <w:rsid w:val="2D691B36"/>
    <w:rsid w:val="2DE8059A"/>
    <w:rsid w:val="2E890ADC"/>
    <w:rsid w:val="2EC60F73"/>
    <w:rsid w:val="2ED53E60"/>
    <w:rsid w:val="2ED81174"/>
    <w:rsid w:val="2EDD74A8"/>
    <w:rsid w:val="2F191EB9"/>
    <w:rsid w:val="2F256DB0"/>
    <w:rsid w:val="2F805A94"/>
    <w:rsid w:val="2F9B7F9E"/>
    <w:rsid w:val="2FCC2176"/>
    <w:rsid w:val="2FF767F8"/>
    <w:rsid w:val="305B02AF"/>
    <w:rsid w:val="30811160"/>
    <w:rsid w:val="3182247E"/>
    <w:rsid w:val="318A2BFA"/>
    <w:rsid w:val="31A6555A"/>
    <w:rsid w:val="31CA08CD"/>
    <w:rsid w:val="31D45FF1"/>
    <w:rsid w:val="31E22F93"/>
    <w:rsid w:val="31EE13DB"/>
    <w:rsid w:val="31F44517"/>
    <w:rsid w:val="31F74E97"/>
    <w:rsid w:val="32145BFC"/>
    <w:rsid w:val="324A040F"/>
    <w:rsid w:val="327E4AB3"/>
    <w:rsid w:val="32894C60"/>
    <w:rsid w:val="32C3201B"/>
    <w:rsid w:val="32EE30CE"/>
    <w:rsid w:val="330C1C22"/>
    <w:rsid w:val="334B0167"/>
    <w:rsid w:val="33AA6A22"/>
    <w:rsid w:val="33C30645"/>
    <w:rsid w:val="33D1762A"/>
    <w:rsid w:val="341D5FA7"/>
    <w:rsid w:val="34346E4D"/>
    <w:rsid w:val="34E82060"/>
    <w:rsid w:val="350031D3"/>
    <w:rsid w:val="350C7DCA"/>
    <w:rsid w:val="352C2AFC"/>
    <w:rsid w:val="356776A0"/>
    <w:rsid w:val="357C6CFE"/>
    <w:rsid w:val="35A94B2D"/>
    <w:rsid w:val="35BA4A9E"/>
    <w:rsid w:val="35DB3E80"/>
    <w:rsid w:val="35EF127D"/>
    <w:rsid w:val="36413AA3"/>
    <w:rsid w:val="373D1D8D"/>
    <w:rsid w:val="37880510"/>
    <w:rsid w:val="37A729A1"/>
    <w:rsid w:val="37D27BE0"/>
    <w:rsid w:val="38064FA4"/>
    <w:rsid w:val="38741F0E"/>
    <w:rsid w:val="38D20425"/>
    <w:rsid w:val="38D57033"/>
    <w:rsid w:val="38E4392F"/>
    <w:rsid w:val="39091137"/>
    <w:rsid w:val="39535FC7"/>
    <w:rsid w:val="396C6DC4"/>
    <w:rsid w:val="39B7382F"/>
    <w:rsid w:val="3A691F76"/>
    <w:rsid w:val="3A7C7F06"/>
    <w:rsid w:val="3AA80595"/>
    <w:rsid w:val="3AAB598F"/>
    <w:rsid w:val="3AE856DE"/>
    <w:rsid w:val="3B9129D1"/>
    <w:rsid w:val="3BA76487"/>
    <w:rsid w:val="3BE849D3"/>
    <w:rsid w:val="3C025A83"/>
    <w:rsid w:val="3C0B4130"/>
    <w:rsid w:val="3C173F0B"/>
    <w:rsid w:val="3C476CB4"/>
    <w:rsid w:val="3C5633AE"/>
    <w:rsid w:val="3C9F5E96"/>
    <w:rsid w:val="3CA07775"/>
    <w:rsid w:val="3CBB3D60"/>
    <w:rsid w:val="3D301E28"/>
    <w:rsid w:val="3D406F2D"/>
    <w:rsid w:val="3DFE6C03"/>
    <w:rsid w:val="3E2A0839"/>
    <w:rsid w:val="3F3D113B"/>
    <w:rsid w:val="3F48643C"/>
    <w:rsid w:val="3FA03D13"/>
    <w:rsid w:val="3FCB189C"/>
    <w:rsid w:val="3FF322B2"/>
    <w:rsid w:val="400611FF"/>
    <w:rsid w:val="40253920"/>
    <w:rsid w:val="40643F38"/>
    <w:rsid w:val="40697A52"/>
    <w:rsid w:val="409A272E"/>
    <w:rsid w:val="40DA4E47"/>
    <w:rsid w:val="40E2476C"/>
    <w:rsid w:val="41197AF6"/>
    <w:rsid w:val="41202393"/>
    <w:rsid w:val="417319A2"/>
    <w:rsid w:val="418923B9"/>
    <w:rsid w:val="418C2CCF"/>
    <w:rsid w:val="41DB278B"/>
    <w:rsid w:val="420850EE"/>
    <w:rsid w:val="42100CF2"/>
    <w:rsid w:val="424B0183"/>
    <w:rsid w:val="42BC4B6D"/>
    <w:rsid w:val="42E974ED"/>
    <w:rsid w:val="42FD3C08"/>
    <w:rsid w:val="43217063"/>
    <w:rsid w:val="4331609D"/>
    <w:rsid w:val="4355293C"/>
    <w:rsid w:val="43564939"/>
    <w:rsid w:val="4371555A"/>
    <w:rsid w:val="43860D47"/>
    <w:rsid w:val="439C056B"/>
    <w:rsid w:val="43B06EBD"/>
    <w:rsid w:val="44092462"/>
    <w:rsid w:val="440D0713"/>
    <w:rsid w:val="4413082D"/>
    <w:rsid w:val="441C1E0A"/>
    <w:rsid w:val="44365AB0"/>
    <w:rsid w:val="444349AB"/>
    <w:rsid w:val="4464552C"/>
    <w:rsid w:val="447137A5"/>
    <w:rsid w:val="44A11F7D"/>
    <w:rsid w:val="44CB07FE"/>
    <w:rsid w:val="454E632A"/>
    <w:rsid w:val="45633A36"/>
    <w:rsid w:val="45720284"/>
    <w:rsid w:val="457651FB"/>
    <w:rsid w:val="45CD3E1B"/>
    <w:rsid w:val="45F11042"/>
    <w:rsid w:val="466510E8"/>
    <w:rsid w:val="46A8346D"/>
    <w:rsid w:val="46AC3823"/>
    <w:rsid w:val="474156B1"/>
    <w:rsid w:val="4758493B"/>
    <w:rsid w:val="477C109A"/>
    <w:rsid w:val="479C4FDD"/>
    <w:rsid w:val="479E2B03"/>
    <w:rsid w:val="47C34744"/>
    <w:rsid w:val="47CF02B6"/>
    <w:rsid w:val="47EA2AEB"/>
    <w:rsid w:val="48201F17"/>
    <w:rsid w:val="48362D3C"/>
    <w:rsid w:val="48623B31"/>
    <w:rsid w:val="486D24D6"/>
    <w:rsid w:val="48703717"/>
    <w:rsid w:val="48802C4C"/>
    <w:rsid w:val="489F1E28"/>
    <w:rsid w:val="48FC1080"/>
    <w:rsid w:val="492B486B"/>
    <w:rsid w:val="493C7C69"/>
    <w:rsid w:val="497D46EA"/>
    <w:rsid w:val="49B76B62"/>
    <w:rsid w:val="4A0F426A"/>
    <w:rsid w:val="4A443E36"/>
    <w:rsid w:val="4ACB3EB9"/>
    <w:rsid w:val="4AFB201B"/>
    <w:rsid w:val="4B2061B3"/>
    <w:rsid w:val="4B2F1727"/>
    <w:rsid w:val="4B3539F4"/>
    <w:rsid w:val="4B6820A2"/>
    <w:rsid w:val="4B685902"/>
    <w:rsid w:val="4B8134FA"/>
    <w:rsid w:val="4B83360B"/>
    <w:rsid w:val="4B887D52"/>
    <w:rsid w:val="4B8D2E03"/>
    <w:rsid w:val="4B9D5119"/>
    <w:rsid w:val="4BB31A41"/>
    <w:rsid w:val="4BD525C4"/>
    <w:rsid w:val="4BDB3F72"/>
    <w:rsid w:val="4BE157AA"/>
    <w:rsid w:val="4C2757BD"/>
    <w:rsid w:val="4C2B6930"/>
    <w:rsid w:val="4C8154BB"/>
    <w:rsid w:val="4C926DBD"/>
    <w:rsid w:val="4C98081B"/>
    <w:rsid w:val="4CB86415"/>
    <w:rsid w:val="4CD314A1"/>
    <w:rsid w:val="4D0E6A8B"/>
    <w:rsid w:val="4D4B637C"/>
    <w:rsid w:val="4D6C7200"/>
    <w:rsid w:val="4DAB1AD6"/>
    <w:rsid w:val="4DCC4D2B"/>
    <w:rsid w:val="4DE209BB"/>
    <w:rsid w:val="4DEA4CF4"/>
    <w:rsid w:val="4E3F46B7"/>
    <w:rsid w:val="4E8A59EC"/>
    <w:rsid w:val="4EAF0C00"/>
    <w:rsid w:val="4ECC264C"/>
    <w:rsid w:val="4EE91B5D"/>
    <w:rsid w:val="4F262484"/>
    <w:rsid w:val="4F27776F"/>
    <w:rsid w:val="4F660965"/>
    <w:rsid w:val="4F8E0CEA"/>
    <w:rsid w:val="4FD32219"/>
    <w:rsid w:val="4FE13EFE"/>
    <w:rsid w:val="4FE3642A"/>
    <w:rsid w:val="50024DEB"/>
    <w:rsid w:val="50061494"/>
    <w:rsid w:val="50DB3859"/>
    <w:rsid w:val="50DF5F1C"/>
    <w:rsid w:val="51096354"/>
    <w:rsid w:val="510E36E8"/>
    <w:rsid w:val="518327B8"/>
    <w:rsid w:val="51985B26"/>
    <w:rsid w:val="519A59F0"/>
    <w:rsid w:val="51A91D15"/>
    <w:rsid w:val="51B96FCA"/>
    <w:rsid w:val="51FF183A"/>
    <w:rsid w:val="520919B3"/>
    <w:rsid w:val="52143567"/>
    <w:rsid w:val="5224175E"/>
    <w:rsid w:val="52C55120"/>
    <w:rsid w:val="52D85640"/>
    <w:rsid w:val="52E37A1B"/>
    <w:rsid w:val="534263BF"/>
    <w:rsid w:val="535842FF"/>
    <w:rsid w:val="538B773E"/>
    <w:rsid w:val="53CB62C5"/>
    <w:rsid w:val="540718CD"/>
    <w:rsid w:val="541229A6"/>
    <w:rsid w:val="542045B3"/>
    <w:rsid w:val="54BF5453"/>
    <w:rsid w:val="54C1620D"/>
    <w:rsid w:val="54DE4E87"/>
    <w:rsid w:val="55056DC4"/>
    <w:rsid w:val="55223A02"/>
    <w:rsid w:val="5551208B"/>
    <w:rsid w:val="55944046"/>
    <w:rsid w:val="55C97D10"/>
    <w:rsid w:val="55D911AB"/>
    <w:rsid w:val="56170651"/>
    <w:rsid w:val="5655098D"/>
    <w:rsid w:val="565B1C9F"/>
    <w:rsid w:val="56951575"/>
    <w:rsid w:val="570D3802"/>
    <w:rsid w:val="573D0F9D"/>
    <w:rsid w:val="577A05E5"/>
    <w:rsid w:val="57A13737"/>
    <w:rsid w:val="57A75A04"/>
    <w:rsid w:val="57BA65CA"/>
    <w:rsid w:val="57EC05DD"/>
    <w:rsid w:val="583C0772"/>
    <w:rsid w:val="58404F11"/>
    <w:rsid w:val="58580AAD"/>
    <w:rsid w:val="58647037"/>
    <w:rsid w:val="58705627"/>
    <w:rsid w:val="58AD4EC6"/>
    <w:rsid w:val="59590F80"/>
    <w:rsid w:val="59FA5898"/>
    <w:rsid w:val="5A957EDE"/>
    <w:rsid w:val="5AB10EDB"/>
    <w:rsid w:val="5B247141"/>
    <w:rsid w:val="5B300BE5"/>
    <w:rsid w:val="5C473312"/>
    <w:rsid w:val="5C6C52AB"/>
    <w:rsid w:val="5C82434A"/>
    <w:rsid w:val="5CAE4C6B"/>
    <w:rsid w:val="5CAE513F"/>
    <w:rsid w:val="5D0A2EEF"/>
    <w:rsid w:val="5D0C681D"/>
    <w:rsid w:val="5D586E74"/>
    <w:rsid w:val="5D7874FB"/>
    <w:rsid w:val="5D7A3273"/>
    <w:rsid w:val="5D804D2D"/>
    <w:rsid w:val="5D83037A"/>
    <w:rsid w:val="5DB9023F"/>
    <w:rsid w:val="5DBD7190"/>
    <w:rsid w:val="5DC70225"/>
    <w:rsid w:val="5DEE4BC5"/>
    <w:rsid w:val="5DF3495B"/>
    <w:rsid w:val="5E4946B7"/>
    <w:rsid w:val="5E6E3429"/>
    <w:rsid w:val="5EAB7548"/>
    <w:rsid w:val="5EB01642"/>
    <w:rsid w:val="5EB34E64"/>
    <w:rsid w:val="5EBA3CCB"/>
    <w:rsid w:val="5F256B16"/>
    <w:rsid w:val="5F6B0AE3"/>
    <w:rsid w:val="5F6B7317"/>
    <w:rsid w:val="5FAE5456"/>
    <w:rsid w:val="5FF637D4"/>
    <w:rsid w:val="6094289E"/>
    <w:rsid w:val="609B00D0"/>
    <w:rsid w:val="60CB45EC"/>
    <w:rsid w:val="60F872D1"/>
    <w:rsid w:val="610C691B"/>
    <w:rsid w:val="612956DC"/>
    <w:rsid w:val="614610F4"/>
    <w:rsid w:val="618835DC"/>
    <w:rsid w:val="61F82D30"/>
    <w:rsid w:val="62241306"/>
    <w:rsid w:val="625031F6"/>
    <w:rsid w:val="62592BE0"/>
    <w:rsid w:val="62A92671"/>
    <w:rsid w:val="62EB4BFD"/>
    <w:rsid w:val="630041C0"/>
    <w:rsid w:val="633B67D2"/>
    <w:rsid w:val="637E5468"/>
    <w:rsid w:val="63E10EDB"/>
    <w:rsid w:val="63F859EF"/>
    <w:rsid w:val="64013D97"/>
    <w:rsid w:val="640E5739"/>
    <w:rsid w:val="642F4DB7"/>
    <w:rsid w:val="64647C1B"/>
    <w:rsid w:val="64E711AD"/>
    <w:rsid w:val="650B5887"/>
    <w:rsid w:val="65533C99"/>
    <w:rsid w:val="658D56B8"/>
    <w:rsid w:val="65E70DA3"/>
    <w:rsid w:val="663858FE"/>
    <w:rsid w:val="66672061"/>
    <w:rsid w:val="668F40E2"/>
    <w:rsid w:val="66C702D3"/>
    <w:rsid w:val="66CE5E35"/>
    <w:rsid w:val="670A5668"/>
    <w:rsid w:val="670D5158"/>
    <w:rsid w:val="673355BF"/>
    <w:rsid w:val="674A305F"/>
    <w:rsid w:val="674E6564"/>
    <w:rsid w:val="676A6106"/>
    <w:rsid w:val="67C1396A"/>
    <w:rsid w:val="67D0440A"/>
    <w:rsid w:val="67F83166"/>
    <w:rsid w:val="680E17DB"/>
    <w:rsid w:val="683116E6"/>
    <w:rsid w:val="68320727"/>
    <w:rsid w:val="68E07629"/>
    <w:rsid w:val="6930448A"/>
    <w:rsid w:val="69A00A1D"/>
    <w:rsid w:val="6A244627"/>
    <w:rsid w:val="6A2B5535"/>
    <w:rsid w:val="6A38073E"/>
    <w:rsid w:val="6A6C04F2"/>
    <w:rsid w:val="6AEC19E6"/>
    <w:rsid w:val="6AFA2009"/>
    <w:rsid w:val="6B491881"/>
    <w:rsid w:val="6B5478D0"/>
    <w:rsid w:val="6B5D7503"/>
    <w:rsid w:val="6B715CB5"/>
    <w:rsid w:val="6B8637E0"/>
    <w:rsid w:val="6B983201"/>
    <w:rsid w:val="6BDC6524"/>
    <w:rsid w:val="6BEE1303"/>
    <w:rsid w:val="6C1C0317"/>
    <w:rsid w:val="6C22746F"/>
    <w:rsid w:val="6C5B73FB"/>
    <w:rsid w:val="6C652BCB"/>
    <w:rsid w:val="6C6C10D7"/>
    <w:rsid w:val="6CA83959"/>
    <w:rsid w:val="6CBC467F"/>
    <w:rsid w:val="6CD95C70"/>
    <w:rsid w:val="6D1F60F3"/>
    <w:rsid w:val="6D3822F4"/>
    <w:rsid w:val="6D5E2269"/>
    <w:rsid w:val="6DA90AB3"/>
    <w:rsid w:val="6DE429BD"/>
    <w:rsid w:val="6DE43881"/>
    <w:rsid w:val="6EC802E2"/>
    <w:rsid w:val="6ED204E7"/>
    <w:rsid w:val="6ED749C9"/>
    <w:rsid w:val="6EFE5D01"/>
    <w:rsid w:val="6F2D6CD6"/>
    <w:rsid w:val="6F86559A"/>
    <w:rsid w:val="6FBC1A8B"/>
    <w:rsid w:val="702754DC"/>
    <w:rsid w:val="70751FF3"/>
    <w:rsid w:val="708F6BDE"/>
    <w:rsid w:val="70C74100"/>
    <w:rsid w:val="710439A6"/>
    <w:rsid w:val="715B7CA3"/>
    <w:rsid w:val="716D5171"/>
    <w:rsid w:val="71803E8E"/>
    <w:rsid w:val="71A70458"/>
    <w:rsid w:val="71B03C26"/>
    <w:rsid w:val="71B87D7F"/>
    <w:rsid w:val="71D21478"/>
    <w:rsid w:val="71D4762D"/>
    <w:rsid w:val="71F4257A"/>
    <w:rsid w:val="72011733"/>
    <w:rsid w:val="72135D18"/>
    <w:rsid w:val="72180D24"/>
    <w:rsid w:val="721A0B9F"/>
    <w:rsid w:val="723F632A"/>
    <w:rsid w:val="723F71AD"/>
    <w:rsid w:val="72440D8F"/>
    <w:rsid w:val="7268178D"/>
    <w:rsid w:val="729B74DF"/>
    <w:rsid w:val="72BC2352"/>
    <w:rsid w:val="72FC07A9"/>
    <w:rsid w:val="73092C77"/>
    <w:rsid w:val="731E2BC7"/>
    <w:rsid w:val="735B54D0"/>
    <w:rsid w:val="735E2591"/>
    <w:rsid w:val="73942E89"/>
    <w:rsid w:val="740B7875"/>
    <w:rsid w:val="74127055"/>
    <w:rsid w:val="74254C5D"/>
    <w:rsid w:val="74DE5A29"/>
    <w:rsid w:val="74DF1EE2"/>
    <w:rsid w:val="74FA1BB5"/>
    <w:rsid w:val="7506590F"/>
    <w:rsid w:val="750850DA"/>
    <w:rsid w:val="7530098F"/>
    <w:rsid w:val="75834D7F"/>
    <w:rsid w:val="758E3908"/>
    <w:rsid w:val="75ED262B"/>
    <w:rsid w:val="764B6FD7"/>
    <w:rsid w:val="76A62C65"/>
    <w:rsid w:val="76E35055"/>
    <w:rsid w:val="76FC03FE"/>
    <w:rsid w:val="77251200"/>
    <w:rsid w:val="77536BB7"/>
    <w:rsid w:val="77732DB5"/>
    <w:rsid w:val="77872E31"/>
    <w:rsid w:val="77D47CF8"/>
    <w:rsid w:val="77FF260C"/>
    <w:rsid w:val="78783F00"/>
    <w:rsid w:val="78B1618F"/>
    <w:rsid w:val="78B441B5"/>
    <w:rsid w:val="78C32A21"/>
    <w:rsid w:val="78DF0674"/>
    <w:rsid w:val="78EA354B"/>
    <w:rsid w:val="78FA3446"/>
    <w:rsid w:val="79030169"/>
    <w:rsid w:val="795E70C0"/>
    <w:rsid w:val="798968C0"/>
    <w:rsid w:val="799830E3"/>
    <w:rsid w:val="79E505AD"/>
    <w:rsid w:val="7A050B03"/>
    <w:rsid w:val="7A1C1731"/>
    <w:rsid w:val="7A58772B"/>
    <w:rsid w:val="7A5D7213"/>
    <w:rsid w:val="7A6510DB"/>
    <w:rsid w:val="7ABF550E"/>
    <w:rsid w:val="7AC202DC"/>
    <w:rsid w:val="7AE01FDA"/>
    <w:rsid w:val="7B2A4CD7"/>
    <w:rsid w:val="7B385AE0"/>
    <w:rsid w:val="7B5D1DB2"/>
    <w:rsid w:val="7B5D4DE5"/>
    <w:rsid w:val="7BFC2DBC"/>
    <w:rsid w:val="7C1903CF"/>
    <w:rsid w:val="7C621567"/>
    <w:rsid w:val="7D152651"/>
    <w:rsid w:val="7DB61C4E"/>
    <w:rsid w:val="7DC223A1"/>
    <w:rsid w:val="7DC452B5"/>
    <w:rsid w:val="7DDD2A85"/>
    <w:rsid w:val="7DF477AB"/>
    <w:rsid w:val="7E3736CB"/>
    <w:rsid w:val="7EB23491"/>
    <w:rsid w:val="7ED14F91"/>
    <w:rsid w:val="7F376DBE"/>
    <w:rsid w:val="7F4573F2"/>
    <w:rsid w:val="7FF5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0"/>
    <w:pPr>
      <w:keepNext/>
      <w:keepLines/>
      <w:adjustRightInd w:val="0"/>
      <w:spacing w:before="240" w:after="60" w:line="20" w:lineRule="exact"/>
      <w:textAlignment w:val="baseline"/>
      <w:outlineLvl w:val="0"/>
    </w:pPr>
    <w:rPr>
      <w:rFonts w:ascii="Times New Roman" w:hAnsi="Times New Roman" w:eastAsia="黑体"/>
      <w:color w:val="FF0000"/>
      <w:kern w:val="24"/>
      <w:sz w:val="28"/>
      <w:szCs w:val="20"/>
    </w:rPr>
  </w:style>
  <w:style w:type="paragraph" w:styleId="3">
    <w:name w:val="heading 2"/>
    <w:basedOn w:val="1"/>
    <w:next w:val="1"/>
    <w:link w:val="21"/>
    <w:qFormat/>
    <w:uiPriority w:val="0"/>
    <w:pPr>
      <w:keepNext/>
      <w:keepLines/>
      <w:adjustRightInd w:val="0"/>
      <w:spacing w:before="240" w:after="120" w:line="20" w:lineRule="exact"/>
      <w:textAlignment w:val="baseline"/>
      <w:outlineLvl w:val="1"/>
    </w:pPr>
    <w:rPr>
      <w:rFonts w:ascii="Cambria Math" w:hAnsi="Cambria Math" w:eastAsia="Yu Mincho Light"/>
      <w:color w:val="0000FF"/>
      <w:kern w:val="0"/>
      <w:sz w:val="24"/>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qFormat/>
    <w:uiPriority w:val="0"/>
    <w:pPr>
      <w:jc w:val="left"/>
    </w:pPr>
  </w:style>
  <w:style w:type="paragraph" w:styleId="7">
    <w:name w:val="Body Text 3"/>
    <w:basedOn w:val="1"/>
    <w:qFormat/>
    <w:uiPriority w:val="99"/>
    <w:rPr>
      <w:rFonts w:ascii="宋体"/>
      <w:sz w:val="24"/>
      <w:szCs w:val="20"/>
    </w:rPr>
  </w:style>
  <w:style w:type="paragraph" w:styleId="8">
    <w:name w:val="Body Text Indent"/>
    <w:basedOn w:val="1"/>
    <w:qFormat/>
    <w:uiPriority w:val="99"/>
    <w:pPr>
      <w:spacing w:line="300" w:lineRule="auto"/>
      <w:ind w:firstLine="480"/>
    </w:pPr>
    <w:rPr>
      <w:rFonts w:ascii="Times New Roman" w:hAnsi="Times New Roman" w:eastAsia="黑体"/>
      <w:b/>
      <w:bCs/>
      <w:szCs w:val="20"/>
    </w:rPr>
  </w:style>
  <w:style w:type="paragraph" w:styleId="9">
    <w:name w:val="Plain Text"/>
    <w:basedOn w:val="1"/>
    <w:qFormat/>
    <w:uiPriority w:val="0"/>
    <w:rPr>
      <w:rFonts w:ascii="宋体"/>
    </w:rPr>
  </w:style>
  <w:style w:type="paragraph" w:styleId="10">
    <w:name w:val="Date"/>
    <w:basedOn w:val="1"/>
    <w:next w:val="1"/>
    <w:qFormat/>
    <w:uiPriority w:val="0"/>
    <w:pPr>
      <w:ind w:left="100" w:leftChars="2500"/>
    </w:pPr>
    <w:rPr>
      <w:rFonts w:ascii="宋体"/>
      <w:szCs w:val="20"/>
    </w:rPr>
  </w:style>
  <w:style w:type="paragraph" w:styleId="11">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toc 2"/>
    <w:basedOn w:val="1"/>
    <w:next w:val="1"/>
    <w:unhideWhenUsed/>
    <w:qFormat/>
    <w:uiPriority w:val="39"/>
    <w:pPr>
      <w:ind w:firstLine="100" w:firstLineChars="100"/>
    </w:pPr>
    <w:rPr>
      <w:sz w:val="24"/>
    </w:rPr>
  </w:style>
  <w:style w:type="table" w:styleId="15">
    <w:name w:val="Table Grid"/>
    <w:basedOn w:val="14"/>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qFormat/>
    <w:uiPriority w:val="99"/>
    <w:rPr>
      <w:color w:val="2D64B3"/>
      <w:u w:val="none"/>
    </w:rPr>
  </w:style>
  <w:style w:type="paragraph" w:customStyle="1" w:styleId="19">
    <w:name w:val="格式2"/>
    <w:basedOn w:val="3"/>
    <w:qFormat/>
    <w:uiPriority w:val="0"/>
    <w:pPr>
      <w:autoSpaceDE w:val="0"/>
      <w:autoSpaceDN w:val="0"/>
      <w:spacing w:before="260" w:after="260" w:line="416" w:lineRule="atLeast"/>
    </w:pPr>
    <w:rPr>
      <w:rFonts w:ascii="黑体" w:hAnsi="Times New Roman"/>
      <w:b/>
      <w:color w:val="auto"/>
      <w:sz w:val="30"/>
    </w:rPr>
  </w:style>
  <w:style w:type="character" w:customStyle="1" w:styleId="20">
    <w:name w:val="标题 1 Char"/>
    <w:link w:val="2"/>
    <w:qFormat/>
    <w:uiPriority w:val="0"/>
    <w:rPr>
      <w:rFonts w:ascii="Times New Roman" w:hAnsi="Times New Roman" w:eastAsia="黑体"/>
      <w:color w:val="FF0000"/>
      <w:kern w:val="24"/>
      <w:sz w:val="28"/>
      <w:szCs w:val="20"/>
    </w:rPr>
  </w:style>
  <w:style w:type="character" w:customStyle="1" w:styleId="21">
    <w:name w:val="标题 2 Char"/>
    <w:link w:val="3"/>
    <w:qFormat/>
    <w:uiPriority w:val="0"/>
    <w:rPr>
      <w:rFonts w:ascii="Cambria Math" w:hAnsi="Cambria Math" w:eastAsia="Yu Mincho Light"/>
      <w:color w:val="0000FF"/>
      <w:kern w:val="0"/>
      <w:sz w:val="24"/>
      <w:szCs w:val="20"/>
    </w:rPr>
  </w:style>
  <w:style w:type="paragraph" w:customStyle="1" w:styleId="22">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宋体"/>
      <w:kern w:val="0"/>
      <w:szCs w:val="21"/>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paragraph" w:styleId="26">
    <w:name w:val="List Paragraph"/>
    <w:basedOn w:val="1"/>
    <w:qFormat/>
    <w:uiPriority w:val="34"/>
    <w:pPr>
      <w:ind w:firstLine="420" w:firstLineChars="200"/>
    </w:pPr>
  </w:style>
  <w:style w:type="paragraph" w:customStyle="1" w:styleId="27">
    <w:name w:val="目录 11"/>
    <w:basedOn w:val="1"/>
    <w:next w:val="1"/>
    <w:qFormat/>
    <w:uiPriority w:val="39"/>
    <w:pPr>
      <w:tabs>
        <w:tab w:val="right" w:leader="dot" w:pos="8100"/>
      </w:tabs>
      <w:adjustRightInd w:val="0"/>
      <w:spacing w:before="120" w:after="120" w:line="312" w:lineRule="atLeast"/>
      <w:ind w:right="25" w:rightChars="12"/>
      <w:jc w:val="left"/>
      <w:textAlignment w:val="baseline"/>
    </w:pPr>
    <w:rPr>
      <w:rFonts w:ascii="Times New Roman" w:hAnsi="Times New Roman" w:eastAsia="Cambria Math"/>
      <w:b/>
      <w:caps/>
      <w:color w:val="000000"/>
      <w:kern w:val="0"/>
      <w:sz w:val="20"/>
      <w:szCs w:val="20"/>
    </w:rPr>
  </w:style>
  <w:style w:type="paragraph" w:customStyle="1" w:styleId="28">
    <w:name w:val="通用2"/>
    <w:basedOn w:val="1"/>
    <w:qFormat/>
    <w:uiPriority w:val="0"/>
    <w:pPr>
      <w:tabs>
        <w:tab w:val="left" w:pos="851"/>
      </w:tabs>
      <w:spacing w:before="156" w:beforeLines="50" w:line="360" w:lineRule="auto"/>
      <w:ind w:left="851" w:hanging="851"/>
    </w:pPr>
    <w:rPr>
      <w:rFonts w:ascii="Cambria Math" w:hAnsi="Times New Roman"/>
      <w:szCs w:val="20"/>
    </w:rPr>
  </w:style>
  <w:style w:type="paragraph" w:customStyle="1" w:styleId="29">
    <w:name w:val="专用2"/>
    <w:basedOn w:val="1"/>
    <w:qFormat/>
    <w:uiPriority w:val="0"/>
    <w:pPr>
      <w:numPr>
        <w:ilvl w:val="0"/>
        <w:numId w:val="1"/>
      </w:numPr>
      <w:tabs>
        <w:tab w:val="left" w:pos="840"/>
        <w:tab w:val="clear" w:pos="780"/>
      </w:tabs>
      <w:spacing w:before="312" w:beforeLines="100" w:line="360" w:lineRule="auto"/>
      <w:ind w:left="840" w:hanging="840" w:hangingChars="400"/>
    </w:pPr>
    <w:rPr>
      <w:rFonts w:ascii="Cambria Math" w:hAnsi="Times New Roman"/>
      <w:szCs w:val="20"/>
    </w:rPr>
  </w:style>
  <w:style w:type="paragraph" w:customStyle="1" w:styleId="30">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31">
    <w:name w:val="_Style 1"/>
    <w:basedOn w:val="1"/>
    <w:qFormat/>
    <w:uiPriority w:val="0"/>
    <w:pPr>
      <w:adjustRightInd w:val="0"/>
      <w:spacing w:line="360" w:lineRule="atLeast"/>
      <w:ind w:firstLine="420" w:firstLineChars="200"/>
      <w:textAlignment w:val="baseline"/>
    </w:pPr>
    <w:rPr>
      <w:rFonts w:ascii="Calibri" w:hAnsi="Calibri"/>
      <w:szCs w:val="22"/>
    </w:rPr>
  </w:style>
  <w:style w:type="paragraph" w:customStyle="1" w:styleId="32">
    <w:name w:val="Body Text Indent 3"/>
    <w:basedOn w:val="1"/>
    <w:qFormat/>
    <w:uiPriority w:val="0"/>
    <w:pPr>
      <w:spacing w:after="120"/>
      <w:ind w:left="420" w:leftChars="200"/>
    </w:pPr>
    <w:rPr>
      <w:rFonts w:ascii="Calibri" w:hAnsi="Calibri"/>
      <w:sz w:val="16"/>
      <w:szCs w:val="16"/>
    </w:rPr>
  </w:style>
  <w:style w:type="paragraph" w:customStyle="1" w:styleId="33">
    <w:name w:val="Body Text Indent"/>
    <w:basedOn w:val="1"/>
    <w:qFormat/>
    <w:uiPriority w:val="0"/>
    <w:pPr>
      <w:spacing w:after="120"/>
      <w:ind w:left="420" w:left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87370</Words>
  <Characters>92641</Characters>
  <Lines>0</Lines>
  <Paragraphs>0</Paragraphs>
  <TotalTime>10</TotalTime>
  <ScaleCrop>false</ScaleCrop>
  <LinksUpToDate>false</LinksUpToDate>
  <CharactersWithSpaces>98144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2024-05-08T02:07:00Z</dcterms:created>
  <dc:creator>tanxuejiao</dc:creator>
  <cp:lastModifiedBy>庭子</cp:lastModifiedBy>
  <cp:lastPrinted>2025-05-13T03:20:00Z</cp:lastPrinted>
  <dcterms:modified xsi:type="dcterms:W3CDTF">2025-05-16T07:30:57Z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53251E59B6CE4B50843B3C1500B26962_12</vt:lpwstr>
  </property>
  <property fmtid="{D5CDD505-2E9C-101B-9397-08002B2CF9AE}" pid="4" name="KSOTemplateDocerSaveRecord">
    <vt:lpwstr>eyJoZGlkIjoiYmEwNGVmYTI1MmJmNDI5ZWQ3NmMzYTdlOTVkNGNjN2YiLCJ1c2VySWQiOiIxNDc5NjA3MTY3In0=</vt:lpwstr>
  </property>
</Properties>
</file>