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3040C">
      <w:pPr>
        <w:spacing w:line="360" w:lineRule="auto"/>
        <w:ind w:left="359" w:leftChars="171"/>
        <w:jc w:val="left"/>
        <w:rPr>
          <w:rFonts w:ascii="宋体" w:hAnsi="宋体" w:cs="宋体"/>
          <w:b/>
          <w:bCs/>
          <w:color w:val="auto"/>
          <w:spacing w:val="40"/>
          <w:sz w:val="44"/>
          <w:szCs w:val="44"/>
        </w:rPr>
      </w:pPr>
    </w:p>
    <w:p w14:paraId="15579573">
      <w:pPr>
        <w:spacing w:line="360" w:lineRule="auto"/>
        <w:rPr>
          <w:rFonts w:ascii="宋体" w:hAnsi="宋体" w:cs="宋体"/>
          <w:b/>
          <w:bCs/>
          <w:color w:val="auto"/>
          <w:spacing w:val="40"/>
          <w:sz w:val="44"/>
          <w:szCs w:val="44"/>
        </w:rPr>
      </w:pPr>
    </w:p>
    <w:p w14:paraId="3D35DCE7">
      <w:pPr>
        <w:spacing w:line="360" w:lineRule="auto"/>
        <w:jc w:val="center"/>
        <w:rPr>
          <w:rFonts w:hint="eastAsia" w:ascii="宋体" w:hAnsi="宋体" w:eastAsia="宋体" w:cs="宋体"/>
          <w:b/>
          <w:bCs/>
          <w:color w:val="auto"/>
          <w:spacing w:val="40"/>
          <w:sz w:val="56"/>
          <w:szCs w:val="72"/>
          <w:u w:val="none"/>
          <w:lang w:eastAsia="zh-CN"/>
        </w:rPr>
      </w:pPr>
      <w:r>
        <w:rPr>
          <w:rFonts w:hint="eastAsia" w:ascii="宋体" w:hAnsi="宋体" w:eastAsia="宋体" w:cs="宋体"/>
          <w:b/>
          <w:bCs/>
          <w:color w:val="auto"/>
          <w:spacing w:val="40"/>
          <w:sz w:val="56"/>
          <w:szCs w:val="72"/>
          <w:lang w:eastAsia="zh-CN"/>
        </w:rPr>
        <w:t>暨南大学学生宿舍及学生活动中心维修项目（2025年）施工</w:t>
      </w:r>
    </w:p>
    <w:p w14:paraId="3C0E56EA">
      <w:pPr>
        <w:spacing w:line="360" w:lineRule="auto"/>
        <w:rPr>
          <w:rFonts w:ascii="宋体" w:hAnsi="宋体" w:cs="宋体"/>
          <w:b/>
          <w:bCs/>
          <w:color w:val="auto"/>
          <w:spacing w:val="26"/>
          <w:sz w:val="110"/>
          <w:szCs w:val="110"/>
        </w:rPr>
      </w:pPr>
    </w:p>
    <w:p w14:paraId="34BA83CF">
      <w:pPr>
        <w:pStyle w:val="22"/>
        <w:rPr>
          <w:rFonts w:hAnsi="宋体" w:cs="宋体"/>
          <w:color w:val="auto"/>
        </w:rPr>
      </w:pPr>
    </w:p>
    <w:p w14:paraId="1F9879BA">
      <w:pPr>
        <w:spacing w:line="360" w:lineRule="auto"/>
        <w:jc w:val="center"/>
        <w:rPr>
          <w:rFonts w:ascii="宋体" w:hAnsi="宋体" w:cs="宋体"/>
          <w:b/>
          <w:bCs/>
          <w:color w:val="auto"/>
          <w:spacing w:val="26"/>
          <w:sz w:val="72"/>
          <w:szCs w:val="72"/>
        </w:rPr>
      </w:pPr>
      <w:r>
        <w:rPr>
          <w:rFonts w:hint="eastAsia" w:ascii="宋体" w:hAnsi="宋体" w:cs="宋体"/>
          <w:b/>
          <w:bCs/>
          <w:color w:val="auto"/>
          <w:spacing w:val="26"/>
          <w:sz w:val="72"/>
          <w:szCs w:val="72"/>
        </w:rPr>
        <w:t>招标文件</w:t>
      </w:r>
    </w:p>
    <w:p w14:paraId="7BEBEF30">
      <w:pPr>
        <w:spacing w:line="360" w:lineRule="auto"/>
        <w:jc w:val="center"/>
        <w:rPr>
          <w:rFonts w:ascii="宋体" w:hAnsi="宋体" w:cs="宋体"/>
          <w:color w:val="auto"/>
          <w:sz w:val="32"/>
        </w:rPr>
      </w:pPr>
    </w:p>
    <w:p w14:paraId="17F5C01B">
      <w:pPr>
        <w:spacing w:line="360" w:lineRule="auto"/>
        <w:ind w:firstLine="2560" w:firstLineChars="800"/>
        <w:rPr>
          <w:rFonts w:ascii="宋体" w:hAnsi="宋体" w:cs="宋体"/>
          <w:color w:val="auto"/>
          <w:sz w:val="32"/>
        </w:rPr>
      </w:pPr>
    </w:p>
    <w:p w14:paraId="4C4EF883">
      <w:pPr>
        <w:spacing w:line="360" w:lineRule="auto"/>
        <w:rPr>
          <w:rFonts w:ascii="宋体" w:hAnsi="宋体" w:cs="宋体"/>
          <w:color w:val="auto"/>
          <w:sz w:val="30"/>
          <w:szCs w:val="30"/>
        </w:rPr>
      </w:pPr>
    </w:p>
    <w:p w14:paraId="1C13C273">
      <w:pPr>
        <w:spacing w:line="360" w:lineRule="auto"/>
        <w:ind w:firstLine="900" w:firstLineChars="300"/>
        <w:rPr>
          <w:rFonts w:ascii="宋体" w:hAnsi="宋体" w:cs="宋体"/>
          <w:color w:val="auto"/>
          <w:sz w:val="30"/>
          <w:szCs w:val="30"/>
        </w:rPr>
      </w:pPr>
    </w:p>
    <w:p w14:paraId="1AF40DC6">
      <w:pPr>
        <w:pStyle w:val="9"/>
        <w:rPr>
          <w:rFonts w:ascii="宋体" w:hAnsi="宋体" w:cs="宋体"/>
          <w:color w:val="auto"/>
          <w:sz w:val="30"/>
          <w:szCs w:val="30"/>
        </w:rPr>
      </w:pPr>
    </w:p>
    <w:p w14:paraId="64D67627">
      <w:pPr>
        <w:rPr>
          <w:rFonts w:ascii="宋体" w:hAnsi="宋体" w:cs="宋体"/>
          <w:color w:val="auto"/>
          <w:sz w:val="30"/>
          <w:szCs w:val="30"/>
        </w:rPr>
      </w:pPr>
    </w:p>
    <w:p w14:paraId="40B40730">
      <w:pPr>
        <w:pStyle w:val="22"/>
        <w:rPr>
          <w:rFonts w:hAnsi="宋体" w:cs="宋体"/>
          <w:color w:val="auto"/>
        </w:rPr>
      </w:pPr>
    </w:p>
    <w:p w14:paraId="663AF062">
      <w:pPr>
        <w:rPr>
          <w:rFonts w:ascii="宋体" w:hAnsi="宋体" w:cs="宋体"/>
          <w:color w:val="auto"/>
        </w:rPr>
      </w:pPr>
    </w:p>
    <w:p w14:paraId="1D71DA2B">
      <w:pPr>
        <w:spacing w:line="360" w:lineRule="auto"/>
        <w:ind w:firstLine="900" w:firstLineChars="300"/>
        <w:rPr>
          <w:rFonts w:hint="eastAsia" w:ascii="宋体" w:hAnsi="宋体" w:eastAsia="宋体" w:cs="宋体"/>
          <w:color w:val="auto"/>
          <w:sz w:val="30"/>
          <w:szCs w:val="30"/>
          <w:u w:val="single"/>
          <w:lang w:eastAsia="zh-CN"/>
        </w:rPr>
      </w:pPr>
      <w:r>
        <w:rPr>
          <w:rFonts w:hint="eastAsia" w:ascii="宋体" w:hAnsi="宋体" w:cs="宋体"/>
          <w:color w:val="auto"/>
          <w:sz w:val="30"/>
          <w:szCs w:val="30"/>
        </w:rPr>
        <w:t>招  标 单 位：</w:t>
      </w:r>
      <w:r>
        <w:rPr>
          <w:rFonts w:hint="eastAsia" w:ascii="宋体" w:hAnsi="宋体" w:cs="宋体"/>
          <w:color w:val="auto"/>
          <w:sz w:val="30"/>
          <w:szCs w:val="30"/>
          <w:u w:val="single"/>
          <w:lang w:eastAsia="zh-CN"/>
        </w:rPr>
        <w:t>暨南大学</w:t>
      </w:r>
    </w:p>
    <w:p w14:paraId="0502038D">
      <w:pPr>
        <w:spacing w:line="360" w:lineRule="auto"/>
        <w:ind w:firstLine="900" w:firstLineChars="300"/>
        <w:rPr>
          <w:rFonts w:hint="eastAsia" w:ascii="宋体" w:hAnsi="宋体" w:eastAsia="宋体" w:cs="宋体"/>
          <w:color w:val="auto"/>
          <w:sz w:val="30"/>
          <w:szCs w:val="30"/>
          <w:lang w:eastAsia="zh-CN"/>
        </w:rPr>
      </w:pPr>
      <w:r>
        <w:rPr>
          <w:rFonts w:hint="eastAsia" w:ascii="宋体" w:hAnsi="宋体" w:cs="宋体"/>
          <w:color w:val="auto"/>
          <w:sz w:val="30"/>
          <w:szCs w:val="30"/>
        </w:rPr>
        <w:t>招标代理单位：</w:t>
      </w:r>
      <w:r>
        <w:rPr>
          <w:rFonts w:hint="eastAsia" w:ascii="宋体" w:hAnsi="宋体" w:cs="宋体"/>
          <w:color w:val="auto"/>
          <w:sz w:val="30"/>
          <w:szCs w:val="30"/>
          <w:u w:val="single"/>
          <w:lang w:eastAsia="zh-CN"/>
        </w:rPr>
        <w:t>广东省机电设备招标有限公司</w:t>
      </w:r>
    </w:p>
    <w:p w14:paraId="382C9F01">
      <w:pPr>
        <w:spacing w:line="360" w:lineRule="auto"/>
        <w:ind w:firstLine="900" w:firstLineChars="300"/>
        <w:rPr>
          <w:rFonts w:hint="default" w:ascii="宋体" w:hAnsi="宋体" w:eastAsia="宋体" w:cs="宋体"/>
          <w:color w:val="auto"/>
          <w:sz w:val="30"/>
          <w:szCs w:val="30"/>
          <w:lang w:val="en-US" w:eastAsia="zh-CN"/>
        </w:rPr>
      </w:pPr>
      <w:r>
        <w:rPr>
          <w:rFonts w:hint="eastAsia" w:ascii="宋体" w:hAnsi="宋体" w:cs="宋体"/>
          <w:color w:val="auto"/>
          <w:sz w:val="30"/>
          <w:szCs w:val="30"/>
        </w:rPr>
        <w:t>日        期：</w:t>
      </w:r>
      <w:r>
        <w:rPr>
          <w:rFonts w:hint="eastAsia" w:ascii="宋体" w:hAnsi="宋体" w:cs="宋体"/>
          <w:color w:val="auto"/>
          <w:sz w:val="30"/>
          <w:szCs w:val="30"/>
          <w:u w:val="single"/>
        </w:rPr>
        <w:t>202</w:t>
      </w:r>
      <w:r>
        <w:rPr>
          <w:rFonts w:hint="eastAsia" w:ascii="宋体" w:hAnsi="宋体" w:cs="宋体"/>
          <w:color w:val="auto"/>
          <w:sz w:val="30"/>
          <w:szCs w:val="30"/>
          <w:u w:val="single"/>
          <w:lang w:val="en-US" w:eastAsia="zh-CN"/>
        </w:rPr>
        <w:t>5</w:t>
      </w:r>
      <w:r>
        <w:rPr>
          <w:rFonts w:hint="eastAsia" w:ascii="宋体" w:hAnsi="宋体" w:cs="宋体"/>
          <w:color w:val="auto"/>
          <w:sz w:val="30"/>
          <w:szCs w:val="30"/>
        </w:rPr>
        <w:t>年</w:t>
      </w:r>
      <w:r>
        <w:rPr>
          <w:rFonts w:hint="eastAsia" w:ascii="宋体" w:hAnsi="宋体" w:cs="宋体"/>
          <w:color w:val="auto"/>
          <w:sz w:val="30"/>
          <w:szCs w:val="30"/>
          <w:u w:val="single"/>
          <w:lang w:val="en-US" w:eastAsia="zh-CN"/>
        </w:rPr>
        <w:t>05</w:t>
      </w:r>
      <w:r>
        <w:rPr>
          <w:rFonts w:hint="eastAsia" w:ascii="宋体" w:hAnsi="宋体" w:cs="宋体"/>
          <w:color w:val="auto"/>
          <w:sz w:val="30"/>
          <w:szCs w:val="30"/>
          <w:lang w:val="en-US" w:eastAsia="zh-CN"/>
        </w:rPr>
        <w:t>月</w:t>
      </w:r>
    </w:p>
    <w:p w14:paraId="111BFE97">
      <w:pPr>
        <w:spacing w:before="312" w:beforeLines="100" w:after="312" w:afterLines="100" w:line="360" w:lineRule="auto"/>
        <w:jc w:val="center"/>
        <w:rPr>
          <w:rFonts w:ascii="宋体" w:hAnsi="宋体" w:cs="宋体"/>
          <w:b/>
          <w:caps/>
          <w:color w:val="auto"/>
          <w:kern w:val="0"/>
        </w:rPr>
      </w:pPr>
      <w:r>
        <w:rPr>
          <w:rFonts w:hint="eastAsia" w:ascii="宋体" w:hAnsi="宋体" w:cs="宋体"/>
          <w:color w:val="auto"/>
          <w:sz w:val="30"/>
          <w:szCs w:val="30"/>
        </w:rPr>
        <w:br w:type="page"/>
      </w:r>
      <w:r>
        <w:rPr>
          <w:rStyle w:val="47"/>
          <w:rFonts w:hint="eastAsia" w:ascii="宋体" w:hAnsi="宋体" w:cs="宋体"/>
          <w:b/>
          <w:bCs/>
          <w:color w:val="auto"/>
          <w:sz w:val="44"/>
          <w:szCs w:val="44"/>
          <w:u w:val="none"/>
        </w:rPr>
        <w:t>目录</w:t>
      </w:r>
    </w:p>
    <w:p w14:paraId="7204F952">
      <w:pPr>
        <w:pStyle w:val="29"/>
        <w:tabs>
          <w:tab w:val="right" w:leader="dot" w:pos="9070"/>
          <w:tab w:val="clear" w:pos="9060"/>
        </w:tabs>
        <w:rPr>
          <w:rFonts w:hAnsi="宋体" w:cs="宋体"/>
          <w:color w:val="auto"/>
          <w:sz w:val="28"/>
          <w:szCs w:val="28"/>
        </w:rPr>
      </w:pPr>
      <w:r>
        <w:rPr>
          <w:rFonts w:hint="eastAsia" w:hAnsi="宋体" w:cs="宋体"/>
          <w:color w:val="auto"/>
          <w:sz w:val="28"/>
          <w:szCs w:val="28"/>
        </w:rPr>
        <w:fldChar w:fldCharType="begin"/>
      </w:r>
      <w:r>
        <w:rPr>
          <w:rFonts w:hint="eastAsia" w:hAnsi="宋体" w:cs="宋体"/>
          <w:color w:val="auto"/>
          <w:sz w:val="28"/>
          <w:szCs w:val="28"/>
        </w:rPr>
        <w:instrText xml:space="preserve"> TOC \o "1-3" \h \z \u </w:instrText>
      </w:r>
      <w:r>
        <w:rPr>
          <w:rFonts w:hint="eastAsia" w:hAnsi="宋体" w:cs="宋体"/>
          <w:color w:val="auto"/>
          <w:sz w:val="28"/>
          <w:szCs w:val="28"/>
        </w:rPr>
        <w:fldChar w:fldCharType="separate"/>
      </w:r>
      <w:r>
        <w:rPr>
          <w:color w:val="auto"/>
          <w:sz w:val="22"/>
          <w:szCs w:val="28"/>
        </w:rPr>
        <w:fldChar w:fldCharType="begin"/>
      </w:r>
      <w:r>
        <w:rPr>
          <w:color w:val="auto"/>
          <w:sz w:val="22"/>
          <w:szCs w:val="28"/>
        </w:rPr>
        <w:instrText xml:space="preserve"> HYPERLINK \l "_Toc29999" </w:instrText>
      </w:r>
      <w:r>
        <w:rPr>
          <w:color w:val="auto"/>
          <w:sz w:val="22"/>
          <w:szCs w:val="28"/>
        </w:rPr>
        <w:fldChar w:fldCharType="separate"/>
      </w:r>
      <w:r>
        <w:rPr>
          <w:rFonts w:hint="eastAsia" w:hAnsi="宋体" w:cs="宋体"/>
          <w:color w:val="auto"/>
          <w:sz w:val="28"/>
          <w:szCs w:val="28"/>
        </w:rPr>
        <w:t>第一章  投标须知</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_Toc29999 \h </w:instrText>
      </w:r>
      <w:r>
        <w:rPr>
          <w:rFonts w:hint="eastAsia" w:hAnsi="宋体" w:cs="宋体"/>
          <w:color w:val="auto"/>
          <w:sz w:val="28"/>
          <w:szCs w:val="28"/>
        </w:rPr>
        <w:fldChar w:fldCharType="separate"/>
      </w:r>
      <w:r>
        <w:rPr>
          <w:rFonts w:hint="eastAsia" w:hAnsi="宋体" w:cs="宋体"/>
          <w:color w:val="auto"/>
          <w:sz w:val="28"/>
          <w:szCs w:val="28"/>
        </w:rPr>
        <w:t>1</w:t>
      </w:r>
      <w:r>
        <w:rPr>
          <w:rFonts w:hint="eastAsia" w:hAnsi="宋体" w:cs="宋体"/>
          <w:color w:val="auto"/>
          <w:sz w:val="28"/>
          <w:szCs w:val="28"/>
        </w:rPr>
        <w:fldChar w:fldCharType="end"/>
      </w:r>
      <w:r>
        <w:rPr>
          <w:rFonts w:hint="eastAsia" w:hAnsi="宋体" w:cs="宋体"/>
          <w:color w:val="auto"/>
          <w:sz w:val="28"/>
          <w:szCs w:val="28"/>
        </w:rPr>
        <w:fldChar w:fldCharType="end"/>
      </w:r>
    </w:p>
    <w:p w14:paraId="50CDC103">
      <w:pPr>
        <w:pStyle w:val="32"/>
        <w:tabs>
          <w:tab w:val="right" w:leader="dot" w:pos="9070"/>
          <w:tab w:val="clear" w:pos="9060"/>
        </w:tabs>
        <w:ind w:left="420"/>
        <w:rPr>
          <w:rFonts w:ascii="宋体" w:hAnsi="宋体" w:cs="宋体"/>
          <w:color w:val="auto"/>
          <w:sz w:val="28"/>
          <w:szCs w:val="28"/>
        </w:rPr>
      </w:pPr>
      <w:r>
        <w:rPr>
          <w:color w:val="auto"/>
          <w:sz w:val="22"/>
          <w:szCs w:val="22"/>
        </w:rPr>
        <w:fldChar w:fldCharType="begin"/>
      </w:r>
      <w:r>
        <w:rPr>
          <w:color w:val="auto"/>
          <w:sz w:val="22"/>
          <w:szCs w:val="22"/>
        </w:rPr>
        <w:instrText xml:space="preserve"> HYPERLINK \l "_Toc3951" </w:instrText>
      </w:r>
      <w:r>
        <w:rPr>
          <w:color w:val="auto"/>
          <w:sz w:val="22"/>
          <w:szCs w:val="22"/>
        </w:rPr>
        <w:fldChar w:fldCharType="separate"/>
      </w:r>
      <w:r>
        <w:rPr>
          <w:rFonts w:hint="eastAsia" w:ascii="宋体" w:hAnsi="宋体" w:cs="宋体"/>
          <w:color w:val="auto"/>
          <w:sz w:val="28"/>
          <w:szCs w:val="28"/>
        </w:rPr>
        <w:t>一、投标须知前附表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_Toc3951 \h </w:instrText>
      </w:r>
      <w:r>
        <w:rPr>
          <w:rFonts w:hint="eastAsia" w:ascii="宋体" w:hAnsi="宋体" w:cs="宋体"/>
          <w:color w:val="auto"/>
          <w:sz w:val="28"/>
          <w:szCs w:val="28"/>
        </w:rPr>
        <w:fldChar w:fldCharType="separate"/>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1855B41">
      <w:pPr>
        <w:pStyle w:val="32"/>
        <w:tabs>
          <w:tab w:val="right" w:leader="dot" w:pos="9070"/>
          <w:tab w:val="clear" w:pos="9060"/>
        </w:tabs>
        <w:ind w:left="420"/>
        <w:rPr>
          <w:rFonts w:ascii="宋体" w:hAnsi="宋体" w:cs="宋体"/>
          <w:color w:val="auto"/>
          <w:sz w:val="28"/>
          <w:szCs w:val="28"/>
        </w:rPr>
      </w:pPr>
      <w:r>
        <w:rPr>
          <w:color w:val="auto"/>
          <w:sz w:val="22"/>
          <w:szCs w:val="22"/>
        </w:rPr>
        <w:fldChar w:fldCharType="begin"/>
      </w:r>
      <w:r>
        <w:rPr>
          <w:color w:val="auto"/>
          <w:sz w:val="22"/>
          <w:szCs w:val="22"/>
        </w:rPr>
        <w:instrText xml:space="preserve"> HYPERLINK \l "_Toc12984" </w:instrText>
      </w:r>
      <w:r>
        <w:rPr>
          <w:color w:val="auto"/>
          <w:sz w:val="22"/>
          <w:szCs w:val="22"/>
        </w:rPr>
        <w:fldChar w:fldCharType="separate"/>
      </w:r>
      <w:r>
        <w:rPr>
          <w:rFonts w:hint="eastAsia" w:ascii="宋体" w:hAnsi="宋体" w:cs="宋体"/>
          <w:color w:val="auto"/>
          <w:sz w:val="28"/>
          <w:szCs w:val="28"/>
        </w:rPr>
        <w:t>二、投标须知修改表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_Toc12984 \h </w:instrText>
      </w:r>
      <w:r>
        <w:rPr>
          <w:rFonts w:hint="eastAsia" w:ascii="宋体" w:hAnsi="宋体" w:cs="宋体"/>
          <w:color w:val="auto"/>
          <w:sz w:val="28"/>
          <w:szCs w:val="28"/>
        </w:rPr>
        <w:fldChar w:fldCharType="separate"/>
      </w:r>
      <w:r>
        <w:rPr>
          <w:rFonts w:hint="eastAsia" w:ascii="宋体" w:hAnsi="宋体" w:cs="宋体"/>
          <w:color w:val="auto"/>
          <w:sz w:val="28"/>
          <w:szCs w:val="28"/>
        </w:rPr>
        <w:t>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920D313">
      <w:pPr>
        <w:pStyle w:val="32"/>
        <w:tabs>
          <w:tab w:val="right" w:leader="dot" w:pos="9070"/>
          <w:tab w:val="clear" w:pos="9060"/>
        </w:tabs>
        <w:ind w:left="420"/>
        <w:rPr>
          <w:rFonts w:ascii="宋体" w:hAnsi="宋体" w:cs="宋体"/>
          <w:color w:val="auto"/>
          <w:sz w:val="28"/>
          <w:szCs w:val="28"/>
        </w:rPr>
      </w:pPr>
      <w:r>
        <w:rPr>
          <w:color w:val="auto"/>
          <w:sz w:val="22"/>
          <w:szCs w:val="22"/>
        </w:rPr>
        <w:fldChar w:fldCharType="begin"/>
      </w:r>
      <w:r>
        <w:rPr>
          <w:color w:val="auto"/>
          <w:sz w:val="22"/>
          <w:szCs w:val="22"/>
        </w:rPr>
        <w:instrText xml:space="preserve"> HYPERLINK \l "_Toc24881" </w:instrText>
      </w:r>
      <w:r>
        <w:rPr>
          <w:color w:val="auto"/>
          <w:sz w:val="22"/>
          <w:szCs w:val="22"/>
        </w:rPr>
        <w:fldChar w:fldCharType="separate"/>
      </w:r>
      <w:r>
        <w:rPr>
          <w:rFonts w:hint="eastAsia" w:ascii="宋体" w:hAnsi="宋体" w:cs="宋体"/>
          <w:color w:val="auto"/>
          <w:sz w:val="28"/>
          <w:szCs w:val="28"/>
        </w:rPr>
        <w:t>三、投标须知通用条款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_Toc24881 \h </w:instrText>
      </w:r>
      <w:r>
        <w:rPr>
          <w:rFonts w:hint="eastAsia" w:ascii="宋体" w:hAnsi="宋体" w:cs="宋体"/>
          <w:color w:val="auto"/>
          <w:sz w:val="28"/>
          <w:szCs w:val="28"/>
        </w:rPr>
        <w:fldChar w:fldCharType="separate"/>
      </w:r>
      <w:r>
        <w:rPr>
          <w:rFonts w:hint="eastAsia" w:ascii="宋体" w:hAnsi="宋体" w:cs="宋体"/>
          <w:color w:val="auto"/>
          <w:sz w:val="28"/>
          <w:szCs w:val="28"/>
        </w:rPr>
        <w:t>19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5D08C25F">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"_Toc286" </w:instrText>
      </w:r>
      <w:r>
        <w:rPr>
          <w:color w:val="auto"/>
          <w:sz w:val="22"/>
          <w:szCs w:val="28"/>
        </w:rPr>
        <w:fldChar w:fldCharType="separate"/>
      </w:r>
      <w:r>
        <w:rPr>
          <w:rFonts w:hint="eastAsia" w:hAnsi="宋体" w:cs="宋体"/>
          <w:color w:val="auto"/>
          <w:sz w:val="28"/>
          <w:szCs w:val="28"/>
        </w:rPr>
        <w:t>第二章  开标、评标及定标办法</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_Toc286 \h </w:instrText>
      </w:r>
      <w:r>
        <w:rPr>
          <w:rFonts w:hint="eastAsia" w:hAnsi="宋体" w:cs="宋体"/>
          <w:color w:val="auto"/>
          <w:sz w:val="28"/>
          <w:szCs w:val="28"/>
        </w:rPr>
        <w:fldChar w:fldCharType="separate"/>
      </w:r>
      <w:r>
        <w:rPr>
          <w:rFonts w:hint="eastAsia" w:hAnsi="宋体" w:cs="宋体"/>
          <w:color w:val="auto"/>
          <w:sz w:val="28"/>
          <w:szCs w:val="28"/>
        </w:rPr>
        <w:t>33</w:t>
      </w:r>
      <w:r>
        <w:rPr>
          <w:rFonts w:hint="eastAsia" w:hAnsi="宋体" w:cs="宋体"/>
          <w:color w:val="auto"/>
          <w:sz w:val="28"/>
          <w:szCs w:val="28"/>
        </w:rPr>
        <w:fldChar w:fldCharType="end"/>
      </w:r>
      <w:r>
        <w:rPr>
          <w:rFonts w:hint="eastAsia" w:hAnsi="宋体" w:cs="宋体"/>
          <w:color w:val="auto"/>
          <w:sz w:val="28"/>
          <w:szCs w:val="28"/>
        </w:rPr>
        <w:fldChar w:fldCharType="end"/>
      </w:r>
    </w:p>
    <w:p w14:paraId="3110CAD2">
      <w:pPr>
        <w:pStyle w:val="32"/>
        <w:tabs>
          <w:tab w:val="right" w:leader="dot" w:pos="9070"/>
          <w:tab w:val="clear" w:pos="9060"/>
        </w:tabs>
        <w:ind w:left="420"/>
        <w:rPr>
          <w:rFonts w:ascii="宋体" w:hAnsi="宋体" w:cs="宋体"/>
          <w:color w:val="auto"/>
          <w:sz w:val="28"/>
          <w:szCs w:val="28"/>
        </w:rPr>
      </w:pPr>
      <w:r>
        <w:rPr>
          <w:color w:val="auto"/>
          <w:sz w:val="22"/>
          <w:szCs w:val="22"/>
        </w:rPr>
        <w:fldChar w:fldCharType="begin"/>
      </w:r>
      <w:r>
        <w:rPr>
          <w:color w:val="auto"/>
          <w:sz w:val="22"/>
          <w:szCs w:val="22"/>
        </w:rPr>
        <w:instrText xml:space="preserve"> HYPERLINK \l "_Toc20398" </w:instrText>
      </w:r>
      <w:r>
        <w:rPr>
          <w:color w:val="auto"/>
          <w:sz w:val="22"/>
          <w:szCs w:val="22"/>
        </w:rPr>
        <w:fldChar w:fldCharType="separate"/>
      </w:r>
      <w:r>
        <w:rPr>
          <w:rFonts w:hint="eastAsia" w:ascii="宋体" w:hAnsi="宋体" w:cs="宋体"/>
          <w:color w:val="auto"/>
          <w:sz w:val="28"/>
          <w:szCs w:val="28"/>
        </w:rPr>
        <w:t>一、开标、评标及定标办法修改表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_Toc20398 \h </w:instrText>
      </w:r>
      <w:r>
        <w:rPr>
          <w:rFonts w:hint="eastAsia" w:ascii="宋体" w:hAnsi="宋体" w:cs="宋体"/>
          <w:color w:val="auto"/>
          <w:sz w:val="28"/>
          <w:szCs w:val="28"/>
        </w:rPr>
        <w:fldChar w:fldCharType="separate"/>
      </w:r>
      <w:r>
        <w:rPr>
          <w:rFonts w:hint="eastAsia" w:ascii="宋体" w:hAnsi="宋体" w:cs="宋体"/>
          <w:color w:val="auto"/>
          <w:sz w:val="28"/>
          <w:szCs w:val="28"/>
        </w:rPr>
        <w:t>33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5E40499">
      <w:pPr>
        <w:pStyle w:val="32"/>
        <w:tabs>
          <w:tab w:val="right" w:leader="dot" w:pos="9070"/>
          <w:tab w:val="clear" w:pos="9060"/>
        </w:tabs>
        <w:ind w:left="420"/>
        <w:rPr>
          <w:rFonts w:ascii="宋体" w:hAnsi="宋体" w:cs="宋体"/>
          <w:color w:val="auto"/>
          <w:sz w:val="28"/>
          <w:szCs w:val="28"/>
        </w:rPr>
      </w:pPr>
      <w:r>
        <w:rPr>
          <w:color w:val="auto"/>
          <w:sz w:val="22"/>
          <w:szCs w:val="22"/>
        </w:rPr>
        <w:fldChar w:fldCharType="begin"/>
      </w:r>
      <w:r>
        <w:rPr>
          <w:color w:val="auto"/>
          <w:sz w:val="22"/>
          <w:szCs w:val="22"/>
        </w:rPr>
        <w:instrText xml:space="preserve"> HYPERLINK \l "_Toc11460" </w:instrText>
      </w:r>
      <w:r>
        <w:rPr>
          <w:color w:val="auto"/>
          <w:sz w:val="22"/>
          <w:szCs w:val="22"/>
        </w:rPr>
        <w:fldChar w:fldCharType="separate"/>
      </w:r>
      <w:r>
        <w:rPr>
          <w:rFonts w:hint="eastAsia" w:ascii="宋体" w:hAnsi="宋体" w:cs="宋体"/>
          <w:color w:val="auto"/>
          <w:sz w:val="28"/>
          <w:szCs w:val="28"/>
        </w:rPr>
        <w:t>二、开标、评标及定标办法通用条款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_Toc11460 \h </w:instrText>
      </w:r>
      <w:r>
        <w:rPr>
          <w:rFonts w:hint="eastAsia" w:ascii="宋体" w:hAnsi="宋体" w:cs="宋体"/>
          <w:color w:val="auto"/>
          <w:sz w:val="28"/>
          <w:szCs w:val="28"/>
        </w:rPr>
        <w:fldChar w:fldCharType="separate"/>
      </w:r>
      <w:r>
        <w:rPr>
          <w:rFonts w:hint="eastAsia" w:ascii="宋体" w:hAnsi="宋体" w:cs="宋体"/>
          <w:color w:val="auto"/>
          <w:sz w:val="28"/>
          <w:szCs w:val="28"/>
        </w:rPr>
        <w:t>39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7FB75D8">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"_Toc14934" </w:instrText>
      </w:r>
      <w:r>
        <w:rPr>
          <w:color w:val="auto"/>
          <w:sz w:val="22"/>
          <w:szCs w:val="28"/>
        </w:rPr>
        <w:fldChar w:fldCharType="separate"/>
      </w:r>
      <w:r>
        <w:rPr>
          <w:rFonts w:hint="eastAsia" w:hAnsi="宋体" w:cs="宋体"/>
          <w:color w:val="auto"/>
          <w:sz w:val="28"/>
          <w:szCs w:val="28"/>
        </w:rPr>
        <w:t>第三章  合同条款</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_Toc14934 \h </w:instrText>
      </w:r>
      <w:r>
        <w:rPr>
          <w:rFonts w:hint="eastAsia" w:hAnsi="宋体" w:cs="宋体"/>
          <w:color w:val="auto"/>
          <w:sz w:val="28"/>
          <w:szCs w:val="28"/>
        </w:rPr>
        <w:fldChar w:fldCharType="separate"/>
      </w:r>
      <w:r>
        <w:rPr>
          <w:rFonts w:hint="eastAsia" w:hAnsi="宋体" w:cs="宋体"/>
          <w:color w:val="auto"/>
          <w:sz w:val="28"/>
          <w:szCs w:val="28"/>
        </w:rPr>
        <w:t>59</w:t>
      </w:r>
      <w:r>
        <w:rPr>
          <w:rFonts w:hint="eastAsia" w:hAnsi="宋体" w:cs="宋体"/>
          <w:color w:val="auto"/>
          <w:sz w:val="28"/>
          <w:szCs w:val="28"/>
        </w:rPr>
        <w:fldChar w:fldCharType="end"/>
      </w:r>
      <w:r>
        <w:rPr>
          <w:rFonts w:hint="eastAsia" w:hAnsi="宋体" w:cs="宋体"/>
          <w:color w:val="auto"/>
          <w:sz w:val="28"/>
          <w:szCs w:val="28"/>
        </w:rPr>
        <w:fldChar w:fldCharType="end"/>
      </w:r>
    </w:p>
    <w:p w14:paraId="0F2462CE">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"_Toc12630" </w:instrText>
      </w:r>
      <w:r>
        <w:rPr>
          <w:color w:val="auto"/>
          <w:sz w:val="22"/>
          <w:szCs w:val="28"/>
        </w:rPr>
        <w:fldChar w:fldCharType="separate"/>
      </w:r>
      <w:r>
        <w:rPr>
          <w:rFonts w:hint="eastAsia" w:hAnsi="宋体" w:cs="宋体"/>
          <w:color w:val="auto"/>
          <w:sz w:val="28"/>
          <w:szCs w:val="28"/>
        </w:rPr>
        <w:t>第四章  投标文件格式</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_Toc12630 \h </w:instrText>
      </w:r>
      <w:r>
        <w:rPr>
          <w:rFonts w:hint="eastAsia" w:hAnsi="宋体" w:cs="宋体"/>
          <w:color w:val="auto"/>
          <w:sz w:val="28"/>
          <w:szCs w:val="28"/>
        </w:rPr>
        <w:fldChar w:fldCharType="separate"/>
      </w:r>
      <w:r>
        <w:rPr>
          <w:rFonts w:hint="eastAsia" w:hAnsi="宋体" w:cs="宋体"/>
          <w:color w:val="auto"/>
          <w:sz w:val="28"/>
          <w:szCs w:val="28"/>
        </w:rPr>
        <w:t>60</w:t>
      </w:r>
      <w:r>
        <w:rPr>
          <w:rFonts w:hint="eastAsia" w:hAnsi="宋体" w:cs="宋体"/>
          <w:color w:val="auto"/>
          <w:sz w:val="28"/>
          <w:szCs w:val="28"/>
        </w:rPr>
        <w:fldChar w:fldCharType="end"/>
      </w:r>
      <w:r>
        <w:rPr>
          <w:rFonts w:hint="eastAsia" w:hAnsi="宋体" w:cs="宋体"/>
          <w:color w:val="auto"/>
          <w:sz w:val="28"/>
          <w:szCs w:val="28"/>
        </w:rPr>
        <w:fldChar w:fldCharType="end"/>
      </w:r>
    </w:p>
    <w:p w14:paraId="3F976EC7">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"_Toc22889" </w:instrText>
      </w:r>
      <w:r>
        <w:rPr>
          <w:color w:val="auto"/>
          <w:sz w:val="22"/>
          <w:szCs w:val="28"/>
        </w:rPr>
        <w:fldChar w:fldCharType="separate"/>
      </w:r>
      <w:r>
        <w:rPr>
          <w:rFonts w:hint="eastAsia" w:hAnsi="宋体" w:cs="宋体"/>
          <w:color w:val="auto"/>
          <w:sz w:val="28"/>
          <w:szCs w:val="28"/>
        </w:rPr>
        <w:t>第五章  技术条件（工程建设标准）</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_Toc22889 \h </w:instrText>
      </w:r>
      <w:r>
        <w:rPr>
          <w:rFonts w:hint="eastAsia" w:hAnsi="宋体" w:cs="宋体"/>
          <w:color w:val="auto"/>
          <w:sz w:val="28"/>
          <w:szCs w:val="28"/>
        </w:rPr>
        <w:fldChar w:fldCharType="separate"/>
      </w:r>
      <w:r>
        <w:rPr>
          <w:rFonts w:hint="eastAsia" w:hAnsi="宋体" w:cs="宋体"/>
          <w:color w:val="auto"/>
          <w:sz w:val="28"/>
          <w:szCs w:val="28"/>
        </w:rPr>
        <w:t>80</w:t>
      </w:r>
      <w:r>
        <w:rPr>
          <w:rFonts w:hint="eastAsia" w:hAnsi="宋体" w:cs="宋体"/>
          <w:color w:val="auto"/>
          <w:sz w:val="28"/>
          <w:szCs w:val="28"/>
        </w:rPr>
        <w:fldChar w:fldCharType="end"/>
      </w:r>
      <w:r>
        <w:rPr>
          <w:rFonts w:hint="eastAsia" w:hAnsi="宋体" w:cs="宋体"/>
          <w:color w:val="auto"/>
          <w:sz w:val="28"/>
          <w:szCs w:val="28"/>
        </w:rPr>
        <w:fldChar w:fldCharType="end"/>
      </w:r>
    </w:p>
    <w:p w14:paraId="3B698C8C">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"_Toc17006" </w:instrText>
      </w:r>
      <w:r>
        <w:rPr>
          <w:color w:val="auto"/>
          <w:sz w:val="22"/>
          <w:szCs w:val="28"/>
        </w:rPr>
        <w:fldChar w:fldCharType="separate"/>
      </w:r>
      <w:r>
        <w:rPr>
          <w:rFonts w:hint="eastAsia" w:hAnsi="宋体" w:cs="宋体"/>
          <w:color w:val="auto"/>
          <w:sz w:val="28"/>
          <w:szCs w:val="28"/>
        </w:rPr>
        <w:t>第六章  图纸及勘察资料</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_Toc17006 \h </w:instrText>
      </w:r>
      <w:r>
        <w:rPr>
          <w:rFonts w:hint="eastAsia" w:hAnsi="宋体" w:cs="宋体"/>
          <w:color w:val="auto"/>
          <w:sz w:val="28"/>
          <w:szCs w:val="28"/>
        </w:rPr>
        <w:fldChar w:fldCharType="separate"/>
      </w:r>
      <w:r>
        <w:rPr>
          <w:rFonts w:hint="eastAsia" w:hAnsi="宋体" w:cs="宋体"/>
          <w:color w:val="auto"/>
          <w:sz w:val="28"/>
          <w:szCs w:val="28"/>
        </w:rPr>
        <w:t>80</w:t>
      </w:r>
      <w:r>
        <w:rPr>
          <w:rFonts w:hint="eastAsia" w:hAnsi="宋体" w:cs="宋体"/>
          <w:color w:val="auto"/>
          <w:sz w:val="28"/>
          <w:szCs w:val="28"/>
        </w:rPr>
        <w:fldChar w:fldCharType="end"/>
      </w:r>
      <w:r>
        <w:rPr>
          <w:rFonts w:hint="eastAsia" w:hAnsi="宋体" w:cs="宋体"/>
          <w:color w:val="auto"/>
          <w:sz w:val="28"/>
          <w:szCs w:val="28"/>
        </w:rPr>
        <w:fldChar w:fldCharType="end"/>
      </w:r>
    </w:p>
    <w:p w14:paraId="15FAB315">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"_Toc2247" </w:instrText>
      </w:r>
      <w:r>
        <w:rPr>
          <w:color w:val="auto"/>
          <w:sz w:val="22"/>
          <w:szCs w:val="28"/>
        </w:rPr>
        <w:fldChar w:fldCharType="separate"/>
      </w:r>
      <w:r>
        <w:rPr>
          <w:rFonts w:hint="eastAsia" w:hAnsi="宋体" w:cs="宋体"/>
          <w:color w:val="auto"/>
          <w:sz w:val="28"/>
          <w:szCs w:val="28"/>
        </w:rPr>
        <w:t>第七章  工程量清单</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_Toc2247 \h </w:instrText>
      </w:r>
      <w:r>
        <w:rPr>
          <w:rFonts w:hint="eastAsia" w:hAnsi="宋体" w:cs="宋体"/>
          <w:color w:val="auto"/>
          <w:sz w:val="28"/>
          <w:szCs w:val="28"/>
        </w:rPr>
        <w:fldChar w:fldCharType="separate"/>
      </w:r>
      <w:r>
        <w:rPr>
          <w:rFonts w:hint="eastAsia" w:hAnsi="宋体" w:cs="宋体"/>
          <w:color w:val="auto"/>
          <w:sz w:val="28"/>
          <w:szCs w:val="28"/>
        </w:rPr>
        <w:t>87</w:t>
      </w:r>
      <w:r>
        <w:rPr>
          <w:rFonts w:hint="eastAsia" w:hAnsi="宋体" w:cs="宋体"/>
          <w:color w:val="auto"/>
          <w:sz w:val="28"/>
          <w:szCs w:val="28"/>
        </w:rPr>
        <w:fldChar w:fldCharType="end"/>
      </w:r>
      <w:r>
        <w:rPr>
          <w:rFonts w:hint="eastAsia" w:hAnsi="宋体" w:cs="宋体"/>
          <w:color w:val="auto"/>
          <w:sz w:val="28"/>
          <w:szCs w:val="28"/>
        </w:rPr>
        <w:fldChar w:fldCharType="end"/>
      </w:r>
    </w:p>
    <w:p w14:paraId="05B8FAE9">
      <w:pPr>
        <w:pStyle w:val="29"/>
        <w:tabs>
          <w:tab w:val="right" w:leader="dot" w:pos="9070"/>
          <w:tab w:val="clear" w:pos="9060"/>
        </w:tabs>
        <w:rPr>
          <w:rFonts w:hAnsi="宋体" w:cs="宋体"/>
          <w:color w:val="auto"/>
          <w:sz w:val="28"/>
          <w:szCs w:val="28"/>
        </w:rPr>
      </w:pPr>
      <w:r>
        <w:rPr>
          <w:color w:val="auto"/>
          <w:sz w:val="22"/>
          <w:szCs w:val="28"/>
        </w:rPr>
        <w:fldChar w:fldCharType="begin"/>
      </w:r>
      <w:r>
        <w:rPr>
          <w:color w:val="auto"/>
          <w:sz w:val="22"/>
          <w:szCs w:val="28"/>
        </w:rPr>
        <w:instrText xml:space="preserve"> HYPERLINK \l "_Toc10163" </w:instrText>
      </w:r>
      <w:r>
        <w:rPr>
          <w:color w:val="auto"/>
          <w:sz w:val="22"/>
          <w:szCs w:val="28"/>
        </w:rPr>
        <w:fldChar w:fldCharType="separate"/>
      </w:r>
      <w:r>
        <w:rPr>
          <w:rFonts w:hint="eastAsia" w:hAnsi="宋体" w:cs="宋体"/>
          <w:color w:val="auto"/>
          <w:sz w:val="28"/>
          <w:szCs w:val="28"/>
        </w:rPr>
        <w:t>第八章  最高投标限价</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_Toc10163 \h </w:instrText>
      </w:r>
      <w:r>
        <w:rPr>
          <w:rFonts w:hint="eastAsia" w:hAnsi="宋体" w:cs="宋体"/>
          <w:color w:val="auto"/>
          <w:sz w:val="28"/>
          <w:szCs w:val="28"/>
        </w:rPr>
        <w:fldChar w:fldCharType="separate"/>
      </w:r>
      <w:r>
        <w:rPr>
          <w:rFonts w:hint="eastAsia" w:hAnsi="宋体" w:cs="宋体"/>
          <w:color w:val="auto"/>
          <w:sz w:val="28"/>
          <w:szCs w:val="28"/>
        </w:rPr>
        <w:t>88</w:t>
      </w:r>
      <w:r>
        <w:rPr>
          <w:rFonts w:hint="eastAsia" w:hAnsi="宋体" w:cs="宋体"/>
          <w:color w:val="auto"/>
          <w:sz w:val="28"/>
          <w:szCs w:val="28"/>
        </w:rPr>
        <w:fldChar w:fldCharType="end"/>
      </w:r>
      <w:r>
        <w:rPr>
          <w:rFonts w:hint="eastAsia" w:hAnsi="宋体" w:cs="宋体"/>
          <w:color w:val="auto"/>
          <w:sz w:val="28"/>
          <w:szCs w:val="28"/>
        </w:rPr>
        <w:fldChar w:fldCharType="end"/>
      </w:r>
    </w:p>
    <w:p w14:paraId="533A082D">
      <w:pPr>
        <w:outlineLvl w:val="9"/>
        <w:rPr>
          <w:rFonts w:ascii="宋体" w:hAnsi="宋体" w:cs="宋体"/>
          <w:color w:val="auto"/>
        </w:rPr>
      </w:pPr>
      <w:r>
        <w:rPr>
          <w:rFonts w:hint="eastAsia" w:ascii="宋体" w:hAnsi="宋体" w:cs="宋体"/>
          <w:color w:val="auto"/>
          <w:sz w:val="28"/>
          <w:szCs w:val="28"/>
        </w:rPr>
        <w:fldChar w:fldCharType="end"/>
      </w:r>
    </w:p>
    <w:p w14:paraId="5BF2E73B">
      <w:pPr>
        <w:outlineLvl w:val="9"/>
        <w:rPr>
          <w:rFonts w:ascii="宋体" w:hAnsi="宋体" w:cs="宋体"/>
          <w:color w:val="auto"/>
        </w:rPr>
      </w:pPr>
    </w:p>
    <w:p w14:paraId="699A0DE8">
      <w:pPr>
        <w:pStyle w:val="2"/>
        <w:rPr>
          <w:rFonts w:ascii="宋体" w:hAnsi="宋体" w:cs="宋体"/>
          <w:color w:val="auto"/>
        </w:rPr>
      </w:pPr>
    </w:p>
    <w:p w14:paraId="3E3D54B6">
      <w:pPr>
        <w:pStyle w:val="2"/>
        <w:spacing w:before="0" w:after="0"/>
        <w:jc w:val="center"/>
        <w:rPr>
          <w:rFonts w:ascii="宋体" w:hAnsi="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247" w:left="1418" w:header="851" w:footer="907" w:gutter="0"/>
          <w:pgBorders>
            <w:top w:val="none" w:sz="0" w:space="0"/>
            <w:left w:val="none" w:sz="0" w:space="0"/>
            <w:bottom w:val="none" w:sz="0" w:space="0"/>
            <w:right w:val="none" w:sz="0" w:space="0"/>
          </w:pgBorders>
          <w:cols w:space="720" w:num="1"/>
          <w:titlePg/>
          <w:docGrid w:type="lines" w:linePitch="312" w:charSpace="0"/>
        </w:sectPr>
      </w:pPr>
      <w:bookmarkStart w:id="0" w:name="_Toc29999"/>
    </w:p>
    <w:p w14:paraId="0C41E720">
      <w:pPr>
        <w:pStyle w:val="2"/>
        <w:spacing w:before="0" w:after="0"/>
        <w:jc w:val="center"/>
        <w:rPr>
          <w:rFonts w:ascii="宋体" w:hAnsi="宋体" w:cs="宋体"/>
          <w:color w:val="auto"/>
        </w:rPr>
      </w:pPr>
      <w:r>
        <w:rPr>
          <w:rFonts w:hint="eastAsia" w:ascii="宋体" w:hAnsi="宋体" w:cs="宋体"/>
          <w:color w:val="auto"/>
        </w:rPr>
        <w:t>第一章  投标须知</w:t>
      </w:r>
      <w:bookmarkEnd w:id="0"/>
    </w:p>
    <w:p w14:paraId="2A17C860">
      <w:pPr>
        <w:pStyle w:val="6"/>
        <w:spacing w:before="0" w:after="0" w:line="360" w:lineRule="auto"/>
        <w:ind w:left="0"/>
        <w:rPr>
          <w:rFonts w:ascii="宋体" w:hAnsi="宋体" w:cs="宋体"/>
          <w:color w:val="auto"/>
          <w:sz w:val="28"/>
          <w:szCs w:val="28"/>
        </w:rPr>
      </w:pPr>
      <w:bookmarkStart w:id="1" w:name="_Toc3951"/>
      <w:r>
        <w:rPr>
          <w:rFonts w:hint="eastAsia" w:ascii="宋体" w:hAnsi="宋体" w:cs="宋体"/>
          <w:color w:val="auto"/>
          <w:sz w:val="28"/>
          <w:szCs w:val="28"/>
        </w:rPr>
        <w:t>一、投标须知前附表</w:t>
      </w:r>
      <w:bookmarkEnd w:id="1"/>
    </w:p>
    <w:p w14:paraId="73592AFA">
      <w:pPr>
        <w:pStyle w:val="9"/>
        <w:ind w:firstLine="0"/>
        <w:jc w:val="left"/>
        <w:rPr>
          <w:rFonts w:ascii="宋体" w:hAnsi="宋体" w:cs="宋体"/>
          <w:b/>
          <w:color w:val="auto"/>
          <w:sz w:val="20"/>
        </w:rPr>
      </w:pPr>
      <w:r>
        <w:rPr>
          <w:rFonts w:hint="eastAsia" w:ascii="宋体" w:hAnsi="宋体" w:cs="宋体"/>
          <w:b/>
          <w:color w:val="auto"/>
          <w:sz w:val="20"/>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2A5C51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45865C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199D3F6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331F41F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38BBF5BF">
            <w:pPr>
              <w:pStyle w:val="23"/>
              <w:keepNext w:val="0"/>
              <w:keepLines w:val="0"/>
              <w:suppressLineNumbers w:val="0"/>
              <w:spacing w:before="0" w:beforeAutospacing="0" w:after="0" w:afterAutospacing="0"/>
              <w:ind w:left="0" w:right="0"/>
              <w:jc w:val="center"/>
              <w:rPr>
                <w:rFonts w:hint="default" w:ascii="宋体" w:hAnsi="宋体" w:cs="宋体"/>
                <w:color w:val="auto"/>
                <w:kern w:val="2"/>
                <w:sz w:val="21"/>
                <w:szCs w:val="21"/>
              </w:rPr>
            </w:pPr>
            <w:r>
              <w:rPr>
                <w:rFonts w:hint="eastAsia" w:ascii="宋体" w:hAnsi="宋体" w:cs="宋体"/>
                <w:color w:val="auto"/>
                <w:kern w:val="2"/>
                <w:sz w:val="21"/>
                <w:szCs w:val="21"/>
              </w:rPr>
              <w:t>说明与要求</w:t>
            </w:r>
          </w:p>
        </w:tc>
      </w:tr>
      <w:tr w14:paraId="5B10DB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02BD5FD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14:paraId="7FA7E7A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14:paraId="33E700F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03868E03">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招标人（即发包人）：</w:t>
            </w:r>
            <w:r>
              <w:rPr>
                <w:rFonts w:hint="eastAsia" w:ascii="宋体" w:hAnsi="宋体" w:cs="宋体"/>
                <w:color w:val="auto"/>
                <w:szCs w:val="21"/>
                <w:u w:val="single"/>
                <w:lang w:eastAsia="zh-CN"/>
              </w:rPr>
              <w:t>暨南大学</w:t>
            </w:r>
          </w:p>
          <w:p w14:paraId="23A77F28">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招标代理：</w:t>
            </w:r>
            <w:r>
              <w:rPr>
                <w:rFonts w:hint="eastAsia" w:ascii="宋体" w:hAnsi="宋体" w:cs="宋体"/>
                <w:color w:val="auto"/>
                <w:szCs w:val="21"/>
                <w:u w:val="single"/>
                <w:lang w:eastAsia="zh-CN"/>
              </w:rPr>
              <w:t>广东省机电设备招标有限公司</w:t>
            </w:r>
          </w:p>
          <w:p w14:paraId="469F53E6">
            <w:pPr>
              <w:keepNext w:val="0"/>
              <w:keepLines w:val="0"/>
              <w:suppressLineNumbers w:val="0"/>
              <w:spacing w:before="0" w:beforeAutospacing="0" w:after="0" w:afterAutospacing="0"/>
              <w:ind w:left="0" w:right="0"/>
              <w:rPr>
                <w:rFonts w:hint="default" w:ascii="宋体" w:hAnsi="宋体" w:eastAsia="宋体" w:cs="宋体"/>
                <w:color w:val="auto"/>
                <w:szCs w:val="21"/>
                <w:lang w:val="en-US" w:eastAsia="zh-CN"/>
              </w:rPr>
            </w:pPr>
            <w:r>
              <w:rPr>
                <w:rFonts w:hint="eastAsia" w:ascii="宋体" w:hAnsi="宋体" w:cs="宋体"/>
                <w:color w:val="auto"/>
                <w:szCs w:val="21"/>
              </w:rPr>
              <w:t>设计单位：</w:t>
            </w:r>
            <w:r>
              <w:rPr>
                <w:rFonts w:hint="eastAsia" w:ascii="宋体" w:hAnsi="宋体" w:cs="宋体"/>
                <w:color w:val="auto"/>
                <w:szCs w:val="21"/>
                <w:u w:val="single"/>
              </w:rPr>
              <w:t>广州智海建筑设计有限公司</w:t>
            </w:r>
          </w:p>
          <w:p w14:paraId="3E4E3E28">
            <w:pPr>
              <w:keepNext w:val="0"/>
              <w:keepLines w:val="0"/>
              <w:suppressLineNumbers w:val="0"/>
              <w:spacing w:before="0" w:beforeAutospacing="0" w:after="0" w:afterAutospacing="0"/>
              <w:ind w:left="0" w:right="0"/>
              <w:rPr>
                <w:rFonts w:hint="default" w:ascii="宋体" w:hAnsi="宋体" w:cs="宋体"/>
                <w:color w:val="auto"/>
                <w:szCs w:val="21"/>
                <w:lang w:val="en-US"/>
              </w:rPr>
            </w:pPr>
            <w:r>
              <w:rPr>
                <w:rFonts w:hint="eastAsia" w:ascii="宋体" w:hAnsi="宋体" w:cs="宋体"/>
                <w:color w:val="auto"/>
                <w:szCs w:val="21"/>
              </w:rPr>
              <w:t>造价单位：</w:t>
            </w:r>
            <w:r>
              <w:rPr>
                <w:rFonts w:hint="eastAsia" w:ascii="宋体" w:hAnsi="宋体" w:cs="宋体"/>
                <w:color w:val="auto"/>
                <w:szCs w:val="21"/>
                <w:u w:val="single"/>
                <w:lang w:val="en-US" w:eastAsia="zh-CN"/>
              </w:rPr>
              <w:t>广东省吉光工程咨询有限公司</w:t>
            </w:r>
          </w:p>
        </w:tc>
      </w:tr>
      <w:tr w14:paraId="7E461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1FFA824">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14:paraId="6F6675B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005D39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550D3F57">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lang w:eastAsia="zh-CN"/>
              </w:rPr>
              <w:t>暨南大学学生宿舍及学生活动中心维修项目（2025年）施工</w:t>
            </w:r>
          </w:p>
        </w:tc>
      </w:tr>
      <w:tr w14:paraId="25868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194F2648">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14:paraId="60A8938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7D8F6B88">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5C621C1A">
            <w:pPr>
              <w:keepNext w:val="0"/>
              <w:keepLines w:val="0"/>
              <w:suppressLineNumbers w:val="0"/>
              <w:spacing w:before="0" w:beforeAutospacing="0" w:after="0" w:afterAutospacing="0"/>
              <w:ind w:left="0" w:right="0"/>
              <w:rPr>
                <w:rFonts w:hint="default" w:ascii="宋体" w:hAnsi="宋体" w:eastAsia="宋体" w:cs="宋体"/>
                <w:color w:val="auto"/>
                <w:szCs w:val="21"/>
                <w:lang w:val="en-US" w:eastAsia="zh-CN"/>
              </w:rPr>
            </w:pPr>
            <w:r>
              <w:rPr>
                <w:rFonts w:hint="eastAsia" w:ascii="宋体" w:hAnsi="宋体" w:cs="宋体"/>
                <w:color w:val="auto"/>
                <w:szCs w:val="21"/>
                <w:lang w:eastAsia="zh-CN"/>
              </w:rPr>
              <w:t>暨南大学石牌校区、</w:t>
            </w:r>
            <w:r>
              <w:rPr>
                <w:rFonts w:hint="eastAsia" w:ascii="宋体" w:hAnsi="宋体" w:cs="宋体"/>
                <w:color w:val="auto"/>
                <w:szCs w:val="21"/>
                <w:lang w:val="en-US" w:eastAsia="zh-CN"/>
              </w:rPr>
              <w:t>番禺校区</w:t>
            </w:r>
          </w:p>
        </w:tc>
      </w:tr>
      <w:tr w14:paraId="0354B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1809903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14:paraId="3234A67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AC1F96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4F42C04D">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详见本工程招标公告</w:t>
            </w:r>
          </w:p>
        </w:tc>
      </w:tr>
      <w:tr w14:paraId="62968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02" w:type="dxa"/>
            <w:tcBorders>
              <w:top w:val="single" w:color="auto" w:sz="4" w:space="0"/>
              <w:left w:val="double" w:color="auto" w:sz="4" w:space="0"/>
              <w:bottom w:val="single" w:color="auto" w:sz="4" w:space="0"/>
              <w:right w:val="single" w:color="auto" w:sz="4" w:space="0"/>
            </w:tcBorders>
            <w:vAlign w:val="center"/>
          </w:tcPr>
          <w:p w14:paraId="01E5A51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14:paraId="2C14A3C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4130C5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749A3BDD">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固定综合单价包干，项目措施费及其他费用包干。按照工程量清单（深化完善后）、平面图及施工设计和效果设计图纸内容，采取包工、包料、包服务、包行政施工许可、包材料检测、包机械、包工期、包质量、包安全生产、包文明施工、包税、包措施、包规费、包利润、包劳保、包验收、包保修、包组织项目整体竣工验收（含资料汇总、整理）等的方式进行固定综合单价包干。</w:t>
            </w:r>
          </w:p>
        </w:tc>
      </w:tr>
      <w:tr w14:paraId="799C6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0DAACC9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14:paraId="01CCB314">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22614D1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033F1F57">
            <w:pPr>
              <w:keepNext w:val="0"/>
              <w:keepLines w:val="0"/>
              <w:suppressLineNumbers w:val="0"/>
              <w:spacing w:before="0" w:beforeAutospacing="0" w:after="0" w:afterAutospacing="0"/>
              <w:ind w:left="0" w:right="0"/>
              <w:rPr>
                <w:rFonts w:hint="default" w:ascii="宋体" w:hAnsi="宋体" w:cs="宋体"/>
                <w:color w:val="auto"/>
                <w:szCs w:val="21"/>
                <w:u w:val="single"/>
              </w:rPr>
            </w:pPr>
            <w:r>
              <w:rPr>
                <w:rFonts w:hint="eastAsia" w:ascii="宋体" w:hAnsi="宋体" w:cs="宋体"/>
                <w:color w:val="auto"/>
                <w:szCs w:val="21"/>
              </w:rPr>
              <w:t>执行国家最新颁布《建筑工程施工质量验收统一标准》及相应配套的各专业验收规范等。工程质量符合《建筑工程施工质量评价标准》（GB/T50375-2016）有关要求、现行工程质量验收标准达到质量一次竣工验收合格，并符合施工图纸要求和国家、行业有关标准。</w:t>
            </w:r>
          </w:p>
        </w:tc>
      </w:tr>
      <w:tr w14:paraId="44F5C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222C405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14:paraId="78CF457D">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3BD18F3">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5E4138C6">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详见本工程招标公告</w:t>
            </w:r>
          </w:p>
        </w:tc>
      </w:tr>
      <w:tr w14:paraId="7ED85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1FE64F9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14:paraId="698D5FA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DDC9A4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69B58FC2">
            <w:pPr>
              <w:keepNext w:val="0"/>
              <w:keepLines w:val="0"/>
              <w:suppressLineNumbers w:val="0"/>
              <w:spacing w:before="0" w:beforeAutospacing="0" w:after="0" w:afterAutospacing="0"/>
              <w:ind w:left="0" w:right="0"/>
              <w:rPr>
                <w:rFonts w:hint="eastAsia" w:ascii="宋体" w:hAnsi="宋体" w:cs="宋体"/>
                <w:color w:val="auto"/>
                <w:szCs w:val="21"/>
              </w:rPr>
            </w:pPr>
            <w:r>
              <w:rPr>
                <w:rFonts w:hint="eastAsia" w:ascii="宋体" w:hAnsi="宋体" w:cs="宋体"/>
                <w:color w:val="auto"/>
                <w:szCs w:val="21"/>
              </w:rPr>
              <w:t>总工期：</w:t>
            </w:r>
            <w:r>
              <w:rPr>
                <w:rFonts w:hint="eastAsia" w:ascii="宋体" w:hAnsi="宋体" w:cs="宋体"/>
                <w:color w:val="auto"/>
                <w:szCs w:val="21"/>
                <w:u w:val="single"/>
                <w:lang w:val="en-US" w:eastAsia="zh-CN"/>
              </w:rPr>
              <w:t>75</w:t>
            </w:r>
            <w:r>
              <w:rPr>
                <w:rFonts w:hint="eastAsia" w:ascii="宋体" w:hAnsi="宋体" w:cs="宋体"/>
                <w:color w:val="auto"/>
                <w:szCs w:val="21"/>
                <w:u w:val="single"/>
              </w:rPr>
              <w:t>日历天</w:t>
            </w:r>
            <w:r>
              <w:rPr>
                <w:rFonts w:hint="eastAsia" w:ascii="宋体" w:hAnsi="宋体" w:cs="宋体"/>
                <w:color w:val="auto"/>
                <w:szCs w:val="21"/>
              </w:rPr>
              <w:t>。其中:</w:t>
            </w:r>
          </w:p>
          <w:p w14:paraId="3652010D">
            <w:pPr>
              <w:keepNext w:val="0"/>
              <w:keepLines w:val="0"/>
              <w:suppressLineNumbers w:val="0"/>
              <w:spacing w:before="0" w:beforeAutospacing="0" w:after="0" w:afterAutospacing="0"/>
              <w:ind w:left="0" w:right="0"/>
              <w:rPr>
                <w:rFonts w:hint="eastAsia" w:ascii="宋体" w:hAnsi="宋体" w:cs="宋体"/>
                <w:color w:val="auto"/>
                <w:szCs w:val="21"/>
              </w:rPr>
            </w:pPr>
            <w:r>
              <w:rPr>
                <w:rFonts w:hint="eastAsia" w:ascii="宋体" w:hAnsi="宋体" w:cs="宋体"/>
                <w:color w:val="auto"/>
                <w:szCs w:val="21"/>
              </w:rPr>
              <w:t>（一）学生宿舍修缮部分：由暑假开始时间7月19日开工，竣工日期为8月25号，工期37</w:t>
            </w:r>
            <w:r>
              <w:rPr>
                <w:rFonts w:hint="eastAsia" w:ascii="宋体" w:hAnsi="宋体" w:cs="宋体"/>
                <w:color w:val="auto"/>
                <w:szCs w:val="21"/>
                <w:u w:val="single"/>
              </w:rPr>
              <w:t>日历天</w:t>
            </w:r>
            <w:r>
              <w:rPr>
                <w:rFonts w:hint="eastAsia" w:ascii="宋体" w:hAnsi="宋体" w:cs="宋体"/>
                <w:color w:val="auto"/>
                <w:szCs w:val="21"/>
              </w:rPr>
              <w:t>。</w:t>
            </w:r>
          </w:p>
          <w:p w14:paraId="4864515B">
            <w:pPr>
              <w:keepNext w:val="0"/>
              <w:keepLines w:val="0"/>
              <w:suppressLineNumbers w:val="0"/>
              <w:spacing w:before="0" w:beforeAutospacing="0" w:after="0" w:afterAutospacing="0"/>
              <w:ind w:left="0" w:right="0"/>
              <w:rPr>
                <w:rFonts w:hint="eastAsia" w:ascii="宋体" w:hAnsi="宋体" w:cs="宋体"/>
                <w:color w:val="auto"/>
                <w:szCs w:val="21"/>
              </w:rPr>
            </w:pPr>
            <w:r>
              <w:rPr>
                <w:rFonts w:hint="eastAsia" w:ascii="宋体" w:hAnsi="宋体" w:cs="宋体"/>
                <w:color w:val="auto"/>
                <w:szCs w:val="21"/>
              </w:rPr>
              <w:t>（二）栏杆维修部分：为减少对学生的影响，该分部工程</w:t>
            </w:r>
            <w:r>
              <w:rPr>
                <w:rFonts w:hint="eastAsia" w:ascii="宋体" w:hAnsi="宋体" w:cs="宋体"/>
                <w:color w:val="auto"/>
                <w:szCs w:val="21"/>
                <w:lang w:val="en-US" w:eastAsia="zh-CN"/>
              </w:rPr>
              <w:t>与学生宿舍修缮部分同步</w:t>
            </w:r>
            <w:r>
              <w:rPr>
                <w:rFonts w:hint="eastAsia" w:ascii="宋体" w:hAnsi="宋体" w:cs="宋体"/>
                <w:color w:val="auto"/>
                <w:szCs w:val="21"/>
              </w:rPr>
              <w:t>进行，9月1号前完工。</w:t>
            </w:r>
          </w:p>
          <w:p w14:paraId="03DB56D5">
            <w:pPr>
              <w:keepNext w:val="0"/>
              <w:keepLines w:val="0"/>
              <w:suppressLineNumbers w:val="0"/>
              <w:spacing w:before="0" w:beforeAutospacing="0" w:after="0" w:afterAutospacing="0"/>
              <w:ind w:left="0" w:right="0"/>
              <w:rPr>
                <w:rFonts w:hint="eastAsia" w:ascii="宋体" w:hAnsi="宋体" w:cs="宋体"/>
                <w:color w:val="auto"/>
                <w:szCs w:val="21"/>
              </w:rPr>
            </w:pPr>
            <w:r>
              <w:rPr>
                <w:rFonts w:hint="eastAsia" w:ascii="宋体" w:hAnsi="宋体" w:cs="宋体"/>
                <w:color w:val="auto"/>
                <w:szCs w:val="21"/>
              </w:rPr>
              <w:t>（三）学生活动中心部分：鉴于其工程量较大，预计工期为75</w:t>
            </w:r>
            <w:r>
              <w:rPr>
                <w:rFonts w:hint="eastAsia" w:ascii="宋体" w:hAnsi="宋体" w:cs="宋体"/>
                <w:color w:val="auto"/>
                <w:szCs w:val="21"/>
                <w:u w:val="single"/>
              </w:rPr>
              <w:t>日历天</w:t>
            </w:r>
            <w:r>
              <w:rPr>
                <w:rFonts w:hint="eastAsia" w:ascii="宋体" w:hAnsi="宋体" w:cs="宋体"/>
                <w:color w:val="auto"/>
                <w:szCs w:val="21"/>
              </w:rPr>
              <w:t>，具体施工安排将结合实际情况进一步规划。</w:t>
            </w:r>
          </w:p>
          <w:p w14:paraId="57AB00C6">
            <w:pPr>
              <w:keepNext w:val="0"/>
              <w:keepLines w:val="0"/>
              <w:suppressLineNumbers w:val="0"/>
              <w:spacing w:before="0" w:beforeAutospacing="0" w:after="0" w:afterAutospacing="0"/>
              <w:ind w:left="0" w:right="0"/>
              <w:rPr>
                <w:rFonts w:hint="default" w:ascii="宋体" w:hAnsi="宋体" w:cs="宋体"/>
                <w:color w:val="auto"/>
                <w:szCs w:val="21"/>
              </w:rPr>
            </w:pPr>
            <w:r>
              <w:rPr>
                <w:rFonts w:hint="default" w:ascii="宋体" w:hAnsi="宋体" w:cs="宋体"/>
                <w:color w:val="auto"/>
                <w:szCs w:val="21"/>
                <w:lang w:val="en-US"/>
              </w:rPr>
              <w:t>具体以开工日期以发包人或总监理工程师发出的开工令为准。具体详见合同条款约定</w:t>
            </w:r>
            <w:r>
              <w:rPr>
                <w:rFonts w:hint="eastAsia" w:ascii="宋体" w:hAnsi="宋体" w:cs="宋体"/>
                <w:color w:val="auto"/>
                <w:szCs w:val="21"/>
              </w:rPr>
              <w:t>。</w:t>
            </w:r>
          </w:p>
        </w:tc>
      </w:tr>
      <w:tr w14:paraId="5908F6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D7AC89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14:paraId="14965F1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14:paraId="60050FB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75ED4876">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财政资金</w:t>
            </w:r>
          </w:p>
        </w:tc>
      </w:tr>
      <w:tr w14:paraId="59D4B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0F3B06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14:paraId="7A006E3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14:paraId="34AA81FB">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1DD5EDD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详见本工程招标公告。</w:t>
            </w:r>
          </w:p>
        </w:tc>
      </w:tr>
      <w:tr w14:paraId="01A39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5BB1CA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14:paraId="08FBD6C6">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575055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2401A7E7">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详见本工程招标公告。</w:t>
            </w:r>
          </w:p>
        </w:tc>
      </w:tr>
      <w:tr w14:paraId="44CD6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BD81E8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14:paraId="1BE670AD">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1B79158D">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64BEA2E9">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工程量清单计价。</w:t>
            </w:r>
          </w:p>
        </w:tc>
      </w:tr>
      <w:tr w14:paraId="016EF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620826B">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14:paraId="7AA8A11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621C317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246E66F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90日历天。（从投标截止之日计起）如出现异议或投诉超过90日历天的，则投标有效期自动延长至异议或投诉处理结束。</w:t>
            </w:r>
          </w:p>
        </w:tc>
      </w:tr>
      <w:tr w14:paraId="39408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AC5E2A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14:paraId="4322681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77F7680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6C27406F">
            <w:pPr>
              <w:pStyle w:val="22"/>
              <w:keepNext w:val="0"/>
              <w:keepLines w:val="0"/>
              <w:suppressLineNumbers w:val="0"/>
              <w:spacing w:before="0" w:beforeAutospacing="0" w:after="0" w:afterAutospacing="0"/>
              <w:ind w:left="0" w:right="0"/>
              <w:rPr>
                <w:rFonts w:hint="default" w:hAnsi="宋体" w:cs="宋体"/>
                <w:color w:val="auto"/>
                <w:kern w:val="2"/>
                <w:sz w:val="21"/>
                <w:szCs w:val="22"/>
              </w:rPr>
            </w:pPr>
            <w:r>
              <w:rPr>
                <w:rFonts w:hint="eastAsia" w:hAnsi="宋体" w:cs="宋体"/>
                <w:color w:val="auto"/>
                <w:kern w:val="2"/>
                <w:sz w:val="21"/>
                <w:szCs w:val="22"/>
              </w:rPr>
              <w:t>本项目不收投标保证金。</w:t>
            </w:r>
          </w:p>
          <w:p w14:paraId="7D7F5D65">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rPr>
              <w:t>注：1、政府投资项目不得收取投标保证金。鼓励招标人对简单小额项目不要求提供投标担保，对中小企业投标人免除投标担保。</w:t>
            </w:r>
          </w:p>
          <w:p w14:paraId="328D1B25">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C68023E">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rPr>
              <w:t>3、招标人在免收投标保证金的同时，应约定免交投标保证金的投标人存在16.4条款所列情形的后续处理措施。</w:t>
            </w:r>
          </w:p>
        </w:tc>
      </w:tr>
      <w:tr w14:paraId="6BDD9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145660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14:paraId="4F38BBC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14:paraId="14A8F8AD">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63FE13BC">
            <w:pPr>
              <w:pStyle w:val="23"/>
              <w:keepNext w:val="0"/>
              <w:keepLines w:val="0"/>
              <w:suppressLineNumbers w:val="0"/>
              <w:spacing w:before="0" w:beforeAutospacing="0" w:after="0" w:afterAutospacing="0"/>
              <w:ind w:left="0" w:right="0"/>
              <w:rPr>
                <w:rFonts w:hint="default" w:ascii="宋体" w:hAnsi="宋体" w:cs="宋体"/>
                <w:color w:val="auto"/>
                <w:kern w:val="2"/>
                <w:sz w:val="21"/>
                <w:szCs w:val="21"/>
              </w:rPr>
            </w:pPr>
            <w:r>
              <w:rPr>
                <w:rFonts w:hint="eastAsia" w:ascii="宋体" w:hAnsi="宋体" w:cs="宋体"/>
                <w:color w:val="auto"/>
                <w:kern w:val="2"/>
                <w:sz w:val="21"/>
                <w:szCs w:val="21"/>
              </w:rPr>
              <w:t>时间：自招标公告发布之日起具备现场踏勘条件；</w:t>
            </w:r>
          </w:p>
          <w:p w14:paraId="604CF271">
            <w:pPr>
              <w:pStyle w:val="23"/>
              <w:keepNext w:val="0"/>
              <w:keepLines w:val="0"/>
              <w:suppressLineNumbers w:val="0"/>
              <w:spacing w:before="0" w:beforeAutospacing="0" w:after="0" w:afterAutospacing="0"/>
              <w:ind w:left="0" w:right="0"/>
              <w:rPr>
                <w:rFonts w:hint="default" w:ascii="宋体" w:hAnsi="宋体" w:cs="宋体"/>
                <w:color w:val="auto"/>
                <w:kern w:val="2"/>
                <w:sz w:val="21"/>
                <w:szCs w:val="21"/>
              </w:rPr>
            </w:pPr>
            <w:r>
              <w:rPr>
                <w:rFonts w:hint="eastAsia" w:ascii="宋体" w:hAnsi="宋体" w:cs="宋体"/>
                <w:color w:val="auto"/>
                <w:kern w:val="2"/>
                <w:sz w:val="21"/>
                <w:szCs w:val="21"/>
              </w:rPr>
              <w:t>方式：招标人不集中组织，由投标人自行踏勘；</w:t>
            </w:r>
          </w:p>
          <w:p w14:paraId="08611147">
            <w:pPr>
              <w:pStyle w:val="23"/>
              <w:keepNext w:val="0"/>
              <w:keepLines w:val="0"/>
              <w:suppressLineNumbers w:val="0"/>
              <w:spacing w:before="0" w:beforeAutospacing="0" w:after="0" w:afterAutospacing="0"/>
              <w:ind w:left="0" w:right="0"/>
              <w:rPr>
                <w:rFonts w:hint="default" w:ascii="宋体" w:hAnsi="宋体" w:cs="宋体"/>
                <w:color w:val="auto"/>
                <w:kern w:val="2"/>
                <w:sz w:val="21"/>
                <w:szCs w:val="21"/>
              </w:rPr>
            </w:pPr>
            <w:r>
              <w:rPr>
                <w:rFonts w:hint="eastAsia" w:ascii="宋体" w:hAnsi="宋体" w:cs="宋体"/>
                <w:color w:val="auto"/>
                <w:kern w:val="2"/>
                <w:sz w:val="21"/>
                <w:szCs w:val="21"/>
              </w:rPr>
              <w:t>现场详细地点：项目地点。</w:t>
            </w:r>
          </w:p>
        </w:tc>
      </w:tr>
      <w:tr w14:paraId="13709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797A6B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14:paraId="0C5204E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14:paraId="0E0F330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1D17AB2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疑问提交时间：</w:t>
            </w:r>
            <w:r>
              <w:rPr>
                <w:rFonts w:hint="eastAsia" w:ascii="宋体" w:hAnsi="宋体" w:cs="宋体"/>
                <w:color w:val="auto"/>
                <w:szCs w:val="21"/>
                <w:lang w:eastAsia="zh-CN"/>
              </w:rPr>
              <w:t>2025</w:t>
            </w:r>
            <w:r>
              <w:rPr>
                <w:rFonts w:hint="eastAsia" w:ascii="宋体" w:hAnsi="宋体" w:cs="宋体"/>
                <w:color w:val="auto"/>
                <w:szCs w:val="21"/>
              </w:rPr>
              <w:t>年  月  日  时  分前；</w:t>
            </w:r>
          </w:p>
          <w:p w14:paraId="291769D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形式：投标人的疑问通过</w:t>
            </w:r>
            <w:r>
              <w:rPr>
                <w:rFonts w:hint="eastAsia" w:ascii="宋体" w:hAnsi="宋体" w:cs="宋体"/>
                <w:color w:val="auto"/>
                <w:szCs w:val="21"/>
                <w:lang w:eastAsia="zh-CN"/>
              </w:rPr>
              <w:t>广州交易集团有限公司（广州公共资源交易中心）</w:t>
            </w:r>
            <w:r>
              <w:rPr>
                <w:rFonts w:hint="eastAsia" w:ascii="宋体" w:hAnsi="宋体" w:cs="宋体"/>
                <w:color w:val="auto"/>
                <w:szCs w:val="21"/>
              </w:rPr>
              <w:t>交易平台提交。</w:t>
            </w:r>
          </w:p>
          <w:p w14:paraId="48A83FDE">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具体要求：按照交易平台关于全流程电子化项目的相关指南进行操作，详见：</w:t>
            </w:r>
            <w:r>
              <w:rPr>
                <w:rFonts w:hint="eastAsia" w:ascii="宋体" w:hAnsi="宋体" w:cs="宋体"/>
                <w:color w:val="auto"/>
                <w:szCs w:val="21"/>
                <w:lang w:eastAsia="zh-CN"/>
              </w:rPr>
              <w:t>广州交易集团有限公司（广州公共资源交易中心）</w:t>
            </w:r>
            <w:r>
              <w:rPr>
                <w:rFonts w:hint="eastAsia" w:ascii="宋体" w:hAnsi="宋体" w:cs="宋体"/>
                <w:color w:val="auto"/>
                <w:szCs w:val="21"/>
              </w:rPr>
              <w:t>网站。提问一律不得署名。</w:t>
            </w:r>
          </w:p>
        </w:tc>
      </w:tr>
      <w:tr w14:paraId="18F9F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30DDCD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14:paraId="5D3FBC1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1C2727BB">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565C04BC">
            <w:pPr>
              <w:keepNext w:val="0"/>
              <w:keepLines w:val="0"/>
              <w:suppressLineNumbers w:val="0"/>
              <w:spacing w:before="0" w:beforeAutospacing="0" w:after="0" w:afterAutospacing="0"/>
              <w:ind w:left="0" w:right="0"/>
              <w:rPr>
                <w:rFonts w:hint="default" w:ascii="宋体" w:hAnsi="宋体" w:cs="宋体"/>
                <w:strike/>
                <w:color w:val="auto"/>
                <w:szCs w:val="21"/>
              </w:rPr>
            </w:pPr>
            <w:r>
              <w:rPr>
                <w:rFonts w:hint="eastAsia" w:ascii="宋体" w:hAnsi="宋体" w:cs="宋体"/>
                <w:color w:val="auto"/>
                <w:szCs w:val="21"/>
                <w:lang w:eastAsia="zh-CN"/>
              </w:rPr>
              <w:t>2025</w:t>
            </w:r>
            <w:r>
              <w:rPr>
                <w:rFonts w:hint="eastAsia" w:ascii="宋体" w:hAnsi="宋体" w:cs="宋体"/>
                <w:color w:val="auto"/>
                <w:szCs w:val="21"/>
              </w:rPr>
              <w:t>年   月   日  时   分（北京时间）。</w:t>
            </w:r>
          </w:p>
        </w:tc>
      </w:tr>
      <w:tr w14:paraId="406D8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CAA0BD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14:paraId="4B64006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376DDFD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154F0039">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rPr>
            </w:pPr>
            <w:r>
              <w:rPr>
                <w:rFonts w:hint="eastAsia" w:ascii="宋体" w:hAnsi="宋体" w:cs="宋体"/>
                <w:bCs/>
                <w:color w:val="auto"/>
                <w:kern w:val="0"/>
                <w:szCs w:val="21"/>
              </w:rPr>
              <w:t>（技术标和经济标同时开标）</w:t>
            </w:r>
          </w:p>
          <w:p w14:paraId="1FD39C59">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rPr>
            </w:pPr>
            <w:r>
              <w:rPr>
                <w:rFonts w:hint="eastAsia" w:ascii="宋体" w:hAnsi="宋体" w:cs="宋体"/>
                <w:bCs/>
                <w:color w:val="auto"/>
                <w:kern w:val="0"/>
                <w:szCs w:val="21"/>
              </w:rPr>
              <w:t>1、开标开始时间：</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w:t>
            </w:r>
            <w:r>
              <w:rPr>
                <w:rFonts w:hint="eastAsia" w:ascii="宋体" w:hAnsi="宋体" w:cs="宋体"/>
                <w:bCs/>
                <w:color w:val="auto"/>
                <w:kern w:val="0"/>
                <w:szCs w:val="21"/>
              </w:rPr>
              <w:t>（与投标截止时间为同一时间），地点：</w:t>
            </w:r>
            <w:r>
              <w:rPr>
                <w:rFonts w:hint="eastAsia" w:ascii="宋体" w:hAnsi="宋体" w:cs="宋体"/>
                <w:bCs/>
                <w:color w:val="auto"/>
                <w:szCs w:val="21"/>
                <w:u w:val="single"/>
                <w:lang w:eastAsia="zh-CN"/>
              </w:rPr>
              <w:t>广州交易集团有限公司（广州公共资源交易中心）</w:t>
            </w:r>
            <w:r>
              <w:rPr>
                <w:rFonts w:hint="eastAsia" w:ascii="宋体" w:hAnsi="宋体" w:cs="宋体"/>
                <w:bCs/>
                <w:color w:val="auto"/>
                <w:szCs w:val="21"/>
                <w:u w:val="single"/>
              </w:rPr>
              <w:t>第   开标室</w:t>
            </w:r>
            <w:r>
              <w:rPr>
                <w:rFonts w:hint="eastAsia" w:ascii="宋体" w:hAnsi="宋体" w:cs="宋体"/>
                <w:bCs/>
                <w:color w:val="auto"/>
                <w:kern w:val="0"/>
                <w:szCs w:val="21"/>
              </w:rPr>
              <w:t>。</w:t>
            </w:r>
            <w:r>
              <w:rPr>
                <w:rFonts w:hint="eastAsia" w:ascii="宋体" w:hAnsi="宋体" w:cs="宋体"/>
                <w:bCs/>
                <w:color w:val="auto"/>
                <w:kern w:val="0"/>
                <w:szCs w:val="21"/>
                <w:u w:val="single"/>
              </w:rPr>
              <w:t>投标人也可选择参加在线开标，具体按照交易平台相关指南进行操作。详见：http://www.gzggzy.cn/fwznbszyjsgc/index.jhtml。</w:t>
            </w:r>
          </w:p>
          <w:p w14:paraId="3319D48D">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rPr>
            </w:pPr>
            <w:r>
              <w:rPr>
                <w:rFonts w:hint="eastAsia" w:ascii="宋体" w:hAnsi="宋体" w:cs="宋体"/>
                <w:bCs/>
                <w:color w:val="auto"/>
                <w:kern w:val="0"/>
                <w:szCs w:val="21"/>
              </w:rPr>
              <w:t>2、递交投标文件备用光盘时间：</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分至</w:t>
            </w:r>
            <w:r>
              <w:rPr>
                <w:rFonts w:hint="eastAsia" w:ascii="宋体" w:hAnsi="宋体" w:cs="宋体"/>
                <w:bCs/>
                <w:color w:val="auto"/>
                <w:kern w:val="0"/>
                <w:szCs w:val="21"/>
                <w:u w:val="single"/>
                <w:lang w:eastAsia="zh-CN"/>
              </w:rPr>
              <w:t>2025</w:t>
            </w:r>
            <w:r>
              <w:rPr>
                <w:rFonts w:hint="eastAsia" w:ascii="宋体" w:hAnsi="宋体" w:cs="宋体"/>
                <w:bCs/>
                <w:color w:val="auto"/>
                <w:kern w:val="0"/>
                <w:szCs w:val="21"/>
                <w:u w:val="single"/>
              </w:rPr>
              <w:t>年  月  日  时  分</w:t>
            </w:r>
            <w:r>
              <w:rPr>
                <w:rFonts w:hint="eastAsia" w:ascii="宋体" w:hAnsi="宋体" w:cs="宋体"/>
                <w:bCs/>
                <w:color w:val="auto"/>
                <w:kern w:val="0"/>
                <w:szCs w:val="21"/>
              </w:rPr>
              <w:t>；递交地点：</w:t>
            </w:r>
            <w:r>
              <w:rPr>
                <w:rFonts w:hint="eastAsia" w:ascii="宋体" w:hAnsi="宋体" w:cs="宋体"/>
                <w:bCs/>
                <w:color w:val="auto"/>
                <w:szCs w:val="21"/>
                <w:u w:val="single"/>
                <w:lang w:eastAsia="zh-CN"/>
              </w:rPr>
              <w:t>广州交易集团有限公司（广州公共资源交易中心）</w:t>
            </w:r>
            <w:r>
              <w:rPr>
                <w:rFonts w:hint="eastAsia" w:ascii="宋体" w:hAnsi="宋体" w:cs="宋体"/>
                <w:bCs/>
                <w:color w:val="auto"/>
                <w:szCs w:val="21"/>
                <w:u w:val="single"/>
              </w:rPr>
              <w:t>第   开标室</w:t>
            </w:r>
            <w:r>
              <w:rPr>
                <w:rFonts w:hint="eastAsia" w:ascii="宋体" w:hAnsi="宋体" w:cs="宋体"/>
                <w:bCs/>
                <w:color w:val="auto"/>
                <w:kern w:val="0"/>
                <w:szCs w:val="21"/>
              </w:rPr>
              <w:t>。(建议安排在投标文件截止时间前15分钟至投标文件截止时间）</w:t>
            </w:r>
          </w:p>
          <w:p w14:paraId="6271787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bCs/>
                <w:color w:val="auto"/>
                <w:kern w:val="0"/>
                <w:szCs w:val="21"/>
              </w:rPr>
              <w:t>上述时间及地点是否有改变，请密切留意</w:t>
            </w:r>
            <w:r>
              <w:rPr>
                <w:rFonts w:hint="eastAsia" w:ascii="宋体" w:hAnsi="宋体" w:cs="宋体"/>
                <w:bCs/>
                <w:color w:val="auto"/>
                <w:kern w:val="0"/>
                <w:szCs w:val="21"/>
                <w:u w:val="single"/>
              </w:rPr>
              <w:t>补充公告和</w:t>
            </w:r>
            <w:r>
              <w:rPr>
                <w:rFonts w:hint="eastAsia" w:ascii="宋体" w:hAnsi="宋体" w:cs="宋体"/>
                <w:bCs/>
                <w:color w:val="auto"/>
                <w:kern w:val="0"/>
                <w:szCs w:val="21"/>
              </w:rPr>
              <w:t>招标答疑纪要的相关信息。</w:t>
            </w:r>
          </w:p>
        </w:tc>
      </w:tr>
      <w:tr w14:paraId="004C41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2" w:type="dxa"/>
            <w:tcBorders>
              <w:top w:val="single" w:color="auto" w:sz="4" w:space="0"/>
              <w:left w:val="double" w:color="auto" w:sz="4" w:space="0"/>
              <w:bottom w:val="single" w:color="auto" w:sz="4" w:space="0"/>
              <w:right w:val="single" w:color="auto" w:sz="4" w:space="0"/>
            </w:tcBorders>
            <w:vAlign w:val="center"/>
          </w:tcPr>
          <w:p w14:paraId="0896D8F3">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14:paraId="35EE4BB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14:paraId="68CA762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07C87852">
            <w:pPr>
              <w:pStyle w:val="4"/>
              <w:keepNext w:val="0"/>
              <w:keepLines w:val="0"/>
              <w:suppressLineNumbers w:val="0"/>
              <w:spacing w:before="0" w:beforeAutospacing="0" w:after="0" w:afterAutospacing="0"/>
              <w:ind w:left="0" w:right="0" w:firstLine="0"/>
              <w:rPr>
                <w:rFonts w:hint="default" w:ascii="宋体" w:hAnsi="宋体" w:cs="宋体"/>
                <w:color w:val="auto"/>
                <w:sz w:val="21"/>
                <w:szCs w:val="21"/>
              </w:rPr>
            </w:pPr>
            <w:r>
              <w:rPr>
                <w:rFonts w:hint="eastAsia" w:ascii="宋体" w:hAnsi="宋体" w:cs="宋体"/>
                <w:color w:val="auto"/>
                <w:sz w:val="21"/>
                <w:szCs w:val="21"/>
              </w:rPr>
              <w:t>方式一：选取方法</w:t>
            </w:r>
            <w:r>
              <w:rPr>
                <w:rFonts w:hint="eastAsia" w:ascii="宋体" w:hAnsi="宋体" w:cs="宋体"/>
                <w:color w:val="auto"/>
                <w:sz w:val="21"/>
                <w:szCs w:val="21"/>
                <w:u w:val="single"/>
              </w:rPr>
              <w:t>七（综合评分法四，技术标与经济标同时开启）</w:t>
            </w:r>
            <w:r>
              <w:rPr>
                <w:rFonts w:hint="eastAsia" w:ascii="宋体" w:hAnsi="宋体" w:cs="宋体"/>
                <w:color w:val="auto"/>
                <w:sz w:val="21"/>
                <w:szCs w:val="21"/>
              </w:rPr>
              <w:t>；</w:t>
            </w:r>
          </w:p>
          <w:p w14:paraId="16F75516">
            <w:pPr>
              <w:pStyle w:val="4"/>
              <w:keepNext w:val="0"/>
              <w:keepLines w:val="0"/>
              <w:suppressLineNumbers w:val="0"/>
              <w:spacing w:before="0" w:beforeAutospacing="0" w:after="0" w:afterAutospacing="0"/>
              <w:ind w:left="0" w:right="0" w:firstLine="0"/>
              <w:rPr>
                <w:rFonts w:hint="default" w:ascii="宋体" w:hAnsi="宋体" w:cs="宋体"/>
                <w:color w:val="auto"/>
                <w:sz w:val="21"/>
                <w:szCs w:val="21"/>
              </w:rPr>
            </w:pPr>
            <w:r>
              <w:rPr>
                <w:rFonts w:hint="eastAsia" w:ascii="宋体" w:hAnsi="宋体" w:cs="宋体"/>
                <w:color w:val="auto"/>
                <w:sz w:val="21"/>
                <w:szCs w:val="21"/>
              </w:rPr>
              <w:t>投标人总得分=技术得分（20分）＋经济得分（100分）×经济得分权重（80%）。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tc>
      </w:tr>
      <w:tr w14:paraId="7ED8A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14:paraId="1A07D5B3">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14:paraId="0234357B">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7A085C9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0DD44C30">
            <w:pPr>
              <w:pStyle w:val="4"/>
              <w:keepNext w:val="0"/>
              <w:keepLines w:val="0"/>
              <w:suppressLineNumbers w:val="0"/>
              <w:spacing w:before="0" w:beforeAutospacing="0" w:after="0" w:afterAutospacing="0"/>
              <w:ind w:left="0" w:right="0" w:firstLine="0"/>
              <w:rPr>
                <w:rFonts w:hint="default" w:ascii="宋体" w:hAnsi="宋体" w:cs="宋体"/>
                <w:color w:val="auto"/>
                <w:sz w:val="21"/>
                <w:szCs w:val="21"/>
              </w:rPr>
            </w:pPr>
            <w:r>
              <w:rPr>
                <w:rFonts w:hint="eastAsia" w:ascii="宋体" w:hAnsi="宋体" w:cs="宋体"/>
                <w:color w:val="auto"/>
                <w:sz w:val="21"/>
                <w:szCs w:val="21"/>
              </w:rPr>
              <w:t>方式一：中标人提供的履约保证金为中标价款的</w:t>
            </w:r>
            <w:r>
              <w:rPr>
                <w:rFonts w:hint="default" w:ascii="宋体" w:hAnsi="宋体" w:cs="宋体"/>
                <w:color w:val="auto"/>
                <w:sz w:val="21"/>
                <w:szCs w:val="21"/>
              </w:rPr>
              <w:t>10</w:t>
            </w:r>
            <w:r>
              <w:rPr>
                <w:rFonts w:hint="eastAsia" w:ascii="宋体" w:hAnsi="宋体" w:cs="宋体"/>
                <w:color w:val="auto"/>
                <w:sz w:val="21"/>
                <w:szCs w:val="21"/>
              </w:rPr>
              <w:t>%。</w:t>
            </w:r>
          </w:p>
        </w:tc>
      </w:tr>
      <w:tr w14:paraId="53C5E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4B21474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14:paraId="3B51C6A7">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209EE9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1041F238">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本项目最高投标限价为</w:t>
            </w:r>
            <w:r>
              <w:rPr>
                <w:rFonts w:hint="eastAsia" w:ascii="宋体" w:hAnsi="宋体" w:cs="宋体"/>
                <w:color w:val="auto"/>
                <w:szCs w:val="21"/>
                <w:u w:val="single"/>
              </w:rPr>
              <w:t>人民币16</w:t>
            </w:r>
            <w:r>
              <w:rPr>
                <w:rFonts w:hint="eastAsia" w:ascii="宋体" w:hAnsi="宋体" w:cs="宋体"/>
                <w:color w:val="auto"/>
                <w:szCs w:val="21"/>
                <w:u w:val="single"/>
                <w:lang w:val="en-US" w:eastAsia="zh-CN"/>
              </w:rPr>
              <w:t>,</w:t>
            </w:r>
            <w:r>
              <w:rPr>
                <w:rFonts w:hint="eastAsia" w:ascii="宋体" w:hAnsi="宋体" w:cs="宋体"/>
                <w:color w:val="auto"/>
                <w:szCs w:val="21"/>
                <w:u w:val="single"/>
              </w:rPr>
              <w:t>973</w:t>
            </w:r>
            <w:r>
              <w:rPr>
                <w:rFonts w:hint="eastAsia" w:ascii="宋体" w:hAnsi="宋体" w:cs="宋体"/>
                <w:color w:val="auto"/>
                <w:szCs w:val="21"/>
                <w:u w:val="single"/>
                <w:lang w:val="en-US" w:eastAsia="zh-CN"/>
              </w:rPr>
              <w:t>,</w:t>
            </w:r>
            <w:r>
              <w:rPr>
                <w:rFonts w:hint="eastAsia" w:ascii="宋体" w:hAnsi="宋体" w:cs="宋体"/>
                <w:color w:val="auto"/>
                <w:szCs w:val="21"/>
                <w:u w:val="single"/>
              </w:rPr>
              <w:t>749.89元。</w:t>
            </w:r>
          </w:p>
        </w:tc>
      </w:tr>
      <w:tr w14:paraId="4148B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2" w:type="dxa"/>
            <w:tcBorders>
              <w:top w:val="single" w:color="auto" w:sz="4" w:space="0"/>
              <w:left w:val="double" w:color="auto" w:sz="4" w:space="0"/>
              <w:bottom w:val="single" w:color="auto" w:sz="4" w:space="0"/>
              <w:right w:val="single" w:color="auto" w:sz="4" w:space="0"/>
            </w:tcBorders>
            <w:vAlign w:val="center"/>
          </w:tcPr>
          <w:p w14:paraId="2C93C784">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14:paraId="3190B552">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C2563F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381EC093">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人民币841</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233.69 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人民币660</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745.34元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人民币</w:t>
            </w:r>
            <w:r>
              <w:rPr>
                <w:rFonts w:hint="default"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元</w:t>
            </w:r>
            <w:r>
              <w:rPr>
                <w:rFonts w:hint="eastAsia" w:ascii="宋体" w:hAnsi="宋体" w:cs="宋体"/>
                <w:color w:val="auto"/>
                <w:szCs w:val="21"/>
                <w:highlight w:val="none"/>
              </w:rPr>
              <w:t>，详见最高投标限价公布函。（未按招标文件规定的金额填写的，由评标委员会按照招标文件规定的金额进行修正）</w:t>
            </w:r>
          </w:p>
        </w:tc>
      </w:tr>
      <w:tr w14:paraId="41190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2" w:type="dxa"/>
            <w:tcBorders>
              <w:top w:val="single" w:color="auto" w:sz="4" w:space="0"/>
              <w:left w:val="double" w:color="auto" w:sz="4" w:space="0"/>
              <w:bottom w:val="single" w:color="auto" w:sz="4" w:space="0"/>
              <w:right w:val="single" w:color="auto" w:sz="4" w:space="0"/>
            </w:tcBorders>
            <w:vAlign w:val="center"/>
          </w:tcPr>
          <w:p w14:paraId="74FC5B7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14:paraId="43F13A2B">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DDBF72A">
            <w:pPr>
              <w:pStyle w:val="4"/>
              <w:keepNext w:val="0"/>
              <w:keepLines w:val="0"/>
              <w:suppressLineNumbers w:val="0"/>
              <w:spacing w:before="0" w:beforeAutospacing="0" w:after="0" w:afterAutospacing="0"/>
              <w:ind w:left="0" w:right="0" w:firstLine="0"/>
              <w:jc w:val="center"/>
              <w:rPr>
                <w:rFonts w:hint="default" w:ascii="宋体" w:hAnsi="宋体" w:cs="宋体"/>
                <w:color w:val="auto"/>
                <w:kern w:val="2"/>
                <w:sz w:val="21"/>
                <w:szCs w:val="21"/>
              </w:rPr>
            </w:pPr>
            <w:r>
              <w:rPr>
                <w:rFonts w:hint="eastAsia" w:ascii="宋体" w:hAnsi="宋体" w:cs="宋体"/>
                <w:color w:val="auto"/>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758E58DD">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按照《建设工程质量管理条例》规定。</w:t>
            </w:r>
          </w:p>
        </w:tc>
      </w:tr>
      <w:tr w14:paraId="3F7347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74825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14:paraId="7B025BA5">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DF614E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rPr>
              <w:t>计算评标参考价的等分点值X</w:t>
            </w:r>
          </w:p>
        </w:tc>
        <w:tc>
          <w:tcPr>
            <w:tcW w:w="6048" w:type="dxa"/>
            <w:tcBorders>
              <w:top w:val="single" w:color="auto" w:sz="4" w:space="0"/>
              <w:left w:val="single" w:color="auto" w:sz="4" w:space="0"/>
              <w:bottom w:val="single" w:color="auto" w:sz="4" w:space="0"/>
              <w:right w:val="double" w:color="auto" w:sz="4" w:space="0"/>
            </w:tcBorders>
            <w:vAlign w:val="center"/>
          </w:tcPr>
          <w:p w14:paraId="785FEB5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在开标前从[0,100]整数中随机抽取</w:t>
            </w:r>
          </w:p>
        </w:tc>
      </w:tr>
      <w:tr w14:paraId="14E4C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4D4D0F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14:paraId="32FBBFAD">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C1EAAD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3DCDAF70">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本项目不适用。</w:t>
            </w:r>
          </w:p>
        </w:tc>
      </w:tr>
      <w:tr w14:paraId="6B827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73D52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14:paraId="3CDD8AAD">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FB1BDA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5B7CF87F">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u w:val="single"/>
              </w:rPr>
              <w:t>工程成本警戒价为人民币13</w:t>
            </w:r>
            <w:r>
              <w:rPr>
                <w:rFonts w:hint="eastAsia" w:ascii="宋体" w:hAnsi="宋体" w:cs="宋体"/>
                <w:color w:val="auto"/>
                <w:szCs w:val="21"/>
                <w:u w:val="single"/>
                <w:lang w:val="en-US" w:eastAsia="zh-CN"/>
              </w:rPr>
              <w:t>,</w:t>
            </w:r>
            <w:r>
              <w:rPr>
                <w:rFonts w:hint="eastAsia" w:ascii="宋体" w:hAnsi="宋体" w:cs="宋体"/>
                <w:color w:val="auto"/>
                <w:szCs w:val="21"/>
                <w:u w:val="single"/>
              </w:rPr>
              <w:t>578</w:t>
            </w:r>
            <w:r>
              <w:rPr>
                <w:rFonts w:hint="eastAsia" w:ascii="宋体" w:hAnsi="宋体" w:cs="宋体"/>
                <w:color w:val="auto"/>
                <w:szCs w:val="21"/>
                <w:u w:val="single"/>
                <w:lang w:val="en-US" w:eastAsia="zh-CN"/>
              </w:rPr>
              <w:t>,</w:t>
            </w:r>
            <w:r>
              <w:rPr>
                <w:rFonts w:hint="eastAsia" w:ascii="宋体" w:hAnsi="宋体" w:cs="宋体"/>
                <w:color w:val="auto"/>
                <w:szCs w:val="21"/>
                <w:u w:val="single"/>
              </w:rPr>
              <w:t>999.91元（按最高投标限价的</w:t>
            </w:r>
            <w:r>
              <w:rPr>
                <w:rFonts w:hint="eastAsia" w:ascii="宋体" w:hAnsi="宋体" w:cs="宋体"/>
                <w:color w:val="auto"/>
                <w:szCs w:val="21"/>
                <w:u w:val="single"/>
                <w:lang w:val="en-US" w:eastAsia="zh-CN"/>
              </w:rPr>
              <w:t>80</w:t>
            </w:r>
            <w:r>
              <w:rPr>
                <w:rFonts w:hint="eastAsia" w:ascii="宋体" w:hAnsi="宋体" w:cs="宋体"/>
                <w:color w:val="auto"/>
                <w:szCs w:val="21"/>
                <w:u w:val="single"/>
              </w:rPr>
              <w:t>%）。</w:t>
            </w:r>
            <w:r>
              <w:rPr>
                <w:rFonts w:hint="eastAsia" w:ascii="宋体" w:hAnsi="宋体" w:cs="宋体"/>
                <w:color w:val="auto"/>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DFD28C6">
            <w:pPr>
              <w:keepNext w:val="0"/>
              <w:keepLines w:val="0"/>
              <w:suppressLineNumbers w:val="0"/>
              <w:spacing w:before="0" w:beforeAutospacing="0" w:after="0" w:afterAutospacing="0"/>
              <w:ind w:left="0" w:right="0"/>
              <w:rPr>
                <w:rFonts w:hint="default" w:ascii="宋体" w:hAnsi="宋体" w:cs="宋体"/>
                <w:color w:val="auto"/>
                <w:szCs w:val="21"/>
                <w:u w:val="single"/>
              </w:rPr>
            </w:pPr>
            <w:r>
              <w:rPr>
                <w:rFonts w:hint="eastAsia" w:ascii="宋体" w:hAnsi="宋体" w:cs="宋体"/>
                <w:color w:val="auto"/>
                <w:szCs w:val="21"/>
              </w:rPr>
              <w:t>注：为充分体现招标人意愿及落实项目招标人负责制，警戒价由招标人决定。</w:t>
            </w:r>
          </w:p>
        </w:tc>
      </w:tr>
      <w:tr w14:paraId="0F2FD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293D8C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14:paraId="55677DC1">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828A738">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4D25216E">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本项目不适用。</w:t>
            </w:r>
          </w:p>
        </w:tc>
      </w:tr>
      <w:tr w14:paraId="3BC4D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310402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14:paraId="13E02C6D">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BC3482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6745008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评标委员会由招标人依法组建。</w:t>
            </w:r>
          </w:p>
        </w:tc>
      </w:tr>
      <w:tr w14:paraId="39ECF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7AA530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14:paraId="2F41E569">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65E984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2ABB8736">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本项目不采用企业综合诚信评价分数。</w:t>
            </w:r>
          </w:p>
        </w:tc>
      </w:tr>
      <w:tr w14:paraId="739A9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DF935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14:paraId="3448091D">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F1B6CA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32BAE34C">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本项目不适用。</w:t>
            </w:r>
          </w:p>
        </w:tc>
      </w:tr>
      <w:tr w14:paraId="62F59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E13267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14:paraId="1CA0C444">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8797E2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0F1F4A7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本项目不适用。</w:t>
            </w:r>
          </w:p>
        </w:tc>
      </w:tr>
      <w:tr w14:paraId="11BF7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782FF7E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14:paraId="19D5AC62">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8F6179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7CADA2B3">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本项目不适用。</w:t>
            </w:r>
          </w:p>
        </w:tc>
      </w:tr>
      <w:tr w14:paraId="79933F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B349B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14:paraId="30BB232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4515225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10A22118">
            <w:pPr>
              <w:keepNext w:val="0"/>
              <w:keepLines w:val="0"/>
              <w:suppressLineNumbers w:val="0"/>
              <w:spacing w:before="0" w:beforeAutospacing="0" w:after="0" w:afterAutospacing="0"/>
              <w:ind w:left="0" w:right="0"/>
              <w:rPr>
                <w:rFonts w:hint="default" w:ascii="宋体" w:hAnsi="宋体" w:cs="宋体"/>
                <w:color w:val="auto"/>
                <w:szCs w:val="21"/>
                <w:u w:val="single"/>
              </w:rPr>
            </w:pPr>
            <w:r>
              <w:rPr>
                <w:rFonts w:hint="eastAsia" w:ascii="宋体" w:hAnsi="宋体" w:cs="宋体"/>
                <w:color w:val="auto"/>
                <w:szCs w:val="21"/>
                <w:u w:val="single"/>
              </w:rPr>
              <w:t>按合同条款相关约定调整。</w:t>
            </w:r>
          </w:p>
        </w:tc>
      </w:tr>
      <w:tr w14:paraId="19894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C77A3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14:paraId="0D4D07AA">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33E89A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6741F8E1">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2B2C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5C9FF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14:paraId="5D22A98B">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838D9F8">
            <w:pPr>
              <w:keepNext w:val="0"/>
              <w:keepLines w:val="0"/>
              <w:suppressLineNumbers w:val="0"/>
              <w:spacing w:before="0" w:beforeAutospacing="0" w:after="0" w:afterAutospacing="0"/>
              <w:ind w:left="0" w:right="0"/>
              <w:jc w:val="center"/>
              <w:rPr>
                <w:rFonts w:hint="default" w:ascii="宋体" w:hAnsi="宋体" w:cs="宋体"/>
                <w:color w:val="auto"/>
                <w:kern w:val="0"/>
                <w:szCs w:val="21"/>
                <w:lang w:val="zh-CN"/>
              </w:rPr>
            </w:pPr>
            <w:r>
              <w:rPr>
                <w:rFonts w:hint="eastAsia" w:ascii="宋体" w:hAnsi="宋体" w:cs="宋体"/>
                <w:color w:val="auto"/>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525752EE">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r>
              <w:rPr>
                <w:rFonts w:hint="eastAsia" w:ascii="宋体" w:hAnsi="宋体" w:cs="宋体"/>
                <w:color w:val="auto"/>
                <w:kern w:val="0"/>
                <w:szCs w:val="21"/>
                <w:lang w:val="zh-CN"/>
              </w:rPr>
              <w:t>☑不允许；</w:t>
            </w:r>
          </w:p>
          <w:p w14:paraId="1C22C2FE">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lang w:val="zh-CN"/>
              </w:rPr>
              <w:t>□允许：分包内容要求：</w:t>
            </w:r>
            <w:r>
              <w:rPr>
                <w:rFonts w:hint="eastAsia" w:ascii="宋体" w:hAnsi="宋体" w:cs="宋体"/>
                <w:color w:val="auto"/>
                <w:kern w:val="0"/>
                <w:szCs w:val="21"/>
                <w:u w:val="single"/>
                <w:lang w:val="zh-CN"/>
              </w:rPr>
              <w:t>经招标人书面批准同意，中标人可以把中标项目的部分非主体、非关键性工作分包给具有相应资质和能力的单位实施，但不得再次分包。</w:t>
            </w:r>
          </w:p>
          <w:p w14:paraId="55F68E39">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lang w:val="zh-CN"/>
              </w:rPr>
              <w:t xml:space="preserve">        分包金额要求：</w:t>
            </w:r>
            <w:r>
              <w:rPr>
                <w:rFonts w:hint="eastAsia" w:ascii="宋体" w:hAnsi="宋体" w:cs="宋体"/>
                <w:color w:val="auto"/>
                <w:kern w:val="0"/>
                <w:szCs w:val="21"/>
              </w:rPr>
              <w:t>/</w:t>
            </w:r>
          </w:p>
          <w:p w14:paraId="460A4D50">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lang w:val="zh-CN"/>
              </w:rPr>
              <w:t xml:space="preserve">        对分包人的资质要求：</w:t>
            </w:r>
            <w:r>
              <w:rPr>
                <w:rFonts w:hint="eastAsia" w:ascii="宋体" w:hAnsi="宋体" w:cs="宋体"/>
                <w:color w:val="auto"/>
                <w:kern w:val="0"/>
                <w:szCs w:val="21"/>
              </w:rPr>
              <w:t>/</w:t>
            </w:r>
          </w:p>
          <w:p w14:paraId="6363EBBE">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lang w:val="zh-CN"/>
              </w:rPr>
              <w:t xml:space="preserve">        对分包人的其他要求：</w:t>
            </w:r>
            <w:r>
              <w:rPr>
                <w:rFonts w:hint="eastAsia" w:ascii="宋体" w:hAnsi="宋体" w:cs="宋体"/>
                <w:color w:val="auto"/>
                <w:kern w:val="0"/>
                <w:szCs w:val="21"/>
              </w:rPr>
              <w:t>/</w:t>
            </w:r>
          </w:p>
        </w:tc>
      </w:tr>
      <w:tr w14:paraId="752EA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CD171D7">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36</w:t>
            </w:r>
          </w:p>
        </w:tc>
        <w:tc>
          <w:tcPr>
            <w:tcW w:w="887" w:type="dxa"/>
            <w:tcBorders>
              <w:top w:val="single" w:color="auto" w:sz="4" w:space="0"/>
              <w:left w:val="single" w:color="auto" w:sz="4" w:space="0"/>
              <w:bottom w:val="single" w:color="auto" w:sz="4" w:space="0"/>
              <w:right w:val="single" w:color="auto" w:sz="4" w:space="0"/>
            </w:tcBorders>
            <w:vAlign w:val="center"/>
          </w:tcPr>
          <w:p w14:paraId="3C3DB0B3">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6C07B93">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p>
        </w:tc>
        <w:tc>
          <w:tcPr>
            <w:tcW w:w="6048" w:type="dxa"/>
            <w:tcBorders>
              <w:top w:val="single" w:color="auto" w:sz="4" w:space="0"/>
              <w:left w:val="single" w:color="auto" w:sz="4" w:space="0"/>
              <w:bottom w:val="single" w:color="auto" w:sz="4" w:space="0"/>
              <w:right w:val="double" w:color="auto" w:sz="4" w:space="0"/>
            </w:tcBorders>
            <w:vAlign w:val="center"/>
          </w:tcPr>
          <w:p w14:paraId="3F0926D8">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r>
              <w:rPr>
                <w:rFonts w:hint="eastAsia" w:ascii="宋体" w:hAnsi="宋体" w:cs="宋体"/>
                <w:color w:val="auto"/>
                <w:kern w:val="0"/>
                <w:szCs w:val="21"/>
                <w:lang w:val="zh-CN"/>
              </w:rPr>
              <w:t>内容：招标人对中标人参与“百千万工程”的具体要求</w:t>
            </w:r>
          </w:p>
          <w:p w14:paraId="40713040">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r>
              <w:rPr>
                <w:rFonts w:hint="eastAsia" w:ascii="宋体" w:hAnsi="宋体" w:cs="宋体"/>
                <w:color w:val="auto"/>
                <w:kern w:val="0"/>
                <w:szCs w:val="21"/>
                <w:lang w:val="zh-CN"/>
              </w:rPr>
              <w:t>说明与要求：</w:t>
            </w:r>
          </w:p>
          <w:p w14:paraId="317AED1C">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r>
              <w:rPr>
                <w:rFonts w:hint="eastAsia" w:ascii="宋体" w:hAnsi="宋体" w:cs="宋体"/>
                <w:color w:val="auto"/>
                <w:kern w:val="0"/>
                <w:szCs w:val="21"/>
                <w:lang w:val="zh-CN"/>
              </w:rPr>
              <w:t>□具体要求在中标后按照投标承诺和招标人的要求执行。</w:t>
            </w:r>
          </w:p>
          <w:p w14:paraId="59892409">
            <w:pPr>
              <w:keepNext w:val="0"/>
              <w:keepLines w:val="0"/>
              <w:suppressLineNumbers w:val="0"/>
              <w:spacing w:before="0" w:beforeAutospacing="0" w:after="0" w:afterAutospacing="0"/>
              <w:ind w:left="0" w:right="0"/>
              <w:rPr>
                <w:rFonts w:hint="default" w:ascii="宋体" w:hAnsi="宋体" w:cs="宋体"/>
                <w:color w:val="auto"/>
                <w:kern w:val="0"/>
                <w:szCs w:val="21"/>
                <w:lang w:val="zh-CN"/>
              </w:rPr>
            </w:pPr>
            <w:r>
              <w:rPr>
                <w:rFonts w:hint="eastAsia" w:ascii="宋体" w:hAnsi="宋体" w:cs="宋体"/>
                <w:color w:val="auto"/>
                <w:kern w:val="0"/>
                <w:szCs w:val="21"/>
                <w:lang w:val="zh-CN"/>
              </w:rPr>
              <w:t>■具体要求：</w:t>
            </w:r>
            <w:r>
              <w:rPr>
                <w:rFonts w:hint="eastAsia" w:ascii="宋体" w:hAnsi="宋体" w:cs="宋体"/>
                <w:color w:val="auto"/>
                <w:kern w:val="0"/>
                <w:szCs w:val="21"/>
                <w:u w:val="single"/>
              </w:rPr>
              <w:t>本项目无</w:t>
            </w:r>
            <w:r>
              <w:rPr>
                <w:rFonts w:hint="eastAsia" w:ascii="宋体" w:hAnsi="宋体" w:cs="宋体"/>
                <w:color w:val="auto"/>
                <w:kern w:val="0"/>
                <w:szCs w:val="21"/>
                <w:u w:val="single"/>
                <w:lang w:val="zh-CN"/>
              </w:rPr>
              <w:t>“百千万工程”的具体要求。</w:t>
            </w:r>
          </w:p>
        </w:tc>
      </w:tr>
      <w:tr w14:paraId="23F94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4111AF3">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37</w:t>
            </w:r>
          </w:p>
        </w:tc>
        <w:tc>
          <w:tcPr>
            <w:tcW w:w="887" w:type="dxa"/>
            <w:tcBorders>
              <w:top w:val="single" w:color="auto" w:sz="4" w:space="0"/>
              <w:left w:val="single" w:color="auto" w:sz="4" w:space="0"/>
              <w:bottom w:val="single" w:color="auto" w:sz="4" w:space="0"/>
              <w:right w:val="single" w:color="auto" w:sz="4" w:space="0"/>
            </w:tcBorders>
            <w:vAlign w:val="center"/>
          </w:tcPr>
          <w:p w14:paraId="68E36C02">
            <w:pPr>
              <w:keepNext w:val="0"/>
              <w:keepLines w:val="0"/>
              <w:suppressLineNumbers w:val="0"/>
              <w:spacing w:before="0" w:beforeAutospacing="0" w:after="0" w:afterAutospacing="0"/>
              <w:ind w:left="0" w:right="0"/>
              <w:jc w:val="center"/>
              <w:rPr>
                <w:rFonts w:hint="default"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14:paraId="6518878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71931F22">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1、按照交易平台关于全流程电子化项目的相关指南进行操作。详见：</w:t>
            </w:r>
            <w:r>
              <w:rPr>
                <w:rFonts w:hint="eastAsia" w:ascii="宋体" w:hAnsi="宋体" w:cs="宋体"/>
                <w:color w:val="auto"/>
                <w:szCs w:val="21"/>
                <w:u w:val="single"/>
              </w:rPr>
              <w:t>【房建市政】【交易系统】【投标人】全流程电子化交易系统操作手册</w:t>
            </w:r>
            <w:r>
              <w:rPr>
                <w:rFonts w:hint="eastAsia" w:ascii="宋体" w:hAnsi="宋体" w:cs="宋体"/>
                <w:color w:val="auto"/>
                <w:szCs w:val="21"/>
              </w:rPr>
              <w:t xml:space="preserve">。  </w:t>
            </w:r>
          </w:p>
          <w:p w14:paraId="096014F0">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2、提交投标文件光盘备用</w:t>
            </w:r>
          </w:p>
          <w:p w14:paraId="7D974495">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193B017">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 3、补救方案</w:t>
            </w:r>
          </w:p>
          <w:p w14:paraId="1BC2ABC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（1）投标文件解密失败的补救方案：</w:t>
            </w:r>
          </w:p>
          <w:p w14:paraId="2BC7C453">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CACA1DF">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（2）评标时突发情况的补救方案</w:t>
            </w:r>
          </w:p>
          <w:p w14:paraId="295CB583">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若遇不可抗力发生（指网络瘫痪、服务器损坏、交易系统故障短期无法恢复等因素），由评标委员会开启投标人递交的全部投标文件光盘，并按光盘内容进行评审。</w:t>
            </w:r>
          </w:p>
          <w:p w14:paraId="6F7DB062">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（3）除发生上述情况外，开标评标均以投标人通过交易平台网上递交的电子投标文件为准。</w:t>
            </w:r>
          </w:p>
        </w:tc>
      </w:tr>
      <w:tr w14:paraId="53649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67167C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38</w:t>
            </w:r>
          </w:p>
        </w:tc>
        <w:tc>
          <w:tcPr>
            <w:tcW w:w="887" w:type="dxa"/>
            <w:tcBorders>
              <w:top w:val="single" w:color="auto" w:sz="4" w:space="0"/>
              <w:left w:val="single" w:color="auto" w:sz="4" w:space="0"/>
              <w:bottom w:val="single" w:color="auto" w:sz="4" w:space="0"/>
              <w:right w:val="single" w:color="auto" w:sz="4" w:space="0"/>
            </w:tcBorders>
            <w:vAlign w:val="center"/>
          </w:tcPr>
          <w:p w14:paraId="169794EA">
            <w:pPr>
              <w:keepNext w:val="0"/>
              <w:keepLines w:val="0"/>
              <w:suppressLineNumbers w:val="0"/>
              <w:spacing w:before="0" w:beforeAutospacing="0" w:after="0" w:afterAutospacing="0"/>
              <w:ind w:left="0" w:right="0"/>
              <w:jc w:val="center"/>
              <w:rPr>
                <w:rFonts w:hint="default"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14:paraId="1E48A3A2">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Cs w:val="21"/>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6BDDA449">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1、在投标截止期后逾期或未在指定地点递交投标文件备用光盘的；</w:t>
            </w:r>
          </w:p>
          <w:p w14:paraId="0684BB0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2、投标文件备用光盘未按招标文件要求密封或未在密封处盖章的；</w:t>
            </w:r>
          </w:p>
          <w:p w14:paraId="00A0AE2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3、投标人代表未凭法定代表人证明书（原件）、授权委托书原件（仅限于非法定代表人）、本人身份证原件递交投标文件备用光盘的。</w:t>
            </w:r>
          </w:p>
        </w:tc>
      </w:tr>
      <w:tr w14:paraId="69130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BA17BDA">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39</w:t>
            </w:r>
          </w:p>
        </w:tc>
        <w:tc>
          <w:tcPr>
            <w:tcW w:w="887" w:type="dxa"/>
            <w:tcBorders>
              <w:top w:val="single" w:color="auto" w:sz="4" w:space="0"/>
              <w:left w:val="single" w:color="auto" w:sz="4" w:space="0"/>
              <w:bottom w:val="single" w:color="auto" w:sz="4" w:space="0"/>
              <w:right w:val="single" w:color="auto" w:sz="4" w:space="0"/>
            </w:tcBorders>
            <w:vAlign w:val="center"/>
          </w:tcPr>
          <w:p w14:paraId="4E77B0D5">
            <w:pPr>
              <w:keepNext w:val="0"/>
              <w:keepLines w:val="0"/>
              <w:suppressLineNumbers w:val="0"/>
              <w:spacing w:before="0" w:beforeAutospacing="0" w:after="0" w:afterAutospacing="0"/>
              <w:ind w:left="0" w:right="0"/>
              <w:jc w:val="center"/>
              <w:rPr>
                <w:rFonts w:hint="default"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14:paraId="208665B5">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项目负责人和安全员注意事项</w:t>
            </w:r>
          </w:p>
        </w:tc>
        <w:tc>
          <w:tcPr>
            <w:tcW w:w="6048" w:type="dxa"/>
            <w:tcBorders>
              <w:top w:val="single" w:color="auto" w:sz="4" w:space="0"/>
              <w:left w:val="single" w:color="auto" w:sz="4" w:space="0"/>
              <w:bottom w:val="single" w:color="auto" w:sz="4" w:space="0"/>
              <w:right w:val="double" w:color="auto" w:sz="4" w:space="0"/>
            </w:tcBorders>
            <w:vAlign w:val="center"/>
          </w:tcPr>
          <w:p w14:paraId="344D5AA1">
            <w:pPr>
              <w:keepNext w:val="0"/>
              <w:keepLines w:val="0"/>
              <w:suppressLineNumbers w:val="0"/>
              <w:spacing w:before="0" w:beforeAutospacing="0" w:after="0" w:afterAutospacing="0"/>
              <w:ind w:left="0" w:right="0"/>
              <w:rPr>
                <w:rFonts w:hint="default" w:ascii="宋体" w:hAnsi="宋体" w:cs="宋体"/>
                <w:color w:val="auto"/>
                <w:szCs w:val="21"/>
                <w:u w:val="single"/>
              </w:rPr>
            </w:pPr>
            <w:r>
              <w:rPr>
                <w:rFonts w:hint="eastAsia" w:ascii="宋体" w:hAnsi="宋体" w:cs="宋体"/>
                <w:color w:val="auto"/>
                <w:szCs w:val="21"/>
                <w:u w:val="single"/>
              </w:rPr>
              <w:t>1、投标人如违反《广州市住房和城乡建设局关于加强建筑工程项目负责人管理的通知》（穗建规字〔2020〕32号）有关规定，如经查实取消其本项目中标资格；</w:t>
            </w:r>
          </w:p>
          <w:p w14:paraId="3432EA4C">
            <w:pPr>
              <w:keepNext w:val="0"/>
              <w:keepLines w:val="0"/>
              <w:suppressLineNumbers w:val="0"/>
              <w:spacing w:before="0" w:beforeAutospacing="0" w:after="0" w:afterAutospacing="0"/>
              <w:ind w:left="0" w:right="0"/>
              <w:rPr>
                <w:rFonts w:hint="default" w:ascii="宋体" w:hAnsi="宋体" w:cs="宋体"/>
                <w:color w:val="auto"/>
                <w:szCs w:val="21"/>
                <w:u w:val="single"/>
              </w:rPr>
            </w:pPr>
            <w:r>
              <w:rPr>
                <w:rFonts w:hint="eastAsia" w:ascii="宋体" w:hAnsi="宋体" w:cs="宋体"/>
                <w:color w:val="auto"/>
                <w:szCs w:val="21"/>
                <w:u w:val="single"/>
              </w:rPr>
              <w:t>2、本工程项目负责人与专职安全员不得为同一人。</w:t>
            </w:r>
          </w:p>
          <w:p w14:paraId="2C9170F8">
            <w:pPr>
              <w:keepNext w:val="0"/>
              <w:keepLines w:val="0"/>
              <w:suppressLineNumbers w:val="0"/>
              <w:spacing w:before="0" w:beforeAutospacing="0" w:after="0" w:afterAutospacing="0"/>
              <w:ind w:left="0" w:right="0"/>
              <w:rPr>
                <w:rFonts w:hint="default" w:ascii="宋体" w:hAnsi="宋体" w:cs="宋体"/>
                <w:b/>
                <w:bCs/>
                <w:color w:val="auto"/>
                <w:szCs w:val="21"/>
                <w:u w:val="single"/>
              </w:rPr>
            </w:pPr>
            <w:r>
              <w:rPr>
                <w:rFonts w:hint="eastAsia" w:ascii="宋体" w:hAnsi="宋体" w:cs="宋体"/>
                <w:color w:val="auto"/>
                <w:szCs w:val="21"/>
                <w:u w:val="single"/>
              </w:rPr>
              <w:t>3、中标人拟任本工程专职安全员不得同时担任本项目以外的专职安全员（法律法规规定的有关情形除外），如经查实取消其本项目中标资格。</w:t>
            </w:r>
          </w:p>
        </w:tc>
      </w:tr>
      <w:tr w14:paraId="6D510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811656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40</w:t>
            </w:r>
          </w:p>
        </w:tc>
        <w:tc>
          <w:tcPr>
            <w:tcW w:w="887" w:type="dxa"/>
            <w:tcBorders>
              <w:top w:val="single" w:color="auto" w:sz="4" w:space="0"/>
              <w:left w:val="single" w:color="auto" w:sz="4" w:space="0"/>
              <w:bottom w:val="single" w:color="auto" w:sz="4" w:space="0"/>
              <w:right w:val="single" w:color="auto" w:sz="4" w:space="0"/>
            </w:tcBorders>
            <w:vAlign w:val="center"/>
          </w:tcPr>
          <w:p w14:paraId="3BDADFE5">
            <w:pPr>
              <w:keepNext w:val="0"/>
              <w:keepLines w:val="0"/>
              <w:suppressLineNumbers w:val="0"/>
              <w:spacing w:before="0" w:beforeAutospacing="0" w:after="0" w:afterAutospacing="0"/>
              <w:ind w:left="0" w:right="0"/>
              <w:jc w:val="center"/>
              <w:rPr>
                <w:rFonts w:hint="default"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14:paraId="3D84ADD3">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工人工资分账管理</w:t>
            </w:r>
          </w:p>
        </w:tc>
        <w:tc>
          <w:tcPr>
            <w:tcW w:w="6048" w:type="dxa"/>
            <w:tcBorders>
              <w:top w:val="single" w:color="auto" w:sz="4" w:space="0"/>
              <w:left w:val="single" w:color="auto" w:sz="4" w:space="0"/>
              <w:bottom w:val="single" w:color="auto" w:sz="4" w:space="0"/>
              <w:right w:val="double" w:color="auto" w:sz="4" w:space="0"/>
            </w:tcBorders>
            <w:vAlign w:val="center"/>
          </w:tcPr>
          <w:p w14:paraId="3AB38ED9">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本项目按照《广州市建设领域工人工资支付分账管理实施细则》（穗建规字〔2020〕37号）实行工人工资分账管理。具体按合同约定。</w:t>
            </w:r>
          </w:p>
        </w:tc>
      </w:tr>
      <w:tr w14:paraId="44A699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8D184AC">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41</w:t>
            </w:r>
          </w:p>
        </w:tc>
        <w:tc>
          <w:tcPr>
            <w:tcW w:w="887" w:type="dxa"/>
            <w:tcBorders>
              <w:top w:val="single" w:color="auto" w:sz="4" w:space="0"/>
              <w:left w:val="single" w:color="auto" w:sz="4" w:space="0"/>
              <w:bottom w:val="single" w:color="auto" w:sz="4" w:space="0"/>
              <w:right w:val="single" w:color="auto" w:sz="4" w:space="0"/>
            </w:tcBorders>
            <w:vAlign w:val="center"/>
          </w:tcPr>
          <w:p w14:paraId="6F7691AC">
            <w:pPr>
              <w:keepNext w:val="0"/>
              <w:keepLines w:val="0"/>
              <w:suppressLineNumbers w:val="0"/>
              <w:spacing w:before="0" w:beforeAutospacing="0" w:after="0" w:afterAutospacing="0"/>
              <w:ind w:left="0" w:right="0"/>
              <w:jc w:val="center"/>
              <w:rPr>
                <w:rFonts w:hint="default" w:ascii="宋体" w:hAnsi="宋体" w:cs="宋体"/>
                <w:color w:val="auto"/>
              </w:rPr>
            </w:pPr>
          </w:p>
        </w:tc>
        <w:tc>
          <w:tcPr>
            <w:tcW w:w="1713" w:type="dxa"/>
            <w:tcBorders>
              <w:top w:val="single" w:color="auto" w:sz="4" w:space="0"/>
              <w:left w:val="single" w:color="auto" w:sz="4" w:space="0"/>
              <w:bottom w:val="single" w:color="auto" w:sz="4" w:space="0"/>
              <w:right w:val="single" w:color="auto" w:sz="4" w:space="0"/>
            </w:tcBorders>
            <w:vAlign w:val="center"/>
          </w:tcPr>
          <w:p w14:paraId="19413E2C">
            <w:pPr>
              <w:keepNext w:val="0"/>
              <w:keepLines w:val="0"/>
              <w:suppressLineNumbers w:val="0"/>
              <w:spacing w:before="0" w:beforeAutospacing="0" w:after="0" w:afterAutospacing="0"/>
              <w:ind w:left="0" w:right="0"/>
              <w:jc w:val="left"/>
              <w:rPr>
                <w:rFonts w:hint="eastAsia" w:ascii="宋体" w:hAnsi="宋体" w:cs="宋体"/>
                <w:color w:val="auto"/>
                <w:szCs w:val="21"/>
                <w:u w:val="single"/>
              </w:rPr>
            </w:pPr>
            <w:r>
              <w:rPr>
                <w:rFonts w:hint="eastAsia" w:ascii="宋体" w:hAnsi="宋体" w:cs="宋体"/>
                <w:color w:val="auto"/>
                <w:szCs w:val="21"/>
                <w:u w:val="single"/>
              </w:rPr>
              <w:t>落实政府采购政策需满足的资格要求</w:t>
            </w:r>
          </w:p>
        </w:tc>
        <w:tc>
          <w:tcPr>
            <w:tcW w:w="6048" w:type="dxa"/>
            <w:tcBorders>
              <w:top w:val="single" w:color="auto" w:sz="4" w:space="0"/>
              <w:left w:val="single" w:color="auto" w:sz="4" w:space="0"/>
              <w:bottom w:val="single" w:color="auto" w:sz="4" w:space="0"/>
              <w:right w:val="double" w:color="auto" w:sz="4" w:space="0"/>
            </w:tcBorders>
            <w:vAlign w:val="center"/>
          </w:tcPr>
          <w:p w14:paraId="6E586D85">
            <w:pPr>
              <w:keepNext w:val="0"/>
              <w:keepLines w:val="0"/>
              <w:suppressLineNumbers w:val="0"/>
              <w:spacing w:before="0" w:beforeAutospacing="0" w:after="0" w:afterAutospacing="0"/>
              <w:ind w:left="0" w:right="0"/>
              <w:rPr>
                <w:rFonts w:hint="eastAsia" w:ascii="宋体" w:hAnsi="宋体" w:cs="宋体"/>
                <w:color w:val="auto"/>
                <w:szCs w:val="21"/>
                <w:u w:val="single"/>
                <w:lang w:eastAsia="zh-CN"/>
              </w:rPr>
            </w:pPr>
            <w:r>
              <w:rPr>
                <w:rFonts w:hint="eastAsia" w:ascii="宋体" w:hAnsi="宋体" w:cs="宋体"/>
                <w:color w:val="auto"/>
                <w:szCs w:val="21"/>
                <w:u w:val="single"/>
                <w:lang w:eastAsia="zh-CN"/>
              </w:rPr>
              <w:t>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6CB0C75">
            <w:pPr>
              <w:keepNext w:val="0"/>
              <w:keepLines w:val="0"/>
              <w:suppressLineNumbers w:val="0"/>
              <w:spacing w:before="0" w:beforeAutospacing="0" w:after="0" w:afterAutospacing="0"/>
              <w:ind w:left="0" w:right="0"/>
              <w:rPr>
                <w:rFonts w:hint="eastAsia" w:ascii="宋体" w:hAnsi="宋体" w:cs="宋体"/>
                <w:color w:val="auto"/>
                <w:szCs w:val="21"/>
                <w:u w:val="single"/>
                <w:lang w:eastAsia="zh-CN"/>
              </w:rPr>
            </w:pPr>
            <w:r>
              <w:rPr>
                <w:rFonts w:hint="eastAsia" w:ascii="宋体" w:hAnsi="宋体" w:cs="宋体"/>
                <w:color w:val="auto"/>
                <w:szCs w:val="21"/>
                <w:u w:val="single"/>
                <w:lang w:eastAsia="zh-CN"/>
              </w:rPr>
              <w:t>公示期间如有异议、投诉的，被异议、投诉单位需提供注册登记所在地的县级以上人民政府中小企业主管部门认定函。</w:t>
            </w:r>
          </w:p>
        </w:tc>
      </w:tr>
    </w:tbl>
    <w:p w14:paraId="15BD9118">
      <w:pPr>
        <w:jc w:val="left"/>
        <w:rPr>
          <w:rFonts w:ascii="宋体" w:hAnsi="宋体" w:cs="宋体"/>
          <w:color w:val="auto"/>
          <w:sz w:val="24"/>
        </w:rPr>
      </w:pPr>
      <w:r>
        <w:rPr>
          <w:rFonts w:hint="eastAsia" w:ascii="宋体" w:hAnsi="宋体" w:cs="宋体"/>
          <w:color w:val="auto"/>
          <w:szCs w:val="20"/>
        </w:rPr>
        <w:t>注：企业</w:t>
      </w:r>
      <w:r>
        <w:rPr>
          <w:rFonts w:hint="eastAsia" w:ascii="宋体" w:hAnsi="宋体" w:cs="宋体"/>
          <w:color w:val="auto"/>
          <w:kern w:val="0"/>
          <w:szCs w:val="20"/>
        </w:rPr>
        <w:t>综合诚信评价得分即</w:t>
      </w:r>
      <w:r>
        <w:rPr>
          <w:rFonts w:hint="eastAsia" w:ascii="宋体" w:hAnsi="宋体" w:cs="宋体"/>
          <w:color w:val="auto"/>
          <w:szCs w:val="20"/>
        </w:rPr>
        <w:t>企业</w:t>
      </w:r>
      <w:r>
        <w:rPr>
          <w:rFonts w:hint="eastAsia" w:ascii="宋体" w:hAnsi="宋体" w:cs="宋体"/>
          <w:color w:val="auto"/>
          <w:kern w:val="0"/>
          <w:szCs w:val="20"/>
        </w:rPr>
        <w:t>综合诚信评价60日诚信分，以下同。</w:t>
      </w:r>
    </w:p>
    <w:p w14:paraId="6F3BF496">
      <w:pPr>
        <w:pStyle w:val="6"/>
        <w:rPr>
          <w:rFonts w:ascii="宋体" w:hAnsi="宋体" w:cs="宋体"/>
          <w:color w:val="auto"/>
        </w:rPr>
      </w:pPr>
      <w:r>
        <w:rPr>
          <w:rFonts w:hint="eastAsia" w:ascii="宋体" w:hAnsi="宋体" w:cs="宋体"/>
          <w:color w:val="auto"/>
        </w:rPr>
        <w:br w:type="page"/>
      </w:r>
      <w:bookmarkStart w:id="2" w:name="_Toc12984"/>
      <w:r>
        <w:rPr>
          <w:rFonts w:hint="eastAsia" w:ascii="宋体" w:hAnsi="宋体" w:cs="宋体"/>
          <w:color w:val="auto"/>
        </w:rPr>
        <w:t>二、投标须知修改表</w:t>
      </w:r>
      <w:bookmarkEnd w:id="2"/>
    </w:p>
    <w:p w14:paraId="38665880">
      <w:pPr>
        <w:pStyle w:val="4"/>
        <w:spacing w:line="360" w:lineRule="auto"/>
        <w:rPr>
          <w:rFonts w:ascii="宋体" w:hAnsi="宋体" w:cs="宋体"/>
          <w:b/>
          <w:color w:val="auto"/>
          <w:szCs w:val="21"/>
        </w:rPr>
      </w:pPr>
      <w:r>
        <w:rPr>
          <w:rFonts w:hint="eastAsia" w:ascii="宋体" w:hAnsi="宋体" w:cs="宋体"/>
          <w:b/>
          <w:color w:val="auto"/>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53DA4693">
      <w:pPr>
        <w:tabs>
          <w:tab w:val="left" w:pos="5620"/>
        </w:tabs>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条款号：5.1                     修改类型：修改</w:t>
      </w:r>
    </w:p>
    <w:p w14:paraId="6B49EC9F">
      <w:pPr>
        <w:tabs>
          <w:tab w:val="left" w:pos="5620"/>
        </w:tabs>
        <w:spacing w:line="360" w:lineRule="auto"/>
        <w:ind w:firstLine="495" w:firstLineChars="224"/>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10E71C97">
      <w:pPr>
        <w:pBdr>
          <w:bottom w:val="single" w:color="auto" w:sz="4" w:space="1"/>
        </w:pBdr>
        <w:spacing w:line="360" w:lineRule="auto"/>
        <w:ind w:firstLine="442" w:firstLineChars="200"/>
        <w:rPr>
          <w:rFonts w:ascii="宋体" w:hAnsi="宋体" w:cs="宋体"/>
          <w:color w:val="auto"/>
          <w:sz w:val="22"/>
          <w:szCs w:val="22"/>
          <w:u w:val="single"/>
        </w:rPr>
      </w:pPr>
      <w:r>
        <w:rPr>
          <w:rFonts w:hint="eastAsia" w:ascii="宋体" w:hAnsi="宋体" w:cs="宋体"/>
          <w:b/>
          <w:color w:val="auto"/>
          <w:sz w:val="22"/>
          <w:szCs w:val="22"/>
        </w:rPr>
        <w:t>现文：</w:t>
      </w:r>
      <w:r>
        <w:rPr>
          <w:rFonts w:hint="eastAsia" w:ascii="宋体" w:hAnsi="宋体" w:cs="宋体"/>
          <w:color w:val="auto"/>
          <w:sz w:val="22"/>
          <w:szCs w:val="22"/>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color w:val="auto"/>
          <w:sz w:val="22"/>
          <w:szCs w:val="22"/>
          <w:u w:val="single"/>
        </w:rPr>
        <w:t>投标人不进行踏勘的，视为已孰知现场条件，自行承担相关风险。</w:t>
      </w:r>
      <w:r>
        <w:rPr>
          <w:rFonts w:hint="eastAsia" w:ascii="宋体" w:hAnsi="宋体" w:cs="宋体"/>
          <w:color w:val="auto"/>
          <w:sz w:val="22"/>
          <w:szCs w:val="22"/>
        </w:rPr>
        <w:t>一旦中标，这种考察即被认为其结果已在中标文件中得到充分反映。考察现场的费用由投标人自己承担。</w:t>
      </w:r>
    </w:p>
    <w:p w14:paraId="170318A2">
      <w:pPr>
        <w:tabs>
          <w:tab w:val="left" w:pos="5620"/>
        </w:tabs>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 xml:space="preserve">条款号： </w:t>
      </w:r>
      <w:r>
        <w:rPr>
          <w:rFonts w:hint="eastAsia" w:ascii="宋体" w:hAnsi="宋体" w:cs="宋体"/>
          <w:color w:val="auto"/>
          <w:sz w:val="22"/>
          <w:szCs w:val="22"/>
        </w:rPr>
        <w:t>7.1</w:t>
      </w:r>
      <w:r>
        <w:rPr>
          <w:rFonts w:hint="eastAsia" w:ascii="宋体" w:hAnsi="宋体" w:cs="宋体"/>
          <w:b/>
          <w:color w:val="auto"/>
          <w:sz w:val="22"/>
          <w:szCs w:val="22"/>
        </w:rPr>
        <w:t xml:space="preserve">            修改类型：修改</w:t>
      </w:r>
      <w:r>
        <w:rPr>
          <w:rFonts w:hint="eastAsia" w:ascii="宋体" w:hAnsi="宋体" w:cs="宋体"/>
          <w:b/>
          <w:color w:val="auto"/>
          <w:sz w:val="22"/>
          <w:szCs w:val="22"/>
        </w:rPr>
        <w:tab/>
      </w:r>
    </w:p>
    <w:p w14:paraId="25AC99E9">
      <w:pPr>
        <w:spacing w:line="360" w:lineRule="auto"/>
        <w:ind w:firstLine="442" w:firstLineChars="200"/>
        <w:rPr>
          <w:rFonts w:ascii="宋体" w:hAnsi="宋体" w:cs="宋体"/>
          <w:bCs/>
          <w:color w:val="auto"/>
          <w:sz w:val="22"/>
          <w:szCs w:val="22"/>
        </w:rPr>
      </w:pPr>
      <w:r>
        <w:rPr>
          <w:rFonts w:hint="eastAsia" w:ascii="宋体" w:hAnsi="宋体" w:cs="宋体"/>
          <w:b/>
          <w:color w:val="auto"/>
          <w:sz w:val="22"/>
          <w:szCs w:val="22"/>
        </w:rPr>
        <w:t xml:space="preserve">原文： </w:t>
      </w:r>
      <w:r>
        <w:rPr>
          <w:rFonts w:hint="eastAsia" w:ascii="宋体" w:hAnsi="宋体" w:cs="宋体"/>
          <w:color w:val="auto"/>
          <w:sz w:val="22"/>
          <w:szCs w:val="22"/>
        </w:rPr>
        <w:t>7.1</w:t>
      </w:r>
      <w:r>
        <w:rPr>
          <w:rFonts w:hint="eastAsia" w:ascii="宋体" w:hAnsi="宋体" w:cs="宋体"/>
          <w:bCs/>
          <w:color w:val="auto"/>
          <w:sz w:val="22"/>
          <w:szCs w:val="22"/>
        </w:rPr>
        <w:t>本招标文件包括下列文件，以及所有按本须知第8条发出的招标答疑会会议纪要和按本须知第9条发出的澄清或修改：</w:t>
      </w:r>
    </w:p>
    <w:p w14:paraId="65EB87E9">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第一章  投标须知</w:t>
      </w:r>
    </w:p>
    <w:p w14:paraId="41B0FF67">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第二章  开标、评标及定标办法</w:t>
      </w:r>
    </w:p>
    <w:p w14:paraId="0C7A8616">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第三章  合同条款</w:t>
      </w:r>
    </w:p>
    <w:p w14:paraId="422CA12A">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第四章  投标文件格式</w:t>
      </w:r>
    </w:p>
    <w:p w14:paraId="35C42449">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第五章  技术条件（工程建设标准）（另册）</w:t>
      </w:r>
    </w:p>
    <w:p w14:paraId="67342F87">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第六章  图纸及勘察资料（另册）</w:t>
      </w:r>
    </w:p>
    <w:p w14:paraId="43360BB4">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第七章  招标工程量清单（另册）</w:t>
      </w:r>
    </w:p>
    <w:p w14:paraId="6AD133FE">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第八章  最高投标限价</w:t>
      </w:r>
    </w:p>
    <w:p w14:paraId="262613DA">
      <w:pPr>
        <w:tabs>
          <w:tab w:val="left" w:pos="4620"/>
        </w:tabs>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0D2A426D">
      <w:pPr>
        <w:spacing w:line="360" w:lineRule="auto"/>
        <w:ind w:firstLine="442" w:firstLineChars="200"/>
        <w:rPr>
          <w:rFonts w:ascii="宋体" w:hAnsi="宋体" w:cs="宋体"/>
          <w:bCs/>
          <w:color w:val="auto"/>
          <w:sz w:val="22"/>
          <w:szCs w:val="22"/>
        </w:rPr>
      </w:pPr>
      <w:r>
        <w:rPr>
          <w:rFonts w:hint="eastAsia" w:ascii="宋体" w:hAnsi="宋体" w:cs="宋体"/>
          <w:b/>
          <w:color w:val="auto"/>
          <w:sz w:val="22"/>
          <w:szCs w:val="22"/>
        </w:rPr>
        <w:t xml:space="preserve">现文： </w:t>
      </w:r>
      <w:r>
        <w:rPr>
          <w:rFonts w:hint="eastAsia" w:ascii="宋体" w:hAnsi="宋体" w:cs="宋体"/>
          <w:color w:val="auto"/>
          <w:sz w:val="22"/>
          <w:szCs w:val="22"/>
        </w:rPr>
        <w:t>7.1</w:t>
      </w:r>
      <w:r>
        <w:rPr>
          <w:rFonts w:hint="eastAsia" w:ascii="宋体" w:hAnsi="宋体" w:cs="宋体"/>
          <w:bCs/>
          <w:color w:val="auto"/>
          <w:sz w:val="22"/>
          <w:szCs w:val="22"/>
        </w:rPr>
        <w:t>本招标文件包括下列文件，以及所有按本须知第8条发出的招标答疑会会议纪要和按本须知第9条发出的澄清或修改：</w:t>
      </w:r>
    </w:p>
    <w:p w14:paraId="7C879ECF">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第一章  投标须知</w:t>
      </w:r>
    </w:p>
    <w:p w14:paraId="0ADFD661">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第二章  开标、评标及定标办法</w:t>
      </w:r>
    </w:p>
    <w:p w14:paraId="6022BEC2">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第三章  合同条款</w:t>
      </w:r>
      <w:r>
        <w:rPr>
          <w:rFonts w:hint="eastAsia" w:ascii="宋体" w:hAnsi="宋体" w:cs="宋体"/>
          <w:color w:val="auto"/>
          <w:sz w:val="22"/>
          <w:szCs w:val="22"/>
        </w:rPr>
        <w:t>（另册）</w:t>
      </w:r>
    </w:p>
    <w:p w14:paraId="383D2462">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第四章  投标文件格式</w:t>
      </w:r>
    </w:p>
    <w:p w14:paraId="339C63BA">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第五章  技术条件（工程建设标准）</w:t>
      </w:r>
    </w:p>
    <w:p w14:paraId="0BA4A040">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第六章  图纸及勘察资料（另册）</w:t>
      </w:r>
    </w:p>
    <w:p w14:paraId="368EFAE6">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第七章  招标工程量清单（另册）</w:t>
      </w:r>
    </w:p>
    <w:p w14:paraId="38FFE7A8">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第八章  最高投标限价</w:t>
      </w:r>
    </w:p>
    <w:p w14:paraId="3EC41B80">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3A89700">
      <w:pPr>
        <w:pBdr>
          <w:top w:val="single" w:color="auto" w:sz="4" w:space="0"/>
        </w:pBd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 xml:space="preserve">8.1         </w:t>
      </w:r>
      <w:r>
        <w:rPr>
          <w:rFonts w:hint="eastAsia" w:ascii="宋体" w:hAnsi="宋体" w:cs="宋体"/>
          <w:b/>
          <w:color w:val="auto"/>
          <w:sz w:val="22"/>
          <w:szCs w:val="22"/>
        </w:rPr>
        <w:t>修改类型：修改</w:t>
      </w:r>
    </w:p>
    <w:p w14:paraId="2B1FC242">
      <w:pPr>
        <w:pStyle w:val="4"/>
        <w:spacing w:after="0"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8.1 投标人若对招标文件（包括招标图纸）中有疑问，可以书面形式通过交易平台提交给招标人或招标代理人，提交形式见本须知前附表第16项。</w:t>
      </w:r>
    </w:p>
    <w:p w14:paraId="30922DE2">
      <w:pPr>
        <w:pBdr>
          <w:bottom w:val="single" w:color="auto" w:sz="6" w:space="1"/>
        </w:pBdr>
        <w:spacing w:line="360" w:lineRule="auto"/>
        <w:ind w:firstLine="433" w:firstLineChars="196"/>
        <w:rPr>
          <w:rFonts w:ascii="宋体" w:hAnsi="宋体" w:cs="宋体"/>
          <w:color w:val="auto"/>
          <w:sz w:val="22"/>
          <w:szCs w:val="22"/>
          <w:u w:val="single"/>
        </w:rPr>
      </w:pPr>
      <w:r>
        <w:rPr>
          <w:rFonts w:hint="eastAsia" w:ascii="宋体" w:hAnsi="宋体" w:cs="宋体"/>
          <w:b/>
          <w:color w:val="auto"/>
          <w:sz w:val="22"/>
          <w:szCs w:val="22"/>
        </w:rPr>
        <w:t>现文：</w:t>
      </w:r>
      <w:r>
        <w:rPr>
          <w:rFonts w:hint="eastAsia" w:ascii="宋体" w:hAnsi="宋体" w:cs="宋体"/>
          <w:color w:val="auto"/>
          <w:sz w:val="22"/>
          <w:szCs w:val="22"/>
        </w:rPr>
        <w:t>8.1 投标人若对招标文件（包括招标图纸）中有疑问，可以书面形式通过</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交易平台提交给招标人或招标代理人，提交形式见本须知前附表第16项。</w:t>
      </w:r>
    </w:p>
    <w:p w14:paraId="251BF167">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8.2</w:t>
      </w:r>
      <w:r>
        <w:rPr>
          <w:rFonts w:hint="eastAsia" w:ascii="宋体" w:hAnsi="宋体" w:cs="宋体"/>
          <w:b/>
          <w:color w:val="auto"/>
          <w:sz w:val="22"/>
          <w:szCs w:val="22"/>
        </w:rPr>
        <w:t xml:space="preserve">             修改类型：修改</w:t>
      </w:r>
    </w:p>
    <w:p w14:paraId="72A2557A">
      <w:pPr>
        <w:pStyle w:val="4"/>
        <w:spacing w:after="0"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8.2招标答疑会会议纪要将在提交投标文件截止时间15日前在交易平台 “项目答疑纪要”专区公开发布。答疑纪要一经在交易平台发布，视作已发放给所有投标人。</w:t>
      </w:r>
    </w:p>
    <w:p w14:paraId="647A3F55">
      <w:pPr>
        <w:pBdr>
          <w:bottom w:val="single" w:color="auto" w:sz="6" w:space="1"/>
        </w:pBdr>
        <w:spacing w:line="360" w:lineRule="auto"/>
        <w:ind w:firstLine="433" w:firstLineChars="196"/>
        <w:rPr>
          <w:rFonts w:ascii="宋体" w:hAnsi="宋体" w:cs="宋体"/>
          <w:b/>
          <w:color w:val="auto"/>
          <w:sz w:val="22"/>
          <w:szCs w:val="22"/>
        </w:rPr>
      </w:pPr>
      <w:r>
        <w:rPr>
          <w:rFonts w:hint="eastAsia" w:ascii="宋体" w:hAnsi="宋体" w:cs="宋体"/>
          <w:b/>
          <w:color w:val="auto"/>
          <w:sz w:val="22"/>
          <w:szCs w:val="22"/>
        </w:rPr>
        <w:t>现文：</w:t>
      </w:r>
      <w:r>
        <w:rPr>
          <w:rFonts w:hint="eastAsia" w:ascii="宋体" w:hAnsi="宋体" w:cs="宋体"/>
          <w:bCs/>
          <w:color w:val="auto"/>
          <w:sz w:val="22"/>
          <w:szCs w:val="22"/>
        </w:rPr>
        <w:t>8.2招标答疑会会议纪要将在提交投标文件截止时间15日前在</w:t>
      </w:r>
      <w:r>
        <w:rPr>
          <w:rFonts w:hint="eastAsia" w:ascii="宋体" w:hAnsi="宋体" w:cs="宋体"/>
          <w:bCs/>
          <w:color w:val="auto"/>
          <w:sz w:val="22"/>
          <w:szCs w:val="22"/>
          <w:lang w:eastAsia="zh-CN"/>
        </w:rPr>
        <w:t>广州交易集团有限公司（广州公共资源交易中心）</w:t>
      </w:r>
      <w:r>
        <w:rPr>
          <w:rFonts w:hint="eastAsia" w:ascii="宋体" w:hAnsi="宋体" w:cs="宋体"/>
          <w:bCs/>
          <w:color w:val="auto"/>
          <w:sz w:val="22"/>
          <w:szCs w:val="22"/>
        </w:rPr>
        <w:t>交易平台 “项目答疑纪要”专区公开发布。答疑纪要一经在</w:t>
      </w:r>
      <w:r>
        <w:rPr>
          <w:rFonts w:hint="eastAsia" w:ascii="宋体" w:hAnsi="宋体" w:cs="宋体"/>
          <w:bCs/>
          <w:color w:val="auto"/>
          <w:sz w:val="22"/>
          <w:szCs w:val="22"/>
          <w:lang w:eastAsia="zh-CN"/>
        </w:rPr>
        <w:t>广州交易集团有限公司（广州公共资源交易中心）</w:t>
      </w:r>
      <w:r>
        <w:rPr>
          <w:rFonts w:hint="eastAsia" w:ascii="宋体" w:hAnsi="宋体" w:cs="宋体"/>
          <w:bCs/>
          <w:color w:val="auto"/>
          <w:sz w:val="22"/>
          <w:szCs w:val="22"/>
        </w:rPr>
        <w:t>交易平台发布，视作已发放给所有投标人。</w:t>
      </w:r>
    </w:p>
    <w:p w14:paraId="31059008">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9.2</w:t>
      </w:r>
      <w:r>
        <w:rPr>
          <w:rFonts w:hint="eastAsia" w:ascii="宋体" w:hAnsi="宋体" w:cs="宋体"/>
          <w:b/>
          <w:color w:val="auto"/>
          <w:sz w:val="22"/>
          <w:szCs w:val="22"/>
        </w:rPr>
        <w:t xml:space="preserve">             修改类型：修改</w:t>
      </w:r>
    </w:p>
    <w:p w14:paraId="79201BC0">
      <w:pPr>
        <w:pStyle w:val="4"/>
        <w:spacing w:after="0"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9.2招标文件的澄清或修改将在交易平台“项目答疑纪要”专区公开发布。答疑纪要一经在交易平台发布，视作已发放给所有投标人，以交易平台上网发布时间作为送达时间。</w:t>
      </w:r>
    </w:p>
    <w:p w14:paraId="6D55FDFC">
      <w:pPr>
        <w:pBdr>
          <w:bottom w:val="single" w:color="auto" w:sz="6" w:space="1"/>
        </w:pBdr>
        <w:spacing w:line="360" w:lineRule="auto"/>
        <w:ind w:firstLine="433" w:firstLineChars="196"/>
        <w:rPr>
          <w:rFonts w:ascii="宋体" w:hAnsi="宋体" w:cs="宋体"/>
          <w:b/>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9.2招标文件的澄清或修改将在</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交易平台“项目答疑纪要”专区公开发布。答疑纪要一经在</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交易平台发布，视作已发放给所有投标人，以</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交易平台上网发布时间作为送达时间。</w:t>
      </w:r>
    </w:p>
    <w:p w14:paraId="09C7DE3B">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 xml:space="preserve">9.4             </w:t>
      </w:r>
      <w:r>
        <w:rPr>
          <w:rFonts w:hint="eastAsia" w:ascii="宋体" w:hAnsi="宋体" w:cs="宋体"/>
          <w:b/>
          <w:color w:val="auto"/>
          <w:sz w:val="22"/>
          <w:szCs w:val="22"/>
        </w:rPr>
        <w:t>修改类型：修改</w:t>
      </w:r>
    </w:p>
    <w:p w14:paraId="09705A15">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9.4招标文件的澄清或修改均以书面形式明确的内容为准。当招标文件的澄清、修改、补充等在同一内容的表述不一致时，以最后发出的书面形式的文件为准。</w:t>
      </w:r>
    </w:p>
    <w:p w14:paraId="0364269B">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9.4招标文件的澄清或修改均</w:t>
      </w:r>
      <w:r>
        <w:rPr>
          <w:rFonts w:hint="eastAsia" w:ascii="宋体" w:hAnsi="宋体" w:cs="宋体"/>
          <w:color w:val="auto"/>
          <w:sz w:val="22"/>
          <w:szCs w:val="22"/>
          <w:u w:val="single"/>
        </w:rPr>
        <w:t>在</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u w:val="single"/>
        </w:rPr>
        <w:t>网站“网上答疑”专区公开发布。</w:t>
      </w:r>
      <w:r>
        <w:rPr>
          <w:rFonts w:hint="eastAsia" w:ascii="宋体" w:hAnsi="宋体" w:cs="宋体"/>
          <w:color w:val="auto"/>
          <w:sz w:val="22"/>
          <w:szCs w:val="22"/>
        </w:rPr>
        <w:t>当招标文件的澄清、修改、补充等在同一内容的表述不一致时，以最后发出的文件为准。</w:t>
      </w:r>
    </w:p>
    <w:p w14:paraId="09FE10AB">
      <w:pPr>
        <w:spacing w:line="480" w:lineRule="auto"/>
        <w:ind w:firstLine="495" w:firstLineChars="224"/>
        <w:rPr>
          <w:rFonts w:ascii="宋体" w:hAnsi="宋体" w:cs="宋体"/>
          <w:b/>
          <w:color w:val="auto"/>
          <w:sz w:val="22"/>
          <w:szCs w:val="22"/>
        </w:rPr>
      </w:pPr>
      <w:r>
        <w:rPr>
          <w:rFonts w:hint="eastAsia" w:ascii="宋体" w:hAnsi="宋体" w:cs="宋体"/>
          <w:b/>
          <w:color w:val="auto"/>
          <w:sz w:val="22"/>
          <w:szCs w:val="22"/>
        </w:rPr>
        <w:t xml:space="preserve">条款号： </w:t>
      </w:r>
      <w:r>
        <w:rPr>
          <w:rFonts w:hint="eastAsia" w:ascii="宋体" w:hAnsi="宋体" w:cs="宋体"/>
          <w:bCs/>
          <w:color w:val="auto"/>
          <w:sz w:val="22"/>
          <w:szCs w:val="22"/>
        </w:rPr>
        <w:t>11.2</w:t>
      </w:r>
      <w:r>
        <w:rPr>
          <w:rFonts w:hint="eastAsia" w:ascii="宋体" w:hAnsi="宋体" w:cs="宋体"/>
          <w:b/>
          <w:color w:val="auto"/>
          <w:sz w:val="22"/>
          <w:szCs w:val="22"/>
        </w:rPr>
        <w:t xml:space="preserve">            修改类型：修改</w:t>
      </w:r>
    </w:p>
    <w:p w14:paraId="56FB2413">
      <w:pPr>
        <w:pStyle w:val="4"/>
        <w:rPr>
          <w:rFonts w:ascii="宋体" w:hAnsi="宋体" w:cs="宋体"/>
          <w:bCs/>
          <w:color w:val="auto"/>
          <w:sz w:val="22"/>
          <w:szCs w:val="18"/>
        </w:rPr>
      </w:pPr>
      <w:r>
        <w:rPr>
          <w:rFonts w:hint="eastAsia" w:ascii="宋体" w:hAnsi="宋体" w:cs="宋体"/>
          <w:b/>
          <w:color w:val="auto"/>
          <w:sz w:val="22"/>
          <w:szCs w:val="22"/>
        </w:rPr>
        <w:t>原文：</w:t>
      </w:r>
      <w:r>
        <w:rPr>
          <w:rFonts w:hint="eastAsia" w:ascii="宋体" w:hAnsi="宋体" w:cs="宋体"/>
          <w:bCs/>
          <w:color w:val="auto"/>
          <w:sz w:val="22"/>
          <w:szCs w:val="18"/>
        </w:rPr>
        <w:t>11.2投标文件技术标部分主要包括下列内容:</w:t>
      </w:r>
    </w:p>
    <w:p w14:paraId="3CC18B7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11.2.1 技术投标文件</w:t>
      </w:r>
      <w:r>
        <w:rPr>
          <w:rFonts w:hint="eastAsia" w:ascii="宋体" w:hAnsi="宋体" w:cs="宋体"/>
          <w:color w:val="auto"/>
          <w:sz w:val="22"/>
          <w:szCs w:val="21"/>
        </w:rPr>
        <w:t>(按招标文件的要求填写)</w:t>
      </w:r>
      <w:r>
        <w:rPr>
          <w:rFonts w:hint="eastAsia" w:ascii="宋体" w:hAnsi="宋体" w:cs="宋体"/>
          <w:bCs/>
          <w:color w:val="auto"/>
          <w:sz w:val="22"/>
          <w:szCs w:val="21"/>
        </w:rPr>
        <w:t>；</w:t>
      </w:r>
    </w:p>
    <w:p w14:paraId="2813C441">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11.2.2资格审查文件：</w:t>
      </w:r>
    </w:p>
    <w:p w14:paraId="0915EF3B">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 xml:space="preserve">（1）投标人声明； </w:t>
      </w:r>
    </w:p>
    <w:p w14:paraId="0EE9A70D">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（2）法定代表人证明书、法定代表人签字或盖章的本投标文件授权委托证明书；</w:t>
      </w:r>
    </w:p>
    <w:p w14:paraId="6BAD7D81">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（3）企业营业执照扫描件或电子证照；</w:t>
      </w:r>
    </w:p>
    <w:p w14:paraId="23B4160C">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（4）企业资质证书扫描件或电子证照；</w:t>
      </w:r>
    </w:p>
    <w:p w14:paraId="2115C815">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（5）建筑施工企业安全生产许可证扫描件或电子证照；</w:t>
      </w:r>
    </w:p>
    <w:p w14:paraId="31A3B194">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（6）项目负责人（按网上投标登记时选择拟投入本项目的项目负责人）</w:t>
      </w:r>
    </w:p>
    <w:p w14:paraId="0B6A3218">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（7）专职安全员（按网上投标登记时选择拟投入本项目的专职安全员）</w:t>
      </w:r>
    </w:p>
    <w:p w14:paraId="5F2DF3C8">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（8）拟委托技术负责人的相关证书、资料（具体要求由招标人明确）</w:t>
      </w:r>
    </w:p>
    <w:p w14:paraId="600A7800">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 xml:space="preserve">（9）拟委派项目负责人的有效期内的建造师注册证书扫描件或电子证书；  </w:t>
      </w:r>
    </w:p>
    <w:p w14:paraId="161BF983">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（10）项目负责人在有效期内的安全生产考核合格证书（B类）或建筑施工企业项目负责人安全生产考核合格证书扫描件或电子证书；</w:t>
      </w:r>
    </w:p>
    <w:p w14:paraId="3E2FD5B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（11）专职安全员须具有在有效期内的安全生产考核合格证书（C类）或建筑施工企业专职安全生产管理人员安全生产考核合格证书扫描件或电子证书；</w:t>
      </w:r>
    </w:p>
    <w:p w14:paraId="2CF00CDC">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（12）用于资格审查的业绩（设置业绩要求时选择此项，投标人须提供类似工程业绩的项目名称及项目编号，具体格式由招标人自定）；</w:t>
      </w:r>
    </w:p>
    <w:p w14:paraId="3CB7843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35783FE2">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（14）列明主办单位的联合体工作协议（采用联合体投标时需递交，投标人拟任本工程项目负责人应为联合体主办方信用档案中的在册人员，联合体工作协议应明确约定各方拟承担的工作和责任）；</w:t>
      </w:r>
    </w:p>
    <w:p w14:paraId="5D5C7C7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注：1.相关电子证书按规定需打印后手写本人签名的，应按照规定手写本人签名后再扫描提交。</w:t>
      </w:r>
    </w:p>
    <w:p w14:paraId="13B86694">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FBC1BBA">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11.2.3项目管理机构配备。</w:t>
      </w:r>
    </w:p>
    <w:p w14:paraId="77065244">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（1）投标人应列出该项目工程的施工组织机构构成和画出机构框架图及其负责人；</w:t>
      </w:r>
    </w:p>
    <w:p w14:paraId="1970A5A6">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（2）投标人应详细列出该施工组织机构中主要成员的名单、简历资料、职务职称和在本项目中拟担任的职务等资料，并附上有关证明材料扫描件；</w:t>
      </w:r>
    </w:p>
    <w:p w14:paraId="2509298A">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（3）其他辅助说明资料。</w:t>
      </w:r>
    </w:p>
    <w:p w14:paraId="22E52DBC">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11.2.4投标人在广州市可使用适合本工程的机械设备（附：机械设备为自有或租赁的说明；及承诺机械设备如属于租赁的，其租赁是不属于重复租赁）。</w:t>
      </w:r>
    </w:p>
    <w:p w14:paraId="3416FA3D">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11.2.5施工组织设计或施工方案。</w:t>
      </w:r>
    </w:p>
    <w:p w14:paraId="0C7C412F">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（1）投标人在编制施工组织设计或施工方案时应按照招标人提出的施工现场建筑垃圾源头减量的具体要求以及建筑垃圾综合利用产品的使用要求提供相应措施。</w:t>
      </w:r>
    </w:p>
    <w:p w14:paraId="0DFBEE8D">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D67FD2F">
      <w:pPr>
        <w:spacing w:line="360" w:lineRule="auto"/>
        <w:ind w:firstLine="440" w:firstLineChars="200"/>
        <w:rPr>
          <w:rFonts w:ascii="宋体" w:hAnsi="宋体" w:cs="宋体"/>
          <w:b/>
          <w:color w:val="auto"/>
          <w:sz w:val="22"/>
          <w:szCs w:val="22"/>
        </w:rPr>
      </w:pPr>
      <w:r>
        <w:rPr>
          <w:rFonts w:hint="eastAsia" w:ascii="宋体" w:hAnsi="宋体" w:cs="宋体"/>
          <w:color w:val="auto"/>
          <w:sz w:val="22"/>
          <w:szCs w:val="21"/>
        </w:rPr>
        <w:t>11.2.6按照</w:t>
      </w:r>
      <w:r>
        <w:rPr>
          <w:rFonts w:hint="eastAsia" w:ascii="宋体" w:hAnsi="宋体" w:cs="宋体"/>
          <w:bCs/>
          <w:color w:val="auto"/>
          <w:sz w:val="22"/>
          <w:szCs w:val="21"/>
        </w:rPr>
        <w:t>招标文件要求</w:t>
      </w:r>
      <w:r>
        <w:rPr>
          <w:rFonts w:hint="eastAsia" w:ascii="宋体" w:hAnsi="宋体" w:cs="宋体"/>
          <w:color w:val="auto"/>
          <w:sz w:val="22"/>
          <w:szCs w:val="21"/>
        </w:rPr>
        <w:t>填写的《参与编制技术标投标文件人员名单》。</w:t>
      </w:r>
    </w:p>
    <w:p w14:paraId="03D9B5DA">
      <w:pPr>
        <w:tabs>
          <w:tab w:val="left" w:pos="1125"/>
        </w:tabs>
        <w:spacing w:line="360" w:lineRule="auto"/>
        <w:ind w:firstLine="442" w:firstLineChars="200"/>
        <w:rPr>
          <w:rFonts w:ascii="宋体" w:hAnsi="宋体" w:cs="宋体"/>
          <w:color w:val="auto"/>
          <w:sz w:val="22"/>
          <w:szCs w:val="22"/>
          <w:u w:val="single"/>
        </w:rPr>
      </w:pPr>
      <w:r>
        <w:rPr>
          <w:rFonts w:hint="eastAsia" w:ascii="宋体" w:hAnsi="宋体" w:cs="宋体"/>
          <w:b/>
          <w:color w:val="auto"/>
          <w:sz w:val="22"/>
          <w:szCs w:val="22"/>
        </w:rPr>
        <w:t>现文：</w:t>
      </w:r>
      <w:r>
        <w:rPr>
          <w:rFonts w:hint="eastAsia" w:ascii="宋体" w:hAnsi="宋体" w:eastAsia="宋体" w:cs="宋体"/>
          <w:bCs/>
          <w:color w:val="auto"/>
          <w:sz w:val="22"/>
          <w:szCs w:val="21"/>
        </w:rPr>
        <w:t>11.2投标文件技术标部分主要包括下列内容:</w:t>
      </w:r>
    </w:p>
    <w:p w14:paraId="5FD7B407">
      <w:pPr>
        <w:spacing w:line="360" w:lineRule="auto"/>
        <w:ind w:firstLine="440" w:firstLineChars="200"/>
        <w:rPr>
          <w:rFonts w:ascii="宋体" w:hAnsi="宋体" w:cs="宋体"/>
          <w:color w:val="auto"/>
          <w:sz w:val="22"/>
          <w:szCs w:val="22"/>
          <w:u w:val="single"/>
        </w:rPr>
      </w:pPr>
      <w:r>
        <w:rPr>
          <w:rFonts w:hint="eastAsia" w:ascii="宋体" w:hAnsi="宋体" w:cs="宋体"/>
          <w:color w:val="auto"/>
          <w:sz w:val="22"/>
          <w:szCs w:val="22"/>
          <w:u w:val="single"/>
        </w:rPr>
        <w:t>11.2.1资格审查文件：</w:t>
      </w:r>
    </w:p>
    <w:p w14:paraId="1B071498">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 xml:space="preserve">（1）投标人声明（按招标公告附件一的格式及内容提交）； </w:t>
      </w:r>
    </w:p>
    <w:p w14:paraId="613A3E26">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（2）法定代表人证明书、法定代表人签字或盖章的本投标文件授权委托证明书；</w:t>
      </w:r>
    </w:p>
    <w:p w14:paraId="26B03527">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（3）企业营业执照扫描件或电子证照；</w:t>
      </w:r>
    </w:p>
    <w:p w14:paraId="4D36BF8F">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（4）企业资质证书扫描件或电子证照；</w:t>
      </w:r>
    </w:p>
    <w:p w14:paraId="75712FB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（5）建筑施工企业安全生产许可证扫描件或电子证照；</w:t>
      </w:r>
    </w:p>
    <w:p w14:paraId="68B8357B">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（6）项目负责人（按网上投标登记时选择拟投入本项目的项目负责人）</w:t>
      </w:r>
    </w:p>
    <w:p w14:paraId="2DC83E4D">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（7）专职安全员（按网上投标登记时选择拟投入本项目的专职安全员）</w:t>
      </w:r>
    </w:p>
    <w:p w14:paraId="1C34539E">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（8）拟委托技术负责人的相关证书、资料（具体要求由招标人明确）</w:t>
      </w:r>
    </w:p>
    <w:p w14:paraId="204586D4">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 xml:space="preserve">（9）拟委派项目负责人的有效期内的建造师注册证书扫描件或电子证书；  </w:t>
      </w:r>
    </w:p>
    <w:p w14:paraId="1466638F">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（10）项目负责人在有效期内的安全生产考核合格证书（B类）或建筑施工企业项目负责人安全生产考核合格证书扫描件或电子证书；</w:t>
      </w:r>
    </w:p>
    <w:p w14:paraId="61A3BB74">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（11）专职安全员须具有安全生产考核合格证（C类）或建筑施工企业专职安全生产管理人员安全生产考核合格证书（C3类）扫描件或电子证书；</w:t>
      </w:r>
    </w:p>
    <w:p w14:paraId="0747128F">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（12）</w:t>
      </w:r>
      <w:r>
        <w:rPr>
          <w:rFonts w:hint="eastAsia" w:ascii="宋体" w:hAnsi="宋体" w:cs="宋体"/>
          <w:color w:val="auto"/>
          <w:sz w:val="22"/>
          <w:szCs w:val="22"/>
        </w:rPr>
        <w:t>资格审查前，投标人须在广州市住房和城乡建设局建立企业信用档案，拟担任本工程项目负责人、专职安全员须是本企业信用档案中的在册人员</w:t>
      </w:r>
      <w:r>
        <w:rPr>
          <w:rFonts w:hint="eastAsia" w:ascii="宋体" w:hAnsi="宋体" w:cs="宋体"/>
          <w:bCs/>
          <w:color w:val="auto"/>
          <w:sz w:val="22"/>
          <w:szCs w:val="21"/>
        </w:rPr>
        <w:t>；</w:t>
      </w:r>
    </w:p>
    <w:p w14:paraId="4DFF2878">
      <w:pPr>
        <w:spacing w:line="360" w:lineRule="auto"/>
        <w:ind w:firstLine="440" w:firstLineChars="200"/>
        <w:jc w:val="left"/>
        <w:rPr>
          <w:rFonts w:hint="eastAsia" w:ascii="宋体" w:hAnsi="宋体" w:eastAsia="宋体" w:cs="宋体"/>
          <w:color w:val="auto"/>
          <w:sz w:val="22"/>
          <w:szCs w:val="22"/>
          <w:u w:val="single"/>
          <w:lang w:eastAsia="zh-CN"/>
        </w:rPr>
      </w:pP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3</w:t>
      </w:r>
      <w:r>
        <w:rPr>
          <w:rFonts w:hint="eastAsia" w:ascii="宋体" w:hAnsi="宋体" w:cs="宋体"/>
          <w:color w:val="auto"/>
          <w:sz w:val="22"/>
          <w:szCs w:val="22"/>
          <w:u w:val="single"/>
        </w:rPr>
        <w:t>）投标人未被列入拖欠农民工工资失信联合惩戒对象名单（投标人无需提供资料，按交易系统比对的结果进行评审）</w:t>
      </w:r>
      <w:r>
        <w:rPr>
          <w:rFonts w:hint="eastAsia" w:ascii="宋体" w:hAnsi="宋体" w:cs="宋体"/>
          <w:color w:val="auto"/>
          <w:sz w:val="22"/>
          <w:szCs w:val="22"/>
          <w:u w:val="single"/>
          <w:lang w:eastAsia="zh-CN"/>
        </w:rPr>
        <w:t>；</w:t>
      </w:r>
    </w:p>
    <w:p w14:paraId="19D2CC5A">
      <w:pPr>
        <w:spacing w:line="360" w:lineRule="auto"/>
        <w:ind w:firstLine="440" w:firstLineChars="200"/>
        <w:jc w:val="left"/>
        <w:rPr>
          <w:rFonts w:hint="default" w:ascii="宋体" w:hAnsi="宋体" w:eastAsia="宋体" w:cs="宋体"/>
          <w:color w:val="auto"/>
          <w:sz w:val="22"/>
          <w:szCs w:val="22"/>
          <w:u w:val="single"/>
          <w:lang w:val="en-US" w:eastAsia="zh-CN"/>
        </w:rPr>
      </w:pP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4</w:t>
      </w:r>
      <w:r>
        <w:rPr>
          <w:rFonts w:hint="eastAsia" w:ascii="宋体" w:hAnsi="宋体" w:cs="宋体"/>
          <w:color w:val="auto"/>
          <w:sz w:val="22"/>
          <w:szCs w:val="22"/>
          <w:u w:val="single"/>
        </w:rPr>
        <w:t>）</w:t>
      </w:r>
      <w:r>
        <w:rPr>
          <w:rFonts w:hint="eastAsia" w:ascii="宋体" w:hAnsi="宋体" w:cs="宋体"/>
          <w:color w:val="auto"/>
          <w:sz w:val="22"/>
          <w:szCs w:val="22"/>
          <w:u w:val="single"/>
          <w:lang w:val="en-US" w:eastAsia="zh-CN"/>
        </w:rPr>
        <w:t>中小企业相关资料</w:t>
      </w:r>
      <w:r>
        <w:rPr>
          <w:rFonts w:hint="eastAsia" w:ascii="宋体" w:hAnsi="宋体" w:eastAsia="宋体" w:cs="宋体"/>
          <w:color w:val="auto"/>
          <w:sz w:val="22"/>
          <w:szCs w:val="22"/>
          <w:u w:val="single"/>
          <w:lang w:val="en-US" w:eastAsia="zh-CN"/>
        </w:rPr>
        <w:t>（按招标</w:t>
      </w:r>
      <w:r>
        <w:rPr>
          <w:rFonts w:hint="eastAsia" w:ascii="宋体" w:hAnsi="宋体" w:cs="宋体"/>
          <w:color w:val="auto"/>
          <w:sz w:val="22"/>
          <w:szCs w:val="22"/>
          <w:u w:val="single"/>
          <w:lang w:val="en-US" w:eastAsia="zh-CN"/>
        </w:rPr>
        <w:t>公告</w:t>
      </w:r>
      <w:r>
        <w:rPr>
          <w:rFonts w:hint="eastAsia" w:ascii="宋体" w:hAnsi="宋体" w:eastAsia="宋体" w:cs="宋体"/>
          <w:color w:val="auto"/>
          <w:sz w:val="22"/>
          <w:szCs w:val="22"/>
          <w:u w:val="single"/>
          <w:lang w:val="en-US" w:eastAsia="zh-CN"/>
        </w:rPr>
        <w:t>附件的格式及内容提交）；</w:t>
      </w:r>
    </w:p>
    <w:p w14:paraId="42813A3C">
      <w:pPr>
        <w:spacing w:line="360" w:lineRule="auto"/>
        <w:ind w:firstLine="440" w:firstLineChars="200"/>
        <w:jc w:val="left"/>
        <w:rPr>
          <w:rFonts w:ascii="宋体" w:hAnsi="宋体" w:cs="宋体"/>
          <w:color w:val="auto"/>
          <w:sz w:val="22"/>
          <w:szCs w:val="22"/>
        </w:rPr>
      </w:pPr>
      <w:r>
        <w:rPr>
          <w:rFonts w:hint="eastAsia" w:ascii="宋体" w:hAnsi="宋体" w:cs="宋体"/>
          <w:color w:val="auto"/>
          <w:sz w:val="22"/>
          <w:szCs w:val="22"/>
          <w:u w:val="single"/>
        </w:rPr>
        <w:t>（</w:t>
      </w:r>
      <w:r>
        <w:rPr>
          <w:rFonts w:hint="eastAsia" w:ascii="宋体" w:hAnsi="宋体" w:cs="宋体"/>
          <w:color w:val="auto"/>
          <w:sz w:val="22"/>
          <w:szCs w:val="22"/>
          <w:u w:val="single"/>
          <w:lang w:val="en-US" w:eastAsia="zh-CN"/>
        </w:rPr>
        <w:t>15</w:t>
      </w:r>
      <w:r>
        <w:rPr>
          <w:rFonts w:hint="eastAsia" w:ascii="宋体" w:hAnsi="宋体" w:cs="宋体"/>
          <w:color w:val="auto"/>
          <w:sz w:val="22"/>
          <w:szCs w:val="22"/>
          <w:u w:val="single"/>
        </w:rPr>
        <w:t>）投标人认为应提供的其他资料。</w:t>
      </w:r>
    </w:p>
    <w:p w14:paraId="209500D3">
      <w:pPr>
        <w:spacing w:line="360" w:lineRule="auto"/>
        <w:ind w:firstLine="440" w:firstLineChars="200"/>
        <w:rPr>
          <w:rFonts w:ascii="宋体" w:hAnsi="宋体" w:cs="宋体"/>
          <w:bCs/>
          <w:color w:val="auto"/>
          <w:sz w:val="22"/>
          <w:szCs w:val="21"/>
        </w:rPr>
      </w:pPr>
      <w:r>
        <w:rPr>
          <w:rFonts w:hint="eastAsia" w:ascii="宋体" w:hAnsi="宋体" w:cs="宋体"/>
          <w:bCs/>
          <w:color w:val="auto"/>
          <w:sz w:val="22"/>
          <w:szCs w:val="21"/>
        </w:rPr>
        <w:t>注：1.相关电子证书按规定需打印后手写本人签名的，应按照规定手写本人签名后再扫描提交。</w:t>
      </w:r>
    </w:p>
    <w:p w14:paraId="576CDBF3">
      <w:pPr>
        <w:spacing w:line="360" w:lineRule="auto"/>
        <w:ind w:firstLine="440" w:firstLineChars="200"/>
        <w:rPr>
          <w:rFonts w:ascii="宋体" w:hAnsi="宋体" w:cs="宋体"/>
          <w:color w:val="auto"/>
          <w:sz w:val="22"/>
          <w:szCs w:val="22"/>
        </w:rPr>
      </w:pPr>
      <w:r>
        <w:rPr>
          <w:rFonts w:hint="eastAsia" w:ascii="宋体" w:hAnsi="宋体" w:cs="宋体"/>
          <w:bCs/>
          <w:color w:val="auto"/>
          <w:sz w:val="22"/>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90C7CE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11.2.2按照招标文件要求填写的《参与编制技术标投标文件人员名单》（详见招标文件第四章“投标文件格式”）。</w:t>
      </w:r>
    </w:p>
    <w:p w14:paraId="7870DCA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11.2.3技术标评分证明材料：</w:t>
      </w:r>
    </w:p>
    <w:p w14:paraId="1DB724D7">
      <w:pPr>
        <w:pBdr>
          <w:bottom w:val="single" w:color="auto" w:sz="6" w:space="1"/>
        </w:pBd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11.2.4按照招标文件要求填写的《危险性较大的分部分项工程清单及超过一定规模的危险性较大的分部分项工程清单》（详见招标文件第四章“投标文件格式”）。</w:t>
      </w:r>
    </w:p>
    <w:p w14:paraId="42DB27D6">
      <w:pPr>
        <w:pBdr>
          <w:bottom w:val="single" w:color="auto" w:sz="6" w:space="1"/>
        </w:pBd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11.2.5施工组织设计或施工方案。</w:t>
      </w:r>
    </w:p>
    <w:p w14:paraId="52FCC97C">
      <w:pPr>
        <w:pBdr>
          <w:bottom w:val="single" w:color="auto" w:sz="6" w:space="1"/>
        </w:pBd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（1）投标人在编制施工组织设计或施工方案时应按照招标人提出的施工现场建筑垃圾源头减量的具体要求以及建筑垃圾综合利用产品的使用要求提供相应措施。</w:t>
      </w:r>
    </w:p>
    <w:p w14:paraId="69694D60">
      <w:pPr>
        <w:pBdr>
          <w:bottom w:val="single" w:color="auto" w:sz="6" w:space="1"/>
        </w:pBdr>
        <w:spacing w:line="360" w:lineRule="auto"/>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2）投标人在编制施工组织设计或施工方案时应按照招标文件要求，并针对本项目的关键技术、工艺、重点、难点以及拟在本项目采用的新工艺、新技术、新材料编制，应突出重点，标准、规范中已有的内容无需赘述，篇幅不宜超过150页。超过部分不予评审。</w:t>
      </w:r>
    </w:p>
    <w:p w14:paraId="71D7D299">
      <w:pPr>
        <w:pBdr>
          <w:bottom w:val="single" w:color="auto" w:sz="6" w:space="1"/>
        </w:pBd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11.2.</w:t>
      </w:r>
      <w:r>
        <w:rPr>
          <w:rFonts w:hint="eastAsia" w:ascii="宋体" w:hAnsi="宋体" w:cs="宋体"/>
          <w:color w:val="auto"/>
          <w:sz w:val="22"/>
          <w:szCs w:val="22"/>
          <w:lang w:val="en-US" w:eastAsia="zh-CN"/>
        </w:rPr>
        <w:t>6</w:t>
      </w:r>
      <w:r>
        <w:rPr>
          <w:rFonts w:hint="eastAsia" w:ascii="宋体" w:hAnsi="宋体" w:cs="宋体"/>
          <w:color w:val="auto"/>
          <w:sz w:val="22"/>
          <w:szCs w:val="22"/>
        </w:rPr>
        <w:t>其他投标人认为应该提供的资料。</w:t>
      </w:r>
    </w:p>
    <w:p w14:paraId="5A6E0766">
      <w:pPr>
        <w:spacing w:line="360" w:lineRule="auto"/>
        <w:ind w:firstLine="442" w:firstLineChars="200"/>
        <w:rPr>
          <w:rFonts w:ascii="宋体" w:hAnsi="宋体" w:cs="宋体"/>
          <w:color w:val="auto"/>
          <w:sz w:val="22"/>
          <w:szCs w:val="22"/>
        </w:rPr>
      </w:pPr>
      <w:r>
        <w:rPr>
          <w:rFonts w:hint="eastAsia" w:ascii="宋体" w:hAnsi="宋体" w:cs="宋体"/>
          <w:b/>
          <w:bCs/>
          <w:color w:val="auto"/>
          <w:sz w:val="22"/>
          <w:szCs w:val="21"/>
        </w:rPr>
        <w:t>条款号：  11.3               修改类型：修改</w:t>
      </w:r>
    </w:p>
    <w:p w14:paraId="0782986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 经济部分投标文件主要包括下列内容：</w:t>
      </w:r>
    </w:p>
    <w:p w14:paraId="739B6B73">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11.3.1 经济投标文件(按招标文件的要求填写)。</w:t>
      </w:r>
    </w:p>
    <w:p w14:paraId="0F104DF8">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DF37D1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（1）投标总价封面、扉页；</w:t>
      </w:r>
    </w:p>
    <w:p w14:paraId="2F887A0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（2）总说明；</w:t>
      </w:r>
    </w:p>
    <w:p w14:paraId="0A5240A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（3）工程项目投标报价汇总表；</w:t>
      </w:r>
    </w:p>
    <w:p w14:paraId="5E60426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（4）单项工程投标报价汇总表；</w:t>
      </w:r>
    </w:p>
    <w:p w14:paraId="7352800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（5）单位工程投标报价汇总表；</w:t>
      </w:r>
    </w:p>
    <w:p w14:paraId="37B95D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（6）分部分项工程清单与计价表；</w:t>
      </w:r>
    </w:p>
    <w:p w14:paraId="2BADC07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（7）单价措施项目清单与计价表；</w:t>
      </w:r>
    </w:p>
    <w:p w14:paraId="55DB7130">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（8）总价措施项目清单与计价表；</w:t>
      </w:r>
    </w:p>
    <w:p w14:paraId="42F7C3A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（9）综合单价分析表；</w:t>
      </w:r>
    </w:p>
    <w:p w14:paraId="3249A4C8">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（10）其他项目清单与计价汇总表；</w:t>
      </w:r>
    </w:p>
    <w:p w14:paraId="6E1097B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（11）暂列金额明细表；</w:t>
      </w:r>
    </w:p>
    <w:p w14:paraId="236D4AF0">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（12）材料（工程设备）暂估价明细表；</w:t>
      </w:r>
    </w:p>
    <w:p w14:paraId="1F16748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（13）专业工程暂估价明细表；</w:t>
      </w:r>
    </w:p>
    <w:p w14:paraId="71DC4AE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（14）计日工表；</w:t>
      </w:r>
    </w:p>
    <w:p w14:paraId="2B58495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（15）总承包服务计价表；</w:t>
      </w:r>
    </w:p>
    <w:p w14:paraId="6156F22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（16）规费和税金项目计价表；</w:t>
      </w:r>
    </w:p>
    <w:p w14:paraId="773161C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（17）人工、主要材料和设备一览表。</w:t>
      </w:r>
    </w:p>
    <w:p w14:paraId="2627088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11.3.3按照招标文件要求填写的《参与编制经济标投标文件人员名单》。</w:t>
      </w:r>
    </w:p>
    <w:p w14:paraId="78A8C49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11.3.4若投标人的投标报价低于工程成本警戒价的，投标人还须提供详细的施工组织设计、单价、措施性费用、单价分析表、主要材料价格表、投标人成本分析供评标委员会评审。</w:t>
      </w:r>
    </w:p>
    <w:p w14:paraId="67B520AA">
      <w:pPr>
        <w:pBdr>
          <w:bottom w:val="single" w:color="auto" w:sz="6" w:space="1"/>
        </w:pBdr>
        <w:adjustRightInd w:val="0"/>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bCs/>
          <w:color w:val="auto"/>
          <w:sz w:val="22"/>
          <w:szCs w:val="22"/>
        </w:rPr>
        <w:t xml:space="preserve">11.3 </w:t>
      </w:r>
      <w:r>
        <w:rPr>
          <w:rFonts w:hint="eastAsia" w:ascii="宋体" w:hAnsi="宋体" w:cs="宋体"/>
          <w:b/>
          <w:bCs/>
          <w:color w:val="auto"/>
          <w:sz w:val="22"/>
          <w:szCs w:val="22"/>
          <w:u w:val="single"/>
        </w:rPr>
        <w:t>经济部分投标文件</w:t>
      </w:r>
      <w:r>
        <w:rPr>
          <w:rFonts w:hint="eastAsia" w:ascii="宋体" w:hAnsi="宋体" w:cs="宋体"/>
          <w:bCs/>
          <w:color w:val="auto"/>
          <w:sz w:val="22"/>
          <w:szCs w:val="22"/>
        </w:rPr>
        <w:t>主要包括下列内容:</w:t>
      </w:r>
    </w:p>
    <w:p w14:paraId="4307A96B">
      <w:pPr>
        <w:pBdr>
          <w:bottom w:val="single" w:color="auto" w:sz="6" w:space="1"/>
        </w:pBdr>
        <w:adjustRightInd w:val="0"/>
        <w:spacing w:line="360" w:lineRule="auto"/>
        <w:ind w:firstLine="440" w:firstLineChars="200"/>
        <w:rPr>
          <w:rFonts w:ascii="宋体" w:hAnsi="宋体" w:cs="宋体"/>
          <w:color w:val="auto"/>
          <w:sz w:val="22"/>
          <w:szCs w:val="22"/>
          <w:u w:val="single"/>
        </w:rPr>
      </w:pPr>
      <w:r>
        <w:rPr>
          <w:rFonts w:hint="eastAsia" w:ascii="宋体" w:hAnsi="宋体" w:cs="宋体"/>
          <w:color w:val="auto"/>
          <w:sz w:val="22"/>
          <w:szCs w:val="22"/>
        </w:rPr>
        <w:t xml:space="preserve">11.3.1 </w:t>
      </w:r>
      <w:r>
        <w:rPr>
          <w:rFonts w:hint="eastAsia" w:ascii="宋体" w:hAnsi="宋体" w:cs="宋体"/>
          <w:color w:val="auto"/>
          <w:sz w:val="22"/>
          <w:szCs w:val="22"/>
          <w:u w:val="single"/>
        </w:rPr>
        <w:t>经济投标文件（按招标文件的要求填写）。</w:t>
      </w:r>
    </w:p>
    <w:p w14:paraId="61AD578F">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2"/>
          <w:szCs w:val="22"/>
          <w:u w:val="single"/>
        </w:rPr>
        <w:t>（投标报价的工程量清单的组成、格式等由</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u w:val="single"/>
        </w:rPr>
        <w:t>的投标文件管理软件自动生成）</w:t>
      </w:r>
    </w:p>
    <w:p w14:paraId="1178A2B8">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11.3.3按照招标文件要求填写的《参与编制经济标投标文件人员名单》（详见招标文件第四章“投标文件格式”）。</w:t>
      </w:r>
    </w:p>
    <w:p w14:paraId="0DF1B9D3">
      <w:pPr>
        <w:pBdr>
          <w:bottom w:val="single" w:color="auto" w:sz="6" w:space="1"/>
        </w:pBdr>
        <w:adjustRightInd w:val="0"/>
        <w:spacing w:line="360" w:lineRule="auto"/>
        <w:ind w:firstLine="440" w:firstLineChars="200"/>
        <w:rPr>
          <w:rFonts w:ascii="宋体" w:hAnsi="宋体" w:cs="宋体"/>
          <w:color w:val="auto"/>
          <w:sz w:val="22"/>
          <w:szCs w:val="22"/>
          <w:u w:val="single"/>
        </w:rPr>
      </w:pPr>
      <w:r>
        <w:rPr>
          <w:rFonts w:hint="eastAsia" w:ascii="宋体" w:hAnsi="宋体" w:cs="宋体"/>
          <w:color w:val="auto"/>
          <w:sz w:val="22"/>
          <w:szCs w:val="22"/>
          <w:u w:val="single"/>
        </w:rPr>
        <w:t>11.3.4《对投标文件编制的承诺》（详见招标文件第四章“投标文件格式”）。</w:t>
      </w:r>
    </w:p>
    <w:p w14:paraId="4F24C004">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11.3.5若投标人的投标报价低于工程成本警戒价的，投标人还须提供详细的施工组织设计、单价、措施性费用、单价分析表、主要材料价格表、投标人成本分析供评标委员会评审。</w:t>
      </w:r>
    </w:p>
    <w:p w14:paraId="7C674079">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 xml:space="preserve">12.2       </w:t>
      </w:r>
      <w:r>
        <w:rPr>
          <w:rFonts w:hint="eastAsia" w:ascii="宋体" w:hAnsi="宋体" w:cs="宋体"/>
          <w:b/>
          <w:color w:val="auto"/>
          <w:sz w:val="22"/>
          <w:szCs w:val="22"/>
        </w:rPr>
        <w:t>修改类型：修改</w:t>
      </w:r>
    </w:p>
    <w:p w14:paraId="12378205">
      <w:pPr>
        <w:pStyle w:val="4"/>
        <w:tabs>
          <w:tab w:val="left" w:pos="7380"/>
        </w:tabs>
        <w:spacing w:after="0" w:line="360" w:lineRule="auto"/>
        <w:ind w:firstLine="442" w:firstLineChars="200"/>
        <w:jc w:val="left"/>
        <w:rPr>
          <w:rFonts w:asciiTheme="majorEastAsia" w:hAnsiTheme="majorEastAsia" w:eastAsiaTheme="majorEastAsia" w:cstheme="majorEastAsia"/>
          <w:color w:val="auto"/>
          <w:sz w:val="22"/>
          <w:szCs w:val="22"/>
        </w:rPr>
      </w:pPr>
      <w:r>
        <w:rPr>
          <w:rFonts w:hint="eastAsia" w:ascii="宋体" w:hAnsi="宋体" w:cs="宋体"/>
          <w:b/>
          <w:bCs/>
          <w:color w:val="auto"/>
          <w:sz w:val="22"/>
          <w:szCs w:val="22"/>
        </w:rPr>
        <w:t>原文：</w:t>
      </w:r>
      <w:r>
        <w:rPr>
          <w:rFonts w:hint="eastAsia" w:asciiTheme="majorEastAsia" w:hAnsiTheme="majorEastAsia" w:eastAsiaTheme="majorEastAsia" w:cstheme="majorEastAsia"/>
          <w:color w:val="auto"/>
          <w:sz w:val="22"/>
          <w:szCs w:val="22"/>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color w:val="auto"/>
          <w:sz w:val="22"/>
          <w:szCs w:val="22"/>
          <w:u w:val="single"/>
        </w:rPr>
        <w:t xml:space="preserve">             </w:t>
      </w:r>
      <w:r>
        <w:rPr>
          <w:rFonts w:hint="eastAsia" w:asciiTheme="majorEastAsia" w:hAnsiTheme="majorEastAsia" w:eastAsiaTheme="majorEastAsia" w:cstheme="majorEastAsia"/>
          <w:color w:val="auto"/>
          <w:sz w:val="22"/>
          <w:szCs w:val="22"/>
        </w:rPr>
        <w:t>。</w:t>
      </w:r>
    </w:p>
    <w:p w14:paraId="4BA0C8BD">
      <w:pPr>
        <w:pStyle w:val="4"/>
        <w:spacing w:after="0" w:line="360" w:lineRule="auto"/>
        <w:ind w:firstLine="440" w:firstLineChars="200"/>
        <w:rPr>
          <w:rFonts w:ascii="宋体" w:hAnsi="宋体" w:cs="宋体"/>
          <w:color w:val="auto"/>
          <w:sz w:val="22"/>
          <w:szCs w:val="22"/>
        </w:rPr>
      </w:pPr>
      <w:r>
        <w:rPr>
          <w:rFonts w:hint="eastAsia" w:asciiTheme="majorEastAsia" w:hAnsiTheme="majorEastAsia" w:eastAsiaTheme="majorEastAsia" w:cstheme="majorEastAsia"/>
          <w:color w:val="auto"/>
          <w:sz w:val="22"/>
          <w:szCs w:val="22"/>
        </w:rPr>
        <w:t>注释：投标文件电子文档需要投标人单位盖章的材料，投标人加盖电子印章即可，不得将投标人未对电子文档加盖实物印章作为否决投标的情形。</w:t>
      </w:r>
    </w:p>
    <w:p w14:paraId="1BEA2E68">
      <w:pPr>
        <w:pStyle w:val="4"/>
        <w:tabs>
          <w:tab w:val="left" w:pos="7380"/>
        </w:tabs>
        <w:spacing w:after="0" w:line="360" w:lineRule="auto"/>
        <w:ind w:firstLine="442" w:firstLineChars="200"/>
        <w:jc w:val="left"/>
        <w:rPr>
          <w:rFonts w:asciiTheme="majorEastAsia" w:hAnsiTheme="majorEastAsia" w:eastAsiaTheme="majorEastAsia" w:cstheme="majorEastAsia"/>
          <w:color w:val="auto"/>
          <w:sz w:val="22"/>
          <w:szCs w:val="22"/>
        </w:rPr>
      </w:pPr>
      <w:r>
        <w:rPr>
          <w:rFonts w:hint="eastAsia" w:ascii="宋体" w:hAnsi="宋体" w:cs="宋体"/>
          <w:b/>
          <w:bCs/>
          <w:color w:val="auto"/>
          <w:sz w:val="22"/>
          <w:szCs w:val="22"/>
        </w:rPr>
        <w:t>现文：</w:t>
      </w:r>
      <w:r>
        <w:rPr>
          <w:rFonts w:hint="eastAsia" w:asciiTheme="majorEastAsia" w:hAnsiTheme="majorEastAsia" w:eastAsiaTheme="majorEastAsia" w:cstheme="majorEastAsia"/>
          <w:color w:val="auto"/>
          <w:sz w:val="22"/>
          <w:szCs w:val="22"/>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eastAsiaTheme="majorEastAsia"/>
          <w:color w:val="auto"/>
          <w:sz w:val="22"/>
          <w:szCs w:val="22"/>
          <w:u w:val="single"/>
          <w:lang w:eastAsia="zh-CN"/>
        </w:rPr>
        <w:t>广州交易集团有限公司（广州公共资源交易中心）</w:t>
      </w:r>
      <w:r>
        <w:rPr>
          <w:rFonts w:hint="eastAsia" w:ascii="宋体" w:hAnsi="宋体" w:cs="宋体"/>
          <w:color w:val="auto"/>
          <w:sz w:val="22"/>
          <w:szCs w:val="22"/>
          <w:u w:val="single"/>
        </w:rPr>
        <w:t>网站</w:t>
      </w:r>
      <w:r>
        <w:rPr>
          <w:rFonts w:hint="eastAsia" w:asciiTheme="majorEastAsia" w:hAnsiTheme="majorEastAsia" w:eastAsiaTheme="majorEastAsia" w:cstheme="majorEastAsia"/>
          <w:color w:val="auto"/>
          <w:sz w:val="22"/>
          <w:szCs w:val="22"/>
        </w:rPr>
        <w:t>。</w:t>
      </w:r>
    </w:p>
    <w:p w14:paraId="51C0589C">
      <w:pPr>
        <w:pBdr>
          <w:bottom w:val="single" w:color="auto" w:sz="6" w:space="1"/>
        </w:pBdr>
        <w:spacing w:line="360" w:lineRule="auto"/>
        <w:ind w:firstLine="431" w:firstLineChars="196"/>
        <w:rPr>
          <w:rFonts w:ascii="宋体" w:hAnsi="宋体" w:cs="宋体"/>
          <w:b/>
          <w:bCs/>
          <w:color w:val="auto"/>
          <w:sz w:val="22"/>
          <w:szCs w:val="22"/>
        </w:rPr>
      </w:pPr>
      <w:r>
        <w:rPr>
          <w:rFonts w:hint="eastAsia" w:asciiTheme="majorEastAsia" w:hAnsiTheme="majorEastAsia" w:eastAsiaTheme="majorEastAsia" w:cstheme="majorEastAsia"/>
          <w:color w:val="auto"/>
          <w:kern w:val="0"/>
          <w:sz w:val="22"/>
          <w:szCs w:val="22"/>
        </w:rPr>
        <w:t>注释：投标文件电子文档需要投标人单位盖章的材料，投标人加盖电子印章即可，不得将投标人未对电子文档加盖实物印章作为否决投标的情形。</w:t>
      </w:r>
    </w:p>
    <w:p w14:paraId="386F8477">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 xml:space="preserve">12.3       </w:t>
      </w:r>
      <w:r>
        <w:rPr>
          <w:rFonts w:hint="eastAsia" w:ascii="宋体" w:hAnsi="宋体" w:cs="宋体"/>
          <w:b/>
          <w:color w:val="auto"/>
          <w:sz w:val="22"/>
          <w:szCs w:val="22"/>
        </w:rPr>
        <w:t>修改类型：修改</w:t>
      </w:r>
    </w:p>
    <w:p w14:paraId="332120A2">
      <w:pPr>
        <w:pStyle w:val="9"/>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 xml:space="preserve">12.3 </w:t>
      </w:r>
      <w:r>
        <w:rPr>
          <w:rFonts w:hint="eastAsia" w:ascii="宋体" w:hAnsi="宋体" w:cs="宋体"/>
          <w:bCs/>
          <w:color w:val="auto"/>
          <w:sz w:val="22"/>
          <w:szCs w:val="22"/>
        </w:rPr>
        <w:t>投标文件应按</w:t>
      </w:r>
      <w:r>
        <w:rPr>
          <w:rFonts w:hint="eastAsia" w:ascii="宋体" w:hAnsi="宋体" w:cs="宋体"/>
          <w:color w:val="auto"/>
          <w:sz w:val="22"/>
          <w:szCs w:val="22"/>
        </w:rPr>
        <w:t>照交易平台关于全流程电子化项目的相关指南进行编制，详见：。</w:t>
      </w:r>
    </w:p>
    <w:p w14:paraId="48A842B2">
      <w:pPr>
        <w:pBdr>
          <w:bottom w:val="single" w:color="auto" w:sz="6" w:space="1"/>
        </w:pBdr>
        <w:spacing w:line="360" w:lineRule="auto"/>
        <w:ind w:firstLine="433" w:firstLineChars="196"/>
        <w:rPr>
          <w:rFonts w:ascii="宋体" w:hAnsi="宋体" w:cs="宋体"/>
          <w:color w:val="auto"/>
          <w:sz w:val="22"/>
          <w:szCs w:val="22"/>
          <w:u w:val="single"/>
        </w:rPr>
      </w:pPr>
      <w:r>
        <w:rPr>
          <w:rFonts w:hint="eastAsia" w:ascii="宋体" w:hAnsi="宋体" w:cs="宋体"/>
          <w:b/>
          <w:bCs/>
          <w:color w:val="auto"/>
          <w:sz w:val="22"/>
          <w:szCs w:val="22"/>
        </w:rPr>
        <w:t>现文：</w:t>
      </w:r>
      <w:r>
        <w:rPr>
          <w:rFonts w:hint="eastAsia" w:ascii="宋体" w:hAnsi="宋体" w:cs="宋体"/>
          <w:color w:val="auto"/>
          <w:sz w:val="22"/>
          <w:szCs w:val="22"/>
        </w:rPr>
        <w:t xml:space="preserve">12.3 </w:t>
      </w:r>
      <w:r>
        <w:rPr>
          <w:rFonts w:hint="eastAsia" w:ascii="宋体" w:hAnsi="宋体" w:cs="宋体"/>
          <w:bCs/>
          <w:color w:val="auto"/>
          <w:sz w:val="22"/>
          <w:szCs w:val="22"/>
        </w:rPr>
        <w:t>投标文件应按</w:t>
      </w:r>
      <w:r>
        <w:rPr>
          <w:rFonts w:hint="eastAsia" w:ascii="宋体" w:hAnsi="宋体" w:cs="宋体"/>
          <w:color w:val="auto"/>
          <w:sz w:val="22"/>
          <w:szCs w:val="22"/>
        </w:rPr>
        <w:t>照交易平台关于全流程电子化项目的相关指南进行编制，详见：</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u w:val="single"/>
        </w:rPr>
        <w:t>网站。</w:t>
      </w:r>
    </w:p>
    <w:p w14:paraId="4D37A9AB">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条款号：13.1              修改类型：修改</w:t>
      </w:r>
    </w:p>
    <w:p w14:paraId="459F7F0C">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13.1 本工程的投标报价采用投标须知前附表第12项所规定的方式。投标报价（含单价及总价）精确到“分”。</w:t>
      </w:r>
    </w:p>
    <w:p w14:paraId="7B794889">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本工程的投标报价采用投标须知前附表第12项所规定的方式。</w:t>
      </w:r>
      <w:r>
        <w:rPr>
          <w:rFonts w:hint="eastAsia" w:ascii="宋体" w:hAnsi="宋体" w:cs="宋体"/>
          <w:color w:val="auto"/>
          <w:sz w:val="22"/>
          <w:szCs w:val="22"/>
          <w:u w:val="single"/>
        </w:rPr>
        <w:t>投标文件中的大写金额和小写金额不一致的，以大写金额为准，</w:t>
      </w:r>
      <w:r>
        <w:rPr>
          <w:rFonts w:hint="eastAsia" w:ascii="宋体" w:hAnsi="宋体" w:cs="宋体"/>
          <w:color w:val="auto"/>
          <w:sz w:val="22"/>
          <w:szCs w:val="22"/>
        </w:rPr>
        <w:t>投标报价（含单价及总价）精确到“分”。</w:t>
      </w:r>
    </w:p>
    <w:p w14:paraId="152AAD1E">
      <w:pPr>
        <w:pStyle w:val="4"/>
        <w:widowControl/>
        <w:adjustRightInd w:val="0"/>
        <w:spacing w:after="0"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条款号：13.4           修改类型：修改</w:t>
      </w:r>
    </w:p>
    <w:p w14:paraId="1FA94CE0">
      <w:pPr>
        <w:pBdr>
          <w:bottom w:val="single" w:color="auto" w:sz="6" w:space="1"/>
        </w:pBdr>
        <w:adjustRightInd w:val="0"/>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E25D662">
      <w:pPr>
        <w:pBdr>
          <w:bottom w:val="single" w:color="auto" w:sz="6" w:space="1"/>
        </w:pBdr>
        <w:adjustRightInd w:val="0"/>
        <w:spacing w:line="360" w:lineRule="auto"/>
        <w:ind w:firstLine="442" w:firstLineChars="200"/>
        <w:rPr>
          <w:rFonts w:ascii="宋体" w:hAnsi="宋体" w:cs="宋体"/>
          <w:color w:val="auto"/>
          <w:sz w:val="22"/>
          <w:szCs w:val="22"/>
          <w:u w:val="single"/>
        </w:rPr>
      </w:pPr>
      <w:r>
        <w:rPr>
          <w:rFonts w:hint="eastAsia" w:ascii="宋体" w:hAnsi="宋体" w:cs="宋体"/>
          <w:b/>
          <w:color w:val="auto"/>
          <w:sz w:val="22"/>
          <w:szCs w:val="22"/>
        </w:rPr>
        <w:t>现文：</w:t>
      </w:r>
      <w:r>
        <w:rPr>
          <w:rFonts w:hint="eastAsia" w:ascii="宋体" w:hAnsi="宋体" w:cs="宋体"/>
          <w:bCs/>
          <w:color w:val="auto"/>
          <w:sz w:val="22"/>
          <w:szCs w:val="22"/>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bCs/>
          <w:color w:val="auto"/>
          <w:sz w:val="22"/>
          <w:szCs w:val="22"/>
          <w:u w:val="single"/>
        </w:rPr>
        <w:t>按合同条款相关约定调整。</w:t>
      </w:r>
    </w:p>
    <w:p w14:paraId="2E0C68E9">
      <w:pPr>
        <w:pStyle w:val="4"/>
        <w:widowControl/>
        <w:adjustRightInd w:val="0"/>
        <w:spacing w:after="0"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条款号：13.5            修改类型：修改</w:t>
      </w:r>
    </w:p>
    <w:p w14:paraId="3D01CBEA">
      <w:pPr>
        <w:pBdr>
          <w:bottom w:val="single" w:color="auto" w:sz="6" w:space="1"/>
        </w:pBdr>
        <w:adjustRightInd w:val="0"/>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工程项目实施期间和结算时，招标文件工程量清单中漏列而由监理单位和招标人现场签证确认的工程项目、原设计没有而由招标人批准设计变更产生的工程项目，视为新增项目，按以下顺序确定价格：</w:t>
      </w:r>
    </w:p>
    <w:p w14:paraId="6DB05380">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13.5.1中标的投标文件工程量清单中已有相同项目的适用综合单价，则沿用；</w:t>
      </w:r>
    </w:p>
    <w:p w14:paraId="66092FC5">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7181218">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49A64C42">
      <w:pPr>
        <w:pBdr>
          <w:bottom w:val="single" w:color="auto" w:sz="6" w:space="1"/>
        </w:pBdr>
        <w:adjustRightInd w:val="0"/>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13.5.4 如相关定额没有相应子目的，其计价方式由招标人在本招标文件第三章中另行规定。未规定的，中标后双方协商约定。</w:t>
      </w:r>
    </w:p>
    <w:p w14:paraId="378C4519">
      <w:pPr>
        <w:pBdr>
          <w:bottom w:val="single" w:color="auto" w:sz="6" w:space="1"/>
        </w:pBdr>
        <w:spacing w:line="360" w:lineRule="auto"/>
        <w:ind w:firstLine="552" w:firstLineChars="250"/>
        <w:rPr>
          <w:rFonts w:ascii="宋体" w:hAnsi="宋体" w:cs="宋体"/>
          <w:color w:val="auto"/>
          <w:sz w:val="22"/>
          <w:szCs w:val="22"/>
          <w:u w:val="single"/>
        </w:rPr>
      </w:pPr>
      <w:r>
        <w:rPr>
          <w:rFonts w:hint="eastAsia" w:ascii="宋体" w:hAnsi="宋体" w:cs="宋体"/>
          <w:b/>
          <w:color w:val="auto"/>
          <w:sz w:val="22"/>
          <w:szCs w:val="22"/>
        </w:rPr>
        <w:t>现文：</w:t>
      </w:r>
      <w:r>
        <w:rPr>
          <w:rFonts w:hint="eastAsia" w:ascii="宋体" w:hAnsi="宋体" w:cs="宋体"/>
          <w:color w:val="auto"/>
          <w:sz w:val="22"/>
          <w:szCs w:val="22"/>
          <w:u w:val="single"/>
        </w:rPr>
        <w:t>按施工合同专用约定执行。</w:t>
      </w:r>
    </w:p>
    <w:p w14:paraId="1B848EF7">
      <w:pPr>
        <w:spacing w:line="48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条款号：16.1-16.7                 修改类型：修改</w:t>
      </w:r>
    </w:p>
    <w:p w14:paraId="68AF6503">
      <w:pPr>
        <w:spacing w:line="360" w:lineRule="auto"/>
        <w:ind w:firstLine="442" w:firstLineChars="200"/>
        <w:rPr>
          <w:rFonts w:ascii="宋体" w:hAnsi="宋体" w:cs="宋体"/>
          <w:color w:val="auto"/>
          <w:sz w:val="22"/>
          <w:szCs w:val="21"/>
        </w:rPr>
      </w:pPr>
      <w:r>
        <w:rPr>
          <w:rFonts w:hint="eastAsia" w:ascii="宋体" w:hAnsi="宋体" w:cs="宋体"/>
          <w:b/>
          <w:color w:val="auto"/>
          <w:sz w:val="22"/>
          <w:szCs w:val="22"/>
        </w:rPr>
        <w:t>原文：</w:t>
      </w:r>
      <w:r>
        <w:rPr>
          <w:rFonts w:hint="eastAsia" w:ascii="宋体" w:hAnsi="宋体" w:cs="宋体"/>
          <w:color w:val="auto"/>
          <w:sz w:val="22"/>
          <w:szCs w:val="21"/>
        </w:rPr>
        <w:t>16.1投标人应按投标须知前附表第14项所述金额和时间递交</w:t>
      </w:r>
      <w:r>
        <w:rPr>
          <w:rFonts w:hint="eastAsia" w:ascii="宋体" w:hAnsi="宋体" w:cs="宋体"/>
          <w:bCs/>
          <w:color w:val="auto"/>
          <w:sz w:val="22"/>
          <w:szCs w:val="21"/>
        </w:rPr>
        <w:t>投标保证金</w:t>
      </w:r>
      <w:r>
        <w:rPr>
          <w:rFonts w:hint="eastAsia" w:ascii="宋体" w:hAnsi="宋体" w:cs="宋体"/>
          <w:color w:val="auto"/>
          <w:sz w:val="22"/>
          <w:szCs w:val="21"/>
        </w:rPr>
        <w:t>。招标人应当允许投标人自主选择现金、银行保函、保证保险、专业工程担保公司担保等方式缴纳投标保证金。</w:t>
      </w:r>
    </w:p>
    <w:p w14:paraId="6D0BE322">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16.1.1 采用现金或者支票形式提交的，投标保证金须从投标人的银行基本账户转出。</w:t>
      </w:r>
    </w:p>
    <w:p w14:paraId="142E32CC">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71F6D7F">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16.1.3 采用电子形式的保函、担保或保证保险提交投标保证金的，应在招标文件中明确电子递交途径。</w:t>
      </w:r>
    </w:p>
    <w:p w14:paraId="209177C9">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2AB9FA1C">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16.3投标保证金应依据法律法规的相关规定退还。</w:t>
      </w:r>
    </w:p>
    <w:p w14:paraId="060D5283">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16.4如有下列情况之一的，招标人可以不予退还投标保证金（是否退还投标保证金由招标人在招标文件中规定）</w:t>
      </w:r>
    </w:p>
    <w:p w14:paraId="6FB1AF1E">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16.4.1因投标人原因造成投标文件未解密的；</w:t>
      </w:r>
    </w:p>
    <w:p w14:paraId="4173F256">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16.4.2投标人在投标有效期内撤销投标文件；</w:t>
      </w:r>
    </w:p>
    <w:p w14:paraId="6996CB9E">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16.4.3中标人未能在规定期限内按要求提交履约担保；</w:t>
      </w:r>
    </w:p>
    <w:p w14:paraId="508A2768">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16.4.4中标人未能在规定期限内签署合同协议。</w:t>
      </w:r>
    </w:p>
    <w:p w14:paraId="299597C8">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16.5投标人如存在下列情况之一的，将被拒绝在一定时期内参与招标人后续工程投标（拒绝时限需在招标文件中明确）：</w:t>
      </w:r>
    </w:p>
    <w:p w14:paraId="34EAB6B3">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16.5.1投标人存在16.4条款所列情形且投标人提交的保函、担保或保证保险无法兑付的；</w:t>
      </w:r>
    </w:p>
    <w:p w14:paraId="677279DF">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16.5.2采用非电子形式提交投标保证金的投标人存在16.4条款所列情形，且未按招标人要求补交银行保函、专业工程担保公司担保或保证保险原件的；</w:t>
      </w:r>
    </w:p>
    <w:p w14:paraId="2AD688CC">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16.5.3按招标文件要求免于提供投标保证金的投标人存在16.4条款所列情形，且未按招标人要求补交投标保证金的；</w:t>
      </w:r>
    </w:p>
    <w:p w14:paraId="40A25DD0">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16.5.3按招标文件要求免于提供投标保证金的投标人存在16.4条款所列情形的。</w:t>
      </w:r>
    </w:p>
    <w:p w14:paraId="49F8CA58">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注：16.5.3款由招标人二选一，需在招标文件中明确。</w:t>
      </w:r>
    </w:p>
    <w:p w14:paraId="79900182">
      <w:pPr>
        <w:pBdr>
          <w:bottom w:val="single" w:color="auto" w:sz="6" w:space="1"/>
        </w:pBdr>
        <w:spacing w:line="360" w:lineRule="auto"/>
        <w:ind w:firstLine="552" w:firstLineChars="250"/>
        <w:rPr>
          <w:rFonts w:ascii="宋体" w:hAnsi="宋体" w:cs="宋体"/>
          <w:bCs/>
          <w:color w:val="auto"/>
          <w:sz w:val="22"/>
          <w:szCs w:val="22"/>
        </w:rPr>
      </w:pPr>
      <w:r>
        <w:rPr>
          <w:rFonts w:hint="eastAsia" w:ascii="宋体" w:hAnsi="宋体" w:cs="宋体"/>
          <w:b/>
          <w:color w:val="auto"/>
          <w:sz w:val="22"/>
          <w:szCs w:val="22"/>
        </w:rPr>
        <w:t>现文：</w:t>
      </w:r>
      <w:r>
        <w:rPr>
          <w:rFonts w:hint="eastAsia" w:ascii="宋体" w:hAnsi="宋体" w:cs="宋体"/>
          <w:bCs/>
          <w:color w:val="auto"/>
          <w:sz w:val="22"/>
          <w:szCs w:val="22"/>
        </w:rPr>
        <w:t>16.1本项目不需要递交投标保证金；</w:t>
      </w:r>
    </w:p>
    <w:p w14:paraId="4A100858">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17.1</w:t>
      </w:r>
      <w:r>
        <w:rPr>
          <w:rFonts w:hint="eastAsia" w:ascii="宋体" w:hAnsi="宋体" w:cs="宋体"/>
          <w:b/>
          <w:color w:val="auto"/>
          <w:sz w:val="22"/>
          <w:szCs w:val="22"/>
        </w:rPr>
        <w:t xml:space="preserve">            修改类型：修改</w:t>
      </w:r>
    </w:p>
    <w:p w14:paraId="1369F1DC">
      <w:pPr>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7AAF71AB">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u w:val="single"/>
        </w:rPr>
        <w:t>网站</w:t>
      </w:r>
      <w:r>
        <w:rPr>
          <w:rFonts w:hint="eastAsia" w:ascii="宋体" w:hAnsi="宋体" w:cs="宋体"/>
          <w:color w:val="auto"/>
          <w:sz w:val="22"/>
          <w:szCs w:val="22"/>
        </w:rPr>
        <w:t>。</w:t>
      </w:r>
    </w:p>
    <w:p w14:paraId="08445DEF">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18、19</w:t>
      </w:r>
      <w:r>
        <w:rPr>
          <w:rFonts w:hint="eastAsia" w:ascii="宋体" w:hAnsi="宋体" w:cs="宋体"/>
          <w:b/>
          <w:color w:val="auto"/>
          <w:sz w:val="22"/>
          <w:szCs w:val="22"/>
        </w:rPr>
        <w:t xml:space="preserve">             修改类型：修改</w:t>
      </w:r>
    </w:p>
    <w:p w14:paraId="20F1ABB4">
      <w:pPr>
        <w:spacing w:line="360" w:lineRule="auto"/>
        <w:ind w:firstLine="442" w:firstLineChars="200"/>
        <w:rPr>
          <w:rFonts w:ascii="宋体" w:hAnsi="宋体" w:cs="宋体"/>
          <w:b/>
          <w:bCs/>
          <w:color w:val="auto"/>
          <w:sz w:val="22"/>
          <w:szCs w:val="22"/>
        </w:rPr>
      </w:pPr>
      <w:r>
        <w:rPr>
          <w:rFonts w:hint="eastAsia" w:ascii="宋体" w:hAnsi="宋体" w:cs="宋体"/>
          <w:b/>
          <w:color w:val="auto"/>
          <w:sz w:val="22"/>
          <w:szCs w:val="22"/>
        </w:rPr>
        <w:t>原文：</w:t>
      </w:r>
      <w:r>
        <w:rPr>
          <w:rFonts w:hint="eastAsia" w:ascii="宋体" w:hAnsi="宋体" w:cs="宋体"/>
          <w:b/>
          <w:bCs/>
          <w:color w:val="auto"/>
          <w:sz w:val="22"/>
          <w:szCs w:val="22"/>
        </w:rPr>
        <w:t>18．</w:t>
      </w:r>
      <w:r>
        <w:rPr>
          <w:rFonts w:hint="eastAsia" w:ascii="宋体" w:hAnsi="宋体" w:cs="宋体"/>
          <w:b/>
          <w:color w:val="auto"/>
          <w:sz w:val="22"/>
          <w:szCs w:val="22"/>
        </w:rPr>
        <w:t>投标文件的密封和标记</w:t>
      </w:r>
    </w:p>
    <w:p w14:paraId="5D12D523">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18.1递交的电子投标文件（不含备用光盘）必须进行加密。按照交易平台关于</w:t>
      </w:r>
      <w:r>
        <w:rPr>
          <w:rFonts w:hint="eastAsia" w:ascii="宋体" w:hAnsi="宋体" w:cs="宋体"/>
          <w:color w:val="auto"/>
          <w:sz w:val="22"/>
          <w:szCs w:val="22"/>
        </w:rPr>
        <w:t>全流程电子化项目的相关指南进行操作。详见： 。</w:t>
      </w:r>
    </w:p>
    <w:p w14:paraId="2525281B">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18.2 未按要求加密的投标文件，</w:t>
      </w:r>
      <w:r>
        <w:rPr>
          <w:rFonts w:hint="eastAsia" w:ascii="宋体" w:hAnsi="宋体" w:cs="宋体"/>
          <w:color w:val="auto"/>
          <w:sz w:val="22"/>
          <w:szCs w:val="22"/>
        </w:rPr>
        <w:t>交易平台</w:t>
      </w:r>
      <w:r>
        <w:rPr>
          <w:rFonts w:hint="eastAsia" w:ascii="宋体" w:hAnsi="宋体" w:cs="宋体"/>
          <w:bCs/>
          <w:color w:val="auto"/>
          <w:sz w:val="22"/>
          <w:szCs w:val="22"/>
        </w:rPr>
        <w:t>将予以拒收。</w:t>
      </w:r>
    </w:p>
    <w:p w14:paraId="11B0CDE6">
      <w:p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19．投标文件的递交和接收</w:t>
      </w:r>
    </w:p>
    <w:p w14:paraId="09BC5605">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19.1投标人通过</w:t>
      </w:r>
      <w:r>
        <w:rPr>
          <w:rFonts w:hint="eastAsia" w:ascii="宋体" w:hAnsi="宋体" w:cs="宋体"/>
          <w:color w:val="auto"/>
          <w:sz w:val="22"/>
          <w:szCs w:val="22"/>
        </w:rPr>
        <w:t>交易平台递交电子投标文件。</w:t>
      </w:r>
    </w:p>
    <w:p w14:paraId="3DE8C9FA">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19.2投标人完成电子</w:t>
      </w:r>
      <w:r>
        <w:rPr>
          <w:rFonts w:hint="eastAsia" w:ascii="宋体" w:hAnsi="宋体" w:cs="宋体"/>
          <w:color w:val="auto"/>
          <w:sz w:val="22"/>
          <w:szCs w:val="22"/>
        </w:rPr>
        <w:t>投标文件</w:t>
      </w:r>
      <w:r>
        <w:rPr>
          <w:rFonts w:hint="eastAsia" w:ascii="宋体" w:hAnsi="宋体" w:cs="宋体"/>
          <w:bCs/>
          <w:color w:val="auto"/>
          <w:sz w:val="22"/>
          <w:szCs w:val="22"/>
        </w:rPr>
        <w:t>上传后，</w:t>
      </w:r>
      <w:r>
        <w:rPr>
          <w:rFonts w:hint="eastAsia" w:ascii="宋体" w:hAnsi="宋体" w:cs="宋体"/>
          <w:color w:val="auto"/>
          <w:sz w:val="22"/>
          <w:szCs w:val="22"/>
        </w:rPr>
        <w:t>交易平台即时向投标人发出递交回执通知。递交时间以递交回执通知载明的传输完成时间为准。</w:t>
      </w:r>
    </w:p>
    <w:p w14:paraId="1431FF10">
      <w:pPr>
        <w:spacing w:line="360" w:lineRule="auto"/>
        <w:ind w:firstLine="440" w:firstLineChars="200"/>
        <w:rPr>
          <w:rFonts w:ascii="宋体" w:hAnsi="宋体" w:cs="宋体"/>
          <w:color w:val="auto"/>
          <w:sz w:val="22"/>
          <w:szCs w:val="22"/>
        </w:rPr>
      </w:pPr>
      <w:r>
        <w:rPr>
          <w:rFonts w:hint="eastAsia" w:ascii="宋体" w:hAnsi="宋体" w:cs="宋体"/>
          <w:bCs/>
          <w:color w:val="auto"/>
          <w:sz w:val="22"/>
          <w:szCs w:val="22"/>
        </w:rPr>
        <w:t>19.3逾期送达的电子投标文件，</w:t>
      </w:r>
      <w:r>
        <w:rPr>
          <w:rFonts w:hint="eastAsia" w:ascii="宋体" w:hAnsi="宋体" w:cs="宋体"/>
          <w:color w:val="auto"/>
          <w:sz w:val="22"/>
          <w:szCs w:val="22"/>
        </w:rPr>
        <w:t>交易平台将予以拒收。</w:t>
      </w:r>
    </w:p>
    <w:p w14:paraId="10BC8E1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19.4 投标截止前，招标人拒绝接收符合条件的投标文件，投标人可向招标投标监督机构投诉。</w:t>
      </w:r>
    </w:p>
    <w:p w14:paraId="5363BBD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19.5如技术标和经济标先后分别开启，交易平台将按招标文件规定的时间分别开启技术标和经济标。</w:t>
      </w:r>
    </w:p>
    <w:p w14:paraId="0C90870B">
      <w:pPr>
        <w:spacing w:line="360" w:lineRule="auto"/>
        <w:ind w:firstLine="440" w:firstLineChars="200"/>
        <w:rPr>
          <w:rFonts w:ascii="宋体" w:hAnsi="宋体" w:cs="宋体"/>
          <w:bCs/>
          <w:color w:val="auto"/>
          <w:sz w:val="22"/>
          <w:szCs w:val="22"/>
          <w:u w:val="single"/>
        </w:rPr>
      </w:pPr>
      <w:r>
        <w:rPr>
          <w:rFonts w:hint="eastAsia" w:ascii="宋体" w:hAnsi="宋体" w:cs="宋体"/>
          <w:color w:val="auto"/>
          <w:sz w:val="22"/>
          <w:szCs w:val="22"/>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245DAAF4">
      <w:pPr>
        <w:pStyle w:val="4"/>
        <w:spacing w:after="0" w:line="360" w:lineRule="auto"/>
        <w:ind w:firstLine="442" w:firstLineChars="200"/>
        <w:rPr>
          <w:rFonts w:ascii="宋体" w:hAnsi="宋体" w:cs="宋体"/>
          <w:b/>
          <w:bCs/>
          <w:color w:val="auto"/>
          <w:sz w:val="22"/>
          <w:szCs w:val="22"/>
        </w:rPr>
      </w:pPr>
      <w:r>
        <w:rPr>
          <w:rFonts w:hint="eastAsia" w:ascii="宋体" w:hAnsi="宋体" w:cs="宋体"/>
          <w:b/>
          <w:color w:val="auto"/>
          <w:sz w:val="22"/>
          <w:szCs w:val="22"/>
        </w:rPr>
        <w:t>现文：</w:t>
      </w:r>
      <w:r>
        <w:rPr>
          <w:rFonts w:hint="eastAsia" w:ascii="宋体" w:hAnsi="宋体" w:cs="宋体"/>
          <w:b/>
          <w:bCs/>
          <w:color w:val="auto"/>
          <w:sz w:val="22"/>
          <w:szCs w:val="22"/>
        </w:rPr>
        <w:t>18．</w:t>
      </w:r>
      <w:r>
        <w:rPr>
          <w:rFonts w:hint="eastAsia" w:ascii="宋体" w:hAnsi="宋体" w:cs="宋体"/>
          <w:b/>
          <w:color w:val="auto"/>
          <w:sz w:val="22"/>
          <w:szCs w:val="22"/>
        </w:rPr>
        <w:t>投标文件的密封和标记</w:t>
      </w:r>
    </w:p>
    <w:p w14:paraId="21F34E3B">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18.1递交的电子投标文件（不含备用光盘）必须进行加密。按照交易平台关于</w:t>
      </w:r>
      <w:r>
        <w:rPr>
          <w:rFonts w:hint="eastAsia" w:ascii="宋体" w:hAnsi="宋体" w:cs="宋体"/>
          <w:color w:val="auto"/>
          <w:sz w:val="22"/>
          <w:szCs w:val="22"/>
        </w:rPr>
        <w:t>全流程电子化项目的相关指南进行操作。详见：</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u w:val="single"/>
        </w:rPr>
        <w:t>网站</w:t>
      </w:r>
      <w:r>
        <w:rPr>
          <w:rFonts w:hint="eastAsia" w:ascii="宋体" w:hAnsi="宋体" w:cs="宋体"/>
          <w:color w:val="auto"/>
          <w:sz w:val="22"/>
          <w:szCs w:val="22"/>
        </w:rPr>
        <w:t xml:space="preserve">  。</w:t>
      </w:r>
    </w:p>
    <w:p w14:paraId="7D2ED890">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18.2 未按要求加密的投标文件，</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w:t>
      </w:r>
      <w:r>
        <w:rPr>
          <w:rFonts w:hint="eastAsia" w:ascii="宋体" w:hAnsi="宋体" w:cs="宋体"/>
          <w:bCs/>
          <w:color w:val="auto"/>
          <w:sz w:val="22"/>
          <w:szCs w:val="22"/>
        </w:rPr>
        <w:t>将予以拒收。</w:t>
      </w:r>
    </w:p>
    <w:p w14:paraId="07758FD9">
      <w:p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19．投标文件的递交和接收</w:t>
      </w:r>
    </w:p>
    <w:p w14:paraId="38F90809">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19.1投标人通过</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交易平台递交电子投标文件。</w:t>
      </w:r>
    </w:p>
    <w:p w14:paraId="70B42C52">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19.2投标人完成电子</w:t>
      </w:r>
      <w:r>
        <w:rPr>
          <w:rFonts w:hint="eastAsia" w:ascii="宋体" w:hAnsi="宋体" w:cs="宋体"/>
          <w:color w:val="auto"/>
          <w:sz w:val="22"/>
          <w:szCs w:val="22"/>
        </w:rPr>
        <w:t>投标文件</w:t>
      </w:r>
      <w:r>
        <w:rPr>
          <w:rFonts w:hint="eastAsia" w:ascii="宋体" w:hAnsi="宋体" w:cs="宋体"/>
          <w:bCs/>
          <w:color w:val="auto"/>
          <w:sz w:val="22"/>
          <w:szCs w:val="22"/>
        </w:rPr>
        <w:t>上传后，</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交易平台即时向投标人发出递交回执通知。递交时间以递交回执通知载明的传输完成时间为准。</w:t>
      </w:r>
    </w:p>
    <w:p w14:paraId="721F05A1">
      <w:pPr>
        <w:spacing w:line="360" w:lineRule="auto"/>
        <w:ind w:firstLine="440" w:firstLineChars="200"/>
        <w:rPr>
          <w:rFonts w:ascii="宋体" w:hAnsi="宋体" w:cs="宋体"/>
          <w:color w:val="auto"/>
          <w:sz w:val="22"/>
          <w:szCs w:val="22"/>
        </w:rPr>
      </w:pPr>
      <w:r>
        <w:rPr>
          <w:rFonts w:hint="eastAsia" w:ascii="宋体" w:hAnsi="宋体" w:cs="宋体"/>
          <w:bCs/>
          <w:color w:val="auto"/>
          <w:sz w:val="22"/>
          <w:szCs w:val="22"/>
        </w:rPr>
        <w:t>19.3逾期送达的电子投标文件，</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交易平台将予以拒收。</w:t>
      </w:r>
    </w:p>
    <w:p w14:paraId="69E571C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19.4 投标截止前，招标人拒绝接收符合条件的投标文件，投标人可向招标投标监督机构投诉。</w:t>
      </w:r>
    </w:p>
    <w:p w14:paraId="4FF75D8D">
      <w:pPr>
        <w:pBdr>
          <w:bottom w:val="single" w:color="auto" w:sz="6" w:space="1"/>
        </w:pBd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19.5技术标和经济标同时开启，</w:t>
      </w:r>
      <w:r>
        <w:rPr>
          <w:rFonts w:hint="eastAsia" w:ascii="宋体" w:hAnsi="宋体" w:cs="宋体"/>
          <w:color w:val="auto"/>
          <w:sz w:val="22"/>
          <w:szCs w:val="22"/>
          <w:lang w:eastAsia="zh-CN"/>
        </w:rPr>
        <w:t>广州交易集团有限公司（广州公共资源交易中心）</w:t>
      </w:r>
      <w:r>
        <w:rPr>
          <w:rFonts w:hint="eastAsia" w:ascii="宋体" w:hAnsi="宋体" w:cs="宋体"/>
          <w:color w:val="auto"/>
          <w:sz w:val="22"/>
          <w:szCs w:val="22"/>
        </w:rPr>
        <w:t>交易平台将按招标文件规定的时间同时开启技术标和经济标。</w:t>
      </w:r>
    </w:p>
    <w:p w14:paraId="600D7D1D">
      <w:pPr>
        <w:adjustRightInd w:val="0"/>
        <w:spacing w:line="360" w:lineRule="auto"/>
        <w:ind w:firstLine="493" w:firstLineChars="223"/>
        <w:rPr>
          <w:rFonts w:ascii="宋体" w:hAnsi="宋体" w:cs="宋体"/>
          <w:b/>
          <w:color w:val="auto"/>
          <w:sz w:val="22"/>
          <w:szCs w:val="22"/>
        </w:rPr>
      </w:pPr>
      <w:r>
        <w:rPr>
          <w:rFonts w:hint="eastAsia" w:ascii="宋体" w:hAnsi="宋体" w:cs="宋体"/>
          <w:b/>
          <w:color w:val="auto"/>
          <w:sz w:val="22"/>
          <w:szCs w:val="22"/>
        </w:rPr>
        <w:t>条款号：20.3             修改类型：修改</w:t>
      </w:r>
    </w:p>
    <w:p w14:paraId="4A0A8956">
      <w:pPr>
        <w:adjustRightInd w:val="0"/>
        <w:spacing w:line="360" w:lineRule="auto"/>
        <w:ind w:firstLine="495" w:firstLineChars="224"/>
        <w:rPr>
          <w:rFonts w:ascii="宋体" w:hAnsi="宋体" w:cs="宋体"/>
          <w:b/>
          <w:color w:val="auto"/>
          <w:sz w:val="22"/>
          <w:szCs w:val="22"/>
        </w:rPr>
      </w:pPr>
      <w:r>
        <w:rPr>
          <w:rFonts w:hint="eastAsia" w:ascii="宋体" w:hAnsi="宋体" w:cs="宋体"/>
          <w:b/>
          <w:bCs/>
          <w:color w:val="auto"/>
          <w:sz w:val="22"/>
          <w:szCs w:val="22"/>
        </w:rPr>
        <w:t>原文：</w:t>
      </w:r>
      <w:r>
        <w:rPr>
          <w:rFonts w:hint="eastAsia" w:ascii="宋体" w:hAnsi="宋体" w:cs="宋体"/>
          <w:color w:val="auto"/>
          <w:sz w:val="22"/>
          <w:szCs w:val="22"/>
        </w:rPr>
        <w:t>20.3 到投标截止时间止，招标人收到的投标文件少于3家的，招标人将重新组织招标（当N个标段同时招标且不允许兼中时，若有效投标单位不足N+4家，则重新组织招标）。</w:t>
      </w:r>
    </w:p>
    <w:p w14:paraId="5DC559CD">
      <w:pPr>
        <w:pBdr>
          <w:bottom w:val="single" w:color="auto" w:sz="6" w:space="1"/>
        </w:pBdr>
        <w:adjustRightInd w:val="0"/>
        <w:spacing w:line="360" w:lineRule="auto"/>
        <w:ind w:firstLine="552" w:firstLineChars="250"/>
        <w:rPr>
          <w:rFonts w:ascii="宋体" w:hAnsi="宋体" w:cs="宋体"/>
          <w:b/>
          <w:color w:val="auto"/>
          <w:sz w:val="22"/>
          <w:szCs w:val="22"/>
        </w:rPr>
      </w:pPr>
      <w:r>
        <w:rPr>
          <w:rFonts w:hint="eastAsia" w:ascii="宋体" w:hAnsi="宋体" w:cs="宋体"/>
          <w:b/>
          <w:bCs/>
          <w:color w:val="auto"/>
          <w:sz w:val="22"/>
          <w:szCs w:val="22"/>
        </w:rPr>
        <w:t>现文：</w:t>
      </w:r>
      <w:r>
        <w:rPr>
          <w:rFonts w:hint="eastAsia" w:ascii="宋体" w:hAnsi="宋体" w:cs="宋体"/>
          <w:color w:val="auto"/>
          <w:sz w:val="22"/>
          <w:szCs w:val="22"/>
        </w:rPr>
        <w:t>20.3 到投标截止时间止，招标人收到的投标文件少于</w:t>
      </w:r>
      <w:r>
        <w:rPr>
          <w:rFonts w:hint="eastAsia" w:ascii="宋体" w:hAnsi="宋体" w:cs="宋体"/>
          <w:color w:val="auto"/>
          <w:sz w:val="22"/>
          <w:szCs w:val="22"/>
          <w:u w:val="single"/>
        </w:rPr>
        <w:t>3家</w:t>
      </w:r>
      <w:r>
        <w:rPr>
          <w:rFonts w:hint="eastAsia" w:ascii="宋体" w:hAnsi="宋体" w:cs="宋体"/>
          <w:color w:val="auto"/>
          <w:sz w:val="22"/>
          <w:szCs w:val="22"/>
        </w:rPr>
        <w:t>的，招标人将重新组织招标。</w:t>
      </w:r>
    </w:p>
    <w:p w14:paraId="265A72A9">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21.1</w:t>
      </w:r>
      <w:r>
        <w:rPr>
          <w:rFonts w:hint="eastAsia" w:ascii="宋体" w:hAnsi="宋体" w:cs="宋体"/>
          <w:b/>
          <w:color w:val="auto"/>
          <w:sz w:val="22"/>
          <w:szCs w:val="22"/>
        </w:rPr>
        <w:t xml:space="preserve">             修改类型：修改</w:t>
      </w:r>
    </w:p>
    <w:p w14:paraId="105B20DE">
      <w:pPr>
        <w:spacing w:line="360" w:lineRule="auto"/>
        <w:ind w:firstLine="442" w:firstLineChars="200"/>
        <w:rPr>
          <w:rFonts w:ascii="宋体" w:hAnsi="宋体" w:cs="宋体"/>
          <w:bCs/>
          <w:color w:val="auto"/>
          <w:sz w:val="22"/>
          <w:szCs w:val="22"/>
          <w:u w:val="single"/>
        </w:rPr>
      </w:pPr>
      <w:r>
        <w:rPr>
          <w:rFonts w:hint="eastAsia" w:ascii="宋体" w:hAnsi="宋体" w:cs="宋体"/>
          <w:b/>
          <w:color w:val="auto"/>
          <w:sz w:val="22"/>
          <w:szCs w:val="22"/>
        </w:rPr>
        <w:t>原文：</w:t>
      </w:r>
      <w:r>
        <w:rPr>
          <w:rFonts w:hint="eastAsia" w:ascii="宋体" w:hAnsi="宋体" w:cs="宋体"/>
          <w:color w:val="auto"/>
          <w:sz w:val="22"/>
          <w:szCs w:val="22"/>
        </w:rPr>
        <w:t>21.1 本须知前附表第17项规定的投标截止时间</w:t>
      </w:r>
      <w:r>
        <w:rPr>
          <w:rFonts w:hint="eastAsia" w:ascii="宋体" w:hAnsi="宋体" w:cs="宋体"/>
          <w:bCs/>
          <w:color w:val="auto"/>
          <w:sz w:val="22"/>
          <w:szCs w:val="22"/>
        </w:rPr>
        <w:t>后送达的电子投标文件，</w:t>
      </w:r>
      <w:r>
        <w:rPr>
          <w:rFonts w:hint="eastAsia" w:ascii="宋体" w:hAnsi="宋体" w:cs="宋体"/>
          <w:color w:val="auto"/>
          <w:sz w:val="22"/>
          <w:szCs w:val="22"/>
        </w:rPr>
        <w:t>交易平台将予以拒收。</w:t>
      </w:r>
    </w:p>
    <w:p w14:paraId="0F11F1E5">
      <w:pPr>
        <w:pBdr>
          <w:bottom w:val="single" w:color="auto" w:sz="6" w:space="1"/>
        </w:pBdr>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21.1 本须知前附表第17项规定的投标截止时间</w:t>
      </w:r>
      <w:r>
        <w:rPr>
          <w:rFonts w:hint="eastAsia" w:ascii="宋体" w:hAnsi="宋体" w:cs="宋体"/>
          <w:bCs/>
          <w:color w:val="auto"/>
          <w:sz w:val="22"/>
          <w:szCs w:val="22"/>
        </w:rPr>
        <w:t>后送达的电子投标文件，</w:t>
      </w:r>
      <w:r>
        <w:rPr>
          <w:rFonts w:hint="eastAsia" w:ascii="宋体" w:hAnsi="宋体" w:cs="宋体"/>
          <w:color w:val="auto"/>
          <w:sz w:val="22"/>
          <w:szCs w:val="22"/>
          <w:u w:val="single"/>
          <w:lang w:eastAsia="zh-CN"/>
        </w:rPr>
        <w:t>广州交易集团有限公司（广州公共资源交易中心）</w:t>
      </w:r>
      <w:r>
        <w:rPr>
          <w:rFonts w:hint="eastAsia" w:ascii="宋体" w:hAnsi="宋体" w:cs="宋体"/>
          <w:color w:val="auto"/>
          <w:sz w:val="22"/>
          <w:szCs w:val="22"/>
        </w:rPr>
        <w:t>交易平台将予以拒收。</w:t>
      </w:r>
    </w:p>
    <w:p w14:paraId="128BA491">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条款号：27.1          修改类型：修改</w:t>
      </w:r>
    </w:p>
    <w:p w14:paraId="4029E27A">
      <w:pPr>
        <w:pBdr>
          <w:bottom w:val="single" w:color="auto" w:sz="6" w:space="1"/>
        </w:pBdr>
        <w:spacing w:line="360" w:lineRule="auto"/>
        <w:ind w:firstLine="552" w:firstLineChars="250"/>
        <w:rPr>
          <w:rFonts w:ascii="宋体" w:hAnsi="宋体" w:cs="宋体"/>
          <w:b/>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27.1招标人将在交易平台、广东省招标投标监管网和中国招标投标公共服务平台公示中标候选人，公示期为三天。</w:t>
      </w:r>
    </w:p>
    <w:p w14:paraId="5E433AD4">
      <w:pPr>
        <w:pBdr>
          <w:bottom w:val="single" w:color="auto" w:sz="6" w:space="1"/>
        </w:pBdr>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27.1招标人将在</w:t>
      </w:r>
      <w:r>
        <w:rPr>
          <w:rFonts w:hint="eastAsia" w:ascii="宋体" w:hAnsi="宋体" w:cs="宋体"/>
          <w:color w:val="auto"/>
          <w:sz w:val="22"/>
          <w:szCs w:val="22"/>
          <w:lang w:eastAsia="zh-CN"/>
        </w:rPr>
        <w:t>广州交易集团有限公司（广州公共资源交易中心）</w:t>
      </w:r>
      <w:r>
        <w:rPr>
          <w:rFonts w:hint="eastAsia" w:ascii="宋体" w:hAnsi="宋体" w:cs="宋体"/>
          <w:color w:val="auto"/>
          <w:sz w:val="22"/>
          <w:szCs w:val="22"/>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w:t>
      </w:r>
      <w:r>
        <w:rPr>
          <w:rFonts w:hint="eastAsia" w:ascii="宋体" w:hAnsi="宋体" w:cs="宋体"/>
          <w:color w:val="auto"/>
          <w:sz w:val="22"/>
          <w:szCs w:val="22"/>
          <w:lang w:eastAsia="zh-CN"/>
        </w:rPr>
        <w:t>广州交易集团有限公司（广州公共资源交易中心）</w:t>
      </w:r>
      <w:r>
        <w:rPr>
          <w:rFonts w:hint="eastAsia" w:ascii="宋体" w:hAnsi="宋体" w:cs="宋体"/>
          <w:color w:val="auto"/>
          <w:sz w:val="22"/>
          <w:szCs w:val="22"/>
        </w:rPr>
        <w:t>交易平台答复线上提交的异议。作出答复前，应当暂停招标投标活动。</w:t>
      </w:r>
    </w:p>
    <w:p w14:paraId="062EEDEE">
      <w:pPr>
        <w:spacing w:line="36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w:t>
      </w:r>
      <w:r>
        <w:rPr>
          <w:rFonts w:hint="eastAsia" w:ascii="宋体" w:hAnsi="宋体" w:cs="宋体"/>
          <w:color w:val="auto"/>
          <w:sz w:val="22"/>
          <w:szCs w:val="22"/>
        </w:rPr>
        <w:t>27.4</w:t>
      </w:r>
      <w:r>
        <w:rPr>
          <w:rFonts w:hint="eastAsia" w:ascii="宋体" w:hAnsi="宋体" w:cs="宋体"/>
          <w:b/>
          <w:color w:val="auto"/>
          <w:sz w:val="22"/>
          <w:szCs w:val="22"/>
        </w:rPr>
        <w:t xml:space="preserve">            修改类型：修改</w:t>
      </w:r>
    </w:p>
    <w:p w14:paraId="4EF10DD2">
      <w:pPr>
        <w:spacing w:line="360" w:lineRule="auto"/>
        <w:ind w:firstLine="442" w:firstLineChars="200"/>
        <w:rPr>
          <w:rFonts w:ascii="宋体" w:hAnsi="宋体" w:cs="宋体"/>
          <w:bCs/>
          <w:color w:val="auto"/>
          <w:sz w:val="22"/>
          <w:szCs w:val="22"/>
          <w:u w:val="single"/>
        </w:rPr>
      </w:pPr>
      <w:r>
        <w:rPr>
          <w:rFonts w:hint="eastAsia" w:ascii="宋体" w:hAnsi="宋体" w:cs="宋体"/>
          <w:b/>
          <w:color w:val="auto"/>
          <w:sz w:val="22"/>
          <w:szCs w:val="22"/>
        </w:rPr>
        <w:t>原文：</w:t>
      </w:r>
      <w:r>
        <w:rPr>
          <w:rFonts w:hint="eastAsia" w:ascii="宋体" w:hAnsi="宋体" w:cs="宋体"/>
          <w:color w:val="auto"/>
          <w:sz w:val="22"/>
          <w:szCs w:val="22"/>
        </w:rPr>
        <w:t>27.4在产生中标候选人后，招标人将中标候选人的投标文件商务部分文件的所有内容（包括报价清单、人员、业绩、奖项等资料）在交易平台和广东省招标投标监管网公开。</w:t>
      </w:r>
    </w:p>
    <w:p w14:paraId="31415F6F">
      <w:pPr>
        <w:pBdr>
          <w:bottom w:val="single" w:color="auto" w:sz="6" w:space="1"/>
        </w:pBdr>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27.4在产生中标候选人后，招标人将中标候选人的投标文件商务部分文件的所有内容（包括人员、业绩、奖项等资料）在</w:t>
      </w:r>
      <w:r>
        <w:rPr>
          <w:rFonts w:hint="eastAsia" w:ascii="宋体" w:hAnsi="宋体" w:cs="宋体"/>
          <w:color w:val="auto"/>
          <w:kern w:val="0"/>
          <w:sz w:val="22"/>
          <w:szCs w:val="22"/>
          <w:u w:val="single"/>
          <w:lang w:eastAsia="zh-CN"/>
        </w:rPr>
        <w:t>广州交易集团有限公司（广州公共资源交易中心）</w:t>
      </w:r>
      <w:r>
        <w:rPr>
          <w:rFonts w:hint="eastAsia" w:ascii="宋体" w:hAnsi="宋体" w:cs="宋体"/>
          <w:color w:val="auto"/>
          <w:sz w:val="22"/>
          <w:szCs w:val="22"/>
        </w:rPr>
        <w:t>交易平台和广东省招标投标监管网公开。</w:t>
      </w:r>
    </w:p>
    <w:p w14:paraId="27EC086A">
      <w:pPr>
        <w:spacing w:line="360" w:lineRule="auto"/>
        <w:ind w:firstLine="433" w:firstLineChars="196"/>
        <w:rPr>
          <w:rFonts w:ascii="宋体" w:hAnsi="宋体" w:cs="宋体"/>
          <w:b/>
          <w:color w:val="auto"/>
          <w:sz w:val="22"/>
          <w:szCs w:val="22"/>
        </w:rPr>
      </w:pPr>
      <w:r>
        <w:rPr>
          <w:rFonts w:hint="eastAsia" w:ascii="宋体" w:hAnsi="宋体" w:cs="宋体"/>
          <w:b/>
          <w:color w:val="auto"/>
          <w:sz w:val="22"/>
          <w:szCs w:val="22"/>
        </w:rPr>
        <w:t>条款号：29.1         修改类型：修改</w:t>
      </w:r>
    </w:p>
    <w:p w14:paraId="50C472F6">
      <w:pPr>
        <w:pBdr>
          <w:bottom w:val="single" w:color="auto" w:sz="6" w:space="1"/>
        </w:pBdr>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29.1 在收到中标通知书后的15日内，中标人应按本须知前附表第20项的规定向招标人提交履约担保。</w:t>
      </w:r>
    </w:p>
    <w:p w14:paraId="5A8255C9">
      <w:pPr>
        <w:pBdr>
          <w:bottom w:val="single" w:color="auto" w:sz="6" w:space="1"/>
        </w:pBdr>
        <w:adjustRightInd w:val="0"/>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29.1 在合同签订后7个日历天内，中标人应按施工合同约定向招标人提交履约担保。</w:t>
      </w:r>
    </w:p>
    <w:p w14:paraId="6E86083B">
      <w:pPr>
        <w:spacing w:line="360" w:lineRule="auto"/>
        <w:ind w:firstLine="433" w:firstLineChars="196"/>
        <w:rPr>
          <w:rFonts w:ascii="宋体" w:hAnsi="宋体" w:cs="宋体"/>
          <w:b/>
          <w:color w:val="auto"/>
          <w:sz w:val="22"/>
          <w:szCs w:val="22"/>
        </w:rPr>
      </w:pPr>
      <w:r>
        <w:rPr>
          <w:rFonts w:hint="eastAsia" w:ascii="宋体" w:hAnsi="宋体" w:cs="宋体"/>
          <w:b/>
          <w:color w:val="auto"/>
          <w:sz w:val="22"/>
          <w:szCs w:val="22"/>
        </w:rPr>
        <w:t>条款号：29.2         修改类型：修改</w:t>
      </w:r>
    </w:p>
    <w:p w14:paraId="60BD1457">
      <w:pPr>
        <w:pBdr>
          <w:bottom w:val="single" w:color="auto" w:sz="6" w:space="1"/>
        </w:pBdr>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color w:val="auto"/>
          <w:sz w:val="22"/>
          <w:szCs w:val="22"/>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FDA3687">
      <w:pPr>
        <w:pBdr>
          <w:bottom w:val="single" w:color="auto" w:sz="6" w:space="1"/>
        </w:pBdr>
        <w:adjustRightInd w:val="0"/>
        <w:spacing w:line="360" w:lineRule="auto"/>
        <w:ind w:firstLine="442" w:firstLineChars="20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color w:val="auto"/>
          <w:sz w:val="22"/>
          <w:szCs w:val="22"/>
        </w:rPr>
        <w:t>29.2在合同签订后7个日历天内，中标人未按上款的规定提交履约担保，招标人有权解除合同，原中标人依法承担相应法律责任。原中标人给招标人造成的损失超过投标保证金数额的，还应当对超过部分予以赔偿。原中标人有异议的，可以向人民法院起诉。</w:t>
      </w:r>
    </w:p>
    <w:p w14:paraId="0B6D4D3C">
      <w:pPr>
        <w:spacing w:line="480" w:lineRule="auto"/>
        <w:ind w:firstLine="495" w:firstLineChars="224"/>
        <w:rPr>
          <w:rFonts w:ascii="宋体" w:hAnsi="宋体" w:cs="宋体"/>
          <w:b/>
          <w:color w:val="auto"/>
          <w:sz w:val="22"/>
          <w:szCs w:val="22"/>
        </w:rPr>
      </w:pPr>
      <w:r>
        <w:rPr>
          <w:rFonts w:hint="eastAsia" w:ascii="宋体" w:hAnsi="宋体" w:cs="宋体"/>
          <w:b/>
          <w:color w:val="auto"/>
          <w:sz w:val="22"/>
          <w:szCs w:val="22"/>
        </w:rPr>
        <w:t>条款号：29.3            修改类型：增加</w:t>
      </w:r>
    </w:p>
    <w:p w14:paraId="1B6FA039">
      <w:pPr>
        <w:pBdr>
          <w:bottom w:val="single" w:color="auto" w:sz="6" w:space="1"/>
        </w:pBdr>
        <w:tabs>
          <w:tab w:val="left" w:pos="1620"/>
        </w:tabs>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现文：</w:t>
      </w:r>
      <w:r>
        <w:rPr>
          <w:rFonts w:hint="eastAsia" w:ascii="宋体" w:hAnsi="宋体" w:cs="宋体"/>
          <w:bCs/>
          <w:color w:val="auto"/>
          <w:sz w:val="22"/>
          <w:szCs w:val="22"/>
        </w:rPr>
        <w:t>中</w:t>
      </w:r>
      <w:r>
        <w:rPr>
          <w:rFonts w:hint="eastAsia" w:ascii="宋体" w:hAnsi="宋体" w:cs="宋体"/>
          <w:color w:val="auto"/>
          <w:sz w:val="22"/>
          <w:szCs w:val="22"/>
        </w:rPr>
        <w:t>标单位在本项目结束中标公示后3天内，须提供与递交投标文件电子标书内容一致且每页加盖单位公章的纸质文件</w:t>
      </w:r>
      <w:r>
        <w:rPr>
          <w:rFonts w:hint="eastAsia" w:ascii="宋体" w:hAnsi="宋体" w:cs="宋体"/>
          <w:color w:val="auto"/>
          <w:sz w:val="22"/>
          <w:szCs w:val="22"/>
          <w:lang w:val="en-US" w:eastAsia="zh-CN"/>
        </w:rPr>
        <w:t>五</w:t>
      </w:r>
      <w:r>
        <w:rPr>
          <w:rFonts w:hint="eastAsia" w:ascii="宋体" w:hAnsi="宋体" w:cs="宋体"/>
          <w:color w:val="auto"/>
          <w:sz w:val="22"/>
          <w:szCs w:val="22"/>
        </w:rPr>
        <w:t>套（二正</w:t>
      </w:r>
      <w:r>
        <w:rPr>
          <w:rFonts w:hint="eastAsia" w:ascii="宋体" w:hAnsi="宋体" w:cs="宋体"/>
          <w:color w:val="auto"/>
          <w:sz w:val="22"/>
          <w:szCs w:val="22"/>
          <w:lang w:val="en-US" w:eastAsia="zh-CN"/>
        </w:rPr>
        <w:t>三</w:t>
      </w:r>
      <w:r>
        <w:rPr>
          <w:rFonts w:hint="eastAsia" w:ascii="宋体" w:hAnsi="宋体" w:cs="宋体"/>
          <w:color w:val="auto"/>
          <w:sz w:val="22"/>
          <w:szCs w:val="22"/>
        </w:rPr>
        <w:t>副）及电子文件二套（不用生成投标书）；包括用Microsoft Excel软件或</w:t>
      </w:r>
      <w:r>
        <w:rPr>
          <w:rFonts w:hint="eastAsia" w:ascii="宋体" w:hAnsi="宋体" w:cs="宋体"/>
          <w:color w:val="auto"/>
          <w:sz w:val="22"/>
          <w:szCs w:val="22"/>
          <w:lang w:eastAsia="zh-CN"/>
        </w:rPr>
        <w:t>广州交易集团有限公司（广州公共资源交易中心）</w:t>
      </w:r>
      <w:r>
        <w:rPr>
          <w:rFonts w:hint="eastAsia" w:ascii="宋体" w:hAnsi="宋体" w:cs="宋体"/>
          <w:color w:val="auto"/>
          <w:sz w:val="22"/>
          <w:szCs w:val="22"/>
        </w:rPr>
        <w:t>提供的投标书制作软件制作的工程量清单报价表和单价分析表，用Microsoft Excel软件或</w:t>
      </w:r>
      <w:r>
        <w:rPr>
          <w:rFonts w:hint="eastAsia" w:ascii="宋体" w:hAnsi="宋体" w:cs="宋体"/>
          <w:color w:val="auto"/>
          <w:sz w:val="22"/>
          <w:szCs w:val="22"/>
          <w:lang w:eastAsia="zh-CN"/>
        </w:rPr>
        <w:t>广州交易集团有限公司（广州公共资源交易中心）</w:t>
      </w:r>
      <w:r>
        <w:rPr>
          <w:rFonts w:hint="eastAsia" w:ascii="宋体" w:hAnsi="宋体" w:cs="宋体"/>
          <w:color w:val="auto"/>
          <w:sz w:val="22"/>
          <w:szCs w:val="22"/>
        </w:rPr>
        <w:t>提供的投标书制作软件制作的经济投标文件其它部分。电子文件介质使用CD-R光盘，所有电子文件不能采用压缩处理）给招标人。</w:t>
      </w:r>
    </w:p>
    <w:p w14:paraId="799EEFA5">
      <w:pPr>
        <w:pBdr>
          <w:top w:val="single" w:color="auto" w:sz="4" w:space="1"/>
        </w:pBdr>
        <w:spacing w:line="480" w:lineRule="auto"/>
        <w:ind w:firstLine="495" w:firstLineChars="224"/>
        <w:rPr>
          <w:b/>
          <w:color w:val="auto"/>
          <w:sz w:val="22"/>
          <w:szCs w:val="22"/>
          <w:highlight w:val="none"/>
        </w:rPr>
      </w:pPr>
      <w:r>
        <w:rPr>
          <w:rFonts w:hint="eastAsia"/>
          <w:b/>
          <w:color w:val="auto"/>
          <w:sz w:val="22"/>
          <w:szCs w:val="22"/>
          <w:highlight w:val="none"/>
        </w:rPr>
        <w:t>条款号：31.1                   修改类型：增加</w:t>
      </w:r>
    </w:p>
    <w:p w14:paraId="332DD247">
      <w:pPr>
        <w:pBdr>
          <w:bottom w:val="single" w:color="000000" w:sz="6" w:space="1"/>
        </w:pBdr>
        <w:spacing w:line="360" w:lineRule="auto"/>
        <w:ind w:firstLine="552" w:firstLineChars="250"/>
        <w:rPr>
          <w:bCs/>
          <w:color w:val="auto"/>
          <w:sz w:val="22"/>
          <w:szCs w:val="22"/>
          <w:highlight w:val="none"/>
        </w:rPr>
      </w:pPr>
      <w:r>
        <w:rPr>
          <w:rFonts w:hint="eastAsia"/>
          <w:b/>
          <w:color w:val="auto"/>
          <w:sz w:val="22"/>
          <w:szCs w:val="22"/>
          <w:highlight w:val="none"/>
        </w:rPr>
        <w:t>现文：31.1</w:t>
      </w:r>
      <w:r>
        <w:rPr>
          <w:rFonts w:hint="eastAsia"/>
          <w:bCs/>
          <w:color w:val="auto"/>
          <w:sz w:val="22"/>
          <w:szCs w:val="22"/>
          <w:highlight w:val="none"/>
        </w:rPr>
        <w:t>招标代理费由中标人缴纳，金额按招标人与招标代理签订的招标代理合同的约定执行。</w:t>
      </w:r>
    </w:p>
    <w:p w14:paraId="208A4B8D">
      <w:pPr>
        <w:pBdr>
          <w:bottom w:val="single" w:color="000000" w:sz="6" w:space="1"/>
        </w:pBdr>
        <w:spacing w:line="360" w:lineRule="auto"/>
        <w:ind w:firstLine="552" w:firstLineChars="250"/>
        <w:rPr>
          <w:bCs/>
          <w:color w:val="auto"/>
          <w:sz w:val="22"/>
          <w:szCs w:val="22"/>
          <w:highlight w:val="none"/>
          <w:u w:val="single"/>
        </w:rPr>
      </w:pPr>
      <w:r>
        <w:rPr>
          <w:rFonts w:hint="eastAsia"/>
          <w:b/>
          <w:color w:val="auto"/>
          <w:sz w:val="22"/>
          <w:szCs w:val="22"/>
          <w:highlight w:val="none"/>
        </w:rPr>
        <w:t>31.2</w:t>
      </w:r>
      <w:r>
        <w:rPr>
          <w:rFonts w:hint="eastAsia"/>
          <w:bCs/>
          <w:color w:val="auto"/>
          <w:sz w:val="22"/>
          <w:szCs w:val="22"/>
          <w:highlight w:val="none"/>
        </w:rPr>
        <w:t>中标人自行支付公共资源交易服务费，交易中心向中标人开具增值税发票。</w:t>
      </w:r>
    </w:p>
    <w:p w14:paraId="64DB7534">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条款号：32.3         修改类型：修改</w:t>
      </w:r>
    </w:p>
    <w:p w14:paraId="2599F7ED">
      <w:pPr>
        <w:pBdr>
          <w:bottom w:val="single" w:color="auto" w:sz="6" w:space="1"/>
        </w:pBdr>
        <w:spacing w:line="360" w:lineRule="auto"/>
        <w:ind w:firstLine="552" w:firstLineChars="250"/>
        <w:rPr>
          <w:rFonts w:ascii="宋体" w:hAnsi="宋体" w:cs="宋体"/>
          <w:b/>
          <w:color w:val="auto"/>
          <w:sz w:val="22"/>
          <w:szCs w:val="22"/>
        </w:rPr>
      </w:pPr>
      <w:r>
        <w:rPr>
          <w:rFonts w:hint="eastAsia" w:ascii="宋体" w:hAnsi="宋体" w:cs="宋体"/>
          <w:b/>
          <w:color w:val="auto"/>
          <w:sz w:val="22"/>
          <w:szCs w:val="22"/>
        </w:rPr>
        <w:t>原文：</w:t>
      </w:r>
      <w:r>
        <w:rPr>
          <w:rFonts w:hint="eastAsia" w:ascii="宋体" w:hAnsi="宋体" w:cs="宋体"/>
          <w:bCs/>
          <w:color w:val="auto"/>
          <w:sz w:val="22"/>
          <w:szCs w:val="22"/>
        </w:rPr>
        <w:t>32.3投标人如在本项目中存在串通投标、弄虚作假、行贿情形的，中标无效，行政监督部门将对其违法行为进行政处罚并通报。该投标人将被招标人列入黑名单并限制其参与招标人后续项目的投标。</w:t>
      </w:r>
    </w:p>
    <w:p w14:paraId="1DDB3CC8">
      <w:pPr>
        <w:pBdr>
          <w:bottom w:val="single" w:color="auto" w:sz="6" w:space="1"/>
        </w:pBdr>
        <w:spacing w:line="360" w:lineRule="auto"/>
        <w:ind w:firstLine="552" w:firstLineChars="250"/>
        <w:rPr>
          <w:rFonts w:ascii="宋体" w:hAnsi="宋体" w:cs="宋体"/>
          <w:b/>
          <w:color w:val="auto"/>
          <w:sz w:val="22"/>
          <w:szCs w:val="22"/>
        </w:rPr>
      </w:pPr>
      <w:r>
        <w:rPr>
          <w:rFonts w:hint="eastAsia" w:ascii="宋体" w:hAnsi="宋体" w:cs="宋体"/>
          <w:b/>
          <w:color w:val="auto"/>
          <w:sz w:val="22"/>
          <w:szCs w:val="22"/>
        </w:rPr>
        <w:t>现文：</w:t>
      </w:r>
      <w:r>
        <w:rPr>
          <w:rFonts w:hint="eastAsia" w:ascii="宋体" w:hAnsi="宋体" w:cs="宋体"/>
          <w:bCs/>
          <w:color w:val="auto"/>
          <w:sz w:val="22"/>
          <w:szCs w:val="22"/>
        </w:rPr>
        <w:t>32.3投标人如在本项目中存在串通投标、弄虚作假骗取中标、行贿情形的，中标无效，行政监督部门将对其违法行为进行政处罚。该投标人将被招标人列入黑名单并限制其参与招标人后续项目的投标。</w:t>
      </w:r>
    </w:p>
    <w:p w14:paraId="28C1B90D">
      <w:pPr>
        <w:spacing w:line="360" w:lineRule="auto"/>
        <w:ind w:firstLine="433" w:firstLineChars="196"/>
        <w:rPr>
          <w:rFonts w:ascii="宋体" w:hAnsi="宋体" w:cs="宋体"/>
          <w:b/>
          <w:color w:val="auto"/>
          <w:sz w:val="22"/>
          <w:szCs w:val="22"/>
        </w:rPr>
      </w:pPr>
      <w:r>
        <w:rPr>
          <w:rFonts w:hint="eastAsia" w:ascii="宋体" w:hAnsi="宋体" w:cs="宋体"/>
          <w:b/>
          <w:color w:val="auto"/>
          <w:sz w:val="22"/>
          <w:szCs w:val="22"/>
        </w:rPr>
        <w:t>条款号：33         修改类型：删除</w:t>
      </w:r>
    </w:p>
    <w:p w14:paraId="5BF3201B">
      <w:pPr>
        <w:pBdr>
          <w:bottom w:val="single" w:color="auto" w:sz="6" w:space="1"/>
        </w:pBdr>
        <w:tabs>
          <w:tab w:val="left" w:pos="1620"/>
        </w:tabs>
        <w:spacing w:line="360" w:lineRule="auto"/>
        <w:ind w:firstLine="552" w:firstLineChars="250"/>
        <w:rPr>
          <w:rFonts w:ascii="宋体" w:hAnsi="宋体" w:cs="宋体"/>
          <w:color w:val="auto"/>
          <w:sz w:val="22"/>
          <w:szCs w:val="22"/>
        </w:rPr>
      </w:pPr>
      <w:r>
        <w:rPr>
          <w:rFonts w:hint="eastAsia" w:ascii="宋体" w:hAnsi="宋体" w:cs="宋体"/>
          <w:b/>
          <w:color w:val="auto"/>
          <w:sz w:val="22"/>
          <w:szCs w:val="22"/>
        </w:rPr>
        <w:t>原文</w:t>
      </w:r>
      <w:r>
        <w:rPr>
          <w:rFonts w:hint="eastAsia" w:ascii="宋体" w:hAnsi="宋体" w:cs="宋体"/>
          <w:bCs/>
          <w:color w:val="auto"/>
          <w:sz w:val="22"/>
          <w:szCs w:val="22"/>
        </w:rPr>
        <w:t>：</w:t>
      </w:r>
      <w:r>
        <w:rPr>
          <w:rFonts w:hint="eastAsia" w:ascii="宋体" w:hAnsi="宋体" w:cs="宋体"/>
          <w:color w:val="auto"/>
          <w:sz w:val="22"/>
          <w:szCs w:val="22"/>
        </w:rPr>
        <w:t>33. 投标人信誉的要求</w:t>
      </w:r>
    </w:p>
    <w:p w14:paraId="27608D17">
      <w:pPr>
        <w:pBdr>
          <w:bottom w:val="single" w:color="auto" w:sz="6" w:space="1"/>
        </w:pBdr>
        <w:tabs>
          <w:tab w:val="left" w:pos="1620"/>
        </w:tabs>
        <w:spacing w:line="360" w:lineRule="auto"/>
        <w:ind w:firstLine="550" w:firstLineChars="250"/>
        <w:rPr>
          <w:rFonts w:ascii="宋体" w:hAnsi="宋体" w:cs="宋体"/>
          <w:color w:val="auto"/>
          <w:sz w:val="22"/>
          <w:szCs w:val="22"/>
        </w:rPr>
      </w:pPr>
      <w:r>
        <w:rPr>
          <w:rFonts w:hint="eastAsia" w:ascii="宋体" w:hAnsi="宋体" w:cs="宋体"/>
          <w:color w:val="auto"/>
          <w:sz w:val="22"/>
          <w:szCs w:val="22"/>
        </w:rPr>
        <w:t>存在下列情形之一的，招标人可以限制其投标（需在招标文件中明确评定方法）</w:t>
      </w:r>
    </w:p>
    <w:p w14:paraId="405E1216">
      <w:pPr>
        <w:pBdr>
          <w:bottom w:val="single" w:color="auto" w:sz="6" w:space="1"/>
        </w:pBdr>
        <w:tabs>
          <w:tab w:val="left" w:pos="1620"/>
        </w:tabs>
        <w:spacing w:line="360" w:lineRule="auto"/>
        <w:ind w:firstLine="550" w:firstLineChars="250"/>
        <w:rPr>
          <w:rFonts w:ascii="宋体" w:hAnsi="宋体" w:cs="宋体"/>
          <w:color w:val="auto"/>
          <w:sz w:val="22"/>
          <w:szCs w:val="22"/>
        </w:rPr>
      </w:pPr>
      <w:r>
        <w:rPr>
          <w:rFonts w:hint="eastAsia" w:ascii="宋体" w:hAnsi="宋体" w:cs="宋体"/>
          <w:color w:val="auto"/>
          <w:sz w:val="22"/>
          <w:szCs w:val="22"/>
        </w:rPr>
        <w:t>（1）被住房城乡建设行政主管部门在全国建筑市场监管一体化工作平台列入建筑市场主体“黑名单”；</w:t>
      </w:r>
    </w:p>
    <w:p w14:paraId="70BF2611">
      <w:pPr>
        <w:pBdr>
          <w:bottom w:val="single" w:color="auto" w:sz="6" w:space="1"/>
        </w:pBdr>
        <w:tabs>
          <w:tab w:val="left" w:pos="1620"/>
        </w:tabs>
        <w:spacing w:line="360" w:lineRule="auto"/>
        <w:ind w:firstLine="550" w:firstLineChars="250"/>
        <w:rPr>
          <w:rFonts w:ascii="宋体" w:hAnsi="宋体" w:cs="宋体"/>
          <w:color w:val="auto"/>
          <w:sz w:val="22"/>
          <w:szCs w:val="22"/>
        </w:rPr>
      </w:pPr>
      <w:r>
        <w:rPr>
          <w:rFonts w:hint="eastAsia" w:ascii="宋体" w:hAnsi="宋体" w:cs="宋体"/>
          <w:color w:val="auto"/>
          <w:sz w:val="22"/>
          <w:szCs w:val="22"/>
        </w:rPr>
        <w:t>（2）被发改委、人力资源社会保障、质检总局等有关部门、单位在“信用中国”网站中列入联合惩戒失信黑名单。</w:t>
      </w:r>
    </w:p>
    <w:p w14:paraId="3B3959D4">
      <w:pPr>
        <w:spacing w:line="360" w:lineRule="auto"/>
        <w:ind w:firstLine="221" w:firstLineChars="100"/>
        <w:rPr>
          <w:rFonts w:ascii="宋体" w:hAnsi="宋体" w:cs="宋体"/>
          <w:b/>
          <w:color w:val="auto"/>
          <w:sz w:val="22"/>
          <w:szCs w:val="22"/>
        </w:rPr>
      </w:pPr>
      <w:r>
        <w:rPr>
          <w:rFonts w:hint="eastAsia" w:ascii="宋体" w:hAnsi="宋体" w:cs="宋体"/>
          <w:b/>
          <w:color w:val="auto"/>
          <w:sz w:val="22"/>
          <w:szCs w:val="22"/>
        </w:rPr>
        <w:t>注：以上修改，仅限于本范本中有可供选择条款的情形。</w:t>
      </w:r>
    </w:p>
    <w:p w14:paraId="0DB3BCD6">
      <w:pPr>
        <w:spacing w:line="360" w:lineRule="auto"/>
        <w:rPr>
          <w:rFonts w:ascii="宋体" w:hAnsi="宋体" w:cs="宋体"/>
          <w:color w:val="auto"/>
          <w:sz w:val="24"/>
          <w:szCs w:val="24"/>
        </w:rPr>
      </w:pPr>
      <w:r>
        <w:rPr>
          <w:rFonts w:hint="eastAsia" w:ascii="宋体" w:hAnsi="宋体" w:cs="宋体"/>
          <w:b/>
          <w:color w:val="auto"/>
          <w:sz w:val="22"/>
          <w:szCs w:val="22"/>
        </w:rPr>
        <w:t>（以下无正文）</w:t>
      </w:r>
    </w:p>
    <w:p w14:paraId="24931EBD">
      <w:pPr>
        <w:pStyle w:val="9"/>
        <w:spacing w:line="360" w:lineRule="auto"/>
        <w:ind w:firstLine="482" w:firstLineChars="200"/>
        <w:rPr>
          <w:rFonts w:ascii="宋体" w:hAnsi="宋体" w:cs="宋体"/>
          <w:b/>
          <w:bCs/>
          <w:color w:val="auto"/>
          <w:sz w:val="24"/>
          <w:szCs w:val="24"/>
        </w:rPr>
        <w:sectPr>
          <w:footerReference r:id="rId10" w:type="first"/>
          <w:footerReference r:id="rId9" w:type="default"/>
          <w:pgSz w:w="11906" w:h="16838"/>
          <w:pgMar w:top="1134" w:right="1418" w:bottom="1247" w:left="1418" w:header="851" w:footer="907" w:gutter="0"/>
          <w:pgBorders>
            <w:top w:val="none" w:sz="0" w:space="0"/>
            <w:left w:val="none" w:sz="0" w:space="0"/>
            <w:bottom w:val="none" w:sz="0" w:space="0"/>
            <w:right w:val="none" w:sz="0" w:space="0"/>
          </w:pgBorders>
          <w:pgNumType w:start="1"/>
          <w:cols w:space="720" w:num="1"/>
          <w:titlePg/>
          <w:docGrid w:type="lines" w:linePitch="312" w:charSpace="0"/>
        </w:sectPr>
      </w:pPr>
    </w:p>
    <w:p w14:paraId="1219C94B">
      <w:pPr>
        <w:pStyle w:val="6"/>
        <w:rPr>
          <w:rFonts w:ascii="宋体" w:hAnsi="宋体" w:cs="宋体"/>
          <w:color w:val="auto"/>
        </w:rPr>
      </w:pPr>
      <w:bookmarkStart w:id="3" w:name="_Toc24881"/>
      <w:r>
        <w:rPr>
          <w:rFonts w:hint="eastAsia" w:ascii="宋体" w:hAnsi="宋体" w:cs="宋体"/>
          <w:color w:val="auto"/>
        </w:rPr>
        <w:t>三、投标须知通用条款</w:t>
      </w:r>
      <w:bookmarkEnd w:id="3"/>
    </w:p>
    <w:p w14:paraId="662EA20A">
      <w:pPr>
        <w:pStyle w:val="7"/>
        <w:spacing w:before="156" w:after="156"/>
        <w:rPr>
          <w:rFonts w:hAnsi="宋体" w:cs="宋体"/>
          <w:color w:val="auto"/>
        </w:rPr>
      </w:pPr>
      <w:bookmarkStart w:id="4" w:name="_Toc2272549"/>
      <w:bookmarkStart w:id="5" w:name="_Toc21525493"/>
      <w:bookmarkStart w:id="6" w:name="_Toc373"/>
      <w:r>
        <w:rPr>
          <w:rFonts w:hint="eastAsia" w:hAnsi="宋体" w:cs="宋体"/>
          <w:color w:val="auto"/>
        </w:rPr>
        <w:t>（一）总则</w:t>
      </w:r>
      <w:bookmarkEnd w:id="4"/>
      <w:bookmarkEnd w:id="5"/>
    </w:p>
    <w:p w14:paraId="4EBAD446">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1、定义</w:t>
      </w:r>
    </w:p>
    <w:p w14:paraId="5BA330C6">
      <w:pPr>
        <w:pStyle w:val="4"/>
        <w:spacing w:after="0" w:line="360" w:lineRule="auto"/>
        <w:ind w:firstLine="480" w:firstLineChars="200"/>
        <w:rPr>
          <w:rFonts w:ascii="宋体" w:hAnsi="宋体" w:cs="宋体"/>
          <w:b/>
          <w:bCs/>
          <w:color w:val="auto"/>
          <w:sz w:val="24"/>
        </w:rPr>
      </w:pPr>
      <w:r>
        <w:rPr>
          <w:rFonts w:hint="eastAsia" w:ascii="宋体" w:hAnsi="宋体" w:cs="宋体"/>
          <w:color w:val="auto"/>
          <w:sz w:val="24"/>
        </w:rPr>
        <w:t>本招标文件使用的下列词语具有如下规定的意义：</w:t>
      </w:r>
    </w:p>
    <w:p w14:paraId="7E56AFCF">
      <w:pPr>
        <w:pStyle w:val="4"/>
        <w:spacing w:after="0" w:line="360" w:lineRule="auto"/>
        <w:ind w:firstLine="480" w:firstLineChars="200"/>
        <w:rPr>
          <w:rFonts w:ascii="宋体" w:hAnsi="宋体" w:cs="宋体"/>
          <w:b/>
          <w:bCs/>
          <w:color w:val="auto"/>
          <w:sz w:val="24"/>
          <w:u w:val="single"/>
        </w:rPr>
      </w:pPr>
      <w:r>
        <w:rPr>
          <w:rFonts w:hint="eastAsia" w:ascii="宋体" w:hAnsi="宋体" w:cs="宋体"/>
          <w:color w:val="auto"/>
          <w:sz w:val="24"/>
        </w:rPr>
        <w:t>（1）“招标人”（即发包人）、“项目建设管理单位”（或称“项目代建单位”）、“招标代理”、“设计单位”、“监理单位”均已在投标须知前附表中列明。</w:t>
      </w:r>
    </w:p>
    <w:p w14:paraId="0E591C95">
      <w:pPr>
        <w:pStyle w:val="4"/>
        <w:spacing w:after="0" w:line="360" w:lineRule="auto"/>
        <w:ind w:firstLine="480" w:firstLineChars="200"/>
        <w:rPr>
          <w:rFonts w:ascii="宋体" w:hAnsi="宋体" w:cs="宋体"/>
          <w:color w:val="auto"/>
          <w:sz w:val="24"/>
          <w:u w:val="single"/>
        </w:rPr>
      </w:pPr>
      <w:r>
        <w:rPr>
          <w:rFonts w:hint="eastAsia" w:ascii="宋体" w:hAnsi="宋体" w:cs="宋体"/>
          <w:color w:val="auto"/>
          <w:sz w:val="24"/>
        </w:rPr>
        <w:t>（2）“投标人”指向招标人提交投标文件的当事人。</w:t>
      </w:r>
    </w:p>
    <w:p w14:paraId="2E5F05A3">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（3）“承包人”指其投标被招标人接受并与其签订承包合同的当事人。</w:t>
      </w:r>
    </w:p>
    <w:p w14:paraId="6110B4BE">
      <w:pPr>
        <w:pStyle w:val="4"/>
        <w:spacing w:after="0" w:line="360" w:lineRule="auto"/>
        <w:ind w:firstLine="480" w:firstLineChars="200"/>
        <w:rPr>
          <w:rFonts w:ascii="宋体" w:hAnsi="宋体" w:cs="宋体"/>
          <w:color w:val="auto"/>
          <w:sz w:val="24"/>
          <w:u w:val="single"/>
        </w:rPr>
      </w:pPr>
      <w:r>
        <w:rPr>
          <w:rFonts w:hint="eastAsia" w:ascii="宋体" w:hAnsi="宋体" w:cs="宋体"/>
          <w:color w:val="auto"/>
          <w:sz w:val="24"/>
        </w:rPr>
        <w:t>（4）“招标文件”指由招标代理发出的本文件（包括全部章节、附件）及招标答疑会会议纪要和</w:t>
      </w:r>
      <w:r>
        <w:rPr>
          <w:rFonts w:hint="eastAsia" w:ascii="宋体" w:hAnsi="宋体" w:cs="宋体"/>
          <w:bCs/>
          <w:color w:val="auto"/>
          <w:sz w:val="24"/>
        </w:rPr>
        <w:t>招标文件的澄清与修改</w:t>
      </w:r>
      <w:r>
        <w:rPr>
          <w:rFonts w:hint="eastAsia" w:ascii="宋体" w:hAnsi="宋体" w:cs="宋体"/>
          <w:color w:val="auto"/>
          <w:sz w:val="24"/>
        </w:rPr>
        <w:t>文件。</w:t>
      </w:r>
    </w:p>
    <w:p w14:paraId="01E40F37">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（5）“投标文件”指投标人根据本项目招标文件向招标人提交的全部文件。</w:t>
      </w:r>
    </w:p>
    <w:p w14:paraId="0C4F3395">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（6）“书面形式”指打字或印刷的文件和数据电文（包括电报、电传、传真、电子数据交换和电子邮件）。</w:t>
      </w:r>
    </w:p>
    <w:p w14:paraId="7913EB90">
      <w:pPr>
        <w:spacing w:line="360" w:lineRule="auto"/>
        <w:ind w:firstLine="482" w:firstLineChars="200"/>
        <w:rPr>
          <w:rFonts w:ascii="宋体" w:hAnsi="宋体" w:cs="宋体"/>
          <w:b/>
          <w:color w:val="auto"/>
          <w:sz w:val="24"/>
        </w:rPr>
      </w:pPr>
      <w:r>
        <w:rPr>
          <w:rFonts w:hint="eastAsia" w:ascii="宋体" w:hAnsi="宋体" w:cs="宋体"/>
          <w:b/>
          <w:color w:val="auto"/>
          <w:sz w:val="24"/>
        </w:rPr>
        <w:t>2、招标说明</w:t>
      </w:r>
    </w:p>
    <w:p w14:paraId="2902A4C9">
      <w:pPr>
        <w:spacing w:line="360" w:lineRule="auto"/>
        <w:ind w:firstLine="480" w:firstLineChars="200"/>
        <w:rPr>
          <w:rFonts w:ascii="宋体" w:hAnsi="宋体" w:cs="宋体"/>
          <w:bCs/>
          <w:color w:val="auto"/>
          <w:sz w:val="24"/>
        </w:rPr>
      </w:pPr>
      <w:r>
        <w:rPr>
          <w:rFonts w:hint="eastAsia" w:ascii="宋体" w:hAnsi="宋体" w:cs="宋体"/>
          <w:bCs/>
          <w:color w:val="auto"/>
          <w:sz w:val="24"/>
        </w:rPr>
        <w:t>2.1本招标工程项目按照《中华人民共和国招标投标法》等有关法律、行政法规、规章和规范性文件，通过招标方式选定承包人。</w:t>
      </w:r>
    </w:p>
    <w:p w14:paraId="57E880E9">
      <w:pPr>
        <w:spacing w:line="360" w:lineRule="auto"/>
        <w:ind w:firstLine="480" w:firstLineChars="200"/>
        <w:rPr>
          <w:rFonts w:ascii="宋体" w:hAnsi="宋体" w:cs="宋体"/>
          <w:bCs/>
          <w:color w:val="auto"/>
          <w:sz w:val="24"/>
        </w:rPr>
      </w:pPr>
      <w:r>
        <w:rPr>
          <w:rFonts w:hint="eastAsia" w:ascii="宋体" w:hAnsi="宋体" w:cs="宋体"/>
          <w:bCs/>
          <w:color w:val="auto"/>
          <w:sz w:val="24"/>
        </w:rPr>
        <w:t>2.2工程名称、建设地点、建设规模、承包方式、质量标准、招标范围、工期要求等均在投标须知前附表中列明。</w:t>
      </w:r>
    </w:p>
    <w:p w14:paraId="20861106">
      <w:pPr>
        <w:spacing w:line="360" w:lineRule="auto"/>
        <w:ind w:firstLine="480" w:firstLineChars="200"/>
        <w:rPr>
          <w:rFonts w:ascii="宋体" w:hAnsi="宋体" w:cs="宋体"/>
          <w:bCs/>
          <w:color w:val="auto"/>
          <w:sz w:val="24"/>
        </w:rPr>
      </w:pPr>
      <w:r>
        <w:rPr>
          <w:rFonts w:hint="eastAsia" w:ascii="宋体" w:hAnsi="宋体" w:cs="宋体"/>
          <w:bCs/>
          <w:color w:val="auto"/>
          <w:sz w:val="24"/>
        </w:rPr>
        <w:t>2.3设计说明：详见招标图纸。</w:t>
      </w:r>
    </w:p>
    <w:p w14:paraId="4EE523FC">
      <w:pPr>
        <w:spacing w:line="360" w:lineRule="auto"/>
        <w:ind w:firstLine="480" w:firstLineChars="200"/>
        <w:rPr>
          <w:rFonts w:ascii="宋体" w:hAnsi="宋体" w:cs="宋体"/>
          <w:bCs/>
          <w:color w:val="auto"/>
          <w:sz w:val="24"/>
        </w:rPr>
      </w:pPr>
      <w:r>
        <w:rPr>
          <w:rFonts w:hint="eastAsia" w:ascii="宋体" w:hAnsi="宋体" w:cs="宋体"/>
          <w:bCs/>
          <w:color w:val="auto"/>
          <w:sz w:val="24"/>
        </w:rPr>
        <w:t>2.4工程施工特点：详见招标图纸。</w:t>
      </w:r>
    </w:p>
    <w:p w14:paraId="364870FF">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3．资金来源</w:t>
      </w:r>
    </w:p>
    <w:p w14:paraId="0260ACE1">
      <w:pPr>
        <w:spacing w:line="360" w:lineRule="auto"/>
        <w:ind w:firstLine="480" w:firstLineChars="200"/>
        <w:rPr>
          <w:rFonts w:ascii="宋体" w:hAnsi="宋体" w:cs="宋体"/>
          <w:bCs/>
          <w:color w:val="auto"/>
          <w:sz w:val="24"/>
        </w:rPr>
      </w:pPr>
      <w:r>
        <w:rPr>
          <w:rFonts w:hint="eastAsia" w:ascii="宋体" w:hAnsi="宋体" w:cs="宋体"/>
          <w:bCs/>
          <w:color w:val="auto"/>
          <w:sz w:val="24"/>
        </w:rPr>
        <w:t>3.1本招标工程项目资金来源见投标须知前附表第9项</w:t>
      </w:r>
    </w:p>
    <w:p w14:paraId="53A1698F">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4．合格投标人的条件</w:t>
      </w:r>
    </w:p>
    <w:p w14:paraId="22D4D573">
      <w:pPr>
        <w:spacing w:line="360" w:lineRule="auto"/>
        <w:ind w:firstLine="480" w:firstLineChars="200"/>
        <w:rPr>
          <w:rFonts w:ascii="宋体" w:hAnsi="宋体" w:cs="宋体"/>
          <w:bCs/>
          <w:color w:val="auto"/>
          <w:sz w:val="24"/>
        </w:rPr>
      </w:pPr>
      <w:r>
        <w:rPr>
          <w:rFonts w:hint="eastAsia" w:ascii="宋体" w:hAnsi="宋体" w:cs="宋体"/>
          <w:bCs/>
          <w:color w:val="auto"/>
          <w:sz w:val="24"/>
        </w:rPr>
        <w:t>4.1详见本项目招标公告</w:t>
      </w:r>
    </w:p>
    <w:p w14:paraId="2E84AC86">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5．踏勘现场</w:t>
      </w:r>
    </w:p>
    <w:p w14:paraId="3D70739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5.1 投标人应按本投标须知前附表第15项所述时间和要求对工程现场及周围环境进行踏勘，</w:t>
      </w:r>
      <w:r>
        <w:rPr>
          <w:rFonts w:hint="eastAsia" w:ascii="宋体" w:hAnsi="宋体" w:cs="宋体"/>
          <w:color w:val="auto"/>
          <w:sz w:val="24"/>
        </w:rPr>
        <w:t>投标人应充分重视和仔细地进行这种考察，</w:t>
      </w:r>
      <w:r>
        <w:rPr>
          <w:rFonts w:hint="eastAsia" w:ascii="宋体" w:hAnsi="宋体" w:cs="宋体"/>
          <w:bCs/>
          <w:color w:val="auto"/>
          <w:sz w:val="24"/>
        </w:rPr>
        <w:t>以便投标人获取</w:t>
      </w:r>
      <w:r>
        <w:rPr>
          <w:rFonts w:hint="eastAsia" w:ascii="宋体" w:hAnsi="宋体" w:cs="宋体"/>
          <w:color w:val="auto"/>
          <w:sz w:val="24"/>
        </w:rPr>
        <w:t>那些须投标人自己负责的</w:t>
      </w:r>
      <w:r>
        <w:rPr>
          <w:rFonts w:hint="eastAsia" w:ascii="宋体" w:hAnsi="宋体" w:cs="宋体"/>
          <w:bCs/>
          <w:color w:val="auto"/>
          <w:sz w:val="24"/>
        </w:rPr>
        <w:t>有关编制投标文件和签署合同所涉及现场所有的资料。</w:t>
      </w:r>
      <w:r>
        <w:rPr>
          <w:rFonts w:hint="eastAsia" w:ascii="宋体" w:hAnsi="宋体" w:cs="宋体"/>
          <w:color w:val="auto"/>
          <w:sz w:val="24"/>
        </w:rPr>
        <w:t>一旦中标，这种考察即被认为其结果已在中标文件中得到充分反映。考察现场的费用由投标人自己承担。</w:t>
      </w:r>
    </w:p>
    <w:p w14:paraId="7764F74F">
      <w:pPr>
        <w:tabs>
          <w:tab w:val="left" w:pos="105"/>
        </w:tabs>
        <w:spacing w:line="360" w:lineRule="auto"/>
        <w:ind w:firstLine="480" w:firstLineChars="200"/>
        <w:rPr>
          <w:rFonts w:ascii="宋体" w:hAnsi="宋体" w:cs="宋体"/>
          <w:bCs/>
          <w:color w:val="auto"/>
          <w:sz w:val="24"/>
        </w:rPr>
      </w:pPr>
      <w:r>
        <w:rPr>
          <w:rFonts w:hint="eastAsia" w:ascii="宋体" w:hAnsi="宋体" w:cs="宋体"/>
          <w:bCs/>
          <w:color w:val="auto"/>
          <w:sz w:val="24"/>
        </w:rPr>
        <w:t>5.2 招标人向投标人提供的有关现场的数据和资料，是招标人现有的能被投标人利用的资料，招标人对投标人做出的任何推论、理解和结论均不负责任。</w:t>
      </w:r>
    </w:p>
    <w:p w14:paraId="07B486D2">
      <w:pPr>
        <w:spacing w:line="360" w:lineRule="auto"/>
        <w:ind w:firstLine="480" w:firstLineChars="200"/>
        <w:rPr>
          <w:rFonts w:ascii="宋体" w:hAnsi="宋体" w:cs="宋体"/>
          <w:bCs/>
          <w:color w:val="auto"/>
          <w:sz w:val="24"/>
        </w:rPr>
      </w:pPr>
      <w:r>
        <w:rPr>
          <w:rFonts w:hint="eastAsia" w:ascii="宋体" w:hAnsi="宋体" w:cs="宋体"/>
          <w:bCs/>
          <w:color w:val="auto"/>
          <w:sz w:val="24"/>
        </w:rPr>
        <w:t>5.3 经招标人允许，投标人可为踏勘目的进入招标人的项目现场。</w:t>
      </w:r>
      <w:r>
        <w:rPr>
          <w:rFonts w:hint="eastAsia" w:ascii="宋体" w:hAnsi="宋体" w:cs="宋体"/>
          <w:color w:val="auto"/>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rPr>
        <w:t>投标人不得因此使招标人承担有关的责任和蒙受损失。</w:t>
      </w:r>
    </w:p>
    <w:p w14:paraId="056769EB">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6．投标费用</w:t>
      </w:r>
    </w:p>
    <w:p w14:paraId="206FF989">
      <w:pPr>
        <w:tabs>
          <w:tab w:val="left" w:pos="105"/>
        </w:tabs>
        <w:spacing w:line="360" w:lineRule="auto"/>
        <w:ind w:firstLine="480" w:firstLineChars="200"/>
        <w:rPr>
          <w:rFonts w:ascii="宋体" w:hAnsi="宋体" w:cs="宋体"/>
          <w:bCs/>
          <w:color w:val="auto"/>
          <w:sz w:val="24"/>
        </w:rPr>
      </w:pPr>
      <w:r>
        <w:rPr>
          <w:rFonts w:hint="eastAsia" w:ascii="宋体" w:hAnsi="宋体" w:cs="宋体"/>
          <w:bCs/>
          <w:color w:val="auto"/>
          <w:sz w:val="24"/>
        </w:rPr>
        <w:t>6.1</w:t>
      </w:r>
      <w:r>
        <w:rPr>
          <w:rFonts w:hint="eastAsia" w:ascii="宋体" w:hAnsi="宋体" w:cs="宋体"/>
          <w:color w:val="auto"/>
          <w:sz w:val="24"/>
        </w:rPr>
        <w:t>不论投标结果如何，投标人应承担</w:t>
      </w:r>
      <w:r>
        <w:rPr>
          <w:rFonts w:hint="eastAsia" w:ascii="宋体" w:hAnsi="宋体" w:cs="宋体"/>
          <w:bCs/>
          <w:color w:val="auto"/>
          <w:sz w:val="24"/>
        </w:rPr>
        <w:t>自身</w:t>
      </w:r>
      <w:r>
        <w:rPr>
          <w:rFonts w:hint="eastAsia" w:ascii="宋体" w:hAnsi="宋体" w:cs="宋体"/>
          <w:color w:val="auto"/>
          <w:sz w:val="24"/>
        </w:rPr>
        <w:t>因投标文件编制、递交及其他</w:t>
      </w:r>
      <w:r>
        <w:rPr>
          <w:rFonts w:hint="eastAsia" w:ascii="宋体" w:hAnsi="宋体" w:cs="宋体"/>
          <w:bCs/>
          <w:color w:val="auto"/>
          <w:sz w:val="24"/>
        </w:rPr>
        <w:t>参加本招标活动</w:t>
      </w:r>
      <w:r>
        <w:rPr>
          <w:rFonts w:hint="eastAsia" w:ascii="宋体" w:hAnsi="宋体" w:cs="宋体"/>
          <w:color w:val="auto"/>
          <w:sz w:val="24"/>
        </w:rPr>
        <w:t>所涉及的一切费用，招标人对上述费用不负任何责任。</w:t>
      </w:r>
    </w:p>
    <w:p w14:paraId="5123F3AD">
      <w:pPr>
        <w:pStyle w:val="7"/>
        <w:spacing w:before="156" w:after="156"/>
        <w:rPr>
          <w:rFonts w:hAnsi="宋体" w:cs="宋体"/>
          <w:color w:val="auto"/>
        </w:rPr>
      </w:pPr>
      <w:bookmarkStart w:id="7" w:name="_Toc2272550"/>
      <w:bookmarkStart w:id="8" w:name="_Toc21525494"/>
      <w:r>
        <w:rPr>
          <w:rFonts w:hint="eastAsia" w:hAnsi="宋体" w:cs="宋体"/>
          <w:color w:val="auto"/>
        </w:rPr>
        <w:t>（二）招标文件</w:t>
      </w:r>
      <w:bookmarkEnd w:id="7"/>
      <w:bookmarkEnd w:id="8"/>
    </w:p>
    <w:p w14:paraId="7DE81D3D">
      <w:pPr>
        <w:tabs>
          <w:tab w:val="left" w:pos="105"/>
        </w:tabs>
        <w:spacing w:line="360" w:lineRule="auto"/>
        <w:ind w:firstLine="482" w:firstLineChars="200"/>
        <w:rPr>
          <w:rFonts w:ascii="宋体" w:hAnsi="宋体" w:cs="宋体"/>
          <w:b/>
          <w:color w:val="auto"/>
          <w:sz w:val="24"/>
        </w:rPr>
      </w:pPr>
      <w:r>
        <w:rPr>
          <w:rFonts w:hint="eastAsia" w:ascii="宋体" w:hAnsi="宋体" w:cs="宋体"/>
          <w:b/>
          <w:color w:val="auto"/>
          <w:sz w:val="24"/>
        </w:rPr>
        <w:t>7.招标文件的组成</w:t>
      </w:r>
    </w:p>
    <w:p w14:paraId="46A67154">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7.1本招标文件包括下列文件，以及所有按本须知第8条发出的招标答疑会会议纪要和按本须知第9条发出的澄清或修改：</w:t>
      </w:r>
    </w:p>
    <w:p w14:paraId="58F8670E">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第一章  投标须知</w:t>
      </w:r>
    </w:p>
    <w:p w14:paraId="278C782B">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第二章  开标、评标及定标办法</w:t>
      </w:r>
    </w:p>
    <w:p w14:paraId="29B6EF53">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第三章  合同条款</w:t>
      </w:r>
    </w:p>
    <w:p w14:paraId="2F62E334">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第四章  投标文件格式</w:t>
      </w:r>
    </w:p>
    <w:p w14:paraId="6FB0F1E5">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第五章  技术条件（工程建设标准）（另册）</w:t>
      </w:r>
    </w:p>
    <w:p w14:paraId="751DE1C7">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第六章  图纸及勘察资料（另册）</w:t>
      </w:r>
    </w:p>
    <w:p w14:paraId="4D5D1AF1">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第七章  招标工程量清单（另册）</w:t>
      </w:r>
    </w:p>
    <w:p w14:paraId="0BC40567">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第八章  最高投标限价</w:t>
      </w:r>
    </w:p>
    <w:p w14:paraId="4BF72581">
      <w:pPr>
        <w:pStyle w:val="4"/>
        <w:spacing w:after="0" w:line="360" w:lineRule="auto"/>
        <w:ind w:left="-2" w:firstLine="480" w:firstLineChars="200"/>
        <w:rPr>
          <w:rFonts w:ascii="宋体" w:hAnsi="宋体" w:cs="宋体"/>
          <w:color w:val="auto"/>
          <w:sz w:val="24"/>
        </w:rPr>
      </w:pPr>
      <w:r>
        <w:rPr>
          <w:rFonts w:hint="eastAsia" w:ascii="宋体" w:hAnsi="宋体" w:cs="宋体"/>
          <w:color w:val="auto"/>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1F2B18C">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2FA1A1E">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7.3 投标人一旦中标，招标文件的内容对招标人和中标人双方均有约束力。</w:t>
      </w:r>
    </w:p>
    <w:p w14:paraId="1C6DA95F">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8．招标答疑</w:t>
      </w:r>
    </w:p>
    <w:p w14:paraId="24370A83">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8.1 投标人若对招标文件（包括招标图纸）中有疑问，可以书面形式</w:t>
      </w:r>
      <w:r>
        <w:rPr>
          <w:rFonts w:hint="eastAsia" w:ascii="宋体" w:hAnsi="宋体" w:cs="宋体"/>
          <w:color w:val="auto"/>
          <w:sz w:val="24"/>
          <w:szCs w:val="24"/>
        </w:rPr>
        <w:t>通过交易平台提交</w:t>
      </w:r>
      <w:r>
        <w:rPr>
          <w:rFonts w:hint="eastAsia" w:ascii="宋体" w:hAnsi="宋体" w:cs="宋体"/>
          <w:color w:val="auto"/>
          <w:sz w:val="24"/>
        </w:rPr>
        <w:t>给招标人或招标代理人，提交形式见本须知前附表第16项。</w:t>
      </w:r>
    </w:p>
    <w:p w14:paraId="605DABA8">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8.2招标答疑会会议纪要将在提交投标文件截止时间15日前在</w:t>
      </w:r>
      <w:r>
        <w:rPr>
          <w:rFonts w:hint="eastAsia" w:ascii="宋体" w:hAnsi="宋体" w:cs="宋体"/>
          <w:color w:val="auto"/>
          <w:sz w:val="24"/>
          <w:szCs w:val="24"/>
        </w:rPr>
        <w:t>交易平台</w:t>
      </w:r>
      <w:r>
        <w:rPr>
          <w:rFonts w:hint="eastAsia" w:ascii="宋体" w:hAnsi="宋体" w:cs="宋体"/>
          <w:color w:val="auto"/>
          <w:sz w:val="24"/>
        </w:rPr>
        <w:t xml:space="preserve"> “项目答疑纪要”专区公开发布。答疑纪要一经在</w:t>
      </w:r>
      <w:r>
        <w:rPr>
          <w:rFonts w:hint="eastAsia" w:ascii="宋体" w:hAnsi="宋体" w:cs="宋体"/>
          <w:color w:val="auto"/>
          <w:sz w:val="24"/>
          <w:szCs w:val="24"/>
        </w:rPr>
        <w:t>交易平台</w:t>
      </w:r>
      <w:r>
        <w:rPr>
          <w:rFonts w:hint="eastAsia" w:ascii="宋体" w:hAnsi="宋体" w:cs="宋体"/>
          <w:color w:val="auto"/>
          <w:sz w:val="24"/>
        </w:rPr>
        <w:t>发布，视作已发放给所有投标人。</w:t>
      </w:r>
    </w:p>
    <w:p w14:paraId="4CA564E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8.3答疑会会议纪要为招标文件的一部分。</w:t>
      </w:r>
    </w:p>
    <w:p w14:paraId="2F105581">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8.4若招标答疑会会议纪要与招标文件有矛盾，以答疑会议纪要最后发出的书面形式的文件为准。</w:t>
      </w:r>
    </w:p>
    <w:p w14:paraId="4ADF5E26">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9.招标文件的澄清与修改</w:t>
      </w:r>
    </w:p>
    <w:p w14:paraId="141698C0">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9.1招标文件发出后,在提交投标文件截止时间15日前，招标人可对招标文件进行必要的澄清或修改。</w:t>
      </w:r>
    </w:p>
    <w:p w14:paraId="54AF4AC6">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9.2招标文件的澄清或修改将在</w:t>
      </w:r>
      <w:r>
        <w:rPr>
          <w:rFonts w:hint="eastAsia" w:ascii="宋体" w:hAnsi="宋体" w:cs="宋体"/>
          <w:color w:val="auto"/>
          <w:sz w:val="24"/>
          <w:szCs w:val="24"/>
        </w:rPr>
        <w:t>交易平台</w:t>
      </w:r>
      <w:r>
        <w:rPr>
          <w:rFonts w:hint="eastAsia" w:ascii="宋体" w:hAnsi="宋体" w:cs="宋体"/>
          <w:color w:val="auto"/>
          <w:sz w:val="24"/>
        </w:rPr>
        <w:t>“项目答疑纪要”专区公开发布。答疑纪要一经在</w:t>
      </w:r>
      <w:r>
        <w:rPr>
          <w:rFonts w:hint="eastAsia" w:ascii="宋体" w:hAnsi="宋体" w:cs="宋体"/>
          <w:color w:val="auto"/>
          <w:sz w:val="24"/>
          <w:szCs w:val="24"/>
        </w:rPr>
        <w:t>交易平台</w:t>
      </w:r>
      <w:r>
        <w:rPr>
          <w:rFonts w:hint="eastAsia" w:ascii="宋体" w:hAnsi="宋体" w:cs="宋体"/>
          <w:color w:val="auto"/>
          <w:sz w:val="24"/>
        </w:rPr>
        <w:t>发布，视作已发放给所有投标人，以</w:t>
      </w:r>
      <w:r>
        <w:rPr>
          <w:rFonts w:hint="eastAsia" w:ascii="宋体" w:hAnsi="宋体" w:cs="宋体"/>
          <w:color w:val="auto"/>
          <w:sz w:val="24"/>
          <w:szCs w:val="24"/>
        </w:rPr>
        <w:t>交易平台</w:t>
      </w:r>
      <w:r>
        <w:rPr>
          <w:rFonts w:hint="eastAsia" w:ascii="宋体" w:hAnsi="宋体" w:cs="宋体"/>
          <w:color w:val="auto"/>
          <w:sz w:val="24"/>
        </w:rPr>
        <w:t>上网发布时间作为送达时间。</w:t>
      </w:r>
    </w:p>
    <w:p w14:paraId="7EA41010">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9.3招标文件的修改内容为招标文件的组成部分。</w:t>
      </w:r>
    </w:p>
    <w:p w14:paraId="3F1B88EC">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9.4招标文件的澄清或修改均以书面形式明确的内容为准。当招标文件的澄清、修改、补充等在同一内容的表述不一致时，以最后发出的书面形式的文件为准。</w:t>
      </w:r>
    </w:p>
    <w:p w14:paraId="4C625DA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6F5D7A">
      <w:pPr>
        <w:pStyle w:val="7"/>
        <w:spacing w:before="156" w:after="156"/>
        <w:rPr>
          <w:rFonts w:hAnsi="宋体" w:cs="宋体"/>
          <w:color w:val="auto"/>
        </w:rPr>
      </w:pPr>
      <w:bookmarkStart w:id="9" w:name="_Toc21525495"/>
      <w:bookmarkStart w:id="10" w:name="_Toc2272551"/>
      <w:r>
        <w:rPr>
          <w:rFonts w:hint="eastAsia" w:hAnsi="宋体" w:cs="宋体"/>
          <w:color w:val="auto"/>
        </w:rPr>
        <w:t>（三）投标文件的编制</w:t>
      </w:r>
      <w:bookmarkEnd w:id="9"/>
      <w:bookmarkEnd w:id="10"/>
    </w:p>
    <w:p w14:paraId="59494BD0">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10．投标文件的语言及度量衡单位</w:t>
      </w:r>
    </w:p>
    <w:p w14:paraId="7B99D5C8">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10.1 投标文件和与投标有关的所有文件均应使用中文。</w:t>
      </w:r>
    </w:p>
    <w:p w14:paraId="69E78ED9">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10.2 除工程规范另有规定外，投标文件使用的度量衡单位，均采用中华人民共和国法定计量单位。</w:t>
      </w:r>
    </w:p>
    <w:p w14:paraId="2B2804E3">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11．投标文件的组成</w:t>
      </w:r>
    </w:p>
    <w:p w14:paraId="1E64CEFC">
      <w:pPr>
        <w:pStyle w:val="4"/>
        <w:spacing w:after="0" w:line="360" w:lineRule="auto"/>
        <w:ind w:firstLine="480" w:firstLineChars="200"/>
        <w:rPr>
          <w:rFonts w:ascii="宋体" w:hAnsi="宋体" w:cs="宋体"/>
          <w:b/>
          <w:color w:val="auto"/>
          <w:sz w:val="24"/>
        </w:rPr>
      </w:pPr>
      <w:r>
        <w:rPr>
          <w:rFonts w:hint="eastAsia" w:ascii="宋体" w:hAnsi="宋体" w:cs="宋体"/>
          <w:color w:val="auto"/>
          <w:sz w:val="24"/>
        </w:rPr>
        <w:t>11.1 投标文件由技术部分（含资格审查文件）和经济部分二部分投标文件组成</w:t>
      </w:r>
      <w:r>
        <w:rPr>
          <w:rFonts w:hint="eastAsia" w:ascii="宋体" w:hAnsi="宋体" w:cs="宋体"/>
          <w:b/>
          <w:color w:val="auto"/>
          <w:sz w:val="24"/>
        </w:rPr>
        <w:t>。</w:t>
      </w:r>
    </w:p>
    <w:p w14:paraId="43C3DDDA">
      <w:pPr>
        <w:spacing w:line="360" w:lineRule="auto"/>
        <w:ind w:firstLine="480" w:firstLineChars="200"/>
        <w:rPr>
          <w:rFonts w:ascii="宋体" w:hAnsi="宋体" w:cs="宋体"/>
          <w:bCs/>
          <w:color w:val="auto"/>
          <w:sz w:val="24"/>
        </w:rPr>
      </w:pPr>
      <w:r>
        <w:rPr>
          <w:rFonts w:hint="eastAsia" w:ascii="宋体" w:hAnsi="宋体" w:cs="宋体"/>
          <w:bCs/>
          <w:color w:val="auto"/>
          <w:sz w:val="24"/>
        </w:rPr>
        <w:t>11.2投标文件技术标部分主要包括下列内容:</w:t>
      </w:r>
    </w:p>
    <w:p w14:paraId="0F2F49AA">
      <w:pPr>
        <w:spacing w:line="360" w:lineRule="auto"/>
        <w:ind w:firstLine="480" w:firstLineChars="200"/>
        <w:rPr>
          <w:rFonts w:ascii="宋体" w:hAnsi="宋体" w:cs="宋体"/>
          <w:bCs/>
          <w:color w:val="auto"/>
          <w:sz w:val="24"/>
        </w:rPr>
      </w:pPr>
      <w:r>
        <w:rPr>
          <w:rFonts w:hint="eastAsia" w:ascii="宋体" w:hAnsi="宋体" w:cs="宋体"/>
          <w:bCs/>
          <w:color w:val="auto"/>
          <w:sz w:val="24"/>
        </w:rPr>
        <w:t>11.2.1 技术投标文件</w:t>
      </w:r>
      <w:r>
        <w:rPr>
          <w:rFonts w:hint="eastAsia" w:ascii="宋体" w:hAnsi="宋体" w:cs="宋体"/>
          <w:color w:val="auto"/>
          <w:sz w:val="24"/>
        </w:rPr>
        <w:t>(按招标文件的要求填写)</w:t>
      </w:r>
      <w:r>
        <w:rPr>
          <w:rFonts w:hint="eastAsia" w:ascii="宋体" w:hAnsi="宋体" w:cs="宋体"/>
          <w:bCs/>
          <w:color w:val="auto"/>
          <w:sz w:val="24"/>
        </w:rPr>
        <w:t>；</w:t>
      </w:r>
    </w:p>
    <w:p w14:paraId="35D6B558">
      <w:pPr>
        <w:spacing w:line="360" w:lineRule="auto"/>
        <w:ind w:firstLine="480" w:firstLineChars="200"/>
        <w:rPr>
          <w:rFonts w:ascii="宋体" w:hAnsi="宋体" w:cs="宋体"/>
          <w:color w:val="auto"/>
          <w:sz w:val="24"/>
        </w:rPr>
      </w:pPr>
      <w:r>
        <w:rPr>
          <w:rFonts w:hint="eastAsia" w:ascii="宋体" w:hAnsi="宋体" w:cs="宋体"/>
          <w:color w:val="auto"/>
          <w:sz w:val="24"/>
        </w:rPr>
        <w:t>11.2.2 资格审查文件：</w:t>
      </w:r>
    </w:p>
    <w:p w14:paraId="024287E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（1）投标人声明； </w:t>
      </w:r>
    </w:p>
    <w:p w14:paraId="51D765B5">
      <w:pPr>
        <w:spacing w:line="360" w:lineRule="auto"/>
        <w:ind w:firstLine="480" w:firstLineChars="200"/>
        <w:rPr>
          <w:rFonts w:ascii="宋体" w:hAnsi="宋体" w:cs="宋体"/>
          <w:color w:val="auto"/>
          <w:sz w:val="24"/>
        </w:rPr>
      </w:pPr>
      <w:r>
        <w:rPr>
          <w:rFonts w:hint="eastAsia" w:ascii="宋体" w:hAnsi="宋体" w:cs="宋体"/>
          <w:color w:val="auto"/>
          <w:sz w:val="24"/>
        </w:rPr>
        <w:t>（2）法定代表人证明书、法定代表人签字或盖章的本投标文件授权委托证明书；</w:t>
      </w:r>
    </w:p>
    <w:p w14:paraId="68025B02">
      <w:pPr>
        <w:spacing w:line="360" w:lineRule="auto"/>
        <w:ind w:firstLine="480" w:firstLineChars="200"/>
        <w:rPr>
          <w:rFonts w:ascii="宋体" w:hAnsi="宋体" w:cs="宋体"/>
          <w:color w:val="auto"/>
          <w:sz w:val="24"/>
        </w:rPr>
      </w:pPr>
      <w:r>
        <w:rPr>
          <w:rFonts w:hint="eastAsia" w:ascii="宋体" w:hAnsi="宋体" w:cs="宋体"/>
          <w:color w:val="auto"/>
          <w:sz w:val="24"/>
        </w:rPr>
        <w:t>（3）企业营业执照扫描件或电子证照；</w:t>
      </w:r>
    </w:p>
    <w:p w14:paraId="0467315D">
      <w:pPr>
        <w:spacing w:line="360" w:lineRule="auto"/>
        <w:ind w:firstLine="480" w:firstLineChars="200"/>
        <w:rPr>
          <w:rFonts w:ascii="宋体" w:hAnsi="宋体" w:cs="宋体"/>
          <w:color w:val="auto"/>
          <w:sz w:val="24"/>
        </w:rPr>
      </w:pPr>
      <w:r>
        <w:rPr>
          <w:rFonts w:hint="eastAsia" w:ascii="宋体" w:hAnsi="宋体" w:cs="宋体"/>
          <w:color w:val="auto"/>
          <w:sz w:val="24"/>
        </w:rPr>
        <w:t>（4）企业资质证书扫描件或电子证照；</w:t>
      </w:r>
    </w:p>
    <w:p w14:paraId="6B66A8FD">
      <w:pPr>
        <w:spacing w:line="360" w:lineRule="auto"/>
        <w:ind w:firstLine="480" w:firstLineChars="200"/>
        <w:rPr>
          <w:rFonts w:ascii="宋体" w:hAnsi="宋体" w:cs="宋体"/>
          <w:color w:val="auto"/>
          <w:sz w:val="24"/>
        </w:rPr>
      </w:pPr>
      <w:r>
        <w:rPr>
          <w:rFonts w:hint="eastAsia" w:ascii="宋体" w:hAnsi="宋体" w:cs="宋体"/>
          <w:color w:val="auto"/>
          <w:sz w:val="24"/>
        </w:rPr>
        <w:t>（5）建筑施工企业安全生产许可证扫描件或电子证照；</w:t>
      </w:r>
    </w:p>
    <w:p w14:paraId="598890C7">
      <w:pPr>
        <w:spacing w:line="360" w:lineRule="auto"/>
        <w:ind w:firstLine="480" w:firstLineChars="200"/>
        <w:rPr>
          <w:rFonts w:ascii="宋体" w:hAnsi="宋体" w:cs="宋体"/>
          <w:color w:val="auto"/>
          <w:sz w:val="24"/>
        </w:rPr>
      </w:pPr>
      <w:r>
        <w:rPr>
          <w:rFonts w:hint="eastAsia" w:ascii="宋体" w:hAnsi="宋体" w:cs="宋体"/>
          <w:color w:val="auto"/>
          <w:sz w:val="24"/>
        </w:rPr>
        <w:t>（6）项目负责人（按网上投标登记时选择拟投入本项目的项目负责人）</w:t>
      </w:r>
    </w:p>
    <w:p w14:paraId="3BCAB2CC">
      <w:pPr>
        <w:spacing w:line="360" w:lineRule="auto"/>
        <w:ind w:firstLine="480" w:firstLineChars="200"/>
        <w:rPr>
          <w:rFonts w:ascii="宋体" w:hAnsi="宋体" w:cs="宋体"/>
          <w:color w:val="auto"/>
          <w:sz w:val="24"/>
        </w:rPr>
      </w:pPr>
      <w:r>
        <w:rPr>
          <w:rFonts w:hint="eastAsia" w:ascii="宋体" w:hAnsi="宋体" w:cs="宋体"/>
          <w:color w:val="auto"/>
          <w:sz w:val="24"/>
        </w:rPr>
        <w:t>（7）专职安全员（按网上投标登记时选择拟投入本项目的专职安全员）</w:t>
      </w:r>
    </w:p>
    <w:p w14:paraId="354E12D7">
      <w:pPr>
        <w:spacing w:line="360" w:lineRule="auto"/>
        <w:ind w:firstLine="480" w:firstLineChars="200"/>
        <w:rPr>
          <w:rFonts w:ascii="宋体" w:hAnsi="宋体" w:cs="宋体"/>
          <w:color w:val="auto"/>
          <w:sz w:val="24"/>
        </w:rPr>
      </w:pPr>
      <w:r>
        <w:rPr>
          <w:rFonts w:hint="eastAsia" w:ascii="宋体" w:hAnsi="宋体" w:cs="宋体"/>
          <w:color w:val="auto"/>
          <w:sz w:val="24"/>
        </w:rPr>
        <w:t>（8）拟委托技术负责人的相关证书、资料（具体要求由招标人明确）</w:t>
      </w:r>
    </w:p>
    <w:p w14:paraId="789794F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（9）拟委派项目负责人的有效期内的建造师注册证书扫描件或电子证书；  </w:t>
      </w:r>
    </w:p>
    <w:p w14:paraId="28B1975E">
      <w:pPr>
        <w:spacing w:line="360" w:lineRule="auto"/>
        <w:ind w:firstLine="480" w:firstLineChars="200"/>
        <w:rPr>
          <w:rFonts w:ascii="宋体" w:hAnsi="宋体" w:cs="宋体"/>
          <w:color w:val="auto"/>
          <w:sz w:val="24"/>
        </w:rPr>
      </w:pPr>
      <w:r>
        <w:rPr>
          <w:rFonts w:hint="eastAsia" w:ascii="宋体" w:hAnsi="宋体" w:cs="宋体"/>
          <w:color w:val="auto"/>
          <w:sz w:val="24"/>
        </w:rPr>
        <w:t>（10）项目负责人在有效期内的安全生产考核合格证书（B类）或建筑施工企业项目负责人安全生产考核合格证书扫描件或电子证书；</w:t>
      </w:r>
    </w:p>
    <w:p w14:paraId="646BF9E5">
      <w:pPr>
        <w:spacing w:line="360" w:lineRule="auto"/>
        <w:ind w:firstLine="480" w:firstLineChars="200"/>
        <w:rPr>
          <w:rFonts w:ascii="宋体" w:hAnsi="宋体" w:cs="宋体"/>
          <w:color w:val="auto"/>
          <w:sz w:val="24"/>
        </w:rPr>
      </w:pPr>
      <w:r>
        <w:rPr>
          <w:rFonts w:hint="eastAsia" w:ascii="宋体" w:hAnsi="宋体" w:cs="宋体"/>
          <w:color w:val="auto"/>
          <w:sz w:val="24"/>
        </w:rPr>
        <w:t>（11）专职安全员须具有在有效期内的安全生产考核合格证书（C类）或建筑施工企业专职安全生产管理人员安全生产考核合格证书扫描件或电子证书；</w:t>
      </w:r>
    </w:p>
    <w:p w14:paraId="256DEAF9">
      <w:pPr>
        <w:spacing w:line="360" w:lineRule="auto"/>
        <w:ind w:firstLine="480" w:firstLineChars="200"/>
        <w:rPr>
          <w:rFonts w:ascii="宋体" w:hAnsi="宋体" w:cs="宋体"/>
          <w:color w:val="auto"/>
          <w:sz w:val="24"/>
        </w:rPr>
      </w:pPr>
      <w:r>
        <w:rPr>
          <w:rFonts w:hint="eastAsia" w:ascii="宋体" w:hAnsi="宋体" w:cs="宋体"/>
          <w:color w:val="auto"/>
          <w:sz w:val="24"/>
        </w:rPr>
        <w:t>（12）用于资格审查的业绩（设置业绩要求时选择此项，投标人须提供类似工程业绩的项目名称及项目编号，具体格式由招标人自定）；</w:t>
      </w:r>
    </w:p>
    <w:p w14:paraId="3C913568">
      <w:pPr>
        <w:spacing w:line="360" w:lineRule="auto"/>
        <w:ind w:firstLine="480" w:firstLineChars="200"/>
        <w:rPr>
          <w:rFonts w:ascii="宋体" w:hAnsi="宋体" w:cs="宋体"/>
          <w:color w:val="auto"/>
          <w:sz w:val="24"/>
        </w:rPr>
      </w:pPr>
      <w:r>
        <w:rPr>
          <w:rFonts w:hint="eastAsia" w:ascii="宋体" w:hAnsi="宋体" w:cs="宋体"/>
          <w:color w:val="auto"/>
          <w:sz w:val="24"/>
        </w:rPr>
        <w:t>（13）</w:t>
      </w:r>
      <w:r>
        <w:rPr>
          <w:rFonts w:hint="eastAsia" w:ascii="宋体" w:hAnsi="宋体" w:cs="宋体"/>
          <w:color w:val="auto"/>
          <w:sz w:val="24"/>
          <w:szCs w:val="24"/>
        </w:rPr>
        <w:t>资格审查前，投标人须在广州市住房和城乡建设局建立企业信用档案，拟担任本工程项目负责人、专职安全员须是本企业信用档案中的在册人员</w:t>
      </w:r>
      <w:r>
        <w:rPr>
          <w:rFonts w:hint="eastAsia" w:ascii="宋体" w:hAnsi="宋体" w:cs="宋体"/>
          <w:color w:val="auto"/>
          <w:sz w:val="24"/>
        </w:rPr>
        <w:t xml:space="preserve">； </w:t>
      </w:r>
    </w:p>
    <w:p w14:paraId="5635F8BD">
      <w:pPr>
        <w:spacing w:line="360" w:lineRule="auto"/>
        <w:ind w:firstLine="480" w:firstLineChars="200"/>
        <w:rPr>
          <w:rFonts w:ascii="宋体" w:hAnsi="宋体" w:cs="宋体"/>
          <w:color w:val="auto"/>
          <w:sz w:val="24"/>
        </w:rPr>
      </w:pPr>
      <w:r>
        <w:rPr>
          <w:rFonts w:hint="eastAsia" w:ascii="宋体" w:hAnsi="宋体" w:cs="宋体"/>
          <w:color w:val="auto"/>
          <w:sz w:val="24"/>
        </w:rPr>
        <w:t>（14）列明主办单位的联合体工作协议（采用联合体投标时需递交，投标人拟任本工程项目负责人应为联合体主办方信用档案中的在册人员，联合体工作协议应明确约定各方拟承担的工作和责任）；</w:t>
      </w:r>
    </w:p>
    <w:p w14:paraId="3B83DA88">
      <w:pPr>
        <w:spacing w:line="360" w:lineRule="auto"/>
        <w:ind w:firstLine="480" w:firstLineChars="200"/>
        <w:rPr>
          <w:rFonts w:ascii="宋体" w:hAnsi="宋体" w:cs="宋体"/>
          <w:color w:val="auto"/>
          <w:sz w:val="24"/>
        </w:rPr>
      </w:pPr>
      <w:r>
        <w:rPr>
          <w:rFonts w:hint="eastAsia" w:ascii="宋体" w:hAnsi="宋体" w:cs="宋体"/>
          <w:color w:val="auto"/>
          <w:sz w:val="24"/>
        </w:rPr>
        <w:t>注：1.相关电子证书按规定需打印后手写本人签名的，应按照规定手写本人签名后再扫描提交。</w:t>
      </w:r>
    </w:p>
    <w:p w14:paraId="16827226">
      <w:pPr>
        <w:spacing w:line="360" w:lineRule="auto"/>
        <w:ind w:firstLine="480" w:firstLineChars="200"/>
        <w:rPr>
          <w:rFonts w:ascii="宋体" w:hAnsi="宋体" w:cs="宋体"/>
          <w:color w:val="auto"/>
          <w:sz w:val="24"/>
        </w:rPr>
      </w:pPr>
      <w:r>
        <w:rPr>
          <w:rFonts w:hint="eastAsia" w:ascii="宋体" w:hAnsi="宋体" w:cs="宋体"/>
          <w:color w:val="auto"/>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2EC1577">
      <w:pPr>
        <w:spacing w:line="360" w:lineRule="auto"/>
        <w:ind w:firstLine="480" w:firstLineChars="200"/>
        <w:rPr>
          <w:rFonts w:ascii="宋体" w:hAnsi="宋体" w:cs="宋体"/>
          <w:color w:val="auto"/>
          <w:sz w:val="24"/>
        </w:rPr>
      </w:pPr>
      <w:r>
        <w:rPr>
          <w:rFonts w:hint="eastAsia" w:ascii="宋体" w:hAnsi="宋体" w:cs="宋体"/>
          <w:color w:val="auto"/>
          <w:sz w:val="24"/>
        </w:rPr>
        <w:t>11.2.3项目管理机构配备。</w:t>
      </w:r>
    </w:p>
    <w:p w14:paraId="4C8E5B82">
      <w:pPr>
        <w:spacing w:line="360" w:lineRule="auto"/>
        <w:ind w:firstLine="480" w:firstLineChars="200"/>
        <w:rPr>
          <w:rFonts w:ascii="宋体" w:hAnsi="宋体" w:cs="宋体"/>
          <w:color w:val="auto"/>
          <w:sz w:val="24"/>
        </w:rPr>
      </w:pPr>
      <w:r>
        <w:rPr>
          <w:rFonts w:hint="eastAsia" w:ascii="宋体" w:hAnsi="宋体" w:cs="宋体"/>
          <w:color w:val="auto"/>
          <w:sz w:val="24"/>
        </w:rPr>
        <w:t>（1）投标人应列出该项目工程的施工组织机构构成和画出机构框架图及其负责人；</w:t>
      </w:r>
    </w:p>
    <w:p w14:paraId="2EA2CC07">
      <w:pPr>
        <w:spacing w:line="360" w:lineRule="auto"/>
        <w:ind w:firstLine="480" w:firstLineChars="200"/>
        <w:rPr>
          <w:rFonts w:ascii="宋体" w:hAnsi="宋体" w:cs="宋体"/>
          <w:color w:val="auto"/>
          <w:sz w:val="24"/>
        </w:rPr>
      </w:pPr>
      <w:r>
        <w:rPr>
          <w:rFonts w:hint="eastAsia" w:ascii="宋体" w:hAnsi="宋体" w:cs="宋体"/>
          <w:color w:val="auto"/>
          <w:sz w:val="24"/>
        </w:rPr>
        <w:t>（2）投标人应详细列出该施工组织机构中主要成员的名单、简历资料、职务职称和在本项目中拟担任的职务等资料，并附上有关证明材料扫描件；</w:t>
      </w:r>
    </w:p>
    <w:p w14:paraId="33E9D89E">
      <w:pPr>
        <w:spacing w:line="360" w:lineRule="auto"/>
        <w:ind w:firstLine="480" w:firstLineChars="200"/>
        <w:rPr>
          <w:rFonts w:ascii="宋体" w:hAnsi="宋体" w:cs="宋体"/>
          <w:color w:val="auto"/>
          <w:sz w:val="24"/>
        </w:rPr>
      </w:pPr>
      <w:r>
        <w:rPr>
          <w:rFonts w:hint="eastAsia" w:ascii="宋体" w:hAnsi="宋体" w:cs="宋体"/>
          <w:color w:val="auto"/>
          <w:sz w:val="24"/>
        </w:rPr>
        <w:t>（3）其他辅助说明资料。</w:t>
      </w:r>
    </w:p>
    <w:p w14:paraId="7FA0EA69">
      <w:pPr>
        <w:spacing w:line="360" w:lineRule="auto"/>
        <w:ind w:firstLine="480" w:firstLineChars="200"/>
        <w:rPr>
          <w:rFonts w:ascii="宋体" w:hAnsi="宋体" w:cs="宋体"/>
          <w:color w:val="auto"/>
          <w:sz w:val="24"/>
        </w:rPr>
      </w:pPr>
      <w:r>
        <w:rPr>
          <w:rFonts w:hint="eastAsia" w:ascii="宋体" w:hAnsi="宋体" w:cs="宋体"/>
          <w:color w:val="auto"/>
          <w:sz w:val="24"/>
        </w:rPr>
        <w:t>11.2.4投标人在广州市可使用适合本工程的机械设备（附：机械设备为自有或租赁的说明；及承诺机械设备如属于租赁的，其租赁是不属于重复租赁）。</w:t>
      </w:r>
    </w:p>
    <w:p w14:paraId="7D25A6F6">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11.2.5施工组织设计或施工方案。</w:t>
      </w:r>
    </w:p>
    <w:p w14:paraId="60BE1D10">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（1）投标人在编制施工组织设计或施工方案时应按照招标人提出的施工现场建筑垃圾源头减量的具体要求以及建筑垃圾综合利用产品的使用要求提供相应措施。</w:t>
      </w:r>
    </w:p>
    <w:p w14:paraId="4F430C0F">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5C40974">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11.2.6按照</w:t>
      </w:r>
      <w:r>
        <w:rPr>
          <w:rFonts w:hint="eastAsia" w:ascii="宋体" w:hAnsi="宋体" w:cs="宋体"/>
          <w:bCs/>
          <w:color w:val="auto"/>
          <w:sz w:val="24"/>
        </w:rPr>
        <w:t>招标文件要求</w:t>
      </w:r>
      <w:r>
        <w:rPr>
          <w:rFonts w:hint="eastAsia" w:ascii="宋体" w:hAnsi="宋体" w:cs="宋体"/>
          <w:color w:val="auto"/>
          <w:sz w:val="24"/>
        </w:rPr>
        <w:t>填写的《参与编制技术标投标文件人员名单》。</w:t>
      </w:r>
    </w:p>
    <w:p w14:paraId="4911854D">
      <w:pPr>
        <w:spacing w:line="360" w:lineRule="auto"/>
        <w:ind w:firstLine="480" w:firstLineChars="200"/>
        <w:rPr>
          <w:rFonts w:ascii="宋体" w:hAnsi="宋体" w:cs="宋体"/>
          <w:bCs/>
          <w:color w:val="auto"/>
          <w:sz w:val="24"/>
        </w:rPr>
      </w:pPr>
      <w:r>
        <w:rPr>
          <w:rFonts w:hint="eastAsia" w:ascii="宋体" w:hAnsi="宋体" w:cs="宋体"/>
          <w:bCs/>
          <w:color w:val="auto"/>
          <w:sz w:val="24"/>
        </w:rPr>
        <w:t>11.3 经济部分投标文件主要包括下列内容：</w:t>
      </w:r>
    </w:p>
    <w:p w14:paraId="4CA29A26">
      <w:pPr>
        <w:spacing w:line="360" w:lineRule="auto"/>
        <w:ind w:firstLine="480" w:firstLineChars="200"/>
        <w:rPr>
          <w:rFonts w:ascii="宋体" w:hAnsi="宋体" w:cs="宋体"/>
          <w:color w:val="auto"/>
          <w:sz w:val="24"/>
        </w:rPr>
      </w:pPr>
      <w:r>
        <w:rPr>
          <w:rFonts w:hint="eastAsia" w:ascii="宋体" w:hAnsi="宋体" w:cs="宋体"/>
          <w:color w:val="auto"/>
          <w:sz w:val="24"/>
        </w:rPr>
        <w:t>11.3.1 经济投标文件(按招标文件的要求填写)。</w:t>
      </w:r>
    </w:p>
    <w:p w14:paraId="3066B76C">
      <w:pPr>
        <w:spacing w:line="360" w:lineRule="auto"/>
        <w:ind w:firstLine="480" w:firstLineChars="200"/>
        <w:rPr>
          <w:rFonts w:ascii="宋体" w:hAnsi="宋体" w:cs="宋体"/>
          <w:color w:val="auto"/>
          <w:sz w:val="24"/>
        </w:rPr>
      </w:pPr>
      <w:r>
        <w:rPr>
          <w:rFonts w:hint="eastAsia" w:ascii="宋体" w:hAnsi="宋体" w:cs="宋体"/>
          <w:color w:val="auto"/>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rPr>
        <w:t>其中包括如下：</w:t>
      </w:r>
    </w:p>
    <w:p w14:paraId="2E377A7A">
      <w:pPr>
        <w:spacing w:line="360" w:lineRule="auto"/>
        <w:ind w:firstLine="559" w:firstLineChars="233"/>
        <w:rPr>
          <w:rFonts w:ascii="宋体" w:hAnsi="宋体" w:cs="宋体"/>
          <w:color w:val="auto"/>
          <w:sz w:val="24"/>
        </w:rPr>
      </w:pPr>
      <w:r>
        <w:rPr>
          <w:rFonts w:hint="eastAsia" w:ascii="宋体" w:hAnsi="宋体" w:cs="宋体"/>
          <w:color w:val="auto"/>
          <w:sz w:val="24"/>
        </w:rPr>
        <w:t>（1）投标总价封面、扉页；</w:t>
      </w:r>
    </w:p>
    <w:p w14:paraId="3E57EF6A">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（2）总说明</w:t>
      </w:r>
    </w:p>
    <w:p w14:paraId="74C13642">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（3）工程项目投标报价汇总表；</w:t>
      </w:r>
    </w:p>
    <w:p w14:paraId="5D3E7F87">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（4）单项工程投标报价汇总表；</w:t>
      </w:r>
    </w:p>
    <w:p w14:paraId="027A7417">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（5）单位工程投标报价汇总表；</w:t>
      </w:r>
    </w:p>
    <w:p w14:paraId="66ABAB0F">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（6）分部分项工程清单与计价表；</w:t>
      </w:r>
    </w:p>
    <w:p w14:paraId="6EE46988">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（7）单价措施项目清单与计价表；</w:t>
      </w:r>
    </w:p>
    <w:p w14:paraId="435D9908">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（8）总价措施项目清单与计价表；</w:t>
      </w:r>
    </w:p>
    <w:p w14:paraId="3E48B3DD">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（9）综合单价分析表；</w:t>
      </w:r>
    </w:p>
    <w:p w14:paraId="407D5310">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（10）其他项目清单与计价汇总表；</w:t>
      </w:r>
    </w:p>
    <w:p w14:paraId="68948E13">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（11）暂列金额明细表；</w:t>
      </w:r>
    </w:p>
    <w:p w14:paraId="1352CB90">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（12）材料（工程设备）暂估价明细表；</w:t>
      </w:r>
    </w:p>
    <w:p w14:paraId="6D78ED8E">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（13）专业工程暂估价明细表；</w:t>
      </w:r>
    </w:p>
    <w:p w14:paraId="56090915">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（14）计日工表；</w:t>
      </w:r>
    </w:p>
    <w:p w14:paraId="0BA3AFF3">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（15）总承包服务计价表；</w:t>
      </w:r>
    </w:p>
    <w:p w14:paraId="06B32663">
      <w:pPr>
        <w:spacing w:line="360" w:lineRule="auto"/>
        <w:ind w:firstLine="559" w:firstLineChars="233"/>
        <w:rPr>
          <w:rFonts w:ascii="宋体" w:hAnsi="宋体" w:cs="宋体"/>
          <w:color w:val="auto"/>
          <w:sz w:val="24"/>
          <w:szCs w:val="24"/>
        </w:rPr>
      </w:pPr>
      <w:r>
        <w:rPr>
          <w:rFonts w:hint="eastAsia" w:ascii="宋体" w:hAnsi="宋体" w:cs="宋体"/>
          <w:color w:val="auto"/>
          <w:sz w:val="24"/>
          <w:szCs w:val="24"/>
        </w:rPr>
        <w:t>（16）规费和税金项目计价表；</w:t>
      </w:r>
    </w:p>
    <w:p w14:paraId="6471F186">
      <w:pPr>
        <w:spacing w:line="360" w:lineRule="auto"/>
        <w:ind w:firstLine="480" w:firstLineChars="200"/>
        <w:rPr>
          <w:rFonts w:ascii="宋体" w:hAnsi="宋体" w:cs="宋体"/>
          <w:color w:val="auto"/>
          <w:sz w:val="24"/>
        </w:rPr>
      </w:pPr>
      <w:r>
        <w:rPr>
          <w:rFonts w:hint="eastAsia" w:ascii="宋体" w:hAnsi="宋体" w:cs="宋体"/>
          <w:color w:val="auto"/>
          <w:sz w:val="24"/>
          <w:szCs w:val="24"/>
        </w:rPr>
        <w:t xml:space="preserve"> （17）人工、主要材料和设备一览表</w:t>
      </w:r>
    </w:p>
    <w:p w14:paraId="5C9D3206">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11.3.3按照</w:t>
      </w:r>
      <w:r>
        <w:rPr>
          <w:rFonts w:hint="eastAsia" w:ascii="宋体" w:hAnsi="宋体" w:cs="宋体"/>
          <w:bCs/>
          <w:color w:val="auto"/>
          <w:sz w:val="24"/>
        </w:rPr>
        <w:t>招标文件要求</w:t>
      </w:r>
      <w:r>
        <w:rPr>
          <w:rFonts w:hint="eastAsia" w:ascii="宋体" w:hAnsi="宋体" w:cs="宋体"/>
          <w:color w:val="auto"/>
          <w:sz w:val="24"/>
        </w:rPr>
        <w:t>填写的《参与编制经济标投标文件人员名单》。</w:t>
      </w:r>
    </w:p>
    <w:p w14:paraId="05E95BAC">
      <w:pPr>
        <w:tabs>
          <w:tab w:val="left" w:pos="1125"/>
        </w:tabs>
        <w:spacing w:line="360" w:lineRule="auto"/>
        <w:ind w:firstLine="480" w:firstLineChars="200"/>
        <w:rPr>
          <w:rFonts w:ascii="宋体" w:hAnsi="宋体" w:cs="宋体"/>
          <w:color w:val="auto"/>
          <w:sz w:val="24"/>
        </w:rPr>
      </w:pPr>
      <w:r>
        <w:rPr>
          <w:rFonts w:hint="eastAsia" w:ascii="宋体" w:hAnsi="宋体" w:cs="宋体"/>
          <w:color w:val="auto"/>
          <w:sz w:val="24"/>
        </w:rPr>
        <w:t>11.3.4若投标人的投标报价低于工程成本警戒价的，投标人还须提供详细的施工组织设计、单价、措施性费用、单价分析表、主要材料价格表、投标人成本分析供评标委员会评审。</w:t>
      </w:r>
    </w:p>
    <w:p w14:paraId="7A59C416">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12．投标文件格式</w:t>
      </w:r>
    </w:p>
    <w:p w14:paraId="76801B81">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12.1 投标文件包括本须知第11条中规定的内容，投标人提交的投标文件应当使用招标文件所提供的投标文件全部格式（表格可以按同样格式扩展）。</w:t>
      </w:r>
    </w:p>
    <w:p w14:paraId="17FA1D2A">
      <w:pPr>
        <w:pStyle w:val="4"/>
        <w:tabs>
          <w:tab w:val="left" w:pos="7380"/>
        </w:tabs>
        <w:spacing w:after="0" w:line="360" w:lineRule="auto"/>
        <w:ind w:firstLine="480"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14:paraId="63E22E47">
      <w:pPr>
        <w:pStyle w:val="4"/>
        <w:spacing w:after="0" w:line="360" w:lineRule="auto"/>
        <w:ind w:firstLine="482" w:firstLineChars="200"/>
        <w:rPr>
          <w:rFonts w:ascii="宋体" w:hAnsi="宋体" w:cs="宋体"/>
          <w:color w:val="auto"/>
          <w:sz w:val="24"/>
        </w:rPr>
      </w:pPr>
      <w:r>
        <w:rPr>
          <w:rFonts w:hint="eastAsia" w:asciiTheme="majorEastAsia" w:hAnsiTheme="majorEastAsia" w:eastAsiaTheme="majorEastAsia" w:cstheme="majorEastAsia"/>
          <w:b/>
          <w:color w:val="auto"/>
          <w:sz w:val="24"/>
          <w:szCs w:val="24"/>
        </w:rPr>
        <w:t>注释：投标文件电子文档需要投标人单位盖章的材料，投标人加盖电子印章即可，不得将投标人未对电子文档加盖实物印章作为否决投标的情形。</w:t>
      </w:r>
    </w:p>
    <w:p w14:paraId="7D8DB3E7">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 xml:space="preserve">12.3 </w:t>
      </w:r>
      <w:r>
        <w:rPr>
          <w:rFonts w:hint="eastAsia" w:ascii="宋体" w:hAnsi="宋体" w:cs="宋体"/>
          <w:bCs/>
          <w:color w:val="auto"/>
          <w:sz w:val="24"/>
          <w:szCs w:val="24"/>
        </w:rPr>
        <w:t>投标文件应按</w:t>
      </w:r>
      <w:r>
        <w:rPr>
          <w:rFonts w:hint="eastAsia" w:ascii="宋体" w:hAnsi="宋体" w:cs="宋体"/>
          <w:color w:val="auto"/>
          <w:sz w:val="24"/>
        </w:rPr>
        <w:t xml:space="preserve">照交易平台关于全流程电子化项目的相关指南进行编制，详见：。               </w:t>
      </w:r>
    </w:p>
    <w:p w14:paraId="34D47C19">
      <w:pPr>
        <w:pStyle w:val="4"/>
        <w:spacing w:after="0" w:line="360" w:lineRule="auto"/>
        <w:ind w:firstLine="0"/>
        <w:rPr>
          <w:rFonts w:ascii="宋体" w:hAnsi="宋体" w:cs="宋体"/>
          <w:color w:val="auto"/>
          <w:sz w:val="24"/>
        </w:rPr>
      </w:pPr>
      <w:r>
        <w:rPr>
          <w:rFonts w:hint="eastAsia" w:ascii="宋体" w:hAnsi="宋体" w:cs="宋体"/>
          <w:bCs/>
          <w:color w:val="auto"/>
          <w:sz w:val="24"/>
          <w:szCs w:val="24"/>
        </w:rPr>
        <w:t>如不按上述要求编制引起系统无法检索、读取相关信息的，其后果由投标人承担。</w:t>
      </w:r>
    </w:p>
    <w:p w14:paraId="4DA63C24">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13．投标报价及造价承包和变更结算方式</w:t>
      </w:r>
    </w:p>
    <w:p w14:paraId="65AA1F8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13.1 本工程的投标报价采用投标须知前附表第12项所规定的方式。投标报价（含单价及总价）精确到“分”。</w:t>
      </w:r>
    </w:p>
    <w:p w14:paraId="259F9A57">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8693FE4">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color w:val="auto"/>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649360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79896B1">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911842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13.5.1中标的投标文件工程量清单中已有相同项目的适用综合单价，则沿用；</w:t>
      </w:r>
    </w:p>
    <w:p w14:paraId="7EF7D7C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0F31A93">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13.5.3 中标的投标文件工程量清单中没有相同项目或类似项目的，如可套取相关定额，则以相关定额为基数下浮计算单价,下浮率为中标价</w:t>
      </w:r>
      <w:r>
        <w:rPr>
          <w:rFonts w:hint="eastAsia" w:ascii="宋体" w:hAnsi="宋体" w:cs="宋体"/>
          <w:color w:val="auto"/>
          <w:sz w:val="24"/>
          <w:szCs w:val="24"/>
        </w:rPr>
        <w:t>相对于最高投标限价的下</w:t>
      </w:r>
      <w:r>
        <w:rPr>
          <w:rFonts w:hint="eastAsia" w:ascii="宋体" w:hAnsi="宋体" w:cs="宋体"/>
          <w:color w:val="auto"/>
          <w:sz w:val="24"/>
        </w:rPr>
        <w:t>浮率（下浮率=(</w:t>
      </w:r>
      <w:r>
        <w:rPr>
          <w:rFonts w:hint="eastAsia" w:ascii="宋体" w:hAnsi="宋体" w:cs="宋体"/>
          <w:color w:val="auto"/>
          <w:sz w:val="24"/>
          <w:szCs w:val="24"/>
        </w:rPr>
        <w:t>最高投标限价</w:t>
      </w:r>
      <w:r>
        <w:rPr>
          <w:rFonts w:hint="eastAsia" w:ascii="宋体" w:hAnsi="宋体" w:cs="宋体"/>
          <w:color w:val="auto"/>
          <w:sz w:val="24"/>
        </w:rPr>
        <w:t>-中标价)/</w:t>
      </w:r>
      <w:r>
        <w:rPr>
          <w:rFonts w:hint="eastAsia" w:ascii="宋体" w:hAnsi="宋体" w:cs="宋体"/>
          <w:color w:val="auto"/>
          <w:sz w:val="24"/>
          <w:szCs w:val="24"/>
        </w:rPr>
        <w:t>最高投标限价</w:t>
      </w:r>
      <w:r>
        <w:rPr>
          <w:rFonts w:hint="eastAsia" w:ascii="宋体" w:hAnsi="宋体" w:cs="宋体"/>
          <w:color w:val="auto"/>
          <w:sz w:val="24"/>
        </w:rPr>
        <w:t>）。</w:t>
      </w:r>
    </w:p>
    <w:p w14:paraId="7CD209F9">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13.5.4 如相关定额没有相应子目的，其计价方式由招标人在本招标文件第三章中另行规定。未规定的，中标后双方协商约定。</w:t>
      </w:r>
    </w:p>
    <w:p w14:paraId="2AE07497">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13.6暂列金额、暂估价</w:t>
      </w:r>
    </w:p>
    <w:p w14:paraId="529FC452">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FCCE9CC">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暂估价是指招标人在工程量清单中提供的用于支付必然发生但暂时不能确定价格的材料的单价以及专业工程的金额。</w:t>
      </w:r>
    </w:p>
    <w:p w14:paraId="55F2709B">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493FE83">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C2B3BFF">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D5B5BC3">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FB957C8">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4860A69">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13.7投标人可先到工地踏勘以充分了解工地位置、情况、道路、储存空间、装卸限制及任何其他足以影响承包价的情况，任何因忽视或误解工地情况而导致的索赔或工期延长申请将不被批准。</w:t>
      </w:r>
    </w:p>
    <w:p w14:paraId="7849E9EC">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435F8508">
      <w:pPr>
        <w:pStyle w:val="4"/>
        <w:spacing w:after="0" w:line="360" w:lineRule="auto"/>
        <w:ind w:firstLine="480" w:firstLineChars="200"/>
        <w:rPr>
          <w:rFonts w:ascii="宋体" w:hAnsi="宋体" w:cs="宋体"/>
          <w:color w:val="auto"/>
          <w:sz w:val="24"/>
          <w:szCs w:val="24"/>
        </w:rPr>
      </w:pPr>
      <w:r>
        <w:rPr>
          <w:rFonts w:hint="eastAsia" w:ascii="宋体" w:hAnsi="宋体" w:cs="宋体"/>
          <w:color w:val="auto"/>
          <w:sz w:val="24"/>
        </w:rPr>
        <w:t>13.9</w:t>
      </w:r>
      <w:r>
        <w:rPr>
          <w:rFonts w:hint="eastAsia" w:ascii="宋体" w:hAnsi="宋体" w:cs="宋体"/>
          <w:color w:val="auto"/>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3B8B144">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14．投标货币</w:t>
      </w:r>
    </w:p>
    <w:p w14:paraId="5E98592C">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14.1 本工程投标报价采用的币种为人民币。</w:t>
      </w:r>
    </w:p>
    <w:p w14:paraId="36C9DE1C">
      <w:pPr>
        <w:pStyle w:val="4"/>
        <w:spacing w:after="0" w:line="360" w:lineRule="auto"/>
        <w:ind w:firstLine="482" w:firstLineChars="200"/>
        <w:rPr>
          <w:rFonts w:ascii="宋体" w:hAnsi="宋体" w:cs="宋体"/>
          <w:color w:val="auto"/>
          <w:sz w:val="24"/>
        </w:rPr>
      </w:pPr>
      <w:r>
        <w:rPr>
          <w:rFonts w:hint="eastAsia" w:ascii="宋体" w:hAnsi="宋体" w:cs="宋体"/>
          <w:b/>
          <w:bCs/>
          <w:color w:val="auto"/>
          <w:sz w:val="24"/>
        </w:rPr>
        <w:t>15．投标有效期</w:t>
      </w:r>
    </w:p>
    <w:p w14:paraId="3877166D">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15.1 投标有效期见投标须知前附表第13项所规定的期限，在此期限内，凡符合本招标文件要求的投标文件均保持有效。</w:t>
      </w:r>
    </w:p>
    <w:p w14:paraId="611A94B0">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0027066">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16．投标保证金</w:t>
      </w:r>
    </w:p>
    <w:p w14:paraId="52520025">
      <w:pPr>
        <w:spacing w:line="360" w:lineRule="auto"/>
        <w:ind w:firstLine="480" w:firstLineChars="200"/>
        <w:rPr>
          <w:rFonts w:ascii="宋体" w:hAnsi="宋体" w:cs="宋体"/>
          <w:color w:val="auto"/>
          <w:sz w:val="24"/>
        </w:rPr>
      </w:pPr>
      <w:r>
        <w:rPr>
          <w:rFonts w:hint="eastAsia" w:ascii="宋体" w:hAnsi="宋体" w:cs="宋体"/>
          <w:color w:val="auto"/>
          <w:sz w:val="24"/>
        </w:rPr>
        <w:t>16.1投标人应按投标须知前附表第14项所述金额和时间递交</w:t>
      </w:r>
      <w:r>
        <w:rPr>
          <w:rFonts w:hint="eastAsia" w:ascii="宋体" w:hAnsi="宋体" w:cs="宋体"/>
          <w:bCs/>
          <w:color w:val="auto"/>
          <w:sz w:val="24"/>
        </w:rPr>
        <w:t>投标保证金</w:t>
      </w:r>
      <w:r>
        <w:rPr>
          <w:rFonts w:hint="eastAsia" w:ascii="宋体" w:hAnsi="宋体" w:cs="宋体"/>
          <w:color w:val="auto"/>
          <w:sz w:val="24"/>
        </w:rPr>
        <w:t>。招标人应当允许投标人自主选择现金、银行保函、保证保险、专业工程担保公司担保等方式缴纳投标保证金。</w:t>
      </w:r>
    </w:p>
    <w:p w14:paraId="7DB08B0F">
      <w:pPr>
        <w:spacing w:line="360" w:lineRule="auto"/>
        <w:ind w:firstLine="480" w:firstLineChars="200"/>
        <w:rPr>
          <w:rFonts w:ascii="宋体" w:hAnsi="宋体" w:cs="宋体"/>
          <w:color w:val="auto"/>
          <w:sz w:val="24"/>
        </w:rPr>
      </w:pPr>
      <w:r>
        <w:rPr>
          <w:rFonts w:hint="eastAsia" w:ascii="宋体" w:hAnsi="宋体" w:cs="宋体"/>
          <w:color w:val="auto"/>
          <w:sz w:val="24"/>
        </w:rPr>
        <w:t>16.1.1 采用现金或者支票形式提交的，投标保证金须从投标人的银行基本账户转出。</w:t>
      </w:r>
    </w:p>
    <w:p w14:paraId="65C89DB8">
      <w:pPr>
        <w:spacing w:line="360" w:lineRule="auto"/>
        <w:ind w:firstLine="480" w:firstLineChars="200"/>
        <w:rPr>
          <w:rFonts w:ascii="宋体" w:hAnsi="宋体" w:cs="宋体"/>
          <w:color w:val="auto"/>
          <w:sz w:val="24"/>
        </w:rPr>
      </w:pPr>
      <w:r>
        <w:rPr>
          <w:rFonts w:hint="eastAsia" w:ascii="宋体" w:hAnsi="宋体" w:cs="宋体"/>
          <w:color w:val="auto"/>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FF30F3A">
      <w:pPr>
        <w:spacing w:line="360" w:lineRule="auto"/>
        <w:ind w:firstLine="480" w:firstLineChars="200"/>
        <w:rPr>
          <w:rFonts w:ascii="宋体" w:hAnsi="宋体" w:cs="宋体"/>
          <w:color w:val="auto"/>
          <w:sz w:val="24"/>
        </w:rPr>
      </w:pPr>
      <w:r>
        <w:rPr>
          <w:rFonts w:hint="eastAsia" w:ascii="宋体" w:hAnsi="宋体" w:cs="宋体"/>
          <w:color w:val="auto"/>
          <w:sz w:val="24"/>
        </w:rPr>
        <w:t>16.1.3 采用电子形式的保函、担保或保证保险提交投标保证金的，应在招标文件中明确电子递交途径。</w:t>
      </w:r>
    </w:p>
    <w:p w14:paraId="2CF4B8C9">
      <w:pPr>
        <w:spacing w:line="360" w:lineRule="auto"/>
        <w:ind w:firstLine="480" w:firstLineChars="200"/>
        <w:rPr>
          <w:rFonts w:ascii="宋体" w:hAnsi="宋体" w:cs="宋体"/>
          <w:color w:val="auto"/>
          <w:sz w:val="24"/>
        </w:rPr>
      </w:pPr>
      <w:r>
        <w:rPr>
          <w:rFonts w:hint="eastAsia" w:ascii="宋体" w:hAnsi="宋体" w:cs="宋体"/>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4DCCEC70">
      <w:pPr>
        <w:spacing w:line="360" w:lineRule="auto"/>
        <w:ind w:firstLine="480" w:firstLineChars="200"/>
        <w:rPr>
          <w:rFonts w:ascii="宋体" w:hAnsi="宋体" w:cs="宋体"/>
          <w:color w:val="auto"/>
          <w:sz w:val="24"/>
        </w:rPr>
      </w:pPr>
      <w:r>
        <w:rPr>
          <w:rFonts w:hint="eastAsia" w:ascii="宋体" w:hAnsi="宋体" w:cs="宋体"/>
          <w:color w:val="auto"/>
          <w:sz w:val="24"/>
        </w:rPr>
        <w:t>16.3投标保证金应依据法律法规的相关规定退还。</w:t>
      </w:r>
    </w:p>
    <w:p w14:paraId="190CB2ED">
      <w:pPr>
        <w:spacing w:line="360" w:lineRule="auto"/>
        <w:ind w:firstLine="480" w:firstLineChars="200"/>
        <w:rPr>
          <w:rFonts w:ascii="宋体" w:hAnsi="宋体" w:cs="宋体"/>
          <w:color w:val="auto"/>
          <w:sz w:val="24"/>
        </w:rPr>
      </w:pPr>
      <w:r>
        <w:rPr>
          <w:rFonts w:hint="eastAsia" w:ascii="宋体" w:hAnsi="宋体" w:cs="宋体"/>
          <w:color w:val="auto"/>
          <w:sz w:val="24"/>
        </w:rPr>
        <w:t>16.4如有下列情况之一的，招标人可以不予退还投标保证金（是否退还投标保证金由招标人在招标文件中规定）：</w:t>
      </w:r>
    </w:p>
    <w:p w14:paraId="7301D07A">
      <w:pPr>
        <w:spacing w:line="360" w:lineRule="auto"/>
        <w:ind w:firstLine="480" w:firstLineChars="200"/>
        <w:rPr>
          <w:rFonts w:ascii="宋体" w:hAnsi="宋体" w:cs="宋体"/>
          <w:color w:val="auto"/>
          <w:sz w:val="24"/>
        </w:rPr>
      </w:pPr>
      <w:r>
        <w:rPr>
          <w:rFonts w:hint="eastAsia" w:ascii="宋体" w:hAnsi="宋体" w:cs="宋体"/>
          <w:color w:val="auto"/>
          <w:sz w:val="24"/>
        </w:rPr>
        <w:t>16.4.1因投标人原因造成投标文件未解密的；</w:t>
      </w:r>
    </w:p>
    <w:p w14:paraId="2928D8B4">
      <w:pPr>
        <w:spacing w:line="360" w:lineRule="auto"/>
        <w:ind w:firstLine="480" w:firstLineChars="200"/>
        <w:rPr>
          <w:rFonts w:ascii="宋体" w:hAnsi="宋体" w:cs="宋体"/>
          <w:color w:val="auto"/>
          <w:sz w:val="24"/>
        </w:rPr>
      </w:pPr>
      <w:r>
        <w:rPr>
          <w:rFonts w:hint="eastAsia" w:ascii="宋体" w:hAnsi="宋体" w:cs="宋体"/>
          <w:color w:val="auto"/>
          <w:sz w:val="24"/>
        </w:rPr>
        <w:t>16.4.2投标人在投标有效期内撤销投标文件；</w:t>
      </w:r>
    </w:p>
    <w:p w14:paraId="503BE848">
      <w:pPr>
        <w:spacing w:line="360" w:lineRule="auto"/>
        <w:ind w:firstLine="480" w:firstLineChars="200"/>
        <w:rPr>
          <w:rFonts w:ascii="宋体" w:hAnsi="宋体" w:cs="宋体"/>
          <w:color w:val="auto"/>
          <w:sz w:val="24"/>
        </w:rPr>
      </w:pPr>
      <w:r>
        <w:rPr>
          <w:rFonts w:hint="eastAsia" w:ascii="宋体" w:hAnsi="宋体" w:cs="宋体"/>
          <w:color w:val="auto"/>
          <w:sz w:val="24"/>
        </w:rPr>
        <w:t>16.4.3中标人未能在规定期限内按要求提交履约担保；</w:t>
      </w:r>
    </w:p>
    <w:p w14:paraId="79C14704">
      <w:pPr>
        <w:spacing w:line="360" w:lineRule="auto"/>
        <w:ind w:firstLine="480" w:firstLineChars="200"/>
        <w:rPr>
          <w:rFonts w:ascii="宋体" w:hAnsi="宋体" w:cs="宋体"/>
          <w:color w:val="auto"/>
          <w:sz w:val="24"/>
        </w:rPr>
      </w:pPr>
      <w:r>
        <w:rPr>
          <w:rFonts w:hint="eastAsia" w:ascii="宋体" w:hAnsi="宋体" w:cs="宋体"/>
          <w:color w:val="auto"/>
          <w:sz w:val="24"/>
        </w:rPr>
        <w:t>16.4.4中标人未能在规定期限内签署合同协议。</w:t>
      </w:r>
    </w:p>
    <w:p w14:paraId="539AC046">
      <w:pPr>
        <w:spacing w:line="360" w:lineRule="auto"/>
        <w:ind w:firstLine="480" w:firstLineChars="200"/>
        <w:rPr>
          <w:rFonts w:ascii="宋体" w:hAnsi="宋体" w:cs="宋体"/>
          <w:color w:val="auto"/>
          <w:sz w:val="24"/>
        </w:rPr>
      </w:pPr>
      <w:r>
        <w:rPr>
          <w:rFonts w:hint="eastAsia" w:ascii="宋体" w:hAnsi="宋体" w:cs="宋体"/>
          <w:color w:val="auto"/>
          <w:sz w:val="24"/>
        </w:rPr>
        <w:t>16.5投标人如存在下列情况之一的，将被拒绝在一定时期内参与招标人后续工程投标（拒绝时限需在招标文件中明确）：</w:t>
      </w:r>
    </w:p>
    <w:p w14:paraId="4FB97A89">
      <w:pPr>
        <w:spacing w:line="360" w:lineRule="auto"/>
        <w:ind w:firstLine="480" w:firstLineChars="200"/>
        <w:rPr>
          <w:rFonts w:ascii="宋体" w:hAnsi="宋体" w:cs="宋体"/>
          <w:color w:val="auto"/>
          <w:sz w:val="24"/>
        </w:rPr>
      </w:pPr>
      <w:r>
        <w:rPr>
          <w:rFonts w:hint="eastAsia" w:ascii="宋体" w:hAnsi="宋体" w:cs="宋体"/>
          <w:color w:val="auto"/>
          <w:sz w:val="24"/>
        </w:rPr>
        <w:t>16.5.1投标人存在16.4条款所列情形且投标人提交的保函、担保或保证保险无法兑付的；</w:t>
      </w:r>
    </w:p>
    <w:p w14:paraId="2FE363D7">
      <w:pPr>
        <w:spacing w:line="360" w:lineRule="auto"/>
        <w:ind w:firstLine="480" w:firstLineChars="200"/>
        <w:rPr>
          <w:rFonts w:ascii="宋体" w:hAnsi="宋体" w:cs="宋体"/>
          <w:color w:val="auto"/>
          <w:sz w:val="24"/>
        </w:rPr>
      </w:pPr>
      <w:r>
        <w:rPr>
          <w:rFonts w:hint="eastAsia" w:ascii="宋体" w:hAnsi="宋体" w:cs="宋体"/>
          <w:color w:val="auto"/>
          <w:sz w:val="24"/>
        </w:rPr>
        <w:t>16.5.2采用非电子形式提交投标保证金的投标人存在16.4条款所列情形，且未按招标人要求补交银行保函、专业工程担保公司担保或保证保险原件的；</w:t>
      </w:r>
    </w:p>
    <w:p w14:paraId="7E37A9B6">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16.5.3按招标文件要求免于提供投标保证金的投标人存在16.4条款所列情形，且未按招标人要求补交投标保证金的；</w:t>
      </w:r>
    </w:p>
    <w:p w14:paraId="0DF6D3FF">
      <w:pPr>
        <w:spacing w:line="360" w:lineRule="auto"/>
        <w:ind w:firstLine="480" w:firstLineChars="200"/>
        <w:rPr>
          <w:rFonts w:ascii="宋体" w:hAnsi="宋体" w:cs="宋体"/>
          <w:color w:val="auto"/>
          <w:sz w:val="24"/>
        </w:rPr>
      </w:pPr>
      <w:r>
        <w:rPr>
          <w:rFonts w:hint="eastAsia" w:ascii="宋体" w:hAnsi="宋体" w:cs="宋体"/>
          <w:color w:val="auto"/>
          <w:sz w:val="24"/>
        </w:rPr>
        <w:t>16.5.3按招标文件要求免于提供投标保证金的投标人存在16.4条款所列情形的。</w:t>
      </w:r>
    </w:p>
    <w:p w14:paraId="4242A235">
      <w:pPr>
        <w:spacing w:line="360" w:lineRule="auto"/>
        <w:ind w:firstLine="480" w:firstLineChars="200"/>
        <w:rPr>
          <w:rFonts w:ascii="宋体" w:hAnsi="宋体" w:cs="宋体"/>
          <w:color w:val="auto"/>
          <w:sz w:val="24"/>
        </w:rPr>
      </w:pPr>
      <w:r>
        <w:rPr>
          <w:rFonts w:hint="eastAsia" w:ascii="宋体" w:hAnsi="宋体" w:cs="宋体"/>
          <w:color w:val="auto"/>
          <w:sz w:val="24"/>
        </w:rPr>
        <w:t>注：16.5.3款由招标人二选一，需在招标文件中明确。</w:t>
      </w:r>
    </w:p>
    <w:p w14:paraId="6A30E3D3">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17．投标文件的签署</w:t>
      </w:r>
    </w:p>
    <w:p w14:paraId="4B200261">
      <w:pPr>
        <w:spacing w:line="360" w:lineRule="auto"/>
        <w:ind w:firstLine="480" w:firstLineChars="200"/>
        <w:rPr>
          <w:rFonts w:ascii="宋体" w:hAnsi="宋体" w:cs="宋体"/>
          <w:color w:val="auto"/>
          <w:sz w:val="24"/>
        </w:rPr>
      </w:pPr>
      <w:r>
        <w:rPr>
          <w:rFonts w:hint="eastAsia" w:ascii="宋体" w:hAnsi="宋体" w:cs="宋体"/>
          <w:color w:val="auto"/>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5916590F">
      <w:pPr>
        <w:pStyle w:val="7"/>
        <w:spacing w:before="156" w:after="156"/>
        <w:rPr>
          <w:rFonts w:hAnsi="宋体" w:cs="宋体"/>
          <w:color w:val="auto"/>
        </w:rPr>
      </w:pPr>
      <w:bookmarkStart w:id="11" w:name="_Toc2272552"/>
      <w:bookmarkStart w:id="12" w:name="_Toc21525496"/>
      <w:r>
        <w:rPr>
          <w:rFonts w:hint="eastAsia" w:hAnsi="宋体" w:cs="宋体"/>
          <w:color w:val="auto"/>
        </w:rPr>
        <w:t>（四）投标文件的提交</w:t>
      </w:r>
      <w:bookmarkEnd w:id="11"/>
      <w:bookmarkEnd w:id="12"/>
    </w:p>
    <w:p w14:paraId="263FA6D1">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18．</w:t>
      </w:r>
      <w:r>
        <w:rPr>
          <w:rFonts w:hint="eastAsia" w:ascii="宋体" w:hAnsi="宋体" w:cs="宋体"/>
          <w:b/>
          <w:color w:val="auto"/>
          <w:sz w:val="24"/>
          <w:szCs w:val="24"/>
        </w:rPr>
        <w:t>投标文件的密封和标记</w:t>
      </w:r>
    </w:p>
    <w:p w14:paraId="3D6D4142">
      <w:pPr>
        <w:spacing w:line="360" w:lineRule="auto"/>
        <w:ind w:firstLine="480" w:firstLineChars="200"/>
        <w:rPr>
          <w:rFonts w:ascii="宋体" w:hAnsi="宋体" w:cs="宋体"/>
          <w:bCs/>
          <w:color w:val="auto"/>
          <w:sz w:val="24"/>
        </w:rPr>
      </w:pPr>
      <w:r>
        <w:rPr>
          <w:rFonts w:hint="eastAsia" w:ascii="宋体" w:hAnsi="宋体" w:cs="宋体"/>
          <w:bCs/>
          <w:color w:val="auto"/>
          <w:sz w:val="24"/>
        </w:rPr>
        <w:t>18.1递交的电子投标文件（不含备用光盘）必须进行加密。按照交易平台关于</w:t>
      </w:r>
      <w:r>
        <w:rPr>
          <w:rFonts w:hint="eastAsia" w:ascii="宋体" w:hAnsi="宋体" w:cs="宋体"/>
          <w:color w:val="auto"/>
          <w:sz w:val="24"/>
          <w:szCs w:val="24"/>
        </w:rPr>
        <w:t>全流程电子化项目的相关指南进行操作。详见： 。</w:t>
      </w:r>
    </w:p>
    <w:p w14:paraId="448F8EB9">
      <w:pPr>
        <w:spacing w:line="360" w:lineRule="auto"/>
        <w:ind w:firstLine="480" w:firstLineChars="200"/>
        <w:rPr>
          <w:rFonts w:ascii="宋体" w:hAnsi="宋体" w:cs="宋体"/>
          <w:bCs/>
          <w:color w:val="auto"/>
          <w:sz w:val="24"/>
        </w:rPr>
      </w:pPr>
      <w:r>
        <w:rPr>
          <w:rFonts w:hint="eastAsia" w:ascii="宋体" w:hAnsi="宋体" w:cs="宋体"/>
          <w:bCs/>
          <w:color w:val="auto"/>
          <w:sz w:val="24"/>
        </w:rPr>
        <w:t>18.2未按要求加密的投标文件，</w:t>
      </w:r>
      <w:r>
        <w:rPr>
          <w:rFonts w:hint="eastAsia" w:ascii="宋体" w:hAnsi="宋体" w:cs="宋体"/>
          <w:color w:val="auto"/>
          <w:sz w:val="24"/>
          <w:szCs w:val="24"/>
        </w:rPr>
        <w:t>交易平台</w:t>
      </w:r>
      <w:r>
        <w:rPr>
          <w:rFonts w:hint="eastAsia" w:ascii="宋体" w:hAnsi="宋体" w:cs="宋体"/>
          <w:bCs/>
          <w:color w:val="auto"/>
          <w:sz w:val="24"/>
        </w:rPr>
        <w:t>将予以拒收。</w:t>
      </w:r>
    </w:p>
    <w:p w14:paraId="3FFFCA1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19．投标文件的递交和接收</w:t>
      </w:r>
    </w:p>
    <w:p w14:paraId="402C4116">
      <w:pPr>
        <w:spacing w:line="360" w:lineRule="auto"/>
        <w:ind w:firstLine="480" w:firstLineChars="200"/>
        <w:rPr>
          <w:rFonts w:ascii="宋体" w:hAnsi="宋体" w:cs="宋体"/>
          <w:bCs/>
          <w:color w:val="auto"/>
          <w:sz w:val="24"/>
        </w:rPr>
      </w:pPr>
      <w:r>
        <w:rPr>
          <w:rFonts w:hint="eastAsia" w:ascii="宋体" w:hAnsi="宋体" w:cs="宋体"/>
          <w:bCs/>
          <w:color w:val="auto"/>
          <w:sz w:val="24"/>
        </w:rPr>
        <w:t>19.1投标人通过</w:t>
      </w:r>
      <w:r>
        <w:rPr>
          <w:rFonts w:hint="eastAsia" w:ascii="宋体" w:hAnsi="宋体" w:cs="宋体"/>
          <w:color w:val="auto"/>
          <w:sz w:val="24"/>
          <w:szCs w:val="24"/>
        </w:rPr>
        <w:t>交易平台</w:t>
      </w:r>
      <w:r>
        <w:rPr>
          <w:rFonts w:hint="eastAsia" w:ascii="宋体" w:hAnsi="宋体" w:cs="宋体"/>
          <w:color w:val="auto"/>
          <w:sz w:val="24"/>
        </w:rPr>
        <w:t>递交电子投标文件。</w:t>
      </w:r>
    </w:p>
    <w:p w14:paraId="5AAD374E">
      <w:pPr>
        <w:spacing w:line="360" w:lineRule="auto"/>
        <w:ind w:firstLine="480" w:firstLineChars="200"/>
        <w:rPr>
          <w:rFonts w:ascii="宋体" w:hAnsi="宋体" w:cs="宋体"/>
          <w:bCs/>
          <w:color w:val="auto"/>
          <w:sz w:val="24"/>
        </w:rPr>
      </w:pPr>
      <w:r>
        <w:rPr>
          <w:rFonts w:hint="eastAsia" w:ascii="宋体" w:hAnsi="宋体" w:cs="宋体"/>
          <w:bCs/>
          <w:color w:val="auto"/>
          <w:sz w:val="24"/>
        </w:rPr>
        <w:t>19.2投标人完成电子</w:t>
      </w:r>
      <w:r>
        <w:rPr>
          <w:rFonts w:hint="eastAsia" w:ascii="宋体" w:hAnsi="宋体" w:cs="宋体"/>
          <w:color w:val="auto"/>
          <w:sz w:val="24"/>
        </w:rPr>
        <w:t>投标文件</w:t>
      </w:r>
      <w:r>
        <w:rPr>
          <w:rFonts w:hint="eastAsia" w:ascii="宋体" w:hAnsi="宋体" w:cs="宋体"/>
          <w:bCs/>
          <w:color w:val="auto"/>
          <w:sz w:val="24"/>
        </w:rPr>
        <w:t>上传后，</w:t>
      </w:r>
      <w:r>
        <w:rPr>
          <w:rFonts w:hint="eastAsia" w:ascii="宋体" w:hAnsi="宋体" w:cs="宋体"/>
          <w:color w:val="auto"/>
          <w:sz w:val="24"/>
          <w:szCs w:val="24"/>
        </w:rPr>
        <w:t>交易平台</w:t>
      </w:r>
      <w:r>
        <w:rPr>
          <w:rFonts w:hint="eastAsia" w:ascii="宋体" w:hAnsi="宋体" w:cs="宋体"/>
          <w:color w:val="auto"/>
          <w:sz w:val="24"/>
        </w:rPr>
        <w:t>即时向投标人发出递交回执通知。递交时间以递交回执通知载明的传输完成时间为准。</w:t>
      </w:r>
    </w:p>
    <w:p w14:paraId="5FD9B56B">
      <w:pPr>
        <w:spacing w:line="360" w:lineRule="auto"/>
        <w:ind w:firstLine="480" w:firstLineChars="200"/>
        <w:rPr>
          <w:rFonts w:ascii="宋体" w:hAnsi="宋体" w:cs="宋体"/>
          <w:color w:val="auto"/>
          <w:sz w:val="24"/>
        </w:rPr>
      </w:pPr>
      <w:r>
        <w:rPr>
          <w:rFonts w:hint="eastAsia" w:ascii="宋体" w:hAnsi="宋体" w:cs="宋体"/>
          <w:bCs/>
          <w:color w:val="auto"/>
          <w:sz w:val="24"/>
        </w:rPr>
        <w:t>19.3</w:t>
      </w:r>
      <w:r>
        <w:rPr>
          <w:rFonts w:hint="eastAsia" w:ascii="宋体" w:hAnsi="宋体" w:cs="宋体"/>
          <w:bCs/>
          <w:color w:val="auto"/>
          <w:sz w:val="24"/>
          <w:szCs w:val="24"/>
        </w:rPr>
        <w:t>逾期送达的</w:t>
      </w:r>
      <w:r>
        <w:rPr>
          <w:rFonts w:hint="eastAsia" w:ascii="宋体" w:hAnsi="宋体" w:cs="宋体"/>
          <w:bCs/>
          <w:color w:val="auto"/>
          <w:sz w:val="24"/>
        </w:rPr>
        <w:t>电子投标文件，</w:t>
      </w:r>
      <w:r>
        <w:rPr>
          <w:rFonts w:hint="eastAsia" w:ascii="宋体" w:hAnsi="宋体" w:cs="宋体"/>
          <w:color w:val="auto"/>
          <w:sz w:val="24"/>
          <w:szCs w:val="24"/>
        </w:rPr>
        <w:t>交易平台</w:t>
      </w:r>
      <w:r>
        <w:rPr>
          <w:rFonts w:hint="eastAsia" w:ascii="宋体" w:hAnsi="宋体" w:cs="宋体"/>
          <w:color w:val="auto"/>
          <w:sz w:val="24"/>
        </w:rPr>
        <w:t>将予以拒收。</w:t>
      </w:r>
    </w:p>
    <w:p w14:paraId="6EF6F62F">
      <w:pPr>
        <w:spacing w:line="360" w:lineRule="auto"/>
        <w:ind w:firstLine="480" w:firstLineChars="200"/>
        <w:rPr>
          <w:rFonts w:ascii="宋体" w:hAnsi="宋体" w:cs="宋体"/>
          <w:color w:val="auto"/>
          <w:sz w:val="24"/>
        </w:rPr>
      </w:pPr>
      <w:r>
        <w:rPr>
          <w:rFonts w:hint="eastAsia" w:ascii="宋体" w:hAnsi="宋体" w:cs="宋体"/>
          <w:color w:val="auto"/>
          <w:sz w:val="24"/>
        </w:rPr>
        <w:t>19.4</w:t>
      </w:r>
      <w:r>
        <w:rPr>
          <w:rFonts w:hint="eastAsia" w:ascii="宋体" w:hAnsi="宋体" w:cs="宋体"/>
          <w:color w:val="auto"/>
          <w:sz w:val="24"/>
          <w:szCs w:val="24"/>
        </w:rPr>
        <w:t>投标截止前，招标人拒绝接收符合条件的投标文件，投标人可向招标投标监督机构投诉。</w:t>
      </w:r>
    </w:p>
    <w:p w14:paraId="65037D24">
      <w:pPr>
        <w:spacing w:line="360" w:lineRule="auto"/>
        <w:ind w:firstLine="480" w:firstLineChars="200"/>
        <w:rPr>
          <w:rFonts w:ascii="宋体" w:hAnsi="宋体" w:cs="宋体"/>
          <w:color w:val="auto"/>
          <w:sz w:val="24"/>
        </w:rPr>
      </w:pPr>
      <w:r>
        <w:rPr>
          <w:rFonts w:hint="eastAsia" w:ascii="宋体" w:hAnsi="宋体" w:cs="宋体"/>
          <w:color w:val="auto"/>
          <w:sz w:val="24"/>
        </w:rPr>
        <w:t>19.5如技术标和经济标先后分别开启，</w:t>
      </w:r>
      <w:r>
        <w:rPr>
          <w:rFonts w:hint="eastAsia" w:ascii="宋体" w:hAnsi="宋体" w:cs="宋体"/>
          <w:color w:val="auto"/>
          <w:sz w:val="24"/>
          <w:szCs w:val="24"/>
        </w:rPr>
        <w:t>交易平台</w:t>
      </w:r>
      <w:r>
        <w:rPr>
          <w:rFonts w:hint="eastAsia" w:ascii="宋体" w:hAnsi="宋体" w:cs="宋体"/>
          <w:color w:val="auto"/>
          <w:sz w:val="24"/>
        </w:rPr>
        <w:t>将按招标文件规定的时间分别开启技术标和经济标。</w:t>
      </w:r>
    </w:p>
    <w:p w14:paraId="6D0EAB05">
      <w:pPr>
        <w:spacing w:line="360" w:lineRule="auto"/>
        <w:ind w:firstLine="480" w:firstLineChars="200"/>
        <w:rPr>
          <w:rFonts w:ascii="宋体" w:hAnsi="宋体" w:cs="宋体"/>
          <w:color w:val="auto"/>
          <w:sz w:val="24"/>
        </w:rPr>
      </w:pPr>
      <w:r>
        <w:rPr>
          <w:rFonts w:hint="eastAsia" w:ascii="宋体" w:hAnsi="宋体" w:cs="宋体"/>
          <w:color w:val="auto"/>
          <w:sz w:val="24"/>
          <w:szCs w:val="24"/>
        </w:rPr>
        <w:t>19.6在规定的时间内，项目负责人须到自助签到。按照交易平台有关项目负责人自助签到流程进行操作。项目负责人凡未凭身份证按时到达指定地点签到的，</w:t>
      </w:r>
      <w:r>
        <w:rPr>
          <w:rFonts w:hint="eastAsia" w:ascii="宋体" w:hAnsi="宋体" w:cs="宋体"/>
          <w:color w:val="auto"/>
          <w:sz w:val="24"/>
        </w:rPr>
        <w:t>该投标文件将不能参与资格审查和评标</w:t>
      </w:r>
      <w:r>
        <w:rPr>
          <w:rFonts w:hint="eastAsia" w:ascii="宋体" w:hAnsi="宋体" w:cs="宋体"/>
          <w:color w:val="auto"/>
          <w:sz w:val="24"/>
          <w:szCs w:val="24"/>
        </w:rPr>
        <w:t>（选择性条款）。</w:t>
      </w:r>
    </w:p>
    <w:p w14:paraId="7B757D2A">
      <w:pPr>
        <w:spacing w:line="360" w:lineRule="auto"/>
        <w:ind w:firstLine="482" w:firstLineChars="200"/>
        <w:rPr>
          <w:rFonts w:ascii="宋体" w:hAnsi="宋体" w:cs="宋体"/>
          <w:b/>
          <w:bCs/>
          <w:color w:val="auto"/>
          <w:sz w:val="24"/>
        </w:rPr>
      </w:pPr>
      <w:r>
        <w:rPr>
          <w:rFonts w:hint="eastAsia" w:ascii="宋体" w:hAnsi="宋体" w:cs="宋体"/>
          <w:b/>
          <w:bCs/>
          <w:color w:val="auto"/>
          <w:sz w:val="24"/>
        </w:rPr>
        <w:t>20．投标文件提交的截止时间</w:t>
      </w:r>
    </w:p>
    <w:p w14:paraId="4E0C2B2E">
      <w:pPr>
        <w:spacing w:line="360" w:lineRule="auto"/>
        <w:ind w:firstLine="480" w:firstLineChars="200"/>
        <w:rPr>
          <w:rFonts w:ascii="宋体" w:hAnsi="宋体" w:cs="宋体"/>
          <w:b/>
          <w:bCs/>
          <w:color w:val="auto"/>
          <w:sz w:val="24"/>
        </w:rPr>
      </w:pPr>
      <w:r>
        <w:rPr>
          <w:rFonts w:hint="eastAsia" w:ascii="宋体" w:hAnsi="宋体" w:cs="宋体"/>
          <w:color w:val="auto"/>
          <w:sz w:val="24"/>
        </w:rPr>
        <w:t>20.1投标人应在投标须知前附表第17项所述的时间前提交投标文件。</w:t>
      </w:r>
    </w:p>
    <w:p w14:paraId="04EF9D8D">
      <w:pPr>
        <w:spacing w:line="360" w:lineRule="auto"/>
        <w:ind w:firstLine="480" w:firstLineChars="200"/>
        <w:rPr>
          <w:rFonts w:ascii="宋体" w:hAnsi="宋体" w:cs="宋体"/>
          <w:color w:val="auto"/>
          <w:sz w:val="24"/>
        </w:rPr>
      </w:pPr>
      <w:r>
        <w:rPr>
          <w:rFonts w:hint="eastAsia" w:ascii="宋体" w:hAnsi="宋体" w:cs="宋体"/>
          <w:color w:val="auto"/>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18094C42">
      <w:pPr>
        <w:spacing w:line="360" w:lineRule="auto"/>
        <w:ind w:firstLine="480" w:firstLineChars="200"/>
        <w:rPr>
          <w:rFonts w:ascii="宋体" w:hAnsi="宋体" w:cs="宋体"/>
          <w:color w:val="auto"/>
          <w:sz w:val="24"/>
        </w:rPr>
      </w:pPr>
      <w:r>
        <w:rPr>
          <w:rFonts w:hint="eastAsia" w:ascii="宋体" w:hAnsi="宋体" w:cs="宋体"/>
          <w:color w:val="auto"/>
          <w:sz w:val="24"/>
        </w:rPr>
        <w:t>20.3 到投标截止时间止，招标人收到的投标文件少于3家的，招标人将重新组织招标</w:t>
      </w:r>
      <w:r>
        <w:rPr>
          <w:rFonts w:hint="eastAsia" w:ascii="宋体" w:hAnsi="宋体" w:cs="宋体"/>
          <w:color w:val="auto"/>
          <w:sz w:val="24"/>
          <w:szCs w:val="24"/>
        </w:rPr>
        <w:t>（当N个标段同时招标且不允许兼中时，若有效投标人不足N+2家，则重新组织招标）</w:t>
      </w:r>
      <w:r>
        <w:rPr>
          <w:rFonts w:hint="eastAsia" w:ascii="宋体" w:hAnsi="宋体" w:cs="宋体"/>
          <w:color w:val="auto"/>
          <w:sz w:val="24"/>
        </w:rPr>
        <w:t>。</w:t>
      </w:r>
    </w:p>
    <w:p w14:paraId="4F1240E8">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21．迟交的投标文件</w:t>
      </w:r>
    </w:p>
    <w:p w14:paraId="42AABCE6">
      <w:pPr>
        <w:spacing w:line="360" w:lineRule="auto"/>
        <w:ind w:firstLine="480" w:firstLineChars="200"/>
        <w:rPr>
          <w:rFonts w:ascii="宋体" w:hAnsi="宋体" w:cs="宋体"/>
          <w:color w:val="auto"/>
          <w:sz w:val="24"/>
        </w:rPr>
      </w:pPr>
      <w:r>
        <w:rPr>
          <w:rFonts w:hint="eastAsia" w:ascii="宋体" w:hAnsi="宋体" w:cs="宋体"/>
          <w:color w:val="auto"/>
          <w:sz w:val="24"/>
        </w:rPr>
        <w:t>21.1 本须知前附表第17项规定的投标截止时间</w:t>
      </w:r>
      <w:r>
        <w:rPr>
          <w:rFonts w:hint="eastAsia" w:ascii="宋体" w:hAnsi="宋体" w:cs="宋体"/>
          <w:bCs/>
          <w:color w:val="auto"/>
          <w:sz w:val="24"/>
          <w:szCs w:val="24"/>
        </w:rPr>
        <w:t>后送达的</w:t>
      </w:r>
      <w:r>
        <w:rPr>
          <w:rFonts w:hint="eastAsia" w:ascii="宋体" w:hAnsi="宋体" w:cs="宋体"/>
          <w:bCs/>
          <w:color w:val="auto"/>
          <w:sz w:val="24"/>
        </w:rPr>
        <w:t>电子投标文件，</w:t>
      </w:r>
      <w:r>
        <w:rPr>
          <w:rFonts w:hint="eastAsia" w:ascii="宋体" w:hAnsi="宋体" w:cs="宋体"/>
          <w:color w:val="auto"/>
          <w:sz w:val="24"/>
          <w:szCs w:val="24"/>
        </w:rPr>
        <w:t>交易平台</w:t>
      </w:r>
      <w:r>
        <w:rPr>
          <w:rFonts w:hint="eastAsia" w:ascii="宋体" w:hAnsi="宋体" w:cs="宋体"/>
          <w:color w:val="auto"/>
          <w:sz w:val="24"/>
        </w:rPr>
        <w:t>将予以拒收。</w:t>
      </w:r>
    </w:p>
    <w:p w14:paraId="4D77B514">
      <w:pPr>
        <w:spacing w:line="360" w:lineRule="auto"/>
        <w:ind w:firstLine="482" w:firstLineChars="200"/>
        <w:rPr>
          <w:rFonts w:ascii="宋体" w:hAnsi="宋体" w:cs="宋体"/>
          <w:b/>
          <w:bCs/>
          <w:color w:val="auto"/>
          <w:sz w:val="24"/>
        </w:rPr>
      </w:pPr>
      <w:r>
        <w:rPr>
          <w:rFonts w:hint="eastAsia" w:ascii="宋体" w:hAnsi="宋体" w:cs="宋体"/>
          <w:b/>
          <w:bCs/>
          <w:color w:val="auto"/>
          <w:sz w:val="24"/>
        </w:rPr>
        <w:t>22．投标文件的修改与撤回</w:t>
      </w:r>
    </w:p>
    <w:p w14:paraId="211347AB">
      <w:pPr>
        <w:spacing w:line="360" w:lineRule="auto"/>
        <w:ind w:firstLine="480" w:firstLineChars="200"/>
        <w:rPr>
          <w:rFonts w:ascii="宋体" w:hAnsi="宋体" w:cs="宋体"/>
          <w:color w:val="auto"/>
          <w:sz w:val="24"/>
        </w:rPr>
      </w:pPr>
      <w:r>
        <w:rPr>
          <w:rFonts w:hint="eastAsia" w:ascii="宋体" w:hAnsi="宋体" w:cs="宋体"/>
          <w:color w:val="auto"/>
          <w:sz w:val="24"/>
        </w:rPr>
        <w:t>22.1在规定的投标截止时间前，投标人可以修改或撤回已递交的投标文件，但应以书面形式通知招标人。</w:t>
      </w:r>
    </w:p>
    <w:p w14:paraId="7E8061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22.2投标人修改或撤回已递交的投标文件，需在</w:t>
      </w:r>
      <w:r>
        <w:rPr>
          <w:rFonts w:hint="eastAsia" w:ascii="宋体" w:hAnsi="宋体" w:cs="宋体"/>
          <w:color w:val="auto"/>
          <w:sz w:val="24"/>
        </w:rPr>
        <w:t>交易平台发出修改或撤回</w:t>
      </w:r>
      <w:r>
        <w:rPr>
          <w:rFonts w:hint="eastAsia" w:ascii="宋体" w:hAnsi="宋体" w:cs="宋体"/>
          <w:color w:val="auto"/>
          <w:sz w:val="24"/>
          <w:szCs w:val="24"/>
        </w:rPr>
        <w:t>通知，并按要求加盖电子印章。</w:t>
      </w:r>
      <w:r>
        <w:rPr>
          <w:rFonts w:hint="eastAsia" w:ascii="宋体" w:hAnsi="宋体" w:cs="宋体"/>
          <w:bCs/>
          <w:iCs/>
          <w:color w:val="auto"/>
          <w:sz w:val="24"/>
          <w:szCs w:val="24"/>
        </w:rPr>
        <w:t>电子招标投标交易平台收到通知后，</w:t>
      </w:r>
      <w:r>
        <w:rPr>
          <w:rFonts w:hint="eastAsia" w:ascii="宋体" w:hAnsi="宋体" w:cs="宋体"/>
          <w:color w:val="auto"/>
          <w:sz w:val="24"/>
          <w:szCs w:val="24"/>
        </w:rPr>
        <w:t>即时向投标人发出确认回执通知。</w:t>
      </w:r>
    </w:p>
    <w:p w14:paraId="7E02031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22.3修改后再次递交的，按19点的规定执行。</w:t>
      </w:r>
    </w:p>
    <w:p w14:paraId="1540AE07">
      <w:pPr>
        <w:spacing w:line="360" w:lineRule="auto"/>
        <w:ind w:firstLine="480" w:firstLineChars="200"/>
        <w:rPr>
          <w:rFonts w:ascii="宋体" w:hAnsi="宋体" w:cs="宋体"/>
          <w:color w:val="auto"/>
          <w:sz w:val="24"/>
        </w:rPr>
      </w:pPr>
      <w:r>
        <w:rPr>
          <w:rFonts w:hint="eastAsia" w:ascii="宋体" w:hAnsi="宋体" w:cs="宋体"/>
          <w:color w:val="auto"/>
          <w:sz w:val="24"/>
        </w:rPr>
        <w:t>22.4在投标截止时间之后，投标人不得补充、修改和更换投标文件。</w:t>
      </w:r>
    </w:p>
    <w:p w14:paraId="6E06D14C">
      <w:pPr>
        <w:pStyle w:val="7"/>
        <w:spacing w:before="156" w:after="156"/>
        <w:rPr>
          <w:rFonts w:hAnsi="宋体" w:cs="宋体"/>
          <w:color w:val="auto"/>
        </w:rPr>
      </w:pPr>
      <w:bookmarkStart w:id="13" w:name="_Toc21525497"/>
      <w:bookmarkStart w:id="14" w:name="_Toc2272553"/>
      <w:r>
        <w:rPr>
          <w:rFonts w:hint="eastAsia" w:hAnsi="宋体" w:cs="宋体"/>
          <w:color w:val="auto"/>
        </w:rPr>
        <w:t>（五）开标、评标、定标及合同签定</w:t>
      </w:r>
      <w:bookmarkEnd w:id="13"/>
      <w:bookmarkEnd w:id="14"/>
    </w:p>
    <w:p w14:paraId="14B359F0">
      <w:pPr>
        <w:spacing w:line="360" w:lineRule="auto"/>
        <w:ind w:firstLine="482" w:firstLineChars="200"/>
        <w:rPr>
          <w:rFonts w:ascii="宋体" w:hAnsi="宋体" w:cs="宋体"/>
          <w:b/>
          <w:bCs/>
          <w:color w:val="auto"/>
          <w:sz w:val="24"/>
        </w:rPr>
      </w:pPr>
      <w:r>
        <w:rPr>
          <w:rFonts w:hint="eastAsia" w:ascii="宋体" w:hAnsi="宋体" w:cs="宋体"/>
          <w:b/>
          <w:bCs/>
          <w:color w:val="auto"/>
          <w:sz w:val="24"/>
        </w:rPr>
        <w:t>23、开标。</w:t>
      </w:r>
    </w:p>
    <w:p w14:paraId="50E3BD0C">
      <w:pPr>
        <w:spacing w:line="360" w:lineRule="auto"/>
        <w:ind w:firstLine="480" w:firstLineChars="200"/>
        <w:rPr>
          <w:rFonts w:ascii="宋体" w:hAnsi="宋体" w:cs="宋体"/>
          <w:color w:val="auto"/>
          <w:sz w:val="24"/>
        </w:rPr>
      </w:pPr>
      <w:r>
        <w:rPr>
          <w:rFonts w:hint="eastAsia" w:ascii="宋体" w:hAnsi="宋体" w:cs="宋体"/>
          <w:color w:val="auto"/>
          <w:sz w:val="24"/>
        </w:rPr>
        <w:t>详见第二章开标、评标及定标办法</w:t>
      </w:r>
    </w:p>
    <w:p w14:paraId="307934B4">
      <w:pPr>
        <w:spacing w:line="360" w:lineRule="auto"/>
        <w:ind w:firstLine="482" w:firstLineChars="200"/>
        <w:rPr>
          <w:rFonts w:ascii="宋体" w:hAnsi="宋体" w:cs="宋体"/>
          <w:b/>
          <w:bCs/>
          <w:color w:val="auto"/>
          <w:sz w:val="24"/>
        </w:rPr>
      </w:pPr>
      <w:r>
        <w:rPr>
          <w:rFonts w:hint="eastAsia" w:ascii="宋体" w:hAnsi="宋体" w:cs="宋体"/>
          <w:b/>
          <w:bCs/>
          <w:color w:val="auto"/>
          <w:sz w:val="24"/>
        </w:rPr>
        <w:t>24．评标过程的保密</w:t>
      </w:r>
    </w:p>
    <w:p w14:paraId="521C5F82">
      <w:pPr>
        <w:spacing w:line="360" w:lineRule="auto"/>
        <w:ind w:firstLine="480" w:firstLineChars="200"/>
        <w:rPr>
          <w:rFonts w:ascii="宋体" w:hAnsi="宋体" w:cs="宋体"/>
          <w:color w:val="auto"/>
          <w:sz w:val="24"/>
        </w:rPr>
      </w:pPr>
      <w:r>
        <w:rPr>
          <w:rFonts w:hint="eastAsia" w:ascii="宋体" w:hAnsi="宋体" w:cs="宋体"/>
          <w:color w:val="auto"/>
          <w:sz w:val="24"/>
        </w:rPr>
        <w:t>24.1 开标后，直至中标公示为止，凡属于对投标文件的审查、澄清、评价和比较有关的资料以及中标候选人的推荐情况，与评标有关的其他任何情况均严格保密。</w:t>
      </w:r>
    </w:p>
    <w:p w14:paraId="7168D909">
      <w:pPr>
        <w:spacing w:line="360" w:lineRule="auto"/>
        <w:ind w:firstLine="480" w:firstLineChars="200"/>
        <w:rPr>
          <w:rFonts w:ascii="宋体" w:hAnsi="宋体" w:cs="宋体"/>
          <w:color w:val="auto"/>
          <w:sz w:val="24"/>
        </w:rPr>
      </w:pPr>
      <w:r>
        <w:rPr>
          <w:rFonts w:hint="eastAsia" w:ascii="宋体" w:hAnsi="宋体" w:cs="宋体"/>
          <w:color w:val="auto"/>
          <w:sz w:val="24"/>
        </w:rPr>
        <w:t>24.2 在投标文件的评审和比较、中标候选人推荐以及授予合同的过程中，投标人向招标人和评标委员会施加不公正影响的任何行为，都将会导致其投标被拒绝。</w:t>
      </w:r>
    </w:p>
    <w:p w14:paraId="031579BB">
      <w:pPr>
        <w:spacing w:line="360" w:lineRule="auto"/>
        <w:ind w:firstLine="482" w:firstLineChars="200"/>
        <w:rPr>
          <w:rFonts w:ascii="宋体" w:hAnsi="宋体" w:cs="宋体"/>
          <w:b/>
          <w:bCs/>
          <w:color w:val="auto"/>
          <w:sz w:val="24"/>
        </w:rPr>
      </w:pPr>
      <w:r>
        <w:rPr>
          <w:rFonts w:hint="eastAsia" w:ascii="宋体" w:hAnsi="宋体" w:cs="宋体"/>
          <w:b/>
          <w:bCs/>
          <w:color w:val="auto"/>
          <w:sz w:val="24"/>
        </w:rPr>
        <w:t>25．投标文件的澄清，计算错误的修正</w:t>
      </w:r>
    </w:p>
    <w:p w14:paraId="0B5F4FCE">
      <w:pPr>
        <w:spacing w:line="360" w:lineRule="auto"/>
        <w:ind w:firstLine="480" w:firstLineChars="200"/>
        <w:rPr>
          <w:rFonts w:ascii="宋体" w:hAnsi="宋体" w:cs="宋体"/>
          <w:color w:val="auto"/>
          <w:sz w:val="24"/>
        </w:rPr>
      </w:pPr>
      <w:r>
        <w:rPr>
          <w:rFonts w:hint="eastAsia" w:ascii="宋体" w:hAnsi="宋体" w:cs="宋体"/>
          <w:color w:val="auto"/>
          <w:sz w:val="24"/>
        </w:rPr>
        <w:t>详见招标文件第二章开标、评标及定标办法</w:t>
      </w:r>
    </w:p>
    <w:p w14:paraId="3DA83390">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26．投标文件的评审、比较和否决</w:t>
      </w:r>
    </w:p>
    <w:p w14:paraId="03DC7F54">
      <w:pPr>
        <w:spacing w:line="360" w:lineRule="auto"/>
        <w:ind w:firstLine="480" w:firstLineChars="200"/>
        <w:rPr>
          <w:rFonts w:ascii="宋体" w:hAnsi="宋体" w:cs="宋体"/>
          <w:bCs/>
          <w:color w:val="auto"/>
          <w:sz w:val="24"/>
          <w:szCs w:val="24"/>
        </w:rPr>
      </w:pPr>
      <w:r>
        <w:rPr>
          <w:rFonts w:hint="eastAsia" w:ascii="宋体" w:hAnsi="宋体" w:cs="宋体"/>
          <w:color w:val="auto"/>
          <w:sz w:val="24"/>
        </w:rPr>
        <w:t>详见招标文件第二章开标、评标及定标办法。</w:t>
      </w:r>
    </w:p>
    <w:p w14:paraId="5CCD2646">
      <w:pPr>
        <w:spacing w:line="360" w:lineRule="auto"/>
        <w:ind w:firstLine="482" w:firstLineChars="200"/>
        <w:rPr>
          <w:rFonts w:ascii="宋体" w:hAnsi="宋体" w:cs="宋体"/>
          <w:b/>
          <w:bCs/>
          <w:color w:val="auto"/>
          <w:sz w:val="24"/>
        </w:rPr>
      </w:pPr>
      <w:r>
        <w:rPr>
          <w:rFonts w:hint="eastAsia" w:ascii="宋体" w:hAnsi="宋体" w:cs="宋体"/>
          <w:b/>
          <w:bCs/>
          <w:color w:val="auto"/>
          <w:sz w:val="24"/>
        </w:rPr>
        <w:t>27．中标通知书</w:t>
      </w:r>
    </w:p>
    <w:p w14:paraId="2BA2622D">
      <w:pPr>
        <w:spacing w:line="360" w:lineRule="auto"/>
        <w:ind w:firstLine="480" w:firstLineChars="200"/>
        <w:rPr>
          <w:rFonts w:ascii="宋体" w:hAnsi="宋体" w:cs="宋体"/>
          <w:color w:val="auto"/>
          <w:sz w:val="24"/>
        </w:rPr>
      </w:pPr>
      <w:r>
        <w:rPr>
          <w:rFonts w:hint="eastAsia" w:ascii="宋体" w:hAnsi="宋体" w:cs="宋体"/>
          <w:color w:val="auto"/>
          <w:sz w:val="24"/>
        </w:rPr>
        <w:t>27.1招标人将在</w:t>
      </w:r>
      <w:r>
        <w:rPr>
          <w:rFonts w:hint="eastAsia" w:ascii="宋体" w:hAnsi="宋体" w:cs="宋体"/>
          <w:color w:val="auto"/>
          <w:sz w:val="24"/>
          <w:szCs w:val="24"/>
        </w:rPr>
        <w:t>交易平台</w:t>
      </w:r>
      <w:r>
        <w:rPr>
          <w:rFonts w:hint="eastAsia" w:ascii="宋体" w:hAnsi="宋体" w:cs="宋体"/>
          <w:color w:val="auto"/>
          <w:sz w:val="24"/>
        </w:rPr>
        <w:t>、广东省招标投标监管网和中国招标投标公共服务平台公示中标候选人，公示期为三天。</w:t>
      </w:r>
    </w:p>
    <w:p w14:paraId="708215EF">
      <w:pPr>
        <w:spacing w:line="360" w:lineRule="auto"/>
        <w:ind w:firstLine="480" w:firstLineChars="200"/>
        <w:rPr>
          <w:rFonts w:ascii="宋体" w:hAnsi="宋体" w:cs="宋体"/>
          <w:color w:val="auto"/>
          <w:sz w:val="24"/>
        </w:rPr>
      </w:pPr>
      <w:r>
        <w:rPr>
          <w:rFonts w:hint="eastAsia" w:ascii="宋体" w:hAnsi="宋体" w:cs="宋体"/>
          <w:color w:val="auto"/>
          <w:sz w:val="24"/>
        </w:rPr>
        <w:t>27.2招标人应当自确定中标人后，向招标投标监管机构提交招标投标情况的书面报告；经招投标监管机构备案后，方可发出中标通知书。</w:t>
      </w:r>
    </w:p>
    <w:p w14:paraId="4F907ABF">
      <w:pPr>
        <w:spacing w:line="360" w:lineRule="auto"/>
        <w:ind w:firstLine="480" w:firstLineChars="200"/>
        <w:rPr>
          <w:rFonts w:ascii="宋体" w:hAnsi="宋体" w:cs="宋体"/>
          <w:color w:val="auto"/>
          <w:sz w:val="24"/>
        </w:rPr>
      </w:pPr>
      <w:r>
        <w:rPr>
          <w:rFonts w:hint="eastAsia" w:ascii="宋体" w:hAnsi="宋体" w:cs="宋体"/>
          <w:color w:val="auto"/>
          <w:sz w:val="24"/>
        </w:rPr>
        <w:t>27.3中标人必须在收到中标通知书后24小时之内以书面形式回复招标人，确认收到。</w:t>
      </w:r>
    </w:p>
    <w:p w14:paraId="5F1FAE05">
      <w:pPr>
        <w:spacing w:line="360" w:lineRule="auto"/>
        <w:ind w:firstLine="480" w:firstLineChars="200"/>
        <w:rPr>
          <w:rFonts w:ascii="宋体" w:hAnsi="宋体" w:cs="宋体"/>
          <w:color w:val="auto"/>
          <w:sz w:val="24"/>
        </w:rPr>
      </w:pPr>
      <w:r>
        <w:rPr>
          <w:rFonts w:hint="eastAsia" w:ascii="宋体" w:hAnsi="宋体" w:cs="宋体"/>
          <w:color w:val="auto"/>
          <w:sz w:val="24"/>
        </w:rPr>
        <w:t>27.4在产生中标候选人后，招标人将中标候选人的投标文件商务部分文件的所有内容（包括报价清单、人员、业绩、奖项等资料）在</w:t>
      </w:r>
      <w:r>
        <w:rPr>
          <w:rFonts w:hint="eastAsia" w:ascii="宋体" w:hAnsi="宋体" w:cs="宋体"/>
          <w:color w:val="auto"/>
          <w:sz w:val="24"/>
          <w:szCs w:val="24"/>
        </w:rPr>
        <w:t>交易平台和广东省招标投标监管网</w:t>
      </w:r>
      <w:r>
        <w:rPr>
          <w:rFonts w:hint="eastAsia" w:ascii="宋体" w:hAnsi="宋体" w:cs="宋体"/>
          <w:color w:val="auto"/>
          <w:sz w:val="24"/>
        </w:rPr>
        <w:t>公开。</w:t>
      </w:r>
    </w:p>
    <w:p w14:paraId="02B21054">
      <w:pPr>
        <w:spacing w:line="360" w:lineRule="auto"/>
        <w:ind w:firstLine="482" w:firstLineChars="200"/>
        <w:rPr>
          <w:rFonts w:ascii="宋体" w:hAnsi="宋体" w:cs="宋体"/>
          <w:b/>
          <w:bCs/>
          <w:color w:val="auto"/>
          <w:sz w:val="24"/>
        </w:rPr>
      </w:pPr>
      <w:r>
        <w:rPr>
          <w:rFonts w:hint="eastAsia" w:ascii="宋体" w:hAnsi="宋体" w:cs="宋体"/>
          <w:b/>
          <w:bCs/>
          <w:color w:val="auto"/>
          <w:sz w:val="24"/>
        </w:rPr>
        <w:t>28．合同协议书的签订</w:t>
      </w:r>
    </w:p>
    <w:p w14:paraId="42B0423B">
      <w:pPr>
        <w:spacing w:line="360" w:lineRule="auto"/>
        <w:ind w:firstLine="480" w:firstLineChars="200"/>
        <w:rPr>
          <w:rFonts w:ascii="宋体" w:hAnsi="宋体" w:cs="宋体"/>
          <w:color w:val="auto"/>
          <w:sz w:val="24"/>
        </w:rPr>
      </w:pPr>
      <w:r>
        <w:rPr>
          <w:rFonts w:hint="eastAsia" w:ascii="宋体" w:hAnsi="宋体" w:cs="宋体"/>
          <w:color w:val="auto"/>
          <w:sz w:val="24"/>
        </w:rPr>
        <w:t>28.1 招标人与中标人将于中标通知书发出之日起30日内，按照招标文件和中标人的投标文件商定和签订合同，招标人和中标人不得再行订立背离合同实质性内容的其他协议。</w:t>
      </w:r>
    </w:p>
    <w:p w14:paraId="5665DCAB">
      <w:pPr>
        <w:spacing w:line="360" w:lineRule="auto"/>
        <w:ind w:firstLine="480" w:firstLineChars="200"/>
        <w:rPr>
          <w:rFonts w:ascii="宋体" w:hAnsi="宋体" w:cs="宋体"/>
          <w:color w:val="auto"/>
          <w:sz w:val="24"/>
        </w:rPr>
      </w:pPr>
      <w:r>
        <w:rPr>
          <w:rFonts w:hint="eastAsia" w:ascii="宋体" w:hAnsi="宋体" w:cs="宋体"/>
          <w:color w:val="auto"/>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52FC1B5">
      <w:pPr>
        <w:spacing w:line="360" w:lineRule="auto"/>
        <w:ind w:firstLine="480" w:firstLineChars="200"/>
        <w:rPr>
          <w:rFonts w:ascii="宋体" w:hAnsi="宋体" w:cs="宋体"/>
          <w:color w:val="auto"/>
          <w:sz w:val="24"/>
        </w:rPr>
      </w:pPr>
      <w:r>
        <w:rPr>
          <w:rFonts w:hint="eastAsia" w:ascii="宋体" w:hAnsi="宋体" w:cs="宋体"/>
          <w:color w:val="auto"/>
          <w:sz w:val="24"/>
        </w:rPr>
        <w:t>28.3非经招标人同意，中标人在投标过程中使用的银行名称及帐号至完成竣工结算不得变更，否则招标人有权停止工程款项的拔付及至解除合同，由此造成的一切责任由中标人承担。</w:t>
      </w:r>
    </w:p>
    <w:p w14:paraId="4C3629EA">
      <w:pPr>
        <w:spacing w:line="360" w:lineRule="auto"/>
        <w:ind w:firstLine="480" w:firstLineChars="200"/>
        <w:rPr>
          <w:rFonts w:ascii="宋体" w:hAnsi="宋体" w:cs="宋体"/>
          <w:color w:val="auto"/>
          <w:sz w:val="24"/>
        </w:rPr>
      </w:pPr>
      <w:r>
        <w:rPr>
          <w:rFonts w:hint="eastAsia" w:ascii="宋体" w:hAnsi="宋体" w:cs="宋体"/>
          <w:color w:val="auto"/>
          <w:sz w:val="24"/>
        </w:rPr>
        <w:t>28.4招标人支付工程款时，中标人应按规定开具发票。</w:t>
      </w:r>
    </w:p>
    <w:p w14:paraId="27ED40A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29．履约担保</w:t>
      </w:r>
    </w:p>
    <w:p w14:paraId="5C33CA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29.1 在收到中标通知书后的</w:t>
      </w:r>
      <w:r>
        <w:rPr>
          <w:rFonts w:hint="eastAsia" w:ascii="宋体" w:hAnsi="宋体" w:cs="宋体"/>
          <w:b/>
          <w:color w:val="auto"/>
          <w:sz w:val="24"/>
        </w:rPr>
        <w:t>15日</w:t>
      </w:r>
      <w:r>
        <w:rPr>
          <w:rFonts w:hint="eastAsia" w:ascii="宋体" w:hAnsi="宋体" w:cs="宋体"/>
          <w:color w:val="auto"/>
          <w:sz w:val="24"/>
        </w:rPr>
        <w:t>内，中标人应按本须知前附表第20项的规定向招标人提交履约担保。</w:t>
      </w:r>
    </w:p>
    <w:p w14:paraId="7E2019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186A6A1">
      <w:pPr>
        <w:spacing w:line="360" w:lineRule="auto"/>
        <w:ind w:firstLine="482" w:firstLineChars="200"/>
        <w:rPr>
          <w:rFonts w:ascii="宋体" w:hAnsi="宋体" w:cs="宋体"/>
          <w:b/>
          <w:bCs/>
          <w:color w:val="auto"/>
          <w:sz w:val="24"/>
        </w:rPr>
      </w:pPr>
      <w:r>
        <w:rPr>
          <w:rFonts w:hint="eastAsia" w:ascii="宋体" w:hAnsi="宋体" w:cs="宋体"/>
          <w:b/>
          <w:bCs/>
          <w:color w:val="auto"/>
          <w:sz w:val="24"/>
        </w:rPr>
        <w:t>30．合同生效</w:t>
      </w:r>
    </w:p>
    <w:p w14:paraId="60A87B51">
      <w:pPr>
        <w:spacing w:line="360" w:lineRule="auto"/>
        <w:ind w:firstLine="480" w:firstLineChars="200"/>
        <w:rPr>
          <w:rFonts w:ascii="宋体" w:hAnsi="宋体" w:cs="宋体"/>
          <w:color w:val="auto"/>
          <w:sz w:val="24"/>
        </w:rPr>
      </w:pPr>
      <w:r>
        <w:rPr>
          <w:rFonts w:hint="eastAsia" w:ascii="宋体" w:hAnsi="宋体" w:cs="宋体"/>
          <w:color w:val="auto"/>
          <w:sz w:val="24"/>
        </w:rPr>
        <w:t>30.1在合同双方全权代表在合同协议书上签字，并分别加盖双方单位的公章后，合同正式生效。</w:t>
      </w:r>
    </w:p>
    <w:p w14:paraId="06156400">
      <w:pPr>
        <w:spacing w:line="360" w:lineRule="auto"/>
        <w:ind w:firstLine="482" w:firstLineChars="200"/>
        <w:rPr>
          <w:rFonts w:ascii="宋体" w:hAnsi="宋体" w:cs="宋体"/>
          <w:b/>
          <w:bCs/>
          <w:color w:val="auto"/>
          <w:sz w:val="24"/>
        </w:rPr>
      </w:pPr>
      <w:r>
        <w:rPr>
          <w:rFonts w:hint="eastAsia" w:ascii="宋体" w:hAnsi="宋体" w:cs="宋体"/>
          <w:b/>
          <w:bCs/>
          <w:color w:val="auto"/>
          <w:sz w:val="24"/>
        </w:rPr>
        <w:t>31．其它费用</w:t>
      </w:r>
    </w:p>
    <w:p w14:paraId="7315BFBF">
      <w:pPr>
        <w:pStyle w:val="4"/>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32．腐败与欺诈行为</w:t>
      </w:r>
    </w:p>
    <w:p w14:paraId="48C132C4">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在招标和合同实施期间，招标人要求投标人和承包人遵守最高的道德标准。</w:t>
      </w:r>
    </w:p>
    <w:p w14:paraId="42B82E74">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32．1对本条款的规定，特定义如下词汇：</w:t>
      </w:r>
    </w:p>
    <w:p w14:paraId="543C4155">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1）、“腐败行为”是指在招标或合同执行期间，通过提供、给予、接受或索要任何有价值的东西，从而影响招标人有关人员工作的行为；</w:t>
      </w:r>
    </w:p>
    <w:p w14:paraId="4C83B639">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7891F32">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32．2如果投标人被认定在本招标的竞争中有腐败或欺诈行为，则会被取消投标资格。</w:t>
      </w:r>
    </w:p>
    <w:p w14:paraId="07B07D60">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32.3投标人如在本项目中存在串通投标、弄虚作假、行贿情形的，中标无效，行政监督部门将对其违法行为进行政处罚并通报。该投标人将被招标人列入黑名单并限制其参与招标人后续项目的投标。</w:t>
      </w:r>
    </w:p>
    <w:p w14:paraId="6F59FB36">
      <w:pPr>
        <w:spacing w:line="480" w:lineRule="auto"/>
        <w:ind w:firstLine="540" w:firstLineChars="224"/>
        <w:rPr>
          <w:rFonts w:ascii="宋体" w:hAnsi="宋体" w:cs="宋体"/>
          <w:b/>
          <w:color w:val="auto"/>
          <w:sz w:val="24"/>
        </w:rPr>
      </w:pPr>
      <w:r>
        <w:rPr>
          <w:rFonts w:hint="eastAsia" w:ascii="宋体" w:hAnsi="宋体" w:cs="宋体"/>
          <w:b/>
          <w:color w:val="auto"/>
          <w:sz w:val="24"/>
        </w:rPr>
        <w:t>33. 投标人信誉的要求</w:t>
      </w:r>
    </w:p>
    <w:p w14:paraId="4D907D95">
      <w:pPr>
        <w:spacing w:line="480" w:lineRule="auto"/>
        <w:ind w:firstLine="537" w:firstLineChars="224"/>
        <w:rPr>
          <w:rFonts w:ascii="宋体" w:hAnsi="宋体" w:cs="宋体"/>
          <w:color w:val="auto"/>
          <w:sz w:val="24"/>
          <w:shd w:val="clear" w:color="FFFFFF" w:fill="D9D9D9"/>
        </w:rPr>
      </w:pPr>
      <w:r>
        <w:rPr>
          <w:rFonts w:hint="eastAsia" w:ascii="宋体" w:hAnsi="宋体" w:cs="宋体"/>
          <w:color w:val="auto"/>
          <w:sz w:val="24"/>
        </w:rPr>
        <w:t>存在下列情形之一的，招标人可以限制其投标（需在招标文件中明确评定方法）</w:t>
      </w:r>
    </w:p>
    <w:p w14:paraId="5E7A229F">
      <w:pPr>
        <w:spacing w:line="480" w:lineRule="auto"/>
        <w:ind w:firstLine="537" w:firstLineChars="224"/>
        <w:rPr>
          <w:rFonts w:ascii="宋体" w:hAnsi="宋体" w:cs="宋体"/>
          <w:color w:val="auto"/>
          <w:sz w:val="24"/>
        </w:rPr>
      </w:pPr>
      <w:r>
        <w:rPr>
          <w:rFonts w:hint="eastAsia" w:ascii="宋体" w:hAnsi="宋体" w:cs="宋体"/>
          <w:color w:val="auto"/>
          <w:sz w:val="24"/>
        </w:rPr>
        <w:t>（1）被住房城乡建设行政主管部门在全国建筑市场监管一体化工作平台列入建筑市场主体“黑名单”；</w:t>
      </w:r>
    </w:p>
    <w:p w14:paraId="587665A7">
      <w:pPr>
        <w:pStyle w:val="4"/>
        <w:spacing w:after="0" w:line="360" w:lineRule="auto"/>
        <w:ind w:firstLine="480" w:firstLineChars="200"/>
        <w:rPr>
          <w:rFonts w:ascii="宋体" w:hAnsi="宋体" w:cs="宋体"/>
          <w:color w:val="auto"/>
          <w:sz w:val="24"/>
        </w:rPr>
      </w:pPr>
      <w:r>
        <w:rPr>
          <w:rFonts w:hint="eastAsia" w:ascii="宋体" w:hAnsi="宋体" w:cs="宋体"/>
          <w:color w:val="auto"/>
          <w:sz w:val="24"/>
        </w:rPr>
        <w:t>（2）被发改委、人力资源社会保障、质检总局等有关部门、单位在“信用中国”网站中列入联合惩戒失信黑名单。</w:t>
      </w:r>
    </w:p>
    <w:bookmarkEnd w:id="6"/>
    <w:p w14:paraId="11500780">
      <w:pPr>
        <w:pStyle w:val="2"/>
        <w:rPr>
          <w:rFonts w:ascii="宋体" w:hAnsi="宋体" w:cs="宋体"/>
          <w:color w:val="auto"/>
        </w:rPr>
      </w:pPr>
      <w:r>
        <w:rPr>
          <w:rFonts w:hint="eastAsia" w:ascii="宋体" w:hAnsi="宋体" w:cs="宋体"/>
          <w:color w:val="auto"/>
          <w:sz w:val="24"/>
        </w:rPr>
        <w:br w:type="page"/>
      </w:r>
      <w:bookmarkStart w:id="15" w:name="_Toc286"/>
      <w:r>
        <w:rPr>
          <w:rFonts w:hint="eastAsia" w:ascii="宋体" w:hAnsi="宋体" w:cs="宋体"/>
          <w:color w:val="auto"/>
        </w:rPr>
        <w:t>第二章  开标、评标及定标办法</w:t>
      </w:r>
      <w:bookmarkEnd w:id="15"/>
    </w:p>
    <w:p w14:paraId="6E876405">
      <w:pPr>
        <w:pStyle w:val="6"/>
        <w:rPr>
          <w:rFonts w:ascii="宋体" w:hAnsi="宋体" w:cs="宋体"/>
          <w:color w:val="auto"/>
        </w:rPr>
      </w:pPr>
      <w:bookmarkStart w:id="16" w:name="_Toc20398"/>
      <w:r>
        <w:rPr>
          <w:rFonts w:hint="eastAsia" w:ascii="宋体" w:hAnsi="宋体" w:cs="宋体"/>
          <w:color w:val="auto"/>
          <w:sz w:val="28"/>
          <w:szCs w:val="28"/>
        </w:rPr>
        <w:t>一、</w:t>
      </w:r>
      <w:r>
        <w:rPr>
          <w:rFonts w:hint="eastAsia" w:ascii="宋体" w:hAnsi="宋体" w:cs="宋体"/>
          <w:color w:val="auto"/>
        </w:rPr>
        <w:t>开标、评标及定标办法修改表</w:t>
      </w:r>
      <w:bookmarkEnd w:id="16"/>
    </w:p>
    <w:p w14:paraId="6A9A21A8">
      <w:pPr>
        <w:pStyle w:val="4"/>
        <w:spacing w:after="0" w:line="360" w:lineRule="auto"/>
        <w:rPr>
          <w:rFonts w:ascii="宋体" w:hAnsi="宋体" w:cs="宋体"/>
          <w:b/>
          <w:color w:val="auto"/>
          <w:szCs w:val="21"/>
        </w:rPr>
      </w:pPr>
      <w:r>
        <w:rPr>
          <w:rFonts w:hint="eastAsia" w:ascii="宋体" w:hAnsi="宋体" w:cs="宋体"/>
          <w:b/>
          <w:color w:val="auto"/>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40FA8BA2">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36.1            </w:t>
      </w:r>
      <w:r>
        <w:rPr>
          <w:rFonts w:hint="eastAsia" w:ascii="宋体" w:hAnsi="宋体" w:cs="宋体"/>
          <w:b/>
          <w:color w:val="auto"/>
          <w:sz w:val="24"/>
          <w:szCs w:val="24"/>
        </w:rPr>
        <w:t>修改类型：修改</w:t>
      </w:r>
    </w:p>
    <w:p w14:paraId="6B0B5B22">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p>
    <w:p w14:paraId="39569898">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u w:val="single"/>
        </w:rPr>
        <w:t>若投标人不参加开标会的，其投标文件在开标现场的投标人或招标人代表、招标代理机构代表及交易中心代表见证下公开开启、解密、公布，并视同该投标人认可开标结果。</w:t>
      </w:r>
    </w:p>
    <w:p w14:paraId="2DECE862">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color w:val="auto"/>
          <w:sz w:val="24"/>
          <w:szCs w:val="24"/>
        </w:rPr>
        <w:t xml:space="preserve">36.3                </w:t>
      </w:r>
      <w:r>
        <w:rPr>
          <w:rFonts w:hint="eastAsia" w:ascii="宋体" w:hAnsi="宋体" w:cs="宋体"/>
          <w:b/>
          <w:color w:val="auto"/>
          <w:sz w:val="24"/>
          <w:szCs w:val="24"/>
        </w:rPr>
        <w:t>修改类型：删除</w:t>
      </w:r>
    </w:p>
    <w:p w14:paraId="5012DFCD">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1ED2D3D">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条款号：36.4                修改类型：修改</w:t>
      </w:r>
    </w:p>
    <w:p w14:paraId="73739DEE">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36.4若递交投标文件的投标人不足3家，则重新组织招标。（当N个标段同时招标且不允许兼中时，若有效投标人不足N+2家，则重新组织招标）。</w:t>
      </w:r>
    </w:p>
    <w:p w14:paraId="5CA91190">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36.4若递交投标文件的投标人不足3家，则重新组织招标。</w:t>
      </w:r>
    </w:p>
    <w:p w14:paraId="5BA1CEAF">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w:t>
      </w:r>
      <w:r>
        <w:rPr>
          <w:rFonts w:hint="eastAsia" w:ascii="宋体" w:hAnsi="宋体" w:cs="宋体"/>
          <w:bCs/>
          <w:color w:val="auto"/>
          <w:sz w:val="24"/>
          <w:szCs w:val="24"/>
        </w:rPr>
        <w:t xml:space="preserve">36.5.1              </w:t>
      </w:r>
      <w:r>
        <w:rPr>
          <w:rFonts w:hint="eastAsia" w:ascii="宋体" w:hAnsi="宋体" w:cs="宋体"/>
          <w:b/>
          <w:color w:val="auto"/>
          <w:sz w:val="24"/>
          <w:szCs w:val="24"/>
        </w:rPr>
        <w:t>修改类型：修改</w:t>
      </w:r>
    </w:p>
    <w:p w14:paraId="15CE8026">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02047194">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报价、工期及其他内容；</w:t>
      </w:r>
    </w:p>
    <w:p w14:paraId="25B4199B">
      <w:pPr>
        <w:pStyle w:val="35"/>
        <w:widowControl/>
        <w:spacing w:line="360" w:lineRule="auto"/>
        <w:ind w:firstLine="480" w:firstLineChars="200"/>
        <w:rPr>
          <w:rFonts w:ascii="宋体" w:hAnsi="宋体" w:cs="宋体"/>
          <w:b/>
          <w:bCs/>
          <w:color w:val="auto"/>
          <w:szCs w:val="24"/>
          <w:shd w:val="clear" w:color="auto" w:fill="FFFFFF"/>
        </w:rPr>
      </w:pPr>
      <w:r>
        <w:rPr>
          <w:rFonts w:hint="eastAsia" w:ascii="宋体" w:hAnsi="宋体" w:cs="宋体"/>
          <w:b/>
          <w:bCs/>
          <w:color w:val="auto"/>
          <w:szCs w:val="24"/>
          <w:shd w:val="clear" w:color="auto" w:fill="FFFFFF"/>
        </w:rPr>
        <w:t>条款号：39.3                   修改类型：修改</w:t>
      </w:r>
    </w:p>
    <w:p w14:paraId="28B0EA5E">
      <w:pPr>
        <w:widowControl/>
        <w:spacing w:line="360" w:lineRule="auto"/>
        <w:ind w:firstLine="472" w:firstLineChars="196"/>
        <w:jc w:val="left"/>
        <w:rPr>
          <w:rFonts w:ascii="宋体" w:hAnsi="宋体" w:cs="宋体"/>
          <w:color w:val="auto"/>
          <w:sz w:val="24"/>
          <w:szCs w:val="24"/>
          <w:shd w:val="clear" w:color="auto" w:fill="FFFFFF"/>
        </w:rPr>
      </w:pPr>
      <w:r>
        <w:rPr>
          <w:rFonts w:hint="eastAsia" w:ascii="宋体" w:hAnsi="宋体" w:cs="宋体"/>
          <w:b/>
          <w:color w:val="auto"/>
          <w:kern w:val="0"/>
          <w:sz w:val="24"/>
          <w:szCs w:val="24"/>
          <w:shd w:val="clear" w:color="auto" w:fill="FFFFFF"/>
        </w:rPr>
        <w:t>原文：</w:t>
      </w:r>
      <w:r>
        <w:rPr>
          <w:rFonts w:hint="eastAsia" w:ascii="宋体" w:hAnsi="宋体" w:cs="宋体"/>
          <w:color w:val="auto"/>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0B352A52">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shd w:val="clear" w:color="auto" w:fill="FFFFFF"/>
        </w:rPr>
        <w:t>现文：</w:t>
      </w:r>
      <w:r>
        <w:rPr>
          <w:rFonts w:hint="eastAsia" w:ascii="宋体" w:hAnsi="宋体" w:cs="宋体"/>
          <w:color w:val="auto"/>
          <w:sz w:val="24"/>
          <w:szCs w:val="24"/>
        </w:rPr>
        <w:t>排名第一的中标候选人放弃中标、或因不可抗力提出不能履行合同，或者招标文件规定应当提交履约担保而在规定的期限内未能提交的，</w:t>
      </w:r>
      <w:r>
        <w:rPr>
          <w:rFonts w:hint="eastAsia" w:ascii="宋体" w:hAnsi="宋体" w:cs="宋体"/>
          <w:color w:val="auto"/>
          <w:sz w:val="24"/>
          <w:szCs w:val="24"/>
          <w:u w:val="single"/>
          <w:shd w:val="clear" w:color="auto" w:fill="FFFFFF"/>
        </w:rPr>
        <w:t>或经核查发现委派的项目负责人已在其他在建项目中担任施工单位项目负责人的，</w:t>
      </w:r>
      <w:r>
        <w:rPr>
          <w:rFonts w:hint="eastAsia" w:ascii="宋体" w:hAnsi="宋体" w:cs="宋体"/>
          <w:color w:val="auto"/>
          <w:sz w:val="24"/>
          <w:szCs w:val="24"/>
          <w:u w:val="single"/>
        </w:rPr>
        <w:t>招标人可以确定排名第二的中标候选人为中标人。</w:t>
      </w:r>
    </w:p>
    <w:p w14:paraId="6CA730D3">
      <w:pPr>
        <w:pStyle w:val="35"/>
        <w:widowControl/>
        <w:spacing w:line="360" w:lineRule="auto"/>
        <w:ind w:firstLine="480" w:firstLineChars="200"/>
        <w:rPr>
          <w:rFonts w:ascii="宋体" w:hAnsi="宋体" w:cs="宋体"/>
          <w:b/>
          <w:bCs/>
          <w:color w:val="auto"/>
          <w:szCs w:val="24"/>
          <w:shd w:val="clear" w:color="auto" w:fill="FFFFFF"/>
        </w:rPr>
      </w:pPr>
      <w:r>
        <w:rPr>
          <w:rFonts w:hint="eastAsia" w:ascii="宋体" w:hAnsi="宋体" w:cs="宋体"/>
          <w:b/>
          <w:bCs/>
          <w:color w:val="auto"/>
          <w:szCs w:val="24"/>
          <w:shd w:val="clear" w:color="auto" w:fill="FFFFFF"/>
        </w:rPr>
        <w:t>条款号：（二）开标评标办法程序和细则      修改类型：删除</w:t>
      </w:r>
    </w:p>
    <w:p w14:paraId="147D258B">
      <w:pPr>
        <w:pBdr>
          <w:bottom w:val="single" w:color="auto" w:sz="6" w:space="1"/>
        </w:pBdr>
        <w:spacing w:line="360" w:lineRule="auto"/>
        <w:ind w:firstLine="482" w:firstLineChars="200"/>
        <w:rPr>
          <w:rFonts w:ascii="宋体" w:hAnsi="宋体" w:cs="宋体"/>
          <w:b/>
          <w:color w:val="auto"/>
          <w:sz w:val="24"/>
          <w:szCs w:val="24"/>
        </w:rPr>
      </w:pPr>
      <w:r>
        <w:rPr>
          <w:rFonts w:hint="eastAsia" w:ascii="宋体" w:hAnsi="宋体" w:cs="宋体"/>
          <w:b/>
          <w:bCs/>
          <w:color w:val="auto"/>
          <w:sz w:val="24"/>
          <w:szCs w:val="24"/>
          <w:shd w:val="clear" w:color="auto" w:fill="FFFFFF"/>
        </w:rPr>
        <w:t>原文：</w:t>
      </w:r>
      <w:r>
        <w:rPr>
          <w:rFonts w:hint="eastAsia" w:ascii="宋体" w:hAnsi="宋体" w:cs="宋体"/>
          <w:color w:val="auto"/>
          <w:sz w:val="24"/>
          <w:szCs w:val="24"/>
          <w:shd w:val="clear" w:color="auto" w:fill="FFFFFF"/>
        </w:rPr>
        <w:t>注：以下八种评标办法所述企业综合诚信评价分数即投标截止当日广州市住房和城乡建设局网站上公布的企业综合诚信评价60日诚信分。</w:t>
      </w:r>
    </w:p>
    <w:p w14:paraId="6BB11132">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 评标办法        修改类型：删除</w:t>
      </w:r>
    </w:p>
    <w:p w14:paraId="3DF3E081">
      <w:pPr>
        <w:pBdr>
          <w:bottom w:val="single" w:color="auto" w:sz="6" w:space="1"/>
        </w:pBdr>
        <w:spacing w:line="360" w:lineRule="auto"/>
        <w:ind w:firstLine="602" w:firstLineChars="250"/>
        <w:rPr>
          <w:rStyle w:val="47"/>
          <w:rFonts w:ascii="宋体" w:hAnsi="宋体" w:cs="宋体"/>
          <w:color w:val="auto"/>
          <w:sz w:val="24"/>
          <w:szCs w:val="24"/>
        </w:rPr>
      </w:pPr>
      <w:r>
        <w:rPr>
          <w:rFonts w:hint="eastAsia" w:ascii="宋体" w:hAnsi="宋体" w:cs="宋体"/>
          <w:b/>
          <w:color w:val="auto"/>
          <w:sz w:val="24"/>
          <w:szCs w:val="24"/>
        </w:rPr>
        <w:t>原文：</w:t>
      </w:r>
      <w:r>
        <w:rPr>
          <w:rStyle w:val="47"/>
          <w:rFonts w:hint="eastAsia" w:ascii="宋体" w:hAnsi="宋体" w:cs="宋体"/>
          <w:color w:val="auto"/>
          <w:sz w:val="24"/>
          <w:szCs w:val="24"/>
        </w:rPr>
        <w:t>可选</w:t>
      </w:r>
      <w:r>
        <w:rPr>
          <w:rFonts w:hint="eastAsia" w:ascii="宋体" w:hAnsi="宋体" w:cs="宋体"/>
          <w:color w:val="auto"/>
          <w:sz w:val="24"/>
          <w:szCs w:val="24"/>
          <w:u w:val="single"/>
        </w:rPr>
        <w:t>办法</w:t>
      </w:r>
      <w:r>
        <w:rPr>
          <w:rStyle w:val="47"/>
          <w:rFonts w:hint="eastAsia" w:ascii="宋体" w:hAnsi="宋体" w:cs="宋体"/>
          <w:color w:val="auto"/>
          <w:sz w:val="24"/>
          <w:szCs w:val="24"/>
        </w:rPr>
        <w:t>一（适合</w:t>
      </w:r>
      <w:r>
        <w:rPr>
          <w:rStyle w:val="47"/>
          <w:rFonts w:hint="eastAsia" w:ascii="宋体" w:hAnsi="宋体" w:cs="宋体"/>
          <w:color w:val="auto"/>
          <w:kern w:val="0"/>
          <w:sz w:val="24"/>
          <w:szCs w:val="24"/>
        </w:rPr>
        <w:t>综合评分法一</w:t>
      </w:r>
      <w:r>
        <w:rPr>
          <w:rStyle w:val="47"/>
          <w:rFonts w:hint="eastAsia" w:ascii="宋体" w:hAnsi="宋体" w:cs="宋体"/>
          <w:color w:val="auto"/>
          <w:sz w:val="24"/>
          <w:szCs w:val="24"/>
        </w:rPr>
        <w:t>，技术标与经济标先后分别开启）</w:t>
      </w:r>
    </w:p>
    <w:p w14:paraId="343C0A28">
      <w:pPr>
        <w:pBdr>
          <w:bottom w:val="single" w:color="auto" w:sz="6" w:space="1"/>
        </w:pBdr>
        <w:spacing w:line="360" w:lineRule="auto"/>
        <w:ind w:firstLine="1320" w:firstLineChars="550"/>
        <w:rPr>
          <w:rStyle w:val="47"/>
          <w:rFonts w:ascii="宋体" w:hAnsi="宋体" w:cs="宋体"/>
          <w:color w:val="auto"/>
          <w:sz w:val="24"/>
          <w:szCs w:val="24"/>
        </w:rPr>
      </w:pPr>
      <w:r>
        <w:rPr>
          <w:rStyle w:val="47"/>
          <w:rFonts w:hint="eastAsia" w:ascii="宋体" w:hAnsi="宋体" w:cs="宋体"/>
          <w:color w:val="auto"/>
          <w:sz w:val="24"/>
          <w:szCs w:val="24"/>
        </w:rPr>
        <w:t>可选</w:t>
      </w:r>
      <w:r>
        <w:rPr>
          <w:rFonts w:hint="eastAsia" w:ascii="宋体" w:hAnsi="宋体" w:cs="宋体"/>
          <w:color w:val="auto"/>
          <w:sz w:val="24"/>
          <w:szCs w:val="24"/>
          <w:u w:val="single"/>
        </w:rPr>
        <w:t>办法</w:t>
      </w:r>
      <w:r>
        <w:rPr>
          <w:rStyle w:val="47"/>
          <w:rFonts w:hint="eastAsia" w:ascii="宋体" w:hAnsi="宋体" w:cs="宋体"/>
          <w:color w:val="auto"/>
          <w:sz w:val="24"/>
          <w:szCs w:val="24"/>
        </w:rPr>
        <w:t>二（适合综合评分法一，技术标与经济标同时开启）</w:t>
      </w:r>
    </w:p>
    <w:p w14:paraId="0B0EE7A7">
      <w:pPr>
        <w:pBdr>
          <w:bottom w:val="single" w:color="auto" w:sz="6" w:space="1"/>
        </w:pBdr>
        <w:spacing w:line="360" w:lineRule="auto"/>
        <w:ind w:firstLine="1320" w:firstLineChars="550"/>
        <w:rPr>
          <w:rStyle w:val="47"/>
          <w:rFonts w:ascii="宋体" w:hAnsi="宋体" w:cs="宋体"/>
          <w:color w:val="auto"/>
          <w:sz w:val="24"/>
          <w:szCs w:val="24"/>
        </w:rPr>
      </w:pPr>
      <w:r>
        <w:rPr>
          <w:rStyle w:val="47"/>
          <w:rFonts w:hint="eastAsia" w:ascii="宋体" w:hAnsi="宋体" w:cs="宋体"/>
          <w:color w:val="auto"/>
          <w:sz w:val="24"/>
          <w:szCs w:val="24"/>
        </w:rPr>
        <w:t>可选办法三（适合综合评分法二，技术标与经济标先后分别开启）</w:t>
      </w:r>
    </w:p>
    <w:p w14:paraId="5CF4F2D1">
      <w:pPr>
        <w:pBdr>
          <w:bottom w:val="single" w:color="auto" w:sz="6" w:space="1"/>
        </w:pBdr>
        <w:spacing w:line="360" w:lineRule="auto"/>
        <w:ind w:firstLine="1320" w:firstLineChars="550"/>
        <w:rPr>
          <w:rStyle w:val="47"/>
          <w:rFonts w:ascii="宋体" w:hAnsi="宋体" w:cs="宋体"/>
          <w:color w:val="auto"/>
          <w:sz w:val="24"/>
          <w:szCs w:val="24"/>
        </w:rPr>
      </w:pPr>
      <w:r>
        <w:rPr>
          <w:rStyle w:val="47"/>
          <w:rFonts w:hint="eastAsia" w:ascii="宋体" w:hAnsi="宋体" w:cs="宋体"/>
          <w:color w:val="auto"/>
          <w:sz w:val="24"/>
          <w:szCs w:val="24"/>
        </w:rPr>
        <w:t>可选办法四（适合综合评分法二，技术标与经济标同时开启）</w:t>
      </w:r>
    </w:p>
    <w:p w14:paraId="3CEBD826">
      <w:pPr>
        <w:pBdr>
          <w:bottom w:val="single" w:color="auto" w:sz="6" w:space="1"/>
        </w:pBdr>
        <w:spacing w:line="360" w:lineRule="auto"/>
        <w:ind w:firstLine="1320" w:firstLineChars="550"/>
        <w:rPr>
          <w:rStyle w:val="47"/>
          <w:rFonts w:ascii="宋体" w:hAnsi="宋体" w:cs="宋体"/>
          <w:color w:val="auto"/>
          <w:sz w:val="24"/>
          <w:szCs w:val="24"/>
        </w:rPr>
      </w:pPr>
      <w:r>
        <w:rPr>
          <w:rStyle w:val="47"/>
          <w:rFonts w:hint="eastAsia" w:ascii="宋体" w:hAnsi="宋体" w:cs="宋体"/>
          <w:color w:val="auto"/>
          <w:sz w:val="24"/>
          <w:szCs w:val="24"/>
        </w:rPr>
        <w:t>可选办法五（适合综合评分法三，技术标与经济标先后分别开启）</w:t>
      </w:r>
    </w:p>
    <w:p w14:paraId="10019EA7">
      <w:pPr>
        <w:pBdr>
          <w:bottom w:val="single" w:color="auto" w:sz="6" w:space="1"/>
        </w:pBdr>
        <w:spacing w:line="360" w:lineRule="auto"/>
        <w:ind w:firstLine="1320" w:firstLineChars="550"/>
        <w:rPr>
          <w:rStyle w:val="47"/>
          <w:rFonts w:ascii="宋体" w:hAnsi="宋体" w:cs="宋体"/>
          <w:color w:val="auto"/>
          <w:sz w:val="24"/>
          <w:szCs w:val="24"/>
        </w:rPr>
      </w:pPr>
      <w:r>
        <w:rPr>
          <w:rStyle w:val="47"/>
          <w:rFonts w:hint="eastAsia" w:ascii="宋体" w:hAnsi="宋体" w:cs="宋体"/>
          <w:color w:val="auto"/>
          <w:sz w:val="24"/>
          <w:szCs w:val="24"/>
        </w:rPr>
        <w:t>可选办法六（适合综合评分法三，技术标与经济标同时开启）</w:t>
      </w:r>
    </w:p>
    <w:p w14:paraId="1C93267F">
      <w:pPr>
        <w:pBdr>
          <w:bottom w:val="single" w:color="auto" w:sz="6" w:space="1"/>
        </w:pBdr>
        <w:spacing w:line="360" w:lineRule="auto"/>
        <w:ind w:firstLine="1320" w:firstLineChars="550"/>
        <w:rPr>
          <w:rFonts w:ascii="宋体" w:hAnsi="宋体" w:cs="宋体"/>
          <w:b/>
          <w:color w:val="auto"/>
          <w:sz w:val="24"/>
          <w:szCs w:val="24"/>
        </w:rPr>
      </w:pPr>
      <w:r>
        <w:rPr>
          <w:rStyle w:val="47"/>
          <w:rFonts w:hint="eastAsia" w:ascii="宋体" w:hAnsi="宋体" w:cs="宋体"/>
          <w:color w:val="auto"/>
          <w:sz w:val="24"/>
          <w:szCs w:val="24"/>
        </w:rPr>
        <w:t>可选办法八（适合经评审的最低投标价法，技术标与经济标同时开启）</w:t>
      </w:r>
    </w:p>
    <w:p w14:paraId="227C8DFD">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 41.1         修改类型：修改</w:t>
      </w:r>
    </w:p>
    <w:p w14:paraId="168E1ED2">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41.1 开标由招标人主持；</w:t>
      </w:r>
    </w:p>
    <w:p w14:paraId="10A9CE01">
      <w:pPr>
        <w:pBdr>
          <w:bottom w:val="single" w:color="auto" w:sz="6" w:space="1"/>
        </w:pBdr>
        <w:spacing w:line="360" w:lineRule="auto"/>
        <w:ind w:firstLine="602" w:firstLineChars="250"/>
        <w:rPr>
          <w:rFonts w:ascii="宋体" w:hAnsi="宋体" w:cs="宋体"/>
          <w:b/>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 xml:space="preserve">41.1 </w:t>
      </w:r>
      <w:r>
        <w:rPr>
          <w:rFonts w:hint="eastAsia" w:ascii="宋体" w:hAnsi="宋体" w:cs="宋体"/>
          <w:color w:val="auto"/>
          <w:sz w:val="24"/>
          <w:szCs w:val="24"/>
          <w:u w:val="single"/>
        </w:rPr>
        <w:t>开标由招标人或招标代理主持；</w:t>
      </w:r>
    </w:p>
    <w:p w14:paraId="031C0067">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条款号：41.2.1             修改类型：修改</w:t>
      </w:r>
    </w:p>
    <w:p w14:paraId="61533904">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
          <w:bCs/>
          <w:color w:val="auto"/>
          <w:sz w:val="24"/>
          <w:szCs w:val="24"/>
        </w:rPr>
        <w:t>41.2.1</w:t>
      </w:r>
      <w:r>
        <w:rPr>
          <w:rFonts w:hint="eastAsia" w:ascii="宋体" w:hAnsi="宋体" w:cs="宋体"/>
          <w:bCs/>
          <w:color w:val="auto"/>
          <w:sz w:val="24"/>
          <w:szCs w:val="24"/>
        </w:rPr>
        <w:t xml:space="preserve">投标截止期前，各投标人递交投标文件（包括技术标投标文件、经济标投标文件）至交易平台。有关投标文件提交的事项详见第一章投标须知。 </w:t>
      </w:r>
    </w:p>
    <w:p w14:paraId="37AA6378">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
          <w:bCs/>
          <w:color w:val="auto"/>
          <w:sz w:val="24"/>
          <w:szCs w:val="24"/>
        </w:rPr>
        <w:t>41.2.1</w:t>
      </w:r>
      <w:r>
        <w:rPr>
          <w:rFonts w:hint="eastAsia" w:ascii="宋体" w:hAnsi="宋体" w:cs="宋体"/>
          <w:bCs/>
          <w:color w:val="auto"/>
          <w:sz w:val="24"/>
          <w:szCs w:val="24"/>
        </w:rPr>
        <w:t>投标截止期前，各投标人递交投标文件（包括技术标投标文件、经济标投标文件）至</w:t>
      </w:r>
      <w:r>
        <w:rPr>
          <w:rFonts w:hint="eastAsia" w:ascii="宋体" w:hAnsi="宋体" w:cs="宋体"/>
          <w:bCs/>
          <w:color w:val="auto"/>
          <w:sz w:val="24"/>
          <w:szCs w:val="24"/>
          <w:u w:val="single"/>
          <w:lang w:eastAsia="zh-CN"/>
        </w:rPr>
        <w:t>广州交易集团有限公司（广州公共资源交易中心）</w:t>
      </w:r>
      <w:r>
        <w:rPr>
          <w:rFonts w:hint="eastAsia" w:ascii="宋体" w:hAnsi="宋体" w:cs="宋体"/>
          <w:bCs/>
          <w:color w:val="auto"/>
          <w:sz w:val="24"/>
          <w:szCs w:val="24"/>
        </w:rPr>
        <w:t>交易平台。有关投标文件提交的事项详见第一章投标须知。</w:t>
      </w:r>
    </w:p>
    <w:p w14:paraId="6C404411">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条款号：41.2.3             修改类型：修改</w:t>
      </w:r>
    </w:p>
    <w:p w14:paraId="08908D3B">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41.2.3开标时，投标人代表有权出席开标会，也可以自主决定不参加开标会，若投标人代表对开标过程提出异议，该投标人代表须同时出示本人身份证原件。</w:t>
      </w:r>
    </w:p>
    <w:p w14:paraId="7CE75043">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0D5338A">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条款号：42.2                    修改类型：修改</w:t>
      </w:r>
    </w:p>
    <w:p w14:paraId="59CFF88E">
      <w:pPr>
        <w:pStyle w:val="4"/>
        <w:tabs>
          <w:tab w:val="left" w:pos="7380"/>
        </w:tabs>
        <w:snapToGrid w:val="0"/>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42.2评标委员会的组成：方式。</w:t>
      </w:r>
    </w:p>
    <w:p w14:paraId="3129F363">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14:paraId="6FDDBC31">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方式二：评标委员会由技术评审组和经济评审组组成。其中：资格审查及技术评审由技术评标组负责，经济评审由经济评审组负责。</w:t>
      </w:r>
    </w:p>
    <w:p w14:paraId="5CADB73D">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42.2评标委员会的组成：方式</w:t>
      </w:r>
      <w:r>
        <w:rPr>
          <w:rFonts w:hint="eastAsia" w:ascii="宋体" w:hAnsi="宋体" w:cs="宋体"/>
          <w:color w:val="auto"/>
          <w:sz w:val="24"/>
          <w:szCs w:val="24"/>
          <w:u w:val="single"/>
        </w:rPr>
        <w:t xml:space="preserve"> 一 </w:t>
      </w:r>
      <w:r>
        <w:rPr>
          <w:rFonts w:hint="eastAsia" w:ascii="宋体" w:hAnsi="宋体" w:cs="宋体"/>
          <w:color w:val="auto"/>
          <w:sz w:val="24"/>
          <w:szCs w:val="24"/>
        </w:rPr>
        <w:t>。</w:t>
      </w:r>
    </w:p>
    <w:p w14:paraId="30B43CB5">
      <w:pPr>
        <w:pBdr>
          <w:bottom w:val="single" w:color="auto" w:sz="6" w:space="1"/>
        </w:pBdr>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14:paraId="562CE31E">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条款号：43.1                    修改类型：修改</w:t>
      </w:r>
    </w:p>
    <w:p w14:paraId="0AD6CBE7">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原文：</w:t>
      </w:r>
      <w:r>
        <w:rPr>
          <w:rFonts w:hint="eastAsia" w:ascii="宋体" w:hAnsi="宋体" w:cs="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4A146D76">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color w:val="auto"/>
          <w:sz w:val="24"/>
          <w:szCs w:val="24"/>
        </w:rPr>
        <w:t>43.1</w:t>
      </w:r>
      <w:r>
        <w:rPr>
          <w:rFonts w:hint="eastAsia" w:ascii="宋体" w:hAnsi="宋体" w:cs="宋体"/>
          <w:bCs/>
          <w:color w:val="auto"/>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DA4A828">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条款号：43.6                          修改类型：修改</w:t>
      </w:r>
    </w:p>
    <w:p w14:paraId="5FFFD542">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43.6资格审查合格的投标人少于3名的（当N个标段同时招标且不允许兼中时，资格审查合格的投标人少于N+2名），则本项目招标失败。</w:t>
      </w:r>
    </w:p>
    <w:p w14:paraId="04CD5BCE">
      <w:pPr>
        <w:pBdr>
          <w:bottom w:val="single" w:color="auto" w:sz="6" w:space="1"/>
        </w:pBdr>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43.6</w:t>
      </w:r>
      <w:r>
        <w:rPr>
          <w:rFonts w:hint="eastAsia" w:ascii="宋体" w:hAnsi="宋体" w:cs="宋体"/>
          <w:color w:val="auto"/>
          <w:sz w:val="24"/>
          <w:szCs w:val="24"/>
          <w:u w:val="single"/>
        </w:rPr>
        <w:t>资格审查合格的投标人少于3名的，则本项目招标失败</w:t>
      </w:r>
      <w:r>
        <w:rPr>
          <w:rFonts w:hint="eastAsia" w:ascii="宋体" w:hAnsi="宋体" w:cs="宋体"/>
          <w:color w:val="auto"/>
          <w:sz w:val="24"/>
          <w:szCs w:val="24"/>
        </w:rPr>
        <w:t>。</w:t>
      </w:r>
    </w:p>
    <w:p w14:paraId="16E622E7">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条款号：44.1                    修改类型：修改</w:t>
      </w:r>
    </w:p>
    <w:p w14:paraId="5672C99F">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01A5BBBB">
      <w:pPr>
        <w:pBdr>
          <w:bottom w:val="single" w:color="auto" w:sz="6" w:space="1"/>
        </w:pBdr>
        <w:spacing w:line="360" w:lineRule="auto"/>
        <w:ind w:firstLine="540" w:firstLineChars="224"/>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3182F98">
      <w:pPr>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条款号：</w:t>
      </w:r>
      <w:r>
        <w:rPr>
          <w:rFonts w:hint="eastAsia" w:ascii="宋体" w:hAnsi="宋体" w:cs="宋体"/>
          <w:color w:val="auto"/>
          <w:sz w:val="24"/>
          <w:szCs w:val="24"/>
        </w:rPr>
        <w:t>45</w:t>
      </w:r>
      <w:r>
        <w:rPr>
          <w:rFonts w:hint="eastAsia" w:ascii="宋体" w:hAnsi="宋体" w:cs="宋体"/>
          <w:b/>
          <w:bCs/>
          <w:color w:val="auto"/>
          <w:sz w:val="24"/>
          <w:szCs w:val="24"/>
        </w:rPr>
        <w:t xml:space="preserve">                       修改类型：修改</w:t>
      </w:r>
    </w:p>
    <w:p w14:paraId="00D417A2">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原文：45．经济标评审和得分汇总</w:t>
      </w:r>
    </w:p>
    <w:p w14:paraId="7E711D8E">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14:paraId="409CF936">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45.2按以下方法计算评标参考价：</w:t>
      </w:r>
    </w:p>
    <w:p w14:paraId="3D305E27">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14:paraId="349CF080">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BD2F8E9">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14:paraId="0877FF85">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：为达到或超过技术标及格分数线的投标人最低报价与工程成本警示价两者中的较高值；</w:t>
      </w:r>
    </w:p>
    <w:p w14:paraId="499B4095">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14:paraId="39E40381">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宋体" w:hAnsi="宋体" w:cs="宋体"/>
          <w:color w:val="auto"/>
          <w:sz w:val="24"/>
          <w:szCs w:val="24"/>
        </w:rPr>
        <w:t>X:为等分点值，在开标前从[0,100]整数中随机抽取</w:t>
      </w:r>
    </w:p>
    <w:p w14:paraId="5F8180C7">
      <w:pPr>
        <w:pStyle w:val="4"/>
        <w:tabs>
          <w:tab w:val="left" w:pos="7380"/>
        </w:tabs>
        <w:snapToGrid w:val="0"/>
        <w:spacing w:after="0" w:line="360" w:lineRule="auto"/>
        <w:ind w:firstLine="482" w:firstLineChars="200"/>
        <w:jc w:val="left"/>
        <w:rPr>
          <w:rFonts w:ascii="宋体" w:hAnsi="宋体" w:cs="宋体"/>
          <w:color w:val="auto"/>
          <w:sz w:val="24"/>
          <w:szCs w:val="24"/>
        </w:rPr>
      </w:pPr>
      <w:r>
        <w:rPr>
          <w:rFonts w:hint="eastAsia" w:asciiTheme="minorEastAsia" w:hAnsiTheme="minorEastAsia" w:eastAsiaTheme="minorEastAsia" w:cstheme="minorEastAsia"/>
          <w:b/>
          <w:bCs/>
          <w:color w:val="auto"/>
          <w:sz w:val="24"/>
          <w:szCs w:val="24"/>
        </w:rPr>
        <w:t>现文：</w:t>
      </w:r>
      <w:r>
        <w:rPr>
          <w:rFonts w:hint="eastAsia" w:ascii="宋体" w:hAnsi="宋体" w:cs="宋体"/>
          <w:color w:val="auto"/>
          <w:sz w:val="24"/>
          <w:szCs w:val="24"/>
        </w:rPr>
        <w:t>45．经济标评审和得分汇总</w:t>
      </w:r>
    </w:p>
    <w:p w14:paraId="4CE2975A">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14:paraId="1AE8CEE3">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45.2按以下方法计算评标参考价：</w:t>
      </w:r>
    </w:p>
    <w:p w14:paraId="01DA2D49">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14:paraId="24E3A78C">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将达到或超过技术标及格分数线（1</w:t>
      </w:r>
      <w:r>
        <w:rPr>
          <w:rFonts w:hint="eastAsia" w:ascii="宋体" w:hAnsi="宋体" w:cs="宋体"/>
          <w:color w:val="auto"/>
          <w:sz w:val="24"/>
          <w:szCs w:val="24"/>
          <w:lang w:val="en-US" w:eastAsia="zh-CN"/>
        </w:rPr>
        <w:t>2</w:t>
      </w:r>
      <w:r>
        <w:rPr>
          <w:rFonts w:hint="eastAsia" w:ascii="宋体" w:hAnsi="宋体" w:cs="宋体"/>
          <w:color w:val="auto"/>
          <w:sz w:val="24"/>
          <w:szCs w:val="24"/>
        </w:rPr>
        <w:t>分）的投标报价由低至高进行排列，按以下公式计算评标参考价，计算公式如下：</w:t>
      </w:r>
    </w:p>
    <w:p w14:paraId="4978F715">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14:paraId="4636D341">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：为达到或超过技术标及格分数线（1</w:t>
      </w:r>
      <w:r>
        <w:rPr>
          <w:rFonts w:hint="eastAsia" w:ascii="宋体" w:hAnsi="宋体" w:cs="宋体"/>
          <w:color w:val="auto"/>
          <w:sz w:val="24"/>
          <w:szCs w:val="24"/>
          <w:lang w:val="en-US" w:eastAsia="zh-CN"/>
        </w:rPr>
        <w:t>2</w:t>
      </w:r>
      <w:r>
        <w:rPr>
          <w:rFonts w:hint="eastAsia" w:ascii="宋体" w:hAnsi="宋体" w:cs="宋体"/>
          <w:color w:val="auto"/>
          <w:sz w:val="24"/>
          <w:szCs w:val="24"/>
        </w:rPr>
        <w:t>分）的投标人最低报价与工程成本警示价两者中的较高值；</w:t>
      </w:r>
    </w:p>
    <w:p w14:paraId="49772FAF">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14:paraId="1B7B6A33">
      <w:pPr>
        <w:pStyle w:val="38"/>
        <w:pBdr>
          <w:bottom w:val="single" w:color="auto" w:sz="4" w:space="0"/>
        </w:pBdr>
        <w:spacing w:after="0" w:line="360" w:lineRule="auto"/>
        <w:ind w:left="0" w:leftChars="0" w:firstLine="480"/>
        <w:jc w:val="left"/>
        <w:rPr>
          <w:rFonts w:ascii="宋体" w:hAnsi="宋体" w:cs="宋体"/>
          <w:b/>
          <w:bCs/>
          <w:color w:val="auto"/>
          <w:sz w:val="24"/>
          <w:u w:val="single"/>
          <w:lang w:eastAsia="zh-CN"/>
        </w:rPr>
      </w:pPr>
      <w:r>
        <w:rPr>
          <w:rFonts w:hint="eastAsia" w:ascii="宋体" w:hAnsi="宋体" w:cs="宋体"/>
          <w:color w:val="auto"/>
          <w:sz w:val="24"/>
          <w:lang w:eastAsia="zh-CN"/>
        </w:rPr>
        <w:t>X:为等分点值，在开标前从[0,100]整数中随机抽取</w:t>
      </w:r>
    </w:p>
    <w:p w14:paraId="7F76AD93">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条款号：45.4                      修改类型：修改</w:t>
      </w:r>
    </w:p>
    <w:p w14:paraId="11BEE660">
      <w:pPr>
        <w:widowControl/>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6CA657C7">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计算通过技术标有效性审查的投标人总得分。投标人总得分=技术得分（20分）＋经济得分（100分）×经济得分权重（80%）。技术、经济得分权重按投标须知前附表的规定执行。总得分四舍五入保留两位小数。总分相同的，以技术得分高的排前；总分与技术得分均相同，以投标报价较低的排前；如仍存在相同情况，则对具有相同情况的投标人，按中标候选人数量规定，由评标委员会采用随机抽取方式，确定中标候选人的排序。</w:t>
      </w:r>
    </w:p>
    <w:p w14:paraId="56BD9A56">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条款号：46.1                     修改类型：修改</w:t>
      </w:r>
    </w:p>
    <w:p w14:paraId="57BB0E65">
      <w:pPr>
        <w:widowControl/>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5C656DCE">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3DD611B">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条款号：附表一《资格审查表》          修改类型：修改</w:t>
      </w:r>
    </w:p>
    <w:p w14:paraId="1BFEE836">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14:paraId="6D4D32E8">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详见附表一《资格审查表》</w:t>
      </w:r>
    </w:p>
    <w:p w14:paraId="2C12AD54">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条款号：附表二《技术标有效性审查表》          修改类型：修改</w:t>
      </w:r>
    </w:p>
    <w:p w14:paraId="6FDE4870">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14:paraId="2819826E">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详见附表二《技术标有效性审查表》</w:t>
      </w:r>
    </w:p>
    <w:p w14:paraId="59E25539">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条款号：附表三《经济标有效性审查表》          修改类型：修改</w:t>
      </w:r>
    </w:p>
    <w:p w14:paraId="2067A9BF">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14:paraId="38F63635">
      <w:pPr>
        <w:pBdr>
          <w:bottom w:val="single" w:color="auto" w:sz="6" w:space="1"/>
        </w:pBd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详见附表三《经济标有效性审查表》</w:t>
      </w:r>
    </w:p>
    <w:p w14:paraId="38BECF54">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条款号：附表四《技术标详细审查评分表》          修改类型：修改</w:t>
      </w:r>
    </w:p>
    <w:p w14:paraId="46091295">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14:paraId="19DE8D3C">
      <w:pPr>
        <w:pBdr>
          <w:bottom w:val="single" w:color="auto" w:sz="6" w:space="1"/>
        </w:pBdr>
        <w:spacing w:line="360" w:lineRule="auto"/>
        <w:ind w:firstLine="602" w:firstLineChars="250"/>
        <w:rPr>
          <w:rFonts w:ascii="宋体" w:hAnsi="宋体" w:cs="宋体"/>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详见附表四《技术标详细审查评分表》</w:t>
      </w:r>
    </w:p>
    <w:p w14:paraId="16F968A5">
      <w:pPr>
        <w:spacing w:line="360" w:lineRule="auto"/>
        <w:ind w:firstLine="540" w:firstLineChars="224"/>
        <w:rPr>
          <w:rFonts w:ascii="宋体" w:hAnsi="宋体" w:cs="宋体"/>
          <w:b/>
          <w:color w:val="auto"/>
          <w:sz w:val="24"/>
          <w:szCs w:val="24"/>
        </w:rPr>
      </w:pPr>
      <w:r>
        <w:rPr>
          <w:rFonts w:hint="eastAsia" w:ascii="宋体" w:hAnsi="宋体" w:cs="宋体"/>
          <w:b/>
          <w:color w:val="auto"/>
          <w:sz w:val="24"/>
          <w:szCs w:val="24"/>
        </w:rPr>
        <w:t>条款号：附表五《经济标评分表》             修改类型：修改</w:t>
      </w:r>
    </w:p>
    <w:p w14:paraId="2555F94B">
      <w:pPr>
        <w:pBdr>
          <w:bottom w:val="single" w:color="auto" w:sz="6" w:space="1"/>
        </w:pBdr>
        <w:spacing w:line="360" w:lineRule="auto"/>
        <w:ind w:firstLine="540" w:firstLineChars="224"/>
        <w:rPr>
          <w:rFonts w:ascii="宋体" w:hAnsi="宋体" w:cs="宋体"/>
          <w:bCs/>
          <w:color w:val="auto"/>
          <w:sz w:val="24"/>
          <w:szCs w:val="24"/>
        </w:rPr>
      </w:pPr>
      <w:r>
        <w:rPr>
          <w:rFonts w:hint="eastAsia" w:ascii="宋体" w:hAnsi="宋体" w:cs="宋体"/>
          <w:b/>
          <w:color w:val="auto"/>
          <w:sz w:val="24"/>
          <w:szCs w:val="24"/>
        </w:rPr>
        <w:t>原文：</w:t>
      </w:r>
      <w:r>
        <w:rPr>
          <w:rFonts w:hint="eastAsia" w:ascii="宋体" w:hAnsi="宋体" w:cs="宋体"/>
          <w:bCs/>
          <w:color w:val="auto"/>
          <w:sz w:val="24"/>
          <w:szCs w:val="24"/>
        </w:rPr>
        <w:t>详见《广州市建设工程施工公开招标项目招标文件范本GZZB2018-3》</w:t>
      </w:r>
    </w:p>
    <w:p w14:paraId="2102135B">
      <w:pPr>
        <w:pBdr>
          <w:bottom w:val="single" w:color="auto" w:sz="6" w:space="1"/>
        </w:pBdr>
        <w:spacing w:line="360" w:lineRule="auto"/>
        <w:ind w:firstLine="602" w:firstLineChars="250"/>
        <w:rPr>
          <w:rFonts w:ascii="宋体" w:hAnsi="宋体" w:cs="宋体"/>
          <w:bCs/>
          <w:color w:val="auto"/>
          <w:sz w:val="24"/>
          <w:szCs w:val="24"/>
        </w:rPr>
      </w:pPr>
      <w:r>
        <w:rPr>
          <w:rFonts w:hint="eastAsia" w:ascii="宋体" w:hAnsi="宋体" w:cs="宋体"/>
          <w:b/>
          <w:color w:val="auto"/>
          <w:sz w:val="24"/>
          <w:szCs w:val="24"/>
        </w:rPr>
        <w:t>现文：</w:t>
      </w:r>
      <w:r>
        <w:rPr>
          <w:rFonts w:hint="eastAsia" w:ascii="宋体" w:hAnsi="宋体" w:cs="宋体"/>
          <w:bCs/>
          <w:color w:val="auto"/>
          <w:sz w:val="24"/>
          <w:szCs w:val="24"/>
        </w:rPr>
        <w:t>详见附表五《经济标评分表》</w:t>
      </w:r>
    </w:p>
    <w:p w14:paraId="6F3AC4BB">
      <w:pPr>
        <w:spacing w:line="360" w:lineRule="auto"/>
        <w:ind w:firstLine="241" w:firstLineChars="100"/>
        <w:rPr>
          <w:rFonts w:ascii="宋体" w:hAnsi="宋体" w:cs="宋体"/>
          <w:b/>
          <w:color w:val="auto"/>
          <w:sz w:val="24"/>
          <w:szCs w:val="24"/>
        </w:rPr>
      </w:pPr>
      <w:r>
        <w:rPr>
          <w:rFonts w:hint="eastAsia" w:ascii="宋体" w:hAnsi="宋体" w:cs="宋体"/>
          <w:b/>
          <w:color w:val="auto"/>
          <w:sz w:val="24"/>
          <w:szCs w:val="24"/>
        </w:rPr>
        <w:t>注：以上修改，仅限于本范本中有可供选择条款的情形。</w:t>
      </w:r>
    </w:p>
    <w:p w14:paraId="2245A2AF">
      <w:pPr>
        <w:spacing w:line="360" w:lineRule="auto"/>
        <w:rPr>
          <w:rFonts w:ascii="宋体" w:hAnsi="宋体" w:cs="宋体"/>
          <w:color w:val="auto"/>
          <w:sz w:val="24"/>
          <w:szCs w:val="24"/>
        </w:rPr>
      </w:pPr>
      <w:r>
        <w:rPr>
          <w:rFonts w:hint="eastAsia" w:ascii="宋体" w:hAnsi="宋体" w:cs="宋体"/>
          <w:b/>
          <w:color w:val="auto"/>
          <w:sz w:val="24"/>
          <w:szCs w:val="24"/>
        </w:rPr>
        <w:t>（以下无正文）</w:t>
      </w:r>
    </w:p>
    <w:p w14:paraId="7E013B58">
      <w:pPr>
        <w:pStyle w:val="6"/>
        <w:ind w:left="0"/>
        <w:jc w:val="both"/>
        <w:rPr>
          <w:rFonts w:ascii="宋体" w:hAnsi="宋体" w:cs="宋体"/>
          <w:color w:val="auto"/>
        </w:rPr>
      </w:pPr>
      <w:r>
        <w:rPr>
          <w:rFonts w:hint="eastAsia" w:ascii="宋体" w:hAnsi="宋体" w:cs="宋体"/>
          <w:color w:val="auto"/>
        </w:rPr>
        <w:br w:type="page"/>
      </w:r>
      <w:bookmarkStart w:id="17" w:name="_Toc11460"/>
      <w:r>
        <w:rPr>
          <w:rFonts w:hint="eastAsia" w:ascii="宋体" w:hAnsi="宋体" w:cs="宋体"/>
          <w:color w:val="auto"/>
        </w:rPr>
        <w:t>二、开标、评标及定标办法</w:t>
      </w:r>
      <w:r>
        <w:rPr>
          <w:rFonts w:hint="eastAsia" w:ascii="宋体" w:hAnsi="宋体" w:cs="宋体"/>
          <w:color w:val="auto"/>
          <w:szCs w:val="30"/>
        </w:rPr>
        <w:t>通用条款</w:t>
      </w:r>
      <w:bookmarkEnd w:id="17"/>
    </w:p>
    <w:p w14:paraId="1F683198">
      <w:pPr>
        <w:pStyle w:val="7"/>
        <w:spacing w:before="156" w:after="156"/>
        <w:ind w:firstLine="540" w:firstLineChars="200"/>
        <w:rPr>
          <w:rFonts w:hAnsi="宋体" w:cs="宋体"/>
          <w:color w:val="auto"/>
        </w:rPr>
      </w:pPr>
      <w:bookmarkStart w:id="18" w:name="_Toc19940"/>
      <w:r>
        <w:rPr>
          <w:rFonts w:hint="eastAsia" w:hAnsi="宋体" w:cs="宋体"/>
          <w:color w:val="auto"/>
        </w:rPr>
        <w:t>（一）总则</w:t>
      </w:r>
      <w:bookmarkEnd w:id="18"/>
    </w:p>
    <w:p w14:paraId="5FE33D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 开标、评标及定标所依据的规则</w:t>
      </w:r>
    </w:p>
    <w:p w14:paraId="769D803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35.1《中华人民共和国招标投标法》；</w:t>
      </w:r>
    </w:p>
    <w:p w14:paraId="2DF8C33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35.2《中华人民共和国招标投标法实施条例》；</w:t>
      </w:r>
    </w:p>
    <w:p w14:paraId="6044685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35.3《评标委员会和评标方法暂行规定》（七部委第12号令）</w:t>
      </w:r>
    </w:p>
    <w:p w14:paraId="02CDE7D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35.4《工程建设项目施工招标投标办法》（七部委2003年第30号令）</w:t>
      </w:r>
    </w:p>
    <w:p w14:paraId="56AC04A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35.5《广东省实施〈中华人民共和国招标投标法〉办法》；</w:t>
      </w:r>
    </w:p>
    <w:p w14:paraId="61AE79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35.6《房屋建筑和市政基础设施工程施工招标投标管理办法》（建设部令第89号）</w:t>
      </w:r>
    </w:p>
    <w:p w14:paraId="4E17B36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35.7《财政部 工业和信息化部关于印发〈政府采购促进中小企业发展管理办法〉的通知》（财库〔2020〕46号）</w:t>
      </w:r>
    </w:p>
    <w:p w14:paraId="18F91D4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35.8《广东省加强建设工程招标投标监督管理的若干规定》（粤发[2004]4号）；</w:t>
      </w:r>
    </w:p>
    <w:p w14:paraId="5303FA6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35.9《广东省政府采购促进中小企业发展实施细则（试行）》</w:t>
      </w:r>
    </w:p>
    <w:p w14:paraId="6740ED8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35.10《广州市工程建设项目招标投标管理办法》（穗建规字〔2023〕12号）；</w:t>
      </w:r>
    </w:p>
    <w:p w14:paraId="4C42E5F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6C9051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35.12本项目招标文件。</w:t>
      </w:r>
    </w:p>
    <w:p w14:paraId="731E2E8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36．开标</w:t>
      </w:r>
    </w:p>
    <w:p w14:paraId="1CECD2D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p>
    <w:p w14:paraId="64096F8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36.2 招标人在招标文件要求提交投标文件的截止时间前收到的投标文件，开标时都当众予以解密、公布。</w:t>
      </w:r>
    </w:p>
    <w:p w14:paraId="0DD6FC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8B1175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36.4若递交投标文件的投标人不足3家，则重新组织招标。（当N个标段同时招标且不允许兼中时，若有效投标人不足N+2家，则重新组织招标）</w:t>
      </w:r>
    </w:p>
    <w:p w14:paraId="75AEF1C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36.5按下列程序进行开标：</w:t>
      </w:r>
    </w:p>
    <w:p w14:paraId="72A3DB7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ED630B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36.5.2备用光盘的读取按投标须知前附表第36项的规定执行；</w:t>
      </w:r>
    </w:p>
    <w:p w14:paraId="0228D66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36.5.3投标人代表、招标人代表、监标人、记录人等有关人员在开标记录上签字确认；若有关人员不签字的，不影响开标程序；</w:t>
      </w:r>
    </w:p>
    <w:p w14:paraId="6D74FB6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36.5.4开标结束。</w:t>
      </w:r>
    </w:p>
    <w:p w14:paraId="7A98D34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524ADF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36.7开标时，两个（含两个）以上的投标人加密打包投标文件电脑机器特征码一致的，不参与下一程序，并由评标委员会否决其投标。</w:t>
      </w:r>
    </w:p>
    <w:p w14:paraId="338EF63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37．评标</w:t>
      </w:r>
    </w:p>
    <w:p w14:paraId="525F8D0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37.1评标委员会由招标人依法组建。</w:t>
      </w:r>
    </w:p>
    <w:p w14:paraId="57E45F0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37.2评标委员会在开始评标前，应了解评标专家的职责及守则，认真阅读附件1《评标委员会成员声明》的内容并签名，签字后方可进行评标；</w:t>
      </w:r>
    </w:p>
    <w:p w14:paraId="343778B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37.3评标委员会的职责及守则：</w:t>
      </w:r>
    </w:p>
    <w:p w14:paraId="70F8E74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37.3评标委员会的职责及守则：</w:t>
      </w:r>
    </w:p>
    <w:p w14:paraId="50AC26B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37.3.1根据评标细则，对投标文件进行认真评审，完成评审报告；</w:t>
      </w:r>
    </w:p>
    <w:p w14:paraId="5A74DD4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37.3.2向招标人报告评审意见，推荐合格的中标候选人。</w:t>
      </w:r>
    </w:p>
    <w:p w14:paraId="110FE835">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37.3.3</w:t>
      </w:r>
      <w:r>
        <w:rPr>
          <w:rFonts w:hint="eastAsia" w:ascii="宋体" w:hAnsi="宋体" w:cs="宋体"/>
          <w:color w:val="auto"/>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C49212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37.3.4全体参与评标人员：</w:t>
      </w:r>
    </w:p>
    <w:p w14:paraId="49BBFA1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37.3.4.1 必须遵守评标纪律、不得泄密；</w:t>
      </w:r>
    </w:p>
    <w:p w14:paraId="1A72B28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37.3.4.2 必须公正、不得循私；</w:t>
      </w:r>
    </w:p>
    <w:p w14:paraId="33BA6C6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37.3.4.3 必须科学、不得草率；</w:t>
      </w:r>
    </w:p>
    <w:p w14:paraId="1BB43C2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37.3.4.4 必须客观、不得带有成见；</w:t>
      </w:r>
    </w:p>
    <w:p w14:paraId="09A17C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37.3.4.5 必须平等、不得强加于人；</w:t>
      </w:r>
    </w:p>
    <w:p w14:paraId="63B5FAF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37.3.4.6 必须严谨、不得随意马虎。</w:t>
      </w:r>
    </w:p>
    <w:p w14:paraId="769B9CF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613D75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37.5评标结束后，评标委员会递交评标报告并依法推荐中标候选人。</w:t>
      </w:r>
    </w:p>
    <w:p w14:paraId="046AD76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38．投标文件的澄清</w:t>
      </w:r>
    </w:p>
    <w:p w14:paraId="6BBEA86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41B588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2087F4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38.3 评标委员会或评标委员会专业评审组成员均应当阅读投标人的澄清，但应独立参考澄清对投标文件进行评审。</w:t>
      </w:r>
    </w:p>
    <w:p w14:paraId="0528F0A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77D68D7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591992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39．定标</w:t>
      </w:r>
    </w:p>
    <w:p w14:paraId="662893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39.1 招标人根据评标委员会递交的评标报告，最终审定中标人。</w:t>
      </w:r>
    </w:p>
    <w:p w14:paraId="11FAB79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39.2 依法必须进行公开招标的项目，招标人应当确定排名第一的中标候选人为中标人。</w:t>
      </w:r>
    </w:p>
    <w:p w14:paraId="79CBD29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17A379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639AED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39.5 重新评标的，评标信息（含业绩、奖项等）仍以投标截止时投标人的信息为准。因特殊原因需要延长投标有效期，投标人拒绝延长投标有效期的，仍参与评标，但不被推荐为中标候选人。</w:t>
      </w:r>
    </w:p>
    <w:p w14:paraId="36C3D966">
      <w:pPr>
        <w:pStyle w:val="7"/>
        <w:spacing w:before="156" w:after="156"/>
        <w:ind w:firstLine="480" w:firstLineChars="200"/>
        <w:rPr>
          <w:rFonts w:hAnsi="宋体" w:cs="宋体"/>
          <w:color w:val="auto"/>
          <w:sz w:val="24"/>
          <w:szCs w:val="24"/>
        </w:rPr>
      </w:pPr>
      <w:bookmarkStart w:id="19" w:name="_Toc18768"/>
      <w:r>
        <w:rPr>
          <w:rFonts w:hint="eastAsia" w:hAnsi="宋体" w:cs="宋体"/>
          <w:color w:val="auto"/>
          <w:sz w:val="24"/>
          <w:szCs w:val="24"/>
        </w:rPr>
        <w:t>（二）开标评标办法程序和细则</w:t>
      </w:r>
      <w:bookmarkEnd w:id="19"/>
    </w:p>
    <w:p w14:paraId="08AE7CF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注：评标办法所述企业综合诚信评价分数即投标截止当日广州市住房和城乡建设局网站上公布的企业综合诚信评价60日诚信分。</w:t>
      </w:r>
    </w:p>
    <w:p w14:paraId="062EDDD3">
      <w:pPr>
        <w:pStyle w:val="7"/>
        <w:spacing w:before="156" w:after="156"/>
        <w:ind w:firstLine="540" w:firstLineChars="200"/>
        <w:rPr>
          <w:rFonts w:hAnsi="宋体" w:cs="宋体"/>
          <w:color w:val="auto"/>
        </w:rPr>
      </w:pPr>
      <w:bookmarkStart w:id="20" w:name="_Toc21525509"/>
      <w:bookmarkStart w:id="21" w:name="_Toc2272564"/>
      <w:bookmarkStart w:id="22" w:name="_Toc25301"/>
      <w:r>
        <w:rPr>
          <w:rFonts w:hint="eastAsia" w:hAnsi="宋体" w:cs="宋体"/>
          <w:color w:val="auto"/>
        </w:rPr>
        <w:t>可选办法七（适合综合评分法四，技术标与经济标同时开启）</w:t>
      </w:r>
      <w:bookmarkEnd w:id="20"/>
    </w:p>
    <w:p w14:paraId="303BBEF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40．开标和评标程序</w:t>
      </w:r>
    </w:p>
    <w:p w14:paraId="2ABB7F9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40.1技术标（含资格审查文件）与经济标投标文件同时公开开标；</w:t>
      </w:r>
    </w:p>
    <w:p w14:paraId="1FE15F3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40.2由评标委员会对所有已公开开标的投标人进行资格审查；</w:t>
      </w:r>
    </w:p>
    <w:p w14:paraId="0835C03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40.3技术标投标文件有效性审查；</w:t>
      </w:r>
    </w:p>
    <w:p w14:paraId="4EF0BEE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40.4技术标详细审查评分；</w:t>
      </w:r>
    </w:p>
    <w:p w14:paraId="3034A33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40.5经济标详细审查评分；</w:t>
      </w:r>
    </w:p>
    <w:p w14:paraId="5F0ED24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40.6评标委员会按照投标人总得分由高至低排序；</w:t>
      </w:r>
    </w:p>
    <w:p w14:paraId="08C5D7B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40.7经济标投标文件有效性审查；</w:t>
      </w:r>
    </w:p>
    <w:p w14:paraId="700F651A">
      <w:pPr>
        <w:snapToGrid w:val="0"/>
        <w:spacing w:line="360" w:lineRule="auto"/>
        <w:ind w:firstLine="480" w:firstLineChars="200"/>
        <w:rPr>
          <w:rFonts w:ascii="宋体" w:hAnsi="宋体" w:cs="宋体"/>
          <w:color w:val="auto"/>
          <w:szCs w:val="21"/>
        </w:rPr>
      </w:pPr>
      <w:r>
        <w:rPr>
          <w:rFonts w:hint="eastAsia" w:ascii="宋体" w:hAnsi="宋体" w:cs="宋体"/>
          <w:color w:val="auto"/>
          <w:sz w:val="24"/>
          <w:szCs w:val="24"/>
        </w:rPr>
        <w:t>40.8评标委员会按排序向招标人推荐中标候选人名单，并递交资格审查报告及评标报告。</w:t>
      </w:r>
    </w:p>
    <w:p w14:paraId="097BADA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41．开标细则</w:t>
      </w:r>
    </w:p>
    <w:p w14:paraId="05EEC24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41.1开标由招标人主持；</w:t>
      </w:r>
    </w:p>
    <w:p w14:paraId="2FCBF15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 细则</w:t>
      </w:r>
    </w:p>
    <w:p w14:paraId="0C2C290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41.2.1投标截止期前，各投标人递交投标文件（包括技术标投标文件、经济标投标文件）至交易平台。有关投标文件提交的事项详见第一章投标须知。 </w:t>
      </w:r>
    </w:p>
    <w:p w14:paraId="23DB229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41.2.2开标前，首先由招标人随机抽取确定该工程计算评标参考价的等分点值X。</w:t>
      </w:r>
    </w:p>
    <w:p w14:paraId="2F12C88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41.2.3开标时，投标人代表有权出席开标会，也可以自主决定不参加开标会，若投标人代表对开标过程提出异议，该投标人代表须同时出示本人身份证原件。</w:t>
      </w:r>
    </w:p>
    <w:p w14:paraId="606A809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41.2.4按36.5.1的规定完成解密后，公布下列内容，并予以记录，记录提交评标委员会评审： </w:t>
      </w:r>
    </w:p>
    <w:p w14:paraId="2AB9301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41.2.4.1开标时，公布：a、投标人名称；b、</w:t>
      </w:r>
      <w:r>
        <w:rPr>
          <w:rFonts w:hint="eastAsia" w:ascii="宋体" w:hAnsi="宋体" w:cs="宋体"/>
          <w:color w:val="auto"/>
          <w:sz w:val="24"/>
        </w:rPr>
        <w:t>投标文件</w:t>
      </w:r>
      <w:r>
        <w:rPr>
          <w:rFonts w:hint="eastAsia" w:ascii="宋体" w:hAnsi="宋体" w:cs="宋体"/>
          <w:color w:val="auto"/>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0B075C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41.3招标人对开标过程进行记录，并存档备查，投标人在技术标开标记录上签字。</w:t>
      </w:r>
    </w:p>
    <w:p w14:paraId="738FD10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41.4 招标人将上述符合要求的投标文件，送至评标委员会进行评审。</w:t>
      </w:r>
    </w:p>
    <w:p w14:paraId="4CF41973">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 资格审查及评标细则</w:t>
      </w:r>
    </w:p>
    <w:p w14:paraId="057E77ED">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42.1资格审查及评标均由招标人依法组建的评标委员会负责。</w:t>
      </w:r>
    </w:p>
    <w:p w14:paraId="3E18F8F3">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42.2评标委员会的组成：方式。</w:t>
      </w:r>
    </w:p>
    <w:p w14:paraId="1E8B027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方式一：评标委员会为综合评标委员会，负责资格审查及评标工作。</w:t>
      </w:r>
    </w:p>
    <w:p w14:paraId="33D9D511">
      <w:pPr>
        <w:pStyle w:val="4"/>
        <w:tabs>
          <w:tab w:val="left" w:pos="7380"/>
        </w:tabs>
        <w:snapToGrid w:val="0"/>
        <w:spacing w:after="0" w:line="360" w:lineRule="auto"/>
        <w:rPr>
          <w:rFonts w:ascii="宋体" w:hAnsi="宋体" w:cs="宋体"/>
          <w:color w:val="auto"/>
          <w:sz w:val="24"/>
          <w:szCs w:val="24"/>
        </w:rPr>
      </w:pPr>
      <w:r>
        <w:rPr>
          <w:rFonts w:hint="eastAsia" w:ascii="宋体" w:hAnsi="宋体" w:cs="宋体"/>
          <w:color w:val="auto"/>
          <w:sz w:val="24"/>
          <w:szCs w:val="24"/>
        </w:rPr>
        <w:t>方式二：评标委员会由技术评审组和经济评审组组成。其中：资格审查及技术评审由技术评标组负责，经济评审由经济评审组负责。</w:t>
      </w:r>
    </w:p>
    <w:p w14:paraId="73EDC283">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43．投标人资格审查</w:t>
      </w:r>
    </w:p>
    <w:p w14:paraId="5A84246F">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08077ADF">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43.2汇总资格审查情况，编写资格审查报告。</w:t>
      </w:r>
    </w:p>
    <w:p w14:paraId="413404DA">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43.3资格审查不合格的投标文件不参加下一阶段的评标，不参与评标参考价的计算。</w:t>
      </w:r>
    </w:p>
    <w:p w14:paraId="6183926D">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1A9E274">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43.5资审合格后，投标人的资格发生变化而不满足投标人合格条件，在发出中标通知书前，资格问题仍未解决的，招标人将取消其中标资格。</w:t>
      </w:r>
    </w:p>
    <w:p w14:paraId="5FD1C281">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43.6资格审查合格的投标人少于3名的（当N个标段同时招标且不允许兼中时，资格审查合格的投标人少于N+2名），则本项目招标失败。</w:t>
      </w:r>
    </w:p>
    <w:p w14:paraId="71489D01">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44．技术标评审</w:t>
      </w:r>
    </w:p>
    <w:p w14:paraId="61F2520E">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7D6A4025">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3554D1F9">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45．经济标评审和得分汇总</w:t>
      </w:r>
    </w:p>
    <w:p w14:paraId="3DC0D9FB">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45.1若通过技术标有效性审查的投标人中所有投标报价均大于等于最高投标限价，则本项目招标失败，由招标人依法重新招标。</w:t>
      </w:r>
    </w:p>
    <w:p w14:paraId="4B55F5DE">
      <w:pPr>
        <w:pStyle w:val="4"/>
        <w:tabs>
          <w:tab w:val="left" w:pos="7380"/>
        </w:tabs>
        <w:snapToGrid w:val="0"/>
        <w:spacing w:after="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45.2按以下方法计算评标参考价：</w:t>
      </w:r>
    </w:p>
    <w:p w14:paraId="50094197">
      <w:pPr>
        <w:widowControl/>
        <w:spacing w:line="360" w:lineRule="auto"/>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区间抽取法</w:t>
      </w:r>
    </w:p>
    <w:p w14:paraId="7669F219">
      <w:pPr>
        <w:widowControl/>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FF9B60F">
      <w:pPr>
        <w:widowControl/>
        <w:snapToGrid w:val="0"/>
        <w:spacing w:line="360" w:lineRule="auto"/>
        <w:ind w:firstLine="480" w:firstLineChars="200"/>
        <w:jc w:val="left"/>
        <w:rPr>
          <w:rFonts w:ascii="宋体" w:hAnsi="宋体" w:cs="宋体"/>
          <w:color w:val="auto"/>
          <w:kern w:val="0"/>
          <w:sz w:val="24"/>
          <w:szCs w:val="24"/>
          <w:vertAlign w:val="subscript"/>
        </w:rPr>
      </w:pPr>
      <w:r>
        <w:rPr>
          <w:rFonts w:hint="eastAsia" w:ascii="宋体" w:hAnsi="宋体" w:cs="宋体"/>
          <w:color w:val="auto"/>
          <w:kern w:val="0"/>
          <w:sz w:val="24"/>
          <w:szCs w:val="24"/>
        </w:rPr>
        <w:t>评标参考价=（Q</w:t>
      </w:r>
      <w:r>
        <w:rPr>
          <w:rFonts w:hint="eastAsia" w:ascii="宋体" w:hAnsi="宋体" w:cs="宋体"/>
          <w:color w:val="auto"/>
          <w:kern w:val="0"/>
          <w:sz w:val="24"/>
          <w:szCs w:val="24"/>
          <w:vertAlign w:val="subscript"/>
        </w:rPr>
        <w:t>高</w:t>
      </w: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低</w:t>
      </w:r>
      <w:r>
        <w:rPr>
          <w:rFonts w:hint="eastAsia" w:ascii="宋体" w:hAnsi="宋体" w:cs="宋体"/>
          <w:color w:val="auto"/>
          <w:kern w:val="0"/>
          <w:sz w:val="24"/>
          <w:szCs w:val="24"/>
        </w:rPr>
        <w:t>）/100*Ｘ+Q</w:t>
      </w:r>
      <w:r>
        <w:rPr>
          <w:rFonts w:hint="eastAsia" w:ascii="宋体" w:hAnsi="宋体" w:cs="宋体"/>
          <w:color w:val="auto"/>
          <w:kern w:val="0"/>
          <w:sz w:val="24"/>
          <w:szCs w:val="24"/>
          <w:vertAlign w:val="subscript"/>
        </w:rPr>
        <w:t>低</w:t>
      </w:r>
    </w:p>
    <w:p w14:paraId="459829EF">
      <w:pPr>
        <w:widowControl/>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Q</w:t>
      </w:r>
      <w:r>
        <w:rPr>
          <w:rFonts w:hint="eastAsia" w:ascii="宋体" w:hAnsi="宋体" w:cs="宋体"/>
          <w:color w:val="auto"/>
          <w:sz w:val="24"/>
          <w:szCs w:val="24"/>
          <w:vertAlign w:val="subscript"/>
        </w:rPr>
        <w:t>低</w:t>
      </w:r>
      <w:r>
        <w:rPr>
          <w:rFonts w:hint="eastAsia" w:ascii="宋体" w:hAnsi="宋体" w:cs="宋体"/>
          <w:color w:val="auto"/>
          <w:sz w:val="24"/>
          <w:szCs w:val="24"/>
        </w:rPr>
        <w:t>：为达到或超过技术标及格分数线的投标人最低报价与工程成本警示价两者中的较高值；</w:t>
      </w:r>
    </w:p>
    <w:p w14:paraId="33F16828">
      <w:pPr>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Q</w:t>
      </w:r>
      <w:r>
        <w:rPr>
          <w:rFonts w:hint="eastAsia" w:ascii="宋体" w:hAnsi="宋体" w:cs="宋体"/>
          <w:color w:val="auto"/>
          <w:kern w:val="0"/>
          <w:sz w:val="24"/>
          <w:szCs w:val="24"/>
          <w:vertAlign w:val="subscript"/>
        </w:rPr>
        <w:t>高</w:t>
      </w:r>
      <w:r>
        <w:rPr>
          <w:rFonts w:hint="eastAsia" w:ascii="宋体" w:hAnsi="宋体" w:cs="宋体"/>
          <w:color w:val="auto"/>
          <w:sz w:val="24"/>
          <w:szCs w:val="24"/>
        </w:rPr>
        <w:t>：为最高投标限价</w:t>
      </w:r>
    </w:p>
    <w:p w14:paraId="411BA31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X:为等分点值，在开标前从[0,100]整数中随机抽取</w:t>
      </w:r>
    </w:p>
    <w:p w14:paraId="4B41B1A5">
      <w:pPr>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45.3</w:t>
      </w:r>
      <w:r>
        <w:rPr>
          <w:rFonts w:hint="eastAsia" w:ascii="宋体" w:hAnsi="宋体" w:cs="宋体"/>
          <w:color w:val="auto"/>
          <w:sz w:val="24"/>
          <w:szCs w:val="24"/>
        </w:rPr>
        <w:t>当标价等于评标参考价时得100分，标价每高于评标参考价1%，扣1.5分，每低于评标参考价1%，扣1分，扣至0分为止，得出经济分，精确到小数点后两位。</w:t>
      </w:r>
    </w:p>
    <w:p w14:paraId="70B801A5">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1C91FFD">
      <w:pPr>
        <w:pStyle w:val="4"/>
        <w:tabs>
          <w:tab w:val="left" w:pos="7380"/>
        </w:tabs>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46.经济标的有效性审查</w:t>
      </w:r>
    </w:p>
    <w:p w14:paraId="2CAFB1B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s="宋体"/>
          <w:color w:val="auto"/>
          <w:sz w:val="24"/>
        </w:rPr>
        <w:t>投标文件</w:t>
      </w:r>
      <w:r>
        <w:rPr>
          <w:rFonts w:hint="eastAsia" w:ascii="宋体" w:hAnsi="宋体" w:cs="宋体"/>
          <w:color w:val="auto"/>
          <w:sz w:val="24"/>
          <w:szCs w:val="24"/>
        </w:rPr>
        <w:t>，否则其投标文件将被否决。如评标委员会成员的评审意见不一致时，以评标委员会过半数成员的意见作为评标委员会对该情形的认定结论。</w:t>
      </w:r>
    </w:p>
    <w:p w14:paraId="601B948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46.2经济标的算术校核。评标委员会对进行经济标有效性审查的投标文件投标报价按照就低不就高的原则进行算术校核，具体标准如下：</w:t>
      </w:r>
    </w:p>
    <w:p w14:paraId="7F4A585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46.2.1如果数字表示的金额和用文字表示的金额不一致时，应以文字表示的金额为准；</w:t>
      </w:r>
    </w:p>
    <w:p w14:paraId="09C448F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46.2.2经算术复核的投标人报价与其投标报价不一致时，按就低不就高原则确定其最终报价；</w:t>
      </w:r>
    </w:p>
    <w:p w14:paraId="06E7B8E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11A49E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46.2.4当合价、金额累加错误时，按就低不就高原则，如果累加修正值小于原累加值，则按累加修正值；如果累加修正值大于原累加值，则按原累加值；</w:t>
      </w:r>
    </w:p>
    <w:p w14:paraId="549723C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46.2.5如果投标人的有关规费、暂列金额、暂估价、绿色施工安全防护措施费等未按招标文件规定的金额填写的，由评标委员会按照招标文件规定的金额进行修正；</w:t>
      </w:r>
    </w:p>
    <w:p w14:paraId="644BC18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7B1082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46.2.7按就低不就高原则，当修正后报价小于原报价，总价按修正后报价；当修正后报价大于原报价，总价按原报价，并在签订合同时载明在结算价中扣除修正报价与原报价的差额。</w:t>
      </w:r>
    </w:p>
    <w:p w14:paraId="4ED0F44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6BA0E42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D2E58E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48.评标委员会应在通过投标文件经济标有效性审查的投标人中，按步骤45.4确定的投标人第二阶段排序，推荐前3名依次为第一中标候选人至第三中标候选人,并编制评标报告。</w:t>
      </w:r>
    </w:p>
    <w:p w14:paraId="54C4CE8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49.若通过经济标有效性审查的投标人不足三家，应当依法重新招标。（当N个标段同时招标且不允许兼中时，若有效投标人不足N+2家，应当依法重新招标）</w:t>
      </w:r>
    </w:p>
    <w:bookmarkEnd w:id="21"/>
    <w:bookmarkEnd w:id="22"/>
    <w:p w14:paraId="287B291E">
      <w:pPr>
        <w:spacing w:line="360" w:lineRule="auto"/>
        <w:rPr>
          <w:rFonts w:ascii="宋体" w:hAnsi="宋体" w:cs="宋体"/>
          <w:color w:val="auto"/>
          <w:sz w:val="24"/>
          <w:szCs w:val="24"/>
        </w:rPr>
        <w:sectPr>
          <w:pgSz w:w="11906" w:h="16838"/>
          <w:pgMar w:top="1247" w:right="1418" w:bottom="1134" w:left="1418" w:header="851" w:footer="907" w:gutter="0"/>
          <w:pgBorders>
            <w:top w:val="none" w:sz="0" w:space="0"/>
            <w:left w:val="none" w:sz="0" w:space="0"/>
            <w:bottom w:val="none" w:sz="0" w:space="0"/>
            <w:right w:val="none" w:sz="0" w:space="0"/>
          </w:pgBorders>
          <w:cols w:space="720" w:num="1"/>
          <w:titlePg/>
          <w:docGrid w:type="lines" w:linePitch="312" w:charSpace="0"/>
        </w:sectPr>
      </w:pPr>
    </w:p>
    <w:p w14:paraId="4AEAB36D">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1</w:t>
      </w:r>
    </w:p>
    <w:p w14:paraId="38DCC89F">
      <w:pPr>
        <w:ind w:firstLine="723" w:firstLineChars="20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评标委员会成员声明</w:t>
      </w:r>
    </w:p>
    <w:p w14:paraId="7E3076CD">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本项目招标人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750441F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本人就参与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项目的评标工作，作出郑重声明：</w:t>
      </w:r>
    </w:p>
    <w:p w14:paraId="17BEDAF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26BBB0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50FFBE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4A8719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86D7DB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C19E55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如果本人违反上述声明内容，造成的后果由本人自行承担。</w:t>
      </w:r>
    </w:p>
    <w:p w14:paraId="5DFD8682">
      <w:pPr>
        <w:spacing w:line="360" w:lineRule="auto"/>
        <w:ind w:firstLine="480" w:firstLineChars="200"/>
        <w:rPr>
          <w:rFonts w:ascii="宋体" w:hAnsi="宋体" w:cs="宋体"/>
          <w:color w:val="000000" w:themeColor="text1"/>
          <w:sz w:val="24"/>
          <w:szCs w:val="24"/>
          <w14:textFill>
            <w14:solidFill>
              <w14:schemeClr w14:val="tx1"/>
            </w14:solidFill>
          </w14:textFill>
        </w:rPr>
      </w:pPr>
    </w:p>
    <w:p w14:paraId="5ADD57F9">
      <w:pPr>
        <w:spacing w:line="360" w:lineRule="auto"/>
        <w:rPr>
          <w:rFonts w:ascii="宋体" w:hAnsi="宋体" w:cs="宋体"/>
          <w:b/>
          <w:color w:val="000000" w:themeColor="text1"/>
          <w:sz w:val="24"/>
          <w:szCs w:val="24"/>
          <w:u w:val="single"/>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声明人：</w:t>
      </w:r>
      <w:r>
        <w:rPr>
          <w:rFonts w:hint="eastAsia" w:ascii="宋体" w:hAnsi="宋体" w:cs="宋体"/>
          <w:b/>
          <w:color w:val="000000" w:themeColor="text1"/>
          <w:sz w:val="24"/>
          <w:szCs w:val="24"/>
          <w:u w:val="single"/>
          <w14:textFill>
            <w14:solidFill>
              <w14:schemeClr w14:val="tx1"/>
            </w14:solidFill>
          </w14:textFill>
        </w:rPr>
        <w:t>（签名）</w:t>
      </w:r>
      <w:r>
        <w:rPr>
          <w:rFonts w:ascii="宋体" w:hAnsi="宋体" w:cs="宋体"/>
          <w:b/>
          <w:color w:val="000000" w:themeColor="text1"/>
          <w:sz w:val="24"/>
          <w:szCs w:val="24"/>
          <w:u w:val="single"/>
          <w14:textFill>
            <w14:solidFill>
              <w14:schemeClr w14:val="tx1"/>
            </w14:solidFill>
          </w14:textFill>
        </w:rPr>
        <w:t xml:space="preserve">  </w:t>
      </w:r>
    </w:p>
    <w:p w14:paraId="5E846256">
      <w:pPr>
        <w:widowControl/>
        <w:snapToGrid w:val="0"/>
        <w:spacing w:line="360" w:lineRule="auto"/>
        <w:ind w:right="102"/>
        <w:jc w:val="left"/>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附表一：</w:t>
      </w:r>
    </w:p>
    <w:p w14:paraId="1F2AA770">
      <w:pPr>
        <w:jc w:val="center"/>
        <w:rPr>
          <w:rFonts w:ascii="宋体" w:hAnsi="宋体" w:cs="宋体"/>
          <w:b/>
          <w:color w:val="auto"/>
          <w:sz w:val="32"/>
          <w:szCs w:val="32"/>
        </w:rPr>
      </w:pPr>
      <w:r>
        <w:rPr>
          <w:rFonts w:hint="eastAsia" w:ascii="宋体" w:hAnsi="宋体" w:cs="宋体"/>
          <w:b/>
          <w:color w:val="auto"/>
          <w:sz w:val="32"/>
          <w:szCs w:val="32"/>
        </w:rPr>
        <w:t>资格审查表</w:t>
      </w:r>
    </w:p>
    <w:p w14:paraId="646F1786">
      <w:pPr>
        <w:spacing w:line="480" w:lineRule="auto"/>
        <w:rPr>
          <w:rFonts w:ascii="宋体" w:hAnsi="宋体" w:cs="宋体"/>
          <w:color w:val="auto"/>
          <w:sz w:val="24"/>
          <w:szCs w:val="24"/>
        </w:rPr>
      </w:pPr>
      <w:r>
        <w:rPr>
          <w:rFonts w:hint="eastAsia" w:ascii="宋体" w:hAnsi="宋体" w:cs="宋体"/>
          <w:color w:val="auto"/>
          <w:sz w:val="24"/>
          <w:szCs w:val="24"/>
        </w:rPr>
        <w:t>工程名称：</w:t>
      </w:r>
    </w:p>
    <w:p w14:paraId="1CF4F892">
      <w:pPr>
        <w:spacing w:line="480" w:lineRule="auto"/>
        <w:rPr>
          <w:rFonts w:ascii="宋体" w:hAnsi="宋体" w:cs="宋体"/>
          <w:color w:val="auto"/>
          <w:sz w:val="24"/>
          <w:szCs w:val="24"/>
        </w:rPr>
      </w:pPr>
      <w:r>
        <w:rPr>
          <w:rFonts w:hint="eastAsia" w:ascii="宋体" w:hAnsi="宋体" w:cs="宋体"/>
          <w:color w:val="auto"/>
          <w:sz w:val="24"/>
          <w:szCs w:val="24"/>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3722"/>
        <w:gridCol w:w="3420"/>
        <w:gridCol w:w="720"/>
      </w:tblGrid>
      <w:tr w14:paraId="0E66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02FB469">
            <w:pPr>
              <w:keepNext w:val="0"/>
              <w:keepLines w:val="0"/>
              <w:suppressLineNumbers w:val="0"/>
              <w:spacing w:before="120" w:beforeAutospacing="0" w:after="60" w:afterAutospacing="0"/>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3722" w:type="dxa"/>
            <w:tcBorders>
              <w:top w:val="single" w:color="auto" w:sz="4" w:space="0"/>
              <w:left w:val="single" w:color="auto" w:sz="4" w:space="0"/>
              <w:bottom w:val="single" w:color="auto" w:sz="4" w:space="0"/>
              <w:right w:val="single" w:color="auto" w:sz="4" w:space="0"/>
            </w:tcBorders>
            <w:vAlign w:val="center"/>
          </w:tcPr>
          <w:p w14:paraId="1276AAF5">
            <w:pPr>
              <w:keepNext w:val="0"/>
              <w:keepLines w:val="0"/>
              <w:suppressLineNumbers w:val="0"/>
              <w:spacing w:before="120" w:beforeAutospacing="0" w:after="60" w:afterAutospacing="0"/>
              <w:ind w:left="0" w:right="0"/>
              <w:jc w:val="center"/>
              <w:rPr>
                <w:rFonts w:hint="default" w:ascii="宋体" w:hAnsi="宋体" w:cs="宋体"/>
                <w:b/>
                <w:color w:val="auto"/>
                <w:szCs w:val="21"/>
              </w:rPr>
            </w:pPr>
            <w:r>
              <w:rPr>
                <w:rFonts w:hint="eastAsia" w:ascii="宋体" w:hAnsi="宋体" w:cs="宋体"/>
                <w:b/>
                <w:color w:val="auto"/>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7465ED05">
            <w:pPr>
              <w:keepNext w:val="0"/>
              <w:keepLines w:val="0"/>
              <w:suppressLineNumbers w:val="0"/>
              <w:spacing w:before="120" w:beforeAutospacing="0" w:after="60" w:afterAutospacing="0"/>
              <w:ind w:left="0" w:right="0"/>
              <w:jc w:val="center"/>
              <w:rPr>
                <w:rFonts w:hint="default" w:ascii="宋体" w:hAnsi="宋体" w:cs="宋体"/>
                <w:b/>
                <w:color w:val="auto"/>
                <w:szCs w:val="21"/>
              </w:rPr>
            </w:pPr>
            <w:r>
              <w:rPr>
                <w:rFonts w:hint="eastAsia" w:ascii="宋体" w:hAnsi="宋体" w:cs="宋体"/>
                <w:b/>
                <w:color w:val="auto"/>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33CBCC10">
            <w:pPr>
              <w:keepNext w:val="0"/>
              <w:keepLines w:val="0"/>
              <w:suppressLineNumbers w:val="0"/>
              <w:spacing w:before="120" w:beforeAutospacing="0" w:after="60" w:afterAutospacing="0"/>
              <w:ind w:left="0" w:right="0"/>
              <w:jc w:val="center"/>
              <w:rPr>
                <w:rFonts w:hint="default" w:ascii="宋体" w:hAnsi="宋体" w:cs="宋体"/>
                <w:b/>
                <w:color w:val="auto"/>
                <w:szCs w:val="21"/>
              </w:rPr>
            </w:pPr>
            <w:r>
              <w:rPr>
                <w:rFonts w:hint="eastAsia" w:ascii="宋体" w:hAnsi="宋体" w:cs="宋体"/>
                <w:b/>
                <w:color w:val="auto"/>
                <w:szCs w:val="21"/>
              </w:rPr>
              <w:t>审查结果</w:t>
            </w:r>
          </w:p>
        </w:tc>
      </w:tr>
      <w:tr w14:paraId="6D6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7FACFFD1">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3722" w:type="dxa"/>
            <w:tcBorders>
              <w:top w:val="single" w:color="auto" w:sz="4" w:space="0"/>
              <w:left w:val="single" w:color="auto" w:sz="4" w:space="0"/>
              <w:bottom w:val="single" w:color="auto" w:sz="4" w:space="0"/>
              <w:right w:val="single" w:color="auto" w:sz="4" w:space="0"/>
            </w:tcBorders>
            <w:vAlign w:val="center"/>
          </w:tcPr>
          <w:p w14:paraId="3FF3F1B5">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3E7C3252">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122ABA21">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13FB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377889A7">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3722" w:type="dxa"/>
            <w:tcBorders>
              <w:top w:val="single" w:color="auto" w:sz="4" w:space="0"/>
              <w:left w:val="single" w:color="auto" w:sz="4" w:space="0"/>
              <w:bottom w:val="single" w:color="auto" w:sz="4" w:space="0"/>
              <w:right w:val="single" w:color="auto" w:sz="4" w:space="0"/>
            </w:tcBorders>
            <w:vAlign w:val="center"/>
          </w:tcPr>
          <w:p w14:paraId="718FA5D3">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06F9972A">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242E34A">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55F5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452730DE">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3722" w:type="dxa"/>
            <w:tcBorders>
              <w:top w:val="single" w:color="auto" w:sz="4" w:space="0"/>
              <w:left w:val="single" w:color="auto" w:sz="4" w:space="0"/>
              <w:bottom w:val="single" w:color="auto" w:sz="4" w:space="0"/>
              <w:right w:val="single" w:color="auto" w:sz="4" w:space="0"/>
            </w:tcBorders>
            <w:vAlign w:val="center"/>
          </w:tcPr>
          <w:p w14:paraId="09ABAF3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6A5CB4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264D5010">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724B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7657D939">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4</w:t>
            </w:r>
          </w:p>
        </w:tc>
        <w:tc>
          <w:tcPr>
            <w:tcW w:w="3722" w:type="dxa"/>
            <w:tcBorders>
              <w:top w:val="single" w:color="auto" w:sz="4" w:space="0"/>
              <w:left w:val="single" w:color="auto" w:sz="4" w:space="0"/>
              <w:bottom w:val="single" w:color="auto" w:sz="4" w:space="0"/>
              <w:right w:val="single" w:color="auto" w:sz="4" w:space="0"/>
            </w:tcBorders>
            <w:vAlign w:val="center"/>
          </w:tcPr>
          <w:p w14:paraId="35B9ACF1">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w:t>
            </w:r>
            <w:r>
              <w:rPr>
                <w:rFonts w:hint="eastAsia" w:ascii="宋体" w:hAnsi="宋体" w:eastAsia="宋体" w:cs="宋体"/>
                <w:color w:val="auto"/>
                <w:szCs w:val="21"/>
              </w:rPr>
              <w:t>人拟担任本工程项目负责</w:t>
            </w:r>
            <w:r>
              <w:rPr>
                <w:rFonts w:hint="eastAsia" w:ascii="宋体" w:hAnsi="宋体" w:cs="宋体"/>
                <w:color w:val="auto"/>
                <w:szCs w:val="21"/>
              </w:rPr>
              <w:t>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BB6B36E">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640A781F">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2128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76E71598">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5</w:t>
            </w:r>
          </w:p>
        </w:tc>
        <w:tc>
          <w:tcPr>
            <w:tcW w:w="3722" w:type="dxa"/>
            <w:tcBorders>
              <w:top w:val="single" w:color="auto" w:sz="4" w:space="0"/>
              <w:left w:val="single" w:color="auto" w:sz="4" w:space="0"/>
              <w:bottom w:val="single" w:color="auto" w:sz="4" w:space="0"/>
              <w:right w:val="single" w:color="auto" w:sz="4" w:space="0"/>
            </w:tcBorders>
            <w:vAlign w:val="center"/>
          </w:tcPr>
          <w:p w14:paraId="00470C8B">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6945EB24">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6872B82">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1BCB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2FCA1652">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6</w:t>
            </w:r>
          </w:p>
        </w:tc>
        <w:tc>
          <w:tcPr>
            <w:tcW w:w="3722" w:type="dxa"/>
            <w:tcBorders>
              <w:top w:val="single" w:color="auto" w:sz="4" w:space="0"/>
              <w:left w:val="single" w:color="auto" w:sz="4" w:space="0"/>
              <w:bottom w:val="single" w:color="auto" w:sz="4" w:space="0"/>
              <w:right w:val="single" w:color="auto" w:sz="4" w:space="0"/>
            </w:tcBorders>
            <w:vAlign w:val="center"/>
          </w:tcPr>
          <w:p w14:paraId="36C5BBF8">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6BD3074">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14:paraId="4DB8B40F">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1CA9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7AFC54E">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7</w:t>
            </w:r>
          </w:p>
        </w:tc>
        <w:tc>
          <w:tcPr>
            <w:tcW w:w="3722" w:type="dxa"/>
            <w:tcBorders>
              <w:top w:val="single" w:color="auto" w:sz="4" w:space="0"/>
              <w:left w:val="single" w:color="auto" w:sz="4" w:space="0"/>
              <w:bottom w:val="single" w:color="auto" w:sz="4" w:space="0"/>
              <w:right w:val="single" w:color="auto" w:sz="4" w:space="0"/>
            </w:tcBorders>
            <w:vAlign w:val="center"/>
          </w:tcPr>
          <w:p w14:paraId="162FF77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投标人拟担任本工程专职安全员须具有在有效期内的安全生产考核合格证（C类）或建筑施工企业专职安全生产管理人员安全生产考核合格证书（C3）</w:t>
            </w:r>
          </w:p>
        </w:tc>
        <w:tc>
          <w:tcPr>
            <w:tcW w:w="3420" w:type="dxa"/>
            <w:tcBorders>
              <w:top w:val="single" w:color="auto" w:sz="4" w:space="0"/>
              <w:left w:val="single" w:color="auto" w:sz="4" w:space="0"/>
              <w:bottom w:val="single" w:color="auto" w:sz="4" w:space="0"/>
              <w:right w:val="single" w:color="auto" w:sz="4" w:space="0"/>
            </w:tcBorders>
            <w:vAlign w:val="center"/>
          </w:tcPr>
          <w:p w14:paraId="4FAF3816">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专职安全员的安全生产考核合格证（C类）或建筑施工企业专职安全生产管理人员安全生产考核合格证书（C3）扫描件或电子证书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57B38B6F">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5335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482098E0">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8</w:t>
            </w:r>
          </w:p>
        </w:tc>
        <w:tc>
          <w:tcPr>
            <w:tcW w:w="3722" w:type="dxa"/>
            <w:tcBorders>
              <w:top w:val="single" w:color="auto" w:sz="4" w:space="0"/>
              <w:left w:val="single" w:color="auto" w:sz="4" w:space="0"/>
              <w:bottom w:val="single" w:color="auto" w:sz="4" w:space="0"/>
              <w:right w:val="single" w:color="auto" w:sz="4" w:space="0"/>
            </w:tcBorders>
            <w:vAlign w:val="center"/>
          </w:tcPr>
          <w:p w14:paraId="06A4712D">
            <w:pPr>
              <w:keepNext w:val="0"/>
              <w:keepLines w:val="0"/>
              <w:suppressLineNumbers w:val="0"/>
              <w:spacing w:before="0" w:beforeAutospacing="0" w:after="0" w:afterAutospacing="0"/>
              <w:ind w:left="0" w:right="0"/>
              <w:jc w:val="center"/>
              <w:rPr>
                <w:rFonts w:hint="default" w:ascii="宋体" w:hAnsi="宋体" w:cs="宋体"/>
                <w:color w:val="auto"/>
                <w:szCs w:val="21"/>
              </w:rPr>
            </w:pPr>
            <w:r>
              <w:rPr>
                <w:rStyle w:val="80"/>
                <w:rFonts w:hint="eastAsia" w:ascii="宋体" w:hAnsi="宋体" w:cs="宋体"/>
                <w:color w:val="auto"/>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3E198959">
            <w:pPr>
              <w:keepNext w:val="0"/>
              <w:keepLines w:val="0"/>
              <w:suppressLineNumbers w:val="0"/>
              <w:spacing w:before="0" w:beforeAutospacing="0" w:after="0" w:afterAutospacing="0"/>
              <w:ind w:left="0" w:right="0"/>
              <w:jc w:val="center"/>
              <w:rPr>
                <w:rFonts w:hint="default" w:ascii="宋体" w:hAnsi="宋体" w:cs="宋体"/>
                <w:color w:val="auto"/>
                <w:szCs w:val="21"/>
              </w:rPr>
            </w:pPr>
            <w:r>
              <w:rPr>
                <w:rStyle w:val="80"/>
                <w:rFonts w:hint="eastAsia" w:ascii="宋体" w:hAnsi="宋体" w:cs="宋体"/>
                <w:color w:val="auto"/>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3674E3DB">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3717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0B03B54">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9</w:t>
            </w:r>
          </w:p>
        </w:tc>
        <w:tc>
          <w:tcPr>
            <w:tcW w:w="3722" w:type="dxa"/>
            <w:tcBorders>
              <w:top w:val="single" w:color="auto" w:sz="4" w:space="0"/>
              <w:left w:val="single" w:color="auto" w:sz="4" w:space="0"/>
              <w:bottom w:val="single" w:color="auto" w:sz="4" w:space="0"/>
              <w:right w:val="single" w:color="auto" w:sz="4" w:space="0"/>
            </w:tcBorders>
            <w:vAlign w:val="center"/>
          </w:tcPr>
          <w:p w14:paraId="44B464B9">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2D49F73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AD01ECE">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7F9F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08F94C3D">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10</w:t>
            </w:r>
          </w:p>
        </w:tc>
        <w:tc>
          <w:tcPr>
            <w:tcW w:w="3722" w:type="dxa"/>
            <w:tcBorders>
              <w:top w:val="single" w:color="auto" w:sz="4" w:space="0"/>
              <w:left w:val="single" w:color="auto" w:sz="4" w:space="0"/>
              <w:bottom w:val="single" w:color="auto" w:sz="4" w:space="0"/>
              <w:right w:val="single" w:color="auto" w:sz="4" w:space="0"/>
            </w:tcBorders>
            <w:vAlign w:val="center"/>
          </w:tcPr>
          <w:p w14:paraId="3A3212EE">
            <w:pPr>
              <w:keepNext w:val="0"/>
              <w:keepLines w:val="0"/>
              <w:suppressLineNumbers w:val="0"/>
              <w:spacing w:before="120" w:beforeAutospacing="0" w:after="60" w:afterAutospacing="0"/>
              <w:ind w:left="0" w:right="0"/>
              <w:jc w:val="center"/>
              <w:rPr>
                <w:rFonts w:hint="default" w:ascii="宋体" w:hAnsi="宋体" w:eastAsia="宋体" w:cs="宋体"/>
                <w:color w:val="auto"/>
                <w:szCs w:val="21"/>
                <w:u w:val="single"/>
                <w:lang w:val="en-US" w:eastAsia="zh-CN"/>
              </w:rPr>
            </w:pPr>
            <w:r>
              <w:rPr>
                <w:rFonts w:hint="default" w:ascii="宋体" w:hAnsi="宋体" w:eastAsia="宋体" w:cs="宋体"/>
                <w:color w:val="auto"/>
                <w:szCs w:val="21"/>
                <w:u w:val="single"/>
                <w:lang w:val="en-US" w:eastAsia="zh-CN"/>
              </w:rPr>
              <w:t>本项目</w:t>
            </w:r>
            <w:r>
              <w:rPr>
                <w:rFonts w:hint="eastAsia" w:ascii="宋体" w:hAnsi="宋体" w:cs="宋体"/>
                <w:color w:val="auto"/>
                <w:szCs w:val="21"/>
                <w:u w:val="single"/>
                <w:lang w:val="en-US" w:eastAsia="zh-CN"/>
              </w:rPr>
              <w:t>不</w:t>
            </w:r>
            <w:r>
              <w:rPr>
                <w:rFonts w:hint="default" w:ascii="宋体" w:hAnsi="宋体" w:eastAsia="宋体" w:cs="宋体"/>
                <w:color w:val="auto"/>
                <w:szCs w:val="21"/>
                <w:u w:val="single"/>
                <w:lang w:val="en-US" w:eastAsia="zh-CN"/>
              </w:rPr>
              <w:t>允许联合体投标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7DD5053C">
            <w:pPr>
              <w:keepNext w:val="0"/>
              <w:keepLines w:val="0"/>
              <w:suppressLineNumbers w:val="0"/>
              <w:spacing w:before="120" w:beforeAutospacing="0" w:after="60" w:afterAutospacing="0"/>
              <w:ind w:left="0" w:right="0"/>
              <w:jc w:val="center"/>
              <w:rPr>
                <w:rFonts w:hint="eastAsia" w:ascii="宋体" w:hAnsi="宋体" w:eastAsia="宋体" w:cs="宋体"/>
                <w:color w:val="auto"/>
                <w:szCs w:val="21"/>
                <w:u w:val="single"/>
                <w:lang w:val="en-US" w:eastAsia="zh-CN"/>
              </w:rPr>
            </w:pPr>
            <w:r>
              <w:rPr>
                <w:rFonts w:hint="eastAsia" w:ascii="宋体" w:hAnsi="宋体" w:cs="宋体"/>
                <w:szCs w:val="21"/>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7DE327B6">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76ED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558836BD">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11</w:t>
            </w:r>
          </w:p>
        </w:tc>
        <w:tc>
          <w:tcPr>
            <w:tcW w:w="3722" w:type="dxa"/>
            <w:tcBorders>
              <w:top w:val="single" w:color="auto" w:sz="4" w:space="0"/>
              <w:left w:val="single" w:color="auto" w:sz="4" w:space="0"/>
              <w:bottom w:val="single" w:color="auto" w:sz="4" w:space="0"/>
              <w:right w:val="single" w:color="auto" w:sz="4" w:space="0"/>
            </w:tcBorders>
            <w:vAlign w:val="center"/>
          </w:tcPr>
          <w:p w14:paraId="0E3D305D">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3525A705">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7E15A96E">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2F7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E7588F0">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12</w:t>
            </w:r>
          </w:p>
        </w:tc>
        <w:tc>
          <w:tcPr>
            <w:tcW w:w="3722" w:type="dxa"/>
            <w:tcBorders>
              <w:top w:val="single" w:color="auto" w:sz="4" w:space="0"/>
              <w:left w:val="single" w:color="auto" w:sz="4" w:space="0"/>
              <w:bottom w:val="single" w:color="auto" w:sz="4" w:space="0"/>
              <w:right w:val="single" w:color="auto" w:sz="4" w:space="0"/>
            </w:tcBorders>
            <w:vAlign w:val="center"/>
          </w:tcPr>
          <w:p w14:paraId="1F8F0112">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377F2B40">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2B4669B">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5287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529C9538">
            <w:pPr>
              <w:keepNext w:val="0"/>
              <w:keepLines w:val="0"/>
              <w:suppressLineNumbers w:val="0"/>
              <w:spacing w:before="120" w:beforeAutospacing="0" w:after="60" w:afterAutospacing="0"/>
              <w:ind w:left="0" w:right="0"/>
              <w:jc w:val="center"/>
              <w:rPr>
                <w:rFonts w:hint="default" w:ascii="宋体" w:hAnsi="宋体" w:cs="宋体"/>
                <w:color w:val="auto"/>
                <w:szCs w:val="21"/>
              </w:rPr>
            </w:pPr>
            <w:r>
              <w:rPr>
                <w:rFonts w:hint="eastAsia" w:ascii="宋体" w:hAnsi="宋体" w:cs="宋体"/>
                <w:color w:val="auto"/>
                <w:szCs w:val="21"/>
              </w:rPr>
              <w:t>13</w:t>
            </w:r>
          </w:p>
        </w:tc>
        <w:tc>
          <w:tcPr>
            <w:tcW w:w="3722" w:type="dxa"/>
            <w:tcBorders>
              <w:top w:val="single" w:color="auto" w:sz="4" w:space="0"/>
              <w:left w:val="single" w:color="auto" w:sz="4" w:space="0"/>
              <w:bottom w:val="single" w:color="auto" w:sz="4" w:space="0"/>
              <w:right w:val="single" w:color="auto" w:sz="4" w:space="0"/>
            </w:tcBorders>
            <w:vAlign w:val="center"/>
          </w:tcPr>
          <w:p w14:paraId="461C978C">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0AD4AACF">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投标人无需提供资料，按</w:t>
            </w:r>
            <w:r>
              <w:rPr>
                <w:rFonts w:hint="eastAsia" w:ascii="宋体" w:hAnsi="宋体" w:cs="宋体"/>
                <w:color w:val="auto"/>
                <w:szCs w:val="21"/>
                <w:lang w:val="en-US" w:eastAsia="zh-CN"/>
              </w:rPr>
              <w:t>投标截止时间</w:t>
            </w:r>
            <w:r>
              <w:rPr>
                <w:rFonts w:hint="eastAsia" w:ascii="宋体" w:hAnsi="宋体" w:cs="宋体"/>
                <w:color w:val="auto"/>
                <w:szCs w:val="21"/>
              </w:rPr>
              <w:t>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21634D13">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r w14:paraId="149B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72053208">
            <w:pPr>
              <w:keepNext w:val="0"/>
              <w:keepLines w:val="0"/>
              <w:suppressLineNumbers w:val="0"/>
              <w:spacing w:before="120" w:beforeAutospacing="0" w:after="60" w:afterAutospacing="0"/>
              <w:ind w:left="0" w:right="0"/>
              <w:jc w:val="center"/>
              <w:rPr>
                <w:rFonts w:hint="default" w:ascii="宋体" w:hAnsi="宋体" w:eastAsia="宋体" w:cs="宋体"/>
                <w:color w:val="auto"/>
                <w:szCs w:val="21"/>
                <w:u w:val="single"/>
                <w:lang w:val="en-US" w:eastAsia="zh-CN"/>
              </w:rPr>
            </w:pPr>
            <w:r>
              <w:rPr>
                <w:rFonts w:hint="eastAsia" w:ascii="宋体" w:hAnsi="宋体" w:cs="宋体"/>
                <w:color w:val="auto"/>
                <w:szCs w:val="21"/>
                <w:u w:val="single"/>
                <w:lang w:val="en-US" w:eastAsia="zh-CN"/>
              </w:rPr>
              <w:t>14</w:t>
            </w:r>
          </w:p>
        </w:tc>
        <w:tc>
          <w:tcPr>
            <w:tcW w:w="3722" w:type="dxa"/>
            <w:tcBorders>
              <w:top w:val="single" w:color="auto" w:sz="4" w:space="0"/>
              <w:left w:val="single" w:color="auto" w:sz="4" w:space="0"/>
              <w:bottom w:val="single" w:color="auto" w:sz="4" w:space="0"/>
              <w:right w:val="single" w:color="auto" w:sz="4" w:space="0"/>
            </w:tcBorders>
            <w:vAlign w:val="center"/>
          </w:tcPr>
          <w:p w14:paraId="178125E4">
            <w:pPr>
              <w:keepNext w:val="0"/>
              <w:keepLines w:val="0"/>
              <w:suppressLineNumbers w:val="0"/>
              <w:spacing w:before="0" w:beforeAutospacing="0" w:after="0" w:afterAutospacing="0"/>
              <w:ind w:left="0" w:right="0"/>
              <w:jc w:val="center"/>
              <w:rPr>
                <w:rFonts w:hint="eastAsia" w:ascii="宋体" w:hAnsi="宋体" w:cs="宋体"/>
                <w:color w:val="auto"/>
                <w:szCs w:val="21"/>
                <w:u w:val="single"/>
              </w:rPr>
            </w:pPr>
            <w:r>
              <w:rPr>
                <w:rFonts w:hint="eastAsia" w:ascii="宋体" w:hAnsi="宋体" w:cs="宋体"/>
                <w:color w:val="auto"/>
                <w:szCs w:val="21"/>
                <w:u w:val="single"/>
              </w:rPr>
              <w:t>落实政府采购政策需满足的资格要求</w:t>
            </w:r>
          </w:p>
        </w:tc>
        <w:tc>
          <w:tcPr>
            <w:tcW w:w="3420" w:type="dxa"/>
            <w:tcBorders>
              <w:top w:val="single" w:color="auto" w:sz="4" w:space="0"/>
              <w:left w:val="single" w:color="auto" w:sz="4" w:space="0"/>
              <w:bottom w:val="single" w:color="auto" w:sz="4" w:space="0"/>
              <w:right w:val="single" w:color="auto" w:sz="4" w:space="0"/>
            </w:tcBorders>
            <w:vAlign w:val="center"/>
          </w:tcPr>
          <w:p w14:paraId="004E034F">
            <w:pPr>
              <w:keepNext w:val="0"/>
              <w:keepLines w:val="0"/>
              <w:suppressLineNumbers w:val="0"/>
              <w:spacing w:before="0" w:beforeAutospacing="0" w:after="0" w:afterAutospacing="0"/>
              <w:ind w:left="0" w:right="0"/>
              <w:jc w:val="center"/>
              <w:rPr>
                <w:rFonts w:hint="default" w:ascii="宋体" w:hAnsi="宋体" w:eastAsia="宋体" w:cs="宋体"/>
                <w:color w:val="auto"/>
                <w:szCs w:val="21"/>
                <w:u w:val="single"/>
                <w:lang w:val="en-US" w:eastAsia="zh-CN"/>
              </w:rPr>
            </w:pPr>
            <w:r>
              <w:rPr>
                <w:rFonts w:hint="eastAsia" w:ascii="宋体" w:hAnsi="宋体" w:cs="宋体"/>
                <w:color w:val="auto"/>
                <w:szCs w:val="21"/>
                <w:u w:val="single"/>
                <w:lang w:val="en-US" w:eastAsia="zh-CN"/>
              </w:rPr>
              <w:t>中小企业相关资料</w:t>
            </w:r>
          </w:p>
        </w:tc>
        <w:tc>
          <w:tcPr>
            <w:tcW w:w="720" w:type="dxa"/>
            <w:tcBorders>
              <w:top w:val="single" w:color="auto" w:sz="4" w:space="0"/>
              <w:left w:val="single" w:color="auto" w:sz="4" w:space="0"/>
              <w:bottom w:val="single" w:color="auto" w:sz="4" w:space="0"/>
              <w:right w:val="single" w:color="auto" w:sz="4" w:space="0"/>
            </w:tcBorders>
            <w:vAlign w:val="center"/>
          </w:tcPr>
          <w:p w14:paraId="55AB9B48">
            <w:pPr>
              <w:keepNext w:val="0"/>
              <w:keepLines w:val="0"/>
              <w:suppressLineNumbers w:val="0"/>
              <w:spacing w:before="120" w:beforeAutospacing="0" w:after="60" w:afterAutospacing="0"/>
              <w:ind w:left="0" w:right="0"/>
              <w:jc w:val="center"/>
              <w:rPr>
                <w:rFonts w:hint="default" w:ascii="宋体" w:hAnsi="宋体" w:cs="宋体"/>
                <w:color w:val="auto"/>
                <w:szCs w:val="21"/>
              </w:rPr>
            </w:pPr>
          </w:p>
        </w:tc>
      </w:tr>
    </w:tbl>
    <w:p w14:paraId="6EDFA0D0">
      <w:pPr>
        <w:spacing w:line="360" w:lineRule="auto"/>
        <w:ind w:firstLine="420" w:firstLineChars="200"/>
        <w:rPr>
          <w:rFonts w:ascii="宋体" w:hAnsi="宋体" w:cs="宋体"/>
          <w:color w:val="auto"/>
          <w:szCs w:val="21"/>
        </w:rPr>
      </w:pPr>
      <w:r>
        <w:rPr>
          <w:rFonts w:hint="eastAsia" w:ascii="宋体" w:hAnsi="宋体" w:cs="宋体"/>
          <w:color w:val="auto"/>
          <w:szCs w:val="21"/>
        </w:rPr>
        <w:t>备注：</w:t>
      </w:r>
    </w:p>
    <w:p w14:paraId="04A5515A">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1、每一项目符合的打“○”，不符合的打“×”； </w:t>
      </w:r>
    </w:p>
    <w:p w14:paraId="1EEA37AB">
      <w:pPr>
        <w:spacing w:line="360" w:lineRule="auto"/>
        <w:ind w:firstLine="420" w:firstLineChars="200"/>
        <w:rPr>
          <w:rFonts w:ascii="宋体" w:hAnsi="宋体" w:cs="宋体"/>
          <w:color w:val="auto"/>
          <w:szCs w:val="21"/>
        </w:rPr>
      </w:pPr>
      <w:r>
        <w:rPr>
          <w:rFonts w:hint="eastAsia" w:ascii="宋体" w:hAnsi="宋体" w:cs="宋体"/>
          <w:color w:val="auto"/>
          <w:szCs w:val="21"/>
        </w:rPr>
        <w:t>2、若评委意见不一致时，则按少数服从多数的原则，作出评审结论。汇总后，出现一个“×”的结论为“不通过”。</w:t>
      </w:r>
    </w:p>
    <w:p w14:paraId="715B315C">
      <w:pPr>
        <w:spacing w:line="360" w:lineRule="auto"/>
        <w:ind w:firstLine="420" w:firstLineChars="200"/>
        <w:rPr>
          <w:rFonts w:ascii="宋体" w:hAnsi="宋体" w:cs="宋体"/>
          <w:color w:val="auto"/>
        </w:rPr>
        <w:sectPr>
          <w:pgSz w:w="11906" w:h="16838"/>
          <w:pgMar w:top="1247" w:right="1418" w:bottom="1134" w:left="1418"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color w:val="auto"/>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FDE86E5">
      <w:pPr>
        <w:rPr>
          <w:rFonts w:ascii="宋体" w:hAnsi="宋体" w:cs="宋体"/>
          <w:color w:val="auto"/>
          <w:szCs w:val="21"/>
        </w:rPr>
      </w:pPr>
      <w:r>
        <w:rPr>
          <w:rFonts w:hint="eastAsia" w:ascii="宋体" w:hAnsi="宋体" w:cs="宋体"/>
          <w:color w:val="auto"/>
          <w:szCs w:val="21"/>
        </w:rPr>
        <w:t>附表二</w:t>
      </w:r>
    </w:p>
    <w:p w14:paraId="59BD3235">
      <w:pPr>
        <w:jc w:val="center"/>
        <w:rPr>
          <w:rFonts w:ascii="宋体" w:hAnsi="宋体" w:cs="宋体"/>
          <w:b/>
          <w:color w:val="auto"/>
          <w:sz w:val="36"/>
          <w:szCs w:val="36"/>
        </w:rPr>
      </w:pPr>
      <w:r>
        <w:rPr>
          <w:rFonts w:hint="eastAsia" w:ascii="宋体" w:hAnsi="宋体" w:cs="宋体"/>
          <w:b/>
          <w:color w:val="auto"/>
          <w:sz w:val="36"/>
          <w:szCs w:val="36"/>
        </w:rPr>
        <w:t>技术标有效性审查表</w:t>
      </w:r>
    </w:p>
    <w:p w14:paraId="52468EF6">
      <w:pPr>
        <w:rPr>
          <w:rFonts w:ascii="宋体" w:hAnsi="宋体" w:cs="宋体"/>
          <w:color w:val="auto"/>
          <w:szCs w:val="21"/>
        </w:rPr>
      </w:pPr>
      <w:r>
        <w:rPr>
          <w:rFonts w:hint="eastAsia" w:ascii="宋体" w:hAnsi="宋体" w:cs="宋体"/>
          <w:color w:val="auto"/>
          <w:szCs w:val="21"/>
        </w:rPr>
        <w:t>工程名称：</w:t>
      </w:r>
    </w:p>
    <w:tbl>
      <w:tblPr>
        <w:tblStyle w:val="39"/>
        <w:tblW w:w="14189"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697"/>
        <w:gridCol w:w="1630"/>
        <w:gridCol w:w="1630"/>
        <w:gridCol w:w="1630"/>
      </w:tblGrid>
      <w:tr w14:paraId="4A8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6BF85363">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序号</w:t>
            </w:r>
          </w:p>
        </w:tc>
        <w:tc>
          <w:tcPr>
            <w:tcW w:w="8697" w:type="dxa"/>
            <w:tcBorders>
              <w:top w:val="single" w:color="auto" w:sz="4" w:space="0"/>
              <w:left w:val="single" w:color="auto" w:sz="4" w:space="0"/>
              <w:bottom w:val="single" w:color="auto" w:sz="4" w:space="0"/>
              <w:right w:val="single" w:color="auto" w:sz="4" w:space="0"/>
              <w:tl2br w:val="single" w:color="auto" w:sz="4" w:space="0"/>
            </w:tcBorders>
          </w:tcPr>
          <w:p w14:paraId="3214714F">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               投标人</w:t>
            </w:r>
          </w:p>
          <w:p w14:paraId="245A65EC">
            <w:pPr>
              <w:keepNext w:val="0"/>
              <w:keepLines w:val="0"/>
              <w:suppressLineNumbers w:val="0"/>
              <w:adjustRightInd w:val="0"/>
              <w:spacing w:before="0" w:beforeAutospacing="0" w:after="0" w:afterAutospacing="0"/>
              <w:ind w:left="0" w:right="0"/>
              <w:rPr>
                <w:rFonts w:hint="default" w:ascii="宋体" w:hAnsi="宋体" w:cs="宋体"/>
                <w:color w:val="auto"/>
                <w:szCs w:val="21"/>
              </w:rPr>
            </w:pPr>
          </w:p>
          <w:p w14:paraId="7796EA1D">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评审内容</w:t>
            </w:r>
          </w:p>
        </w:tc>
        <w:tc>
          <w:tcPr>
            <w:tcW w:w="1630" w:type="dxa"/>
            <w:tcBorders>
              <w:top w:val="single" w:color="auto" w:sz="4" w:space="0"/>
              <w:left w:val="single" w:color="auto" w:sz="4" w:space="0"/>
              <w:bottom w:val="single" w:color="auto" w:sz="4" w:space="0"/>
              <w:right w:val="single" w:color="auto" w:sz="4" w:space="0"/>
            </w:tcBorders>
          </w:tcPr>
          <w:p w14:paraId="63546BF5">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46E3153F">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122BAD28">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020F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34926687">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w:t>
            </w:r>
          </w:p>
        </w:tc>
        <w:tc>
          <w:tcPr>
            <w:tcW w:w="8697" w:type="dxa"/>
            <w:tcBorders>
              <w:top w:val="single" w:color="auto" w:sz="4" w:space="0"/>
              <w:left w:val="single" w:color="auto" w:sz="4" w:space="0"/>
              <w:bottom w:val="single" w:color="auto" w:sz="4" w:space="0"/>
              <w:right w:val="single" w:color="auto" w:sz="4" w:space="0"/>
            </w:tcBorders>
            <w:vAlign w:val="center"/>
          </w:tcPr>
          <w:p w14:paraId="5BAAA0D3">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《广州建设工程施工招标投标书》中投标总工期不能满足完成投标项目工期的；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67C3905A">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762FD08D">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32340BAC">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2B5C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1359148B">
            <w:pPr>
              <w:keepNext w:val="0"/>
              <w:keepLines w:val="0"/>
              <w:suppressLineNumbers w:val="0"/>
              <w:adjustRightInd w:val="0"/>
              <w:spacing w:before="0" w:beforeAutospacing="0" w:after="0" w:afterAutospacing="0"/>
              <w:ind w:left="0" w:right="0"/>
              <w:rPr>
                <w:rFonts w:hint="default" w:ascii="宋体" w:hAnsi="宋体" w:cs="宋体"/>
                <w:strike/>
                <w:color w:val="auto"/>
                <w:szCs w:val="21"/>
              </w:rPr>
            </w:pPr>
            <w:r>
              <w:rPr>
                <w:rFonts w:hint="eastAsia" w:ascii="宋体" w:hAnsi="宋体" w:cs="宋体"/>
                <w:color w:val="auto"/>
                <w:szCs w:val="21"/>
              </w:rPr>
              <w:t>2</w:t>
            </w:r>
          </w:p>
        </w:tc>
        <w:tc>
          <w:tcPr>
            <w:tcW w:w="8697" w:type="dxa"/>
            <w:tcBorders>
              <w:top w:val="single" w:color="auto" w:sz="4" w:space="0"/>
              <w:left w:val="single" w:color="auto" w:sz="4" w:space="0"/>
              <w:bottom w:val="single" w:color="auto" w:sz="4" w:space="0"/>
              <w:right w:val="single" w:color="auto" w:sz="4" w:space="0"/>
            </w:tcBorders>
            <w:vAlign w:val="center"/>
          </w:tcPr>
          <w:p w14:paraId="4C8262C7">
            <w:pPr>
              <w:keepNext w:val="0"/>
              <w:keepLines w:val="0"/>
              <w:suppressLineNumbers w:val="0"/>
              <w:adjustRightInd w:val="0"/>
              <w:spacing w:before="0" w:beforeAutospacing="0" w:after="0" w:afterAutospacing="0"/>
              <w:ind w:left="0" w:right="0"/>
              <w:rPr>
                <w:rFonts w:hint="default" w:ascii="宋体" w:hAnsi="宋体" w:cs="宋体"/>
                <w:strike/>
                <w:color w:val="auto"/>
                <w:szCs w:val="21"/>
              </w:rPr>
            </w:pPr>
            <w:r>
              <w:rPr>
                <w:rFonts w:hint="eastAsia" w:ascii="宋体" w:hAnsi="宋体" w:cs="宋体"/>
                <w:color w:val="auto"/>
                <w:szCs w:val="21"/>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43C69B0A">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03475F0A">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207828FA">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46A0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404FF643">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3</w:t>
            </w:r>
          </w:p>
        </w:tc>
        <w:tc>
          <w:tcPr>
            <w:tcW w:w="8697" w:type="dxa"/>
            <w:tcBorders>
              <w:top w:val="single" w:color="auto" w:sz="4" w:space="0"/>
              <w:left w:val="single" w:color="auto" w:sz="4" w:space="0"/>
              <w:bottom w:val="single" w:color="auto" w:sz="4" w:space="0"/>
              <w:right w:val="single" w:color="auto" w:sz="4" w:space="0"/>
            </w:tcBorders>
            <w:vAlign w:val="center"/>
          </w:tcPr>
          <w:p w14:paraId="14B291A7">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64D41283">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1C007E6E">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638E494E">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49A8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230F883E">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4</w:t>
            </w:r>
          </w:p>
        </w:tc>
        <w:tc>
          <w:tcPr>
            <w:tcW w:w="8697" w:type="dxa"/>
            <w:tcBorders>
              <w:top w:val="single" w:color="auto" w:sz="4" w:space="0"/>
              <w:left w:val="single" w:color="auto" w:sz="4" w:space="0"/>
              <w:bottom w:val="single" w:color="auto" w:sz="4" w:space="0"/>
              <w:right w:val="single" w:color="auto" w:sz="4" w:space="0"/>
            </w:tcBorders>
            <w:vAlign w:val="center"/>
          </w:tcPr>
          <w:p w14:paraId="454F8266">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投标文件未按规定的格式</w:t>
            </w:r>
            <w:r>
              <w:rPr>
                <w:rFonts w:hint="eastAsia" w:ascii="宋体" w:hAnsi="宋体" w:cs="宋体"/>
                <w:b w:val="0"/>
                <w:bCs w:val="0"/>
                <w:color w:val="auto"/>
                <w:szCs w:val="21"/>
                <w:u w:val="none"/>
              </w:rPr>
              <w:t>（技术标格式二、格式三</w:t>
            </w:r>
            <w:bookmarkStart w:id="23" w:name="OLE_LINK1"/>
            <w:r>
              <w:rPr>
                <w:rFonts w:hint="eastAsia" w:ascii="宋体" w:hAnsi="宋体" w:cs="宋体"/>
                <w:b w:val="0"/>
                <w:bCs w:val="0"/>
                <w:color w:val="auto"/>
                <w:szCs w:val="21"/>
                <w:u w:val="none"/>
              </w:rPr>
              <w:t>、格式</w:t>
            </w:r>
            <w:r>
              <w:rPr>
                <w:rFonts w:hint="eastAsia" w:ascii="宋体" w:hAnsi="宋体" w:cs="宋体"/>
                <w:b w:val="0"/>
                <w:bCs w:val="0"/>
                <w:color w:val="auto"/>
                <w:szCs w:val="21"/>
                <w:u w:val="none"/>
                <w:lang w:val="en-US" w:eastAsia="zh-CN"/>
              </w:rPr>
              <w:t>九</w:t>
            </w:r>
            <w:bookmarkEnd w:id="23"/>
            <w:r>
              <w:rPr>
                <w:rFonts w:hint="eastAsia" w:ascii="宋体" w:hAnsi="宋体" w:cs="宋体"/>
                <w:b w:val="0"/>
                <w:bCs w:val="0"/>
                <w:color w:val="auto"/>
                <w:szCs w:val="21"/>
                <w:u w:val="none"/>
              </w:rPr>
              <w:t>、格式</w:t>
            </w:r>
            <w:r>
              <w:rPr>
                <w:rFonts w:hint="eastAsia" w:ascii="宋体" w:hAnsi="宋体" w:cs="宋体"/>
                <w:b w:val="0"/>
                <w:bCs w:val="0"/>
                <w:color w:val="auto"/>
                <w:szCs w:val="21"/>
                <w:u w:val="none"/>
                <w:lang w:val="en-US" w:eastAsia="zh-CN"/>
              </w:rPr>
              <w:t>十一</w:t>
            </w:r>
            <w:r>
              <w:rPr>
                <w:rFonts w:hint="eastAsia" w:ascii="宋体" w:hAnsi="宋体" w:cs="宋体"/>
                <w:b w:val="0"/>
                <w:bCs w:val="0"/>
                <w:color w:val="auto"/>
                <w:szCs w:val="21"/>
                <w:u w:val="none"/>
              </w:rPr>
              <w:t>）</w:t>
            </w:r>
            <w:r>
              <w:rPr>
                <w:rFonts w:hint="eastAsia" w:ascii="宋体" w:hAnsi="宋体" w:cs="宋体"/>
                <w:color w:val="auto"/>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222E91C8">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65575A35">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1F41E4E4">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1CB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14:paraId="65223CA1">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w:t>
            </w:r>
          </w:p>
        </w:tc>
        <w:tc>
          <w:tcPr>
            <w:tcW w:w="8697" w:type="dxa"/>
            <w:tcBorders>
              <w:top w:val="single" w:color="auto" w:sz="4" w:space="0"/>
              <w:left w:val="single" w:color="auto" w:sz="4" w:space="0"/>
              <w:bottom w:val="single" w:color="auto" w:sz="4" w:space="0"/>
              <w:right w:val="single" w:color="auto" w:sz="4" w:space="0"/>
            </w:tcBorders>
            <w:vAlign w:val="center"/>
          </w:tcPr>
          <w:p w14:paraId="77CF9497">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0A72ECDC">
            <w:pPr>
              <w:keepNext w:val="0"/>
              <w:keepLines w:val="0"/>
              <w:suppressLineNumbers w:val="0"/>
              <w:adjustRightInd w:val="0"/>
              <w:spacing w:before="0" w:beforeAutospacing="0" w:after="0" w:afterAutospacing="0"/>
              <w:ind w:left="0" w:right="0"/>
              <w:rPr>
                <w:rFonts w:hint="default"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59FFADC6">
            <w:pPr>
              <w:keepNext w:val="0"/>
              <w:keepLines w:val="0"/>
              <w:suppressLineNumbers w:val="0"/>
              <w:adjustRightInd w:val="0"/>
              <w:spacing w:before="0" w:beforeAutospacing="0" w:after="0" w:afterAutospacing="0"/>
              <w:ind w:left="0" w:right="0"/>
              <w:rPr>
                <w:rFonts w:hint="default" w:ascii="宋体" w:hAnsi="宋体" w:cs="宋体"/>
                <w:color w:val="auto"/>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3972E13">
            <w:pPr>
              <w:keepNext w:val="0"/>
              <w:keepLines w:val="0"/>
              <w:suppressLineNumbers w:val="0"/>
              <w:adjustRightInd w:val="0"/>
              <w:spacing w:before="0" w:beforeAutospacing="0" w:after="0" w:afterAutospacing="0"/>
              <w:ind w:left="0" w:right="0"/>
              <w:rPr>
                <w:rFonts w:hint="default" w:ascii="宋体" w:hAnsi="宋体" w:cs="宋体"/>
                <w:color w:val="auto"/>
                <w:szCs w:val="21"/>
                <w:shd w:val="pct10" w:color="auto" w:fill="FFFFFF"/>
              </w:rPr>
            </w:pPr>
          </w:p>
        </w:tc>
      </w:tr>
      <w:tr w14:paraId="609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02" w:type="dxa"/>
            <w:tcBorders>
              <w:top w:val="single" w:color="auto" w:sz="4" w:space="0"/>
              <w:left w:val="single" w:color="auto" w:sz="4" w:space="0"/>
              <w:bottom w:val="single" w:color="auto" w:sz="4" w:space="0"/>
              <w:right w:val="single" w:color="auto" w:sz="4" w:space="0"/>
            </w:tcBorders>
            <w:vAlign w:val="center"/>
          </w:tcPr>
          <w:p w14:paraId="4ADA408F">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6</w:t>
            </w:r>
          </w:p>
        </w:tc>
        <w:tc>
          <w:tcPr>
            <w:tcW w:w="8697" w:type="dxa"/>
            <w:tcBorders>
              <w:top w:val="single" w:color="auto" w:sz="4" w:space="0"/>
              <w:left w:val="single" w:color="auto" w:sz="4" w:space="0"/>
              <w:bottom w:val="single" w:color="auto" w:sz="4" w:space="0"/>
              <w:right w:val="single" w:color="auto" w:sz="4" w:space="0"/>
            </w:tcBorders>
            <w:vAlign w:val="center"/>
          </w:tcPr>
          <w:p w14:paraId="7570F023">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无《参与编制技术标投标文件人员名单》的</w:t>
            </w:r>
            <w:r>
              <w:rPr>
                <w:rFonts w:hint="eastAsia" w:ascii="宋体" w:hAnsi="宋体" w:cs="宋体"/>
                <w:color w:val="auto"/>
                <w:szCs w:val="21"/>
                <w:lang w:eastAsia="zh-CN"/>
              </w:rPr>
              <w:t>；</w:t>
            </w:r>
          </w:p>
        </w:tc>
        <w:tc>
          <w:tcPr>
            <w:tcW w:w="1630" w:type="dxa"/>
            <w:tcBorders>
              <w:top w:val="single" w:color="auto" w:sz="4" w:space="0"/>
              <w:left w:val="single" w:color="auto" w:sz="4" w:space="0"/>
              <w:bottom w:val="single" w:color="auto" w:sz="4" w:space="0"/>
              <w:right w:val="single" w:color="auto" w:sz="4" w:space="0"/>
            </w:tcBorders>
          </w:tcPr>
          <w:p w14:paraId="7B893434">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7E99A015">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06CB088C">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r w14:paraId="1E27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67C9FDB">
            <w:pPr>
              <w:keepNext w:val="0"/>
              <w:keepLines w:val="0"/>
              <w:suppressLineNumbers w:val="0"/>
              <w:adjustRightIn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7</w:t>
            </w:r>
          </w:p>
        </w:tc>
        <w:tc>
          <w:tcPr>
            <w:tcW w:w="8697" w:type="dxa"/>
            <w:tcBorders>
              <w:top w:val="single" w:color="auto" w:sz="4" w:space="0"/>
              <w:left w:val="single" w:color="auto" w:sz="4" w:space="0"/>
              <w:bottom w:val="single" w:color="auto" w:sz="4" w:space="0"/>
              <w:right w:val="single" w:color="auto" w:sz="4" w:space="0"/>
            </w:tcBorders>
            <w:vAlign w:val="center"/>
          </w:tcPr>
          <w:p w14:paraId="280364F3">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投标人与本项目其他投标人加密打包投标文件电脑机器特征码一致的(以交易平台评标系统的检索信息为准)</w:t>
            </w:r>
            <w:r>
              <w:rPr>
                <w:rFonts w:hint="eastAsia" w:ascii="宋体" w:hAnsi="宋体" w:cs="宋体"/>
                <w:color w:val="auto"/>
                <w:szCs w:val="21"/>
                <w:lang w:eastAsia="zh-CN"/>
              </w:rPr>
              <w:t>。</w:t>
            </w:r>
          </w:p>
        </w:tc>
        <w:tc>
          <w:tcPr>
            <w:tcW w:w="1630" w:type="dxa"/>
            <w:tcBorders>
              <w:top w:val="single" w:color="auto" w:sz="4" w:space="0"/>
              <w:left w:val="single" w:color="auto" w:sz="4" w:space="0"/>
              <w:bottom w:val="single" w:color="auto" w:sz="4" w:space="0"/>
              <w:right w:val="single" w:color="auto" w:sz="4" w:space="0"/>
            </w:tcBorders>
          </w:tcPr>
          <w:p w14:paraId="31ECEA63">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2D44D1F0">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c>
          <w:tcPr>
            <w:tcW w:w="1630" w:type="dxa"/>
            <w:tcBorders>
              <w:top w:val="single" w:color="auto" w:sz="4" w:space="0"/>
              <w:left w:val="single" w:color="auto" w:sz="4" w:space="0"/>
              <w:bottom w:val="single" w:color="auto" w:sz="4" w:space="0"/>
              <w:right w:val="single" w:color="auto" w:sz="4" w:space="0"/>
            </w:tcBorders>
          </w:tcPr>
          <w:p w14:paraId="401B1CD7">
            <w:pPr>
              <w:keepNext w:val="0"/>
              <w:keepLines w:val="0"/>
              <w:suppressLineNumbers w:val="0"/>
              <w:adjustRightInd w:val="0"/>
              <w:spacing w:before="0" w:beforeAutospacing="0" w:after="0" w:afterAutospacing="0"/>
              <w:ind w:left="0" w:right="0"/>
              <w:rPr>
                <w:rFonts w:hint="default" w:ascii="宋体" w:hAnsi="宋体" w:cs="宋体"/>
                <w:color w:val="auto"/>
                <w:szCs w:val="21"/>
              </w:rPr>
            </w:pPr>
          </w:p>
        </w:tc>
      </w:tr>
    </w:tbl>
    <w:p w14:paraId="27E8E9A5">
      <w:pPr>
        <w:rPr>
          <w:rFonts w:ascii="宋体" w:hAnsi="宋体" w:cs="宋体"/>
          <w:color w:val="auto"/>
          <w:szCs w:val="21"/>
        </w:rPr>
      </w:pPr>
      <w:r>
        <w:rPr>
          <w:rFonts w:hint="eastAsia" w:ascii="宋体" w:hAnsi="宋体" w:cs="宋体"/>
          <w:color w:val="auto"/>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6AFFC5D4">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2C1854A">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3.凡出现以上任何一项情形，结论均为无效，否则就为有效。</w:t>
      </w:r>
    </w:p>
    <w:p w14:paraId="2DC378E7">
      <w:pPr>
        <w:ind w:firstLine="420" w:firstLineChars="200"/>
        <w:rPr>
          <w:rFonts w:ascii="宋体" w:hAnsi="宋体" w:cs="宋体"/>
          <w:color w:val="auto"/>
          <w:szCs w:val="21"/>
        </w:rPr>
      </w:pPr>
      <w:r>
        <w:rPr>
          <w:rFonts w:hint="eastAsia" w:ascii="宋体" w:hAnsi="宋体" w:cs="宋体"/>
          <w:color w:val="auto"/>
          <w:szCs w:val="21"/>
        </w:rPr>
        <w:t>4.如对本表中某种情形的评审意见不一致时，以评标委员会过半数成员的意见作为评标委员会对该情形的认定结论。</w:t>
      </w:r>
    </w:p>
    <w:p w14:paraId="532C8E9D">
      <w:pPr>
        <w:rPr>
          <w:rFonts w:ascii="宋体" w:hAnsi="宋体" w:cs="宋体"/>
          <w:color w:val="auto"/>
          <w:szCs w:val="21"/>
        </w:rPr>
      </w:pPr>
      <w:r>
        <w:rPr>
          <w:rFonts w:hint="eastAsia" w:ascii="宋体" w:hAnsi="宋体" w:cs="宋体"/>
          <w:color w:val="auto"/>
          <w:szCs w:val="21"/>
        </w:rPr>
        <w:t>评委签名：</w:t>
      </w:r>
      <w:r>
        <w:rPr>
          <w:rFonts w:hint="eastAsia" w:ascii="宋体" w:hAnsi="宋体" w:cs="宋体"/>
          <w:color w:val="auto"/>
        </w:rPr>
        <w:br w:type="page"/>
      </w:r>
      <w:r>
        <w:rPr>
          <w:rFonts w:hint="eastAsia" w:ascii="宋体" w:hAnsi="宋体" w:cs="宋体"/>
          <w:color w:val="auto"/>
          <w:szCs w:val="21"/>
        </w:rPr>
        <w:t>附表三</w:t>
      </w:r>
    </w:p>
    <w:p w14:paraId="2785BD08">
      <w:pPr>
        <w:jc w:val="center"/>
        <w:rPr>
          <w:rFonts w:ascii="宋体" w:hAnsi="宋体" w:cs="宋体"/>
          <w:b/>
          <w:color w:val="auto"/>
          <w:sz w:val="36"/>
          <w:szCs w:val="36"/>
        </w:rPr>
      </w:pPr>
      <w:r>
        <w:rPr>
          <w:rFonts w:hint="eastAsia" w:ascii="宋体" w:hAnsi="宋体" w:cs="宋体"/>
          <w:b/>
          <w:color w:val="auto"/>
          <w:sz w:val="36"/>
          <w:szCs w:val="36"/>
        </w:rPr>
        <w:t>经济标有效性</w:t>
      </w:r>
      <w:bookmarkStart w:id="126" w:name="_GoBack"/>
      <w:bookmarkEnd w:id="126"/>
      <w:r>
        <w:rPr>
          <w:rFonts w:hint="eastAsia" w:ascii="宋体" w:hAnsi="宋体" w:cs="宋体"/>
          <w:b/>
          <w:color w:val="auto"/>
          <w:sz w:val="36"/>
          <w:szCs w:val="36"/>
        </w:rPr>
        <w:t>审查表</w:t>
      </w:r>
    </w:p>
    <w:p w14:paraId="1D95342B">
      <w:pPr>
        <w:rPr>
          <w:rFonts w:ascii="宋体" w:hAnsi="宋体" w:cs="宋体"/>
          <w:color w:val="auto"/>
          <w:szCs w:val="21"/>
        </w:rPr>
      </w:pPr>
      <w:r>
        <w:rPr>
          <w:rFonts w:hint="eastAsia" w:ascii="宋体" w:hAnsi="宋体" w:cs="宋体"/>
          <w:color w:val="auto"/>
          <w:szCs w:val="21"/>
        </w:rPr>
        <w:t>工程名称：</w:t>
      </w:r>
    </w:p>
    <w:tbl>
      <w:tblPr>
        <w:tblStyle w:val="39"/>
        <w:tblW w:w="1316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53"/>
        <w:gridCol w:w="1187"/>
        <w:gridCol w:w="1397"/>
        <w:gridCol w:w="1397"/>
      </w:tblGrid>
      <w:tr w14:paraId="246F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32" w:type="dxa"/>
            <w:tcBorders>
              <w:top w:val="single" w:color="auto" w:sz="4" w:space="0"/>
              <w:left w:val="single" w:color="auto" w:sz="4" w:space="0"/>
              <w:bottom w:val="single" w:color="auto" w:sz="4" w:space="0"/>
              <w:right w:val="single" w:color="auto" w:sz="4" w:space="0"/>
            </w:tcBorders>
            <w:vAlign w:val="center"/>
          </w:tcPr>
          <w:p w14:paraId="2B03859F">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序号</w:t>
            </w:r>
          </w:p>
        </w:tc>
        <w:tc>
          <w:tcPr>
            <w:tcW w:w="8653" w:type="dxa"/>
            <w:tcBorders>
              <w:top w:val="single" w:color="auto" w:sz="4" w:space="0"/>
              <w:left w:val="single" w:color="auto" w:sz="4" w:space="0"/>
              <w:bottom w:val="single" w:color="auto" w:sz="4" w:space="0"/>
              <w:right w:val="single" w:color="auto" w:sz="4" w:space="0"/>
              <w:tl2br w:val="single" w:color="auto" w:sz="4" w:space="0"/>
            </w:tcBorders>
          </w:tcPr>
          <w:p w14:paraId="64A567F3">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               投标人</w:t>
            </w:r>
          </w:p>
          <w:p w14:paraId="7DD254F4">
            <w:pPr>
              <w:keepNext w:val="0"/>
              <w:keepLines w:val="0"/>
              <w:suppressLineNumbers w:val="0"/>
              <w:spacing w:before="0" w:beforeAutospacing="0" w:after="0" w:afterAutospacing="0"/>
              <w:ind w:left="0" w:right="0"/>
              <w:rPr>
                <w:rFonts w:hint="default" w:ascii="宋体" w:hAnsi="宋体" w:cs="宋体"/>
                <w:color w:val="auto"/>
                <w:szCs w:val="21"/>
              </w:rPr>
            </w:pPr>
          </w:p>
          <w:p w14:paraId="6C1E323F">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评审内容</w:t>
            </w:r>
          </w:p>
        </w:tc>
        <w:tc>
          <w:tcPr>
            <w:tcW w:w="1187" w:type="dxa"/>
            <w:tcBorders>
              <w:top w:val="single" w:color="auto" w:sz="4" w:space="0"/>
              <w:left w:val="single" w:color="auto" w:sz="4" w:space="0"/>
              <w:bottom w:val="single" w:color="auto" w:sz="4" w:space="0"/>
              <w:right w:val="single" w:color="auto" w:sz="4" w:space="0"/>
            </w:tcBorders>
          </w:tcPr>
          <w:p w14:paraId="5096B741">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0CE0BDB">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536EA02">
            <w:pPr>
              <w:keepNext w:val="0"/>
              <w:keepLines w:val="0"/>
              <w:suppressLineNumbers w:val="0"/>
              <w:spacing w:before="0" w:beforeAutospacing="0" w:after="0" w:afterAutospacing="0"/>
              <w:ind w:left="0" w:right="0"/>
              <w:rPr>
                <w:rFonts w:hint="default" w:ascii="宋体" w:hAnsi="宋体" w:cs="宋体"/>
                <w:color w:val="auto"/>
                <w:szCs w:val="21"/>
              </w:rPr>
            </w:pPr>
          </w:p>
        </w:tc>
      </w:tr>
      <w:tr w14:paraId="7215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ABFEC7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w:t>
            </w:r>
          </w:p>
        </w:tc>
        <w:tc>
          <w:tcPr>
            <w:tcW w:w="8653" w:type="dxa"/>
            <w:tcBorders>
              <w:top w:val="single" w:color="auto" w:sz="4" w:space="0"/>
              <w:left w:val="single" w:color="auto" w:sz="4" w:space="0"/>
              <w:bottom w:val="single" w:color="auto" w:sz="4" w:space="0"/>
              <w:right w:val="single" w:color="auto" w:sz="4" w:space="0"/>
            </w:tcBorders>
            <w:vAlign w:val="center"/>
          </w:tcPr>
          <w:p w14:paraId="3D852068">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70AAAEBB">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151B7F3">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CC9C8CB">
            <w:pPr>
              <w:keepNext w:val="0"/>
              <w:keepLines w:val="0"/>
              <w:suppressLineNumbers w:val="0"/>
              <w:spacing w:before="0" w:beforeAutospacing="0" w:after="0" w:afterAutospacing="0"/>
              <w:ind w:left="0" w:right="0"/>
              <w:rPr>
                <w:rFonts w:hint="default" w:ascii="宋体" w:hAnsi="宋体" w:cs="宋体"/>
                <w:color w:val="auto"/>
                <w:szCs w:val="21"/>
              </w:rPr>
            </w:pPr>
          </w:p>
        </w:tc>
      </w:tr>
      <w:tr w14:paraId="0B3C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CF3096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2</w:t>
            </w:r>
          </w:p>
        </w:tc>
        <w:tc>
          <w:tcPr>
            <w:tcW w:w="8653" w:type="dxa"/>
            <w:tcBorders>
              <w:top w:val="single" w:color="auto" w:sz="4" w:space="0"/>
              <w:left w:val="single" w:color="auto" w:sz="4" w:space="0"/>
              <w:bottom w:val="single" w:color="auto" w:sz="4" w:space="0"/>
              <w:right w:val="single" w:color="auto" w:sz="4" w:space="0"/>
            </w:tcBorders>
            <w:vAlign w:val="center"/>
          </w:tcPr>
          <w:p w14:paraId="1265753C">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投标报价高于最高投标限价的；</w:t>
            </w:r>
          </w:p>
        </w:tc>
        <w:tc>
          <w:tcPr>
            <w:tcW w:w="1187" w:type="dxa"/>
            <w:tcBorders>
              <w:top w:val="single" w:color="auto" w:sz="4" w:space="0"/>
              <w:left w:val="single" w:color="auto" w:sz="4" w:space="0"/>
              <w:bottom w:val="single" w:color="auto" w:sz="4" w:space="0"/>
              <w:right w:val="single" w:color="auto" w:sz="4" w:space="0"/>
            </w:tcBorders>
          </w:tcPr>
          <w:p w14:paraId="6512F10C">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B7A8E1B">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22F45B22">
            <w:pPr>
              <w:keepNext w:val="0"/>
              <w:keepLines w:val="0"/>
              <w:suppressLineNumbers w:val="0"/>
              <w:spacing w:before="0" w:beforeAutospacing="0" w:after="0" w:afterAutospacing="0"/>
              <w:ind w:left="0" w:right="0"/>
              <w:rPr>
                <w:rFonts w:hint="default" w:ascii="宋体" w:hAnsi="宋体" w:cs="宋体"/>
                <w:color w:val="auto"/>
                <w:szCs w:val="21"/>
              </w:rPr>
            </w:pPr>
          </w:p>
        </w:tc>
      </w:tr>
      <w:tr w14:paraId="2C80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76472D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3</w:t>
            </w:r>
          </w:p>
        </w:tc>
        <w:tc>
          <w:tcPr>
            <w:tcW w:w="8653" w:type="dxa"/>
            <w:tcBorders>
              <w:top w:val="single" w:color="auto" w:sz="4" w:space="0"/>
              <w:left w:val="single" w:color="auto" w:sz="4" w:space="0"/>
              <w:bottom w:val="single" w:color="auto" w:sz="4" w:space="0"/>
              <w:right w:val="single" w:color="auto" w:sz="4" w:space="0"/>
            </w:tcBorders>
            <w:vAlign w:val="center"/>
          </w:tcPr>
          <w:p w14:paraId="6DF94E1B">
            <w:pPr>
              <w:keepNext w:val="0"/>
              <w:keepLines w:val="0"/>
              <w:suppressLineNumbers w:val="0"/>
              <w:autoSpaceDE w:val="0"/>
              <w:autoSpaceDN w:val="0"/>
              <w:adjustRightInd w:val="0"/>
              <w:spacing w:before="0" w:beforeAutospacing="0" w:after="0" w:afterAutospacing="0"/>
              <w:ind w:left="-2" w:leftChars="-1" w:right="0"/>
              <w:jc w:val="left"/>
              <w:rPr>
                <w:rFonts w:hint="default" w:ascii="宋体" w:hAnsi="宋体" w:cs="宋体"/>
                <w:color w:val="auto"/>
                <w:szCs w:val="21"/>
              </w:rPr>
            </w:pPr>
            <w:r>
              <w:rPr>
                <w:rFonts w:hint="eastAsia" w:ascii="宋体" w:hAnsi="宋体" w:cs="宋体"/>
                <w:color w:val="auto"/>
                <w:szCs w:val="21"/>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368135B9">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F883725">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716D6E1">
            <w:pPr>
              <w:keepNext w:val="0"/>
              <w:keepLines w:val="0"/>
              <w:suppressLineNumbers w:val="0"/>
              <w:spacing w:before="0" w:beforeAutospacing="0" w:after="0" w:afterAutospacing="0"/>
              <w:ind w:left="0" w:right="0"/>
              <w:rPr>
                <w:rFonts w:hint="default" w:ascii="宋体" w:hAnsi="宋体" w:cs="宋体"/>
                <w:color w:val="auto"/>
                <w:szCs w:val="21"/>
              </w:rPr>
            </w:pPr>
          </w:p>
        </w:tc>
      </w:tr>
      <w:tr w14:paraId="06C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6B4D1F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4</w:t>
            </w:r>
          </w:p>
        </w:tc>
        <w:tc>
          <w:tcPr>
            <w:tcW w:w="8653" w:type="dxa"/>
            <w:tcBorders>
              <w:top w:val="single" w:color="auto" w:sz="4" w:space="0"/>
              <w:left w:val="single" w:color="auto" w:sz="4" w:space="0"/>
              <w:bottom w:val="single" w:color="auto" w:sz="4" w:space="0"/>
              <w:right w:val="single" w:color="auto" w:sz="4" w:space="0"/>
            </w:tcBorders>
            <w:vAlign w:val="center"/>
          </w:tcPr>
          <w:p w14:paraId="53F24785">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投标文件未按规定的格式</w:t>
            </w:r>
            <w:r>
              <w:rPr>
                <w:rFonts w:hint="eastAsia" w:ascii="宋体" w:hAnsi="宋体" w:cs="宋体"/>
                <w:color w:val="auto"/>
                <w:szCs w:val="21"/>
                <w:u w:val="none"/>
              </w:rPr>
              <w:t>（经济标格式三、格式四）</w:t>
            </w:r>
            <w:r>
              <w:rPr>
                <w:rFonts w:hint="eastAsia" w:ascii="宋体" w:hAnsi="宋体" w:cs="宋体"/>
                <w:color w:val="auto"/>
                <w:szCs w:val="21"/>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0640DA6A">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30F16B5">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F280FB4">
            <w:pPr>
              <w:keepNext w:val="0"/>
              <w:keepLines w:val="0"/>
              <w:suppressLineNumbers w:val="0"/>
              <w:spacing w:before="0" w:beforeAutospacing="0" w:after="0" w:afterAutospacing="0"/>
              <w:ind w:left="0" w:right="0"/>
              <w:rPr>
                <w:rFonts w:hint="default" w:ascii="宋体" w:hAnsi="宋体" w:cs="宋体"/>
                <w:color w:val="auto"/>
                <w:szCs w:val="21"/>
              </w:rPr>
            </w:pPr>
          </w:p>
        </w:tc>
      </w:tr>
      <w:tr w14:paraId="07D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B9BBDAE">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w:t>
            </w:r>
          </w:p>
        </w:tc>
        <w:tc>
          <w:tcPr>
            <w:tcW w:w="8653" w:type="dxa"/>
            <w:tcBorders>
              <w:top w:val="single" w:color="auto" w:sz="4" w:space="0"/>
              <w:left w:val="single" w:color="auto" w:sz="4" w:space="0"/>
              <w:bottom w:val="single" w:color="auto" w:sz="4" w:space="0"/>
              <w:right w:val="single" w:color="auto" w:sz="4" w:space="0"/>
            </w:tcBorders>
            <w:vAlign w:val="center"/>
          </w:tcPr>
          <w:p w14:paraId="74DF3470">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0234DFE9">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5BF153E">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44D45612">
            <w:pPr>
              <w:keepNext w:val="0"/>
              <w:keepLines w:val="0"/>
              <w:suppressLineNumbers w:val="0"/>
              <w:spacing w:before="0" w:beforeAutospacing="0" w:after="0" w:afterAutospacing="0"/>
              <w:ind w:left="0" w:right="0"/>
              <w:rPr>
                <w:rFonts w:hint="default" w:ascii="宋体" w:hAnsi="宋体" w:cs="宋体"/>
                <w:color w:val="auto"/>
                <w:szCs w:val="21"/>
              </w:rPr>
            </w:pPr>
          </w:p>
        </w:tc>
      </w:tr>
      <w:tr w14:paraId="267F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7EEA37A">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6</w:t>
            </w:r>
          </w:p>
        </w:tc>
        <w:tc>
          <w:tcPr>
            <w:tcW w:w="8653" w:type="dxa"/>
            <w:tcBorders>
              <w:top w:val="single" w:color="auto" w:sz="4" w:space="0"/>
              <w:left w:val="single" w:color="auto" w:sz="4" w:space="0"/>
              <w:bottom w:val="single" w:color="auto" w:sz="4" w:space="0"/>
              <w:right w:val="single" w:color="auto" w:sz="4" w:space="0"/>
            </w:tcBorders>
            <w:vAlign w:val="center"/>
          </w:tcPr>
          <w:p w14:paraId="0A6475BE">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14E1E527">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EE21087">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582D04C">
            <w:pPr>
              <w:keepNext w:val="0"/>
              <w:keepLines w:val="0"/>
              <w:suppressLineNumbers w:val="0"/>
              <w:spacing w:before="0" w:beforeAutospacing="0" w:after="0" w:afterAutospacing="0"/>
              <w:ind w:left="0" w:right="0"/>
              <w:rPr>
                <w:rFonts w:hint="default" w:ascii="宋体" w:hAnsi="宋体" w:cs="宋体"/>
                <w:color w:val="auto"/>
                <w:szCs w:val="21"/>
              </w:rPr>
            </w:pPr>
          </w:p>
        </w:tc>
      </w:tr>
      <w:tr w14:paraId="079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E1BE3F">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7</w:t>
            </w:r>
          </w:p>
        </w:tc>
        <w:tc>
          <w:tcPr>
            <w:tcW w:w="8653" w:type="dxa"/>
            <w:tcBorders>
              <w:top w:val="single" w:color="auto" w:sz="4" w:space="0"/>
              <w:left w:val="single" w:color="auto" w:sz="4" w:space="0"/>
              <w:bottom w:val="single" w:color="auto" w:sz="4" w:space="0"/>
              <w:right w:val="single" w:color="auto" w:sz="4" w:space="0"/>
            </w:tcBorders>
            <w:vAlign w:val="center"/>
          </w:tcPr>
          <w:p w14:paraId="2EB2F829">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无《对投标文件编制的承诺》</w:t>
            </w:r>
            <w:r>
              <w:rPr>
                <w:rFonts w:hint="eastAsia" w:ascii="宋体" w:hAnsi="宋体" w:cs="宋体"/>
                <w:color w:val="auto"/>
                <w:szCs w:val="21"/>
                <w:lang w:eastAsia="zh-CN"/>
              </w:rPr>
              <w:t>；</w:t>
            </w:r>
          </w:p>
        </w:tc>
        <w:tc>
          <w:tcPr>
            <w:tcW w:w="1187" w:type="dxa"/>
            <w:tcBorders>
              <w:top w:val="single" w:color="auto" w:sz="4" w:space="0"/>
              <w:left w:val="single" w:color="auto" w:sz="4" w:space="0"/>
              <w:bottom w:val="single" w:color="auto" w:sz="4" w:space="0"/>
              <w:right w:val="single" w:color="auto" w:sz="4" w:space="0"/>
            </w:tcBorders>
          </w:tcPr>
          <w:p w14:paraId="6426068F">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63937098">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34862B67">
            <w:pPr>
              <w:keepNext w:val="0"/>
              <w:keepLines w:val="0"/>
              <w:suppressLineNumbers w:val="0"/>
              <w:spacing w:before="0" w:beforeAutospacing="0" w:after="0" w:afterAutospacing="0"/>
              <w:ind w:left="0" w:right="0"/>
              <w:rPr>
                <w:rFonts w:hint="default" w:ascii="宋体" w:hAnsi="宋体" w:cs="宋体"/>
                <w:color w:val="auto"/>
                <w:szCs w:val="21"/>
              </w:rPr>
            </w:pPr>
          </w:p>
        </w:tc>
      </w:tr>
      <w:tr w14:paraId="3658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E9CAD79">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8</w:t>
            </w:r>
          </w:p>
        </w:tc>
        <w:tc>
          <w:tcPr>
            <w:tcW w:w="8653" w:type="dxa"/>
            <w:tcBorders>
              <w:top w:val="single" w:color="auto" w:sz="4" w:space="0"/>
              <w:left w:val="single" w:color="auto" w:sz="4" w:space="0"/>
              <w:bottom w:val="single" w:color="auto" w:sz="4" w:space="0"/>
              <w:right w:val="single" w:color="auto" w:sz="4" w:space="0"/>
            </w:tcBorders>
            <w:vAlign w:val="center"/>
          </w:tcPr>
          <w:p w14:paraId="4F9C4AF8">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rPr>
            </w:pPr>
            <w:r>
              <w:rPr>
                <w:rFonts w:hint="eastAsia" w:ascii="宋体" w:hAnsi="宋体" w:cs="宋体"/>
                <w:color w:val="auto"/>
                <w:szCs w:val="21"/>
              </w:rPr>
              <w:t>投标人与本项目其他投标人的投标文件工程量清单编制机器硬件信息一致的（以交易平台评标系统的检索信息为准）</w:t>
            </w:r>
            <w:r>
              <w:rPr>
                <w:rFonts w:hint="eastAsia" w:ascii="宋体" w:hAnsi="宋体" w:cs="宋体"/>
                <w:color w:val="auto"/>
                <w:szCs w:val="21"/>
                <w:lang w:eastAsia="zh-CN"/>
              </w:rPr>
              <w:t>。</w:t>
            </w:r>
          </w:p>
        </w:tc>
        <w:tc>
          <w:tcPr>
            <w:tcW w:w="1187" w:type="dxa"/>
            <w:tcBorders>
              <w:top w:val="single" w:color="auto" w:sz="4" w:space="0"/>
              <w:left w:val="single" w:color="auto" w:sz="4" w:space="0"/>
              <w:bottom w:val="single" w:color="auto" w:sz="4" w:space="0"/>
              <w:right w:val="single" w:color="auto" w:sz="4" w:space="0"/>
            </w:tcBorders>
          </w:tcPr>
          <w:p w14:paraId="3CB96E52">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1E94F134">
            <w:pPr>
              <w:keepNext w:val="0"/>
              <w:keepLines w:val="0"/>
              <w:suppressLineNumbers w:val="0"/>
              <w:spacing w:before="0" w:beforeAutospacing="0" w:after="0" w:afterAutospacing="0"/>
              <w:ind w:left="0" w:right="0"/>
              <w:rPr>
                <w:rFonts w:hint="default" w:ascii="宋体" w:hAnsi="宋体" w:cs="宋体"/>
                <w:color w:val="auto"/>
                <w:szCs w:val="21"/>
              </w:rPr>
            </w:pPr>
          </w:p>
        </w:tc>
        <w:tc>
          <w:tcPr>
            <w:tcW w:w="1397" w:type="dxa"/>
            <w:tcBorders>
              <w:top w:val="single" w:color="auto" w:sz="4" w:space="0"/>
              <w:left w:val="single" w:color="auto" w:sz="4" w:space="0"/>
              <w:bottom w:val="single" w:color="auto" w:sz="4" w:space="0"/>
              <w:right w:val="single" w:color="auto" w:sz="4" w:space="0"/>
            </w:tcBorders>
          </w:tcPr>
          <w:p w14:paraId="0C29B312">
            <w:pPr>
              <w:keepNext w:val="0"/>
              <w:keepLines w:val="0"/>
              <w:suppressLineNumbers w:val="0"/>
              <w:spacing w:before="0" w:beforeAutospacing="0" w:after="0" w:afterAutospacing="0"/>
              <w:ind w:left="0" w:right="0"/>
              <w:rPr>
                <w:rFonts w:hint="default" w:ascii="宋体" w:hAnsi="宋体" w:cs="宋体"/>
                <w:color w:val="auto"/>
                <w:szCs w:val="21"/>
              </w:rPr>
            </w:pPr>
          </w:p>
        </w:tc>
      </w:tr>
    </w:tbl>
    <w:p w14:paraId="6B689AE2">
      <w:pPr>
        <w:rPr>
          <w:rFonts w:ascii="宋体" w:hAnsi="宋体" w:cs="宋体"/>
          <w:color w:val="auto"/>
          <w:szCs w:val="21"/>
        </w:rPr>
      </w:pPr>
      <w:r>
        <w:rPr>
          <w:rFonts w:hint="eastAsia" w:ascii="宋体" w:hAnsi="宋体" w:cs="宋体"/>
          <w:color w:val="auto"/>
          <w:szCs w:val="21"/>
        </w:rPr>
        <w:t>注：1.本表使用GZZB2018-3招标文件范本，与范本内容不同之处均以下划线标明。</w:t>
      </w:r>
    </w:p>
    <w:p w14:paraId="1185BDF6">
      <w:pPr>
        <w:ind w:firstLine="458"/>
        <w:rPr>
          <w:rFonts w:ascii="宋体" w:hAnsi="宋体" w:cs="宋体"/>
          <w:color w:val="auto"/>
          <w:szCs w:val="21"/>
        </w:rPr>
      </w:pPr>
      <w:r>
        <w:rPr>
          <w:rFonts w:hint="eastAsia" w:ascii="宋体" w:hAnsi="宋体" w:cs="宋体"/>
          <w:color w:val="auto"/>
          <w:szCs w:val="21"/>
        </w:rPr>
        <w:t>2.凡出现以上任何一项情形，结论均为无效，否则就为有效。</w:t>
      </w:r>
    </w:p>
    <w:p w14:paraId="6968F02E">
      <w:pPr>
        <w:ind w:firstLine="458"/>
        <w:rPr>
          <w:rFonts w:ascii="宋体" w:hAnsi="宋体" w:cs="宋体"/>
          <w:color w:val="auto"/>
          <w:szCs w:val="21"/>
        </w:rPr>
      </w:pPr>
      <w:r>
        <w:rPr>
          <w:rFonts w:hint="eastAsia" w:ascii="宋体" w:hAnsi="宋体" w:cs="宋体"/>
          <w:color w:val="auto"/>
          <w:szCs w:val="21"/>
        </w:rPr>
        <w:t>3.如对本表中某种情形的评审意见不一致时，以评标委员会过半数成员的意见作为评标委员会对该情形的认定结论。</w:t>
      </w:r>
    </w:p>
    <w:p w14:paraId="5A5F96E6">
      <w:pPr>
        <w:pStyle w:val="4"/>
        <w:ind w:firstLine="458"/>
        <w:rPr>
          <w:rFonts w:ascii="宋体" w:hAnsi="宋体" w:cs="宋体"/>
          <w:color w:val="auto"/>
          <w:szCs w:val="21"/>
        </w:rPr>
      </w:pPr>
      <w:r>
        <w:rPr>
          <w:rFonts w:hint="eastAsia" w:ascii="宋体" w:hAnsi="宋体" w:cs="宋体"/>
          <w:color w:val="auto"/>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C1C8C1F">
      <w:pPr>
        <w:pStyle w:val="4"/>
        <w:ind w:firstLine="458"/>
        <w:rPr>
          <w:rFonts w:ascii="宋体" w:hAnsi="宋体" w:cs="宋体"/>
          <w:color w:val="auto"/>
          <w:szCs w:val="21"/>
        </w:rPr>
        <w:sect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color w:val="auto"/>
          <w:szCs w:val="21"/>
        </w:rPr>
        <w:t>评委签名：</w:t>
      </w:r>
    </w:p>
    <w:p w14:paraId="6BB17A17">
      <w:pPr>
        <w:rPr>
          <w:color w:val="auto"/>
          <w:szCs w:val="21"/>
        </w:rPr>
      </w:pPr>
      <w:r>
        <w:rPr>
          <w:rFonts w:hint="eastAsia"/>
          <w:color w:val="auto"/>
          <w:szCs w:val="21"/>
        </w:rPr>
        <w:t>附表四</w:t>
      </w:r>
    </w:p>
    <w:p w14:paraId="7A178D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rPr>
      </w:pPr>
      <w:r>
        <w:rPr>
          <w:rFonts w:hint="eastAsia" w:ascii="宋体" w:hAnsi="宋体" w:cs="宋体"/>
          <w:b/>
          <w:color w:val="auto"/>
          <w:sz w:val="32"/>
          <w:szCs w:val="32"/>
        </w:rPr>
        <w:t>技术标详细审查评分表</w:t>
      </w:r>
    </w:p>
    <w:tbl>
      <w:tblPr>
        <w:tblStyle w:val="39"/>
        <w:tblW w:w="14548" w:type="dxa"/>
        <w:tblInd w:w="0" w:type="dxa"/>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Layout w:type="fixed"/>
        <w:tblCellMar>
          <w:top w:w="0" w:type="dxa"/>
          <w:left w:w="0" w:type="dxa"/>
          <w:bottom w:w="0" w:type="dxa"/>
          <w:right w:w="0" w:type="dxa"/>
        </w:tblCellMar>
      </w:tblPr>
      <w:tblGrid>
        <w:gridCol w:w="589"/>
        <w:gridCol w:w="1079"/>
        <w:gridCol w:w="1275"/>
        <w:gridCol w:w="709"/>
        <w:gridCol w:w="10896"/>
      </w:tblGrid>
      <w:tr w14:paraId="5D0C374E">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PrEx>
        <w:tc>
          <w:tcPr>
            <w:tcW w:w="589" w:type="dxa"/>
            <w:tcBorders>
              <w:tl2br w:val="nil"/>
              <w:tr2bl w:val="nil"/>
            </w:tcBorders>
            <w:shd w:val="clear" w:color="auto" w:fill="auto"/>
            <w:tcMar>
              <w:top w:w="15" w:type="dxa"/>
              <w:left w:w="108" w:type="dxa"/>
              <w:bottom w:w="0" w:type="dxa"/>
              <w:right w:w="108" w:type="dxa"/>
            </w:tcMar>
            <w:vAlign w:val="center"/>
          </w:tcPr>
          <w:p w14:paraId="0059D708">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序号</w:t>
            </w:r>
          </w:p>
        </w:tc>
        <w:tc>
          <w:tcPr>
            <w:tcW w:w="1079" w:type="dxa"/>
            <w:tcBorders>
              <w:tl2br w:val="nil"/>
              <w:tr2bl w:val="nil"/>
            </w:tcBorders>
            <w:shd w:val="clear" w:color="auto" w:fill="auto"/>
            <w:tcMar>
              <w:top w:w="15" w:type="dxa"/>
              <w:left w:w="108" w:type="dxa"/>
              <w:bottom w:w="0" w:type="dxa"/>
              <w:right w:w="108" w:type="dxa"/>
            </w:tcMar>
            <w:vAlign w:val="center"/>
          </w:tcPr>
          <w:p w14:paraId="4C257628">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评分项目</w:t>
            </w:r>
          </w:p>
        </w:tc>
        <w:tc>
          <w:tcPr>
            <w:tcW w:w="1275" w:type="dxa"/>
            <w:tcBorders>
              <w:tl2br w:val="nil"/>
              <w:tr2bl w:val="nil"/>
            </w:tcBorders>
            <w:shd w:val="clear" w:color="auto" w:fill="auto"/>
            <w:tcMar>
              <w:top w:w="15" w:type="dxa"/>
              <w:left w:w="108" w:type="dxa"/>
              <w:bottom w:w="0" w:type="dxa"/>
              <w:right w:w="108" w:type="dxa"/>
            </w:tcMar>
            <w:vAlign w:val="center"/>
          </w:tcPr>
          <w:p w14:paraId="14D35338">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评分内容</w:t>
            </w:r>
          </w:p>
        </w:tc>
        <w:tc>
          <w:tcPr>
            <w:tcW w:w="709" w:type="dxa"/>
            <w:tcBorders>
              <w:tl2br w:val="nil"/>
              <w:tr2bl w:val="nil"/>
            </w:tcBorders>
            <w:shd w:val="clear" w:color="auto" w:fill="auto"/>
            <w:tcMar>
              <w:top w:w="15" w:type="dxa"/>
              <w:left w:w="108" w:type="dxa"/>
              <w:bottom w:w="0" w:type="dxa"/>
              <w:right w:w="108" w:type="dxa"/>
            </w:tcMar>
            <w:vAlign w:val="center"/>
          </w:tcPr>
          <w:p w14:paraId="4F5ED479">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分值</w:t>
            </w:r>
          </w:p>
        </w:tc>
        <w:tc>
          <w:tcPr>
            <w:tcW w:w="10896" w:type="dxa"/>
            <w:tcBorders>
              <w:tl2br w:val="nil"/>
              <w:tr2bl w:val="nil"/>
            </w:tcBorders>
            <w:shd w:val="clear" w:color="auto" w:fill="auto"/>
            <w:tcMar>
              <w:top w:w="15" w:type="dxa"/>
              <w:left w:w="108" w:type="dxa"/>
              <w:bottom w:w="0" w:type="dxa"/>
              <w:right w:w="108" w:type="dxa"/>
            </w:tcMar>
            <w:vAlign w:val="center"/>
          </w:tcPr>
          <w:p w14:paraId="72360241">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评审标准</w:t>
            </w:r>
          </w:p>
        </w:tc>
      </w:tr>
      <w:tr w14:paraId="08AD8ABA">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0" w:hRule="atLeast"/>
        </w:trPr>
        <w:tc>
          <w:tcPr>
            <w:tcW w:w="589" w:type="dxa"/>
            <w:vMerge w:val="restart"/>
            <w:tcBorders>
              <w:tl2br w:val="nil"/>
              <w:tr2bl w:val="nil"/>
            </w:tcBorders>
            <w:shd w:val="clear" w:color="auto" w:fill="auto"/>
            <w:tcMar>
              <w:top w:w="15" w:type="dxa"/>
              <w:left w:w="108" w:type="dxa"/>
              <w:bottom w:w="0" w:type="dxa"/>
              <w:right w:w="108" w:type="dxa"/>
            </w:tcMar>
            <w:vAlign w:val="center"/>
          </w:tcPr>
          <w:p w14:paraId="21207256">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一</w:t>
            </w:r>
          </w:p>
        </w:tc>
        <w:tc>
          <w:tcPr>
            <w:tcW w:w="1079" w:type="dxa"/>
            <w:vMerge w:val="restart"/>
            <w:tcBorders>
              <w:tl2br w:val="nil"/>
              <w:tr2bl w:val="nil"/>
            </w:tcBorders>
            <w:shd w:val="clear" w:color="auto" w:fill="auto"/>
            <w:tcMar>
              <w:top w:w="15" w:type="dxa"/>
              <w:left w:w="108" w:type="dxa"/>
              <w:bottom w:w="0" w:type="dxa"/>
              <w:right w:w="108" w:type="dxa"/>
            </w:tcMar>
            <w:vAlign w:val="center"/>
          </w:tcPr>
          <w:p w14:paraId="3554DF85">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企业资信（6分）</w:t>
            </w:r>
          </w:p>
        </w:tc>
        <w:tc>
          <w:tcPr>
            <w:tcW w:w="1275" w:type="dxa"/>
            <w:tcBorders>
              <w:tl2br w:val="nil"/>
              <w:tr2bl w:val="nil"/>
            </w:tcBorders>
            <w:shd w:val="clear" w:color="auto" w:fill="auto"/>
            <w:tcMar>
              <w:top w:w="15" w:type="dxa"/>
              <w:left w:w="108" w:type="dxa"/>
              <w:bottom w:w="0" w:type="dxa"/>
              <w:right w:w="108" w:type="dxa"/>
            </w:tcMar>
            <w:vAlign w:val="center"/>
          </w:tcPr>
          <w:p w14:paraId="181B6B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4"/>
                <w:sz w:val="20"/>
                <w:szCs w:val="20"/>
                <w:highlight w:val="none"/>
              </w:rPr>
            </w:pPr>
            <w:r>
              <w:rPr>
                <w:rFonts w:hint="eastAsia" w:ascii="宋体" w:hAnsi="宋体" w:eastAsia="宋体" w:cs="宋体"/>
                <w:color w:val="auto"/>
                <w:kern w:val="24"/>
                <w:sz w:val="20"/>
                <w:szCs w:val="20"/>
                <w:highlight w:val="none"/>
              </w:rPr>
              <w:t>企业业绩</w:t>
            </w:r>
          </w:p>
        </w:tc>
        <w:tc>
          <w:tcPr>
            <w:tcW w:w="709" w:type="dxa"/>
            <w:tcBorders>
              <w:tl2br w:val="nil"/>
              <w:tr2bl w:val="nil"/>
            </w:tcBorders>
            <w:shd w:val="clear" w:color="auto" w:fill="auto"/>
            <w:tcMar>
              <w:top w:w="15" w:type="dxa"/>
              <w:left w:w="108" w:type="dxa"/>
              <w:bottom w:w="0" w:type="dxa"/>
              <w:right w:w="108" w:type="dxa"/>
            </w:tcMar>
            <w:vAlign w:val="center"/>
          </w:tcPr>
          <w:p w14:paraId="34BED76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3</w:t>
            </w:r>
          </w:p>
        </w:tc>
        <w:tc>
          <w:tcPr>
            <w:tcW w:w="10896" w:type="dxa"/>
            <w:tcBorders>
              <w:tl2br w:val="nil"/>
              <w:tr2bl w:val="nil"/>
            </w:tcBorders>
            <w:shd w:val="clear" w:color="auto" w:fill="auto"/>
            <w:tcMar>
              <w:top w:w="15" w:type="dxa"/>
              <w:left w:w="108" w:type="dxa"/>
              <w:bottom w:w="0" w:type="dxa"/>
              <w:right w:w="108" w:type="dxa"/>
            </w:tcMar>
            <w:vAlign w:val="center"/>
          </w:tcPr>
          <w:p w14:paraId="7875D32E">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投标人自20</w:t>
            </w:r>
            <w:r>
              <w:rPr>
                <w:rFonts w:hint="eastAsia" w:ascii="宋体" w:hAnsi="宋体" w:cs="宋体"/>
                <w:color w:val="auto"/>
                <w:kern w:val="24"/>
                <w:sz w:val="20"/>
                <w:szCs w:val="20"/>
                <w:highlight w:val="none"/>
                <w:lang w:val="en-US" w:eastAsia="zh-CN"/>
              </w:rPr>
              <w:t>21</w:t>
            </w:r>
            <w:r>
              <w:rPr>
                <w:rFonts w:hint="eastAsia" w:ascii="宋体" w:hAnsi="宋体" w:cs="宋体"/>
                <w:color w:val="auto"/>
                <w:kern w:val="24"/>
                <w:sz w:val="20"/>
                <w:szCs w:val="20"/>
                <w:highlight w:val="none"/>
              </w:rPr>
              <w:t>年1月1日至投标截止时间，完成过质量合格的中标金额大于或等于1</w:t>
            </w:r>
            <w:r>
              <w:rPr>
                <w:rFonts w:hint="eastAsia" w:ascii="宋体" w:hAnsi="宋体" w:cs="宋体"/>
                <w:color w:val="auto"/>
                <w:kern w:val="24"/>
                <w:sz w:val="20"/>
                <w:szCs w:val="20"/>
                <w:highlight w:val="none"/>
                <w:lang w:val="en-US" w:eastAsia="zh-CN"/>
              </w:rPr>
              <w:t>000</w:t>
            </w:r>
            <w:r>
              <w:rPr>
                <w:rFonts w:hint="eastAsia" w:ascii="宋体" w:hAnsi="宋体" w:cs="宋体"/>
                <w:color w:val="auto"/>
                <w:kern w:val="24"/>
                <w:sz w:val="20"/>
                <w:szCs w:val="20"/>
                <w:highlight w:val="none"/>
              </w:rPr>
              <w:t>万元的建筑工程施工总承包业绩，每项得</w:t>
            </w:r>
            <w:r>
              <w:rPr>
                <w:rFonts w:hint="eastAsia" w:ascii="宋体" w:hAnsi="宋体" w:cs="宋体"/>
                <w:color w:val="auto"/>
                <w:kern w:val="24"/>
                <w:sz w:val="20"/>
                <w:szCs w:val="20"/>
                <w:highlight w:val="none"/>
                <w:lang w:val="en-US" w:eastAsia="zh-CN"/>
              </w:rPr>
              <w:t>0.5</w:t>
            </w:r>
            <w:r>
              <w:rPr>
                <w:rFonts w:hint="eastAsia" w:ascii="宋体" w:hAnsi="宋体" w:cs="宋体"/>
                <w:color w:val="auto"/>
                <w:kern w:val="24"/>
                <w:sz w:val="20"/>
                <w:szCs w:val="20"/>
                <w:highlight w:val="none"/>
              </w:rPr>
              <w:t>分，最高得</w:t>
            </w:r>
            <w:r>
              <w:rPr>
                <w:rFonts w:hint="eastAsia" w:ascii="宋体" w:hAnsi="宋体" w:cs="宋体"/>
                <w:color w:val="auto"/>
                <w:kern w:val="24"/>
                <w:sz w:val="20"/>
                <w:szCs w:val="20"/>
                <w:highlight w:val="none"/>
                <w:lang w:val="en-US" w:eastAsia="zh-CN"/>
              </w:rPr>
              <w:t>3</w:t>
            </w:r>
            <w:r>
              <w:rPr>
                <w:rFonts w:hint="eastAsia" w:ascii="宋体" w:hAnsi="宋体" w:cs="宋体"/>
                <w:color w:val="auto"/>
                <w:kern w:val="24"/>
                <w:sz w:val="20"/>
                <w:szCs w:val="20"/>
                <w:highlight w:val="none"/>
              </w:rPr>
              <w:t>分。</w:t>
            </w:r>
          </w:p>
        </w:tc>
      </w:tr>
      <w:tr w14:paraId="585ABBB4">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0" w:hRule="atLeast"/>
        </w:trPr>
        <w:tc>
          <w:tcPr>
            <w:tcW w:w="589" w:type="dxa"/>
            <w:vMerge w:val="continue"/>
            <w:tcBorders>
              <w:tl2br w:val="nil"/>
              <w:tr2bl w:val="nil"/>
            </w:tcBorders>
            <w:shd w:val="clear" w:color="auto" w:fill="auto"/>
            <w:tcMar>
              <w:top w:w="15" w:type="dxa"/>
              <w:left w:w="108" w:type="dxa"/>
              <w:bottom w:w="0" w:type="dxa"/>
              <w:right w:w="108" w:type="dxa"/>
            </w:tcMar>
            <w:vAlign w:val="center"/>
          </w:tcPr>
          <w:p w14:paraId="072E170C">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079" w:type="dxa"/>
            <w:vMerge w:val="continue"/>
            <w:tcBorders>
              <w:tl2br w:val="nil"/>
              <w:tr2bl w:val="nil"/>
            </w:tcBorders>
            <w:shd w:val="clear" w:color="auto" w:fill="auto"/>
            <w:tcMar>
              <w:top w:w="15" w:type="dxa"/>
              <w:left w:w="108" w:type="dxa"/>
              <w:bottom w:w="0" w:type="dxa"/>
              <w:right w:w="108" w:type="dxa"/>
            </w:tcMar>
            <w:vAlign w:val="center"/>
          </w:tcPr>
          <w:p w14:paraId="6E4C6021">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275" w:type="dxa"/>
            <w:tcBorders>
              <w:tl2br w:val="nil"/>
              <w:tr2bl w:val="nil"/>
            </w:tcBorders>
            <w:shd w:val="clear" w:color="auto" w:fill="auto"/>
            <w:tcMar>
              <w:top w:w="15" w:type="dxa"/>
              <w:left w:w="108" w:type="dxa"/>
              <w:bottom w:w="0" w:type="dxa"/>
              <w:right w:w="108" w:type="dxa"/>
            </w:tcMar>
            <w:vAlign w:val="center"/>
          </w:tcPr>
          <w:p w14:paraId="67B41E7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4"/>
                <w:sz w:val="20"/>
                <w:szCs w:val="20"/>
                <w:highlight w:val="none"/>
              </w:rPr>
            </w:pPr>
            <w:r>
              <w:rPr>
                <w:rFonts w:hint="eastAsia" w:ascii="宋体" w:hAnsi="宋体" w:eastAsia="宋体" w:cs="宋体"/>
                <w:color w:val="auto"/>
                <w:kern w:val="24"/>
                <w:sz w:val="20"/>
                <w:szCs w:val="20"/>
                <w:highlight w:val="none"/>
              </w:rPr>
              <w:t>工程奖项</w:t>
            </w:r>
          </w:p>
        </w:tc>
        <w:tc>
          <w:tcPr>
            <w:tcW w:w="709" w:type="dxa"/>
            <w:tcBorders>
              <w:tl2br w:val="nil"/>
              <w:tr2bl w:val="nil"/>
            </w:tcBorders>
            <w:shd w:val="clear" w:color="auto" w:fill="auto"/>
            <w:tcMar>
              <w:top w:w="15" w:type="dxa"/>
              <w:left w:w="108" w:type="dxa"/>
              <w:bottom w:w="0" w:type="dxa"/>
              <w:right w:w="108" w:type="dxa"/>
            </w:tcMar>
            <w:vAlign w:val="center"/>
          </w:tcPr>
          <w:p w14:paraId="53E1BE8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2</w:t>
            </w:r>
          </w:p>
        </w:tc>
        <w:tc>
          <w:tcPr>
            <w:tcW w:w="10896" w:type="dxa"/>
            <w:tcBorders>
              <w:tl2br w:val="nil"/>
              <w:tr2bl w:val="nil"/>
            </w:tcBorders>
            <w:shd w:val="clear" w:color="auto" w:fill="auto"/>
            <w:tcMar>
              <w:top w:w="15" w:type="dxa"/>
              <w:left w:w="108" w:type="dxa"/>
              <w:bottom w:w="0" w:type="dxa"/>
              <w:right w:w="108" w:type="dxa"/>
            </w:tcMar>
            <w:vAlign w:val="center"/>
          </w:tcPr>
          <w:p w14:paraId="725EEECA">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投标人自202</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年1月1日至投标截止时间，完成过的</w:t>
            </w:r>
            <w:r>
              <w:rPr>
                <w:rFonts w:hint="eastAsia" w:ascii="宋体" w:hAnsi="宋体" w:cs="宋体"/>
                <w:color w:val="auto"/>
                <w:kern w:val="24"/>
                <w:sz w:val="20"/>
                <w:szCs w:val="20"/>
                <w:highlight w:val="none"/>
                <w:lang w:val="en-US" w:eastAsia="zh-CN"/>
              </w:rPr>
              <w:t>建筑工程项目</w:t>
            </w:r>
            <w:r>
              <w:rPr>
                <w:rFonts w:hint="eastAsia" w:ascii="宋体" w:hAnsi="宋体" w:cs="宋体"/>
                <w:color w:val="auto"/>
                <w:kern w:val="24"/>
                <w:sz w:val="20"/>
                <w:szCs w:val="20"/>
                <w:highlight w:val="none"/>
              </w:rPr>
              <w:t>获得过市级</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或以上</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工程质量奖项</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每项得0.5分，</w:t>
            </w:r>
            <w:r>
              <w:rPr>
                <w:rFonts w:hint="eastAsia" w:ascii="宋体" w:hAnsi="宋体" w:cs="宋体"/>
                <w:color w:val="auto"/>
                <w:kern w:val="24"/>
                <w:sz w:val="20"/>
                <w:szCs w:val="20"/>
                <w:highlight w:val="none"/>
              </w:rPr>
              <w:t>最高得</w:t>
            </w:r>
            <w:r>
              <w:rPr>
                <w:rFonts w:hint="eastAsia" w:ascii="宋体" w:hAnsi="宋体" w:cs="宋体"/>
                <w:color w:val="auto"/>
                <w:kern w:val="24"/>
                <w:sz w:val="20"/>
                <w:szCs w:val="20"/>
                <w:highlight w:val="none"/>
                <w:lang w:val="en-US" w:eastAsia="zh-CN"/>
              </w:rPr>
              <w:t>2</w:t>
            </w:r>
            <w:r>
              <w:rPr>
                <w:rFonts w:hint="eastAsia" w:ascii="宋体" w:hAnsi="宋体" w:cs="宋体"/>
                <w:color w:val="auto"/>
                <w:kern w:val="24"/>
                <w:sz w:val="20"/>
                <w:szCs w:val="20"/>
                <w:highlight w:val="none"/>
              </w:rPr>
              <w:t>分</w:t>
            </w:r>
            <w:r>
              <w:rPr>
                <w:rFonts w:hint="eastAsia" w:ascii="宋体" w:hAnsi="宋体" w:cs="宋体"/>
                <w:color w:val="auto"/>
                <w:kern w:val="24"/>
                <w:sz w:val="20"/>
                <w:szCs w:val="20"/>
                <w:highlight w:val="none"/>
                <w:lang w:eastAsia="zh-CN"/>
              </w:rPr>
              <w:t>。</w:t>
            </w:r>
          </w:p>
        </w:tc>
      </w:tr>
      <w:tr w14:paraId="35603B9A">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0" w:hRule="atLeast"/>
        </w:trPr>
        <w:tc>
          <w:tcPr>
            <w:tcW w:w="589" w:type="dxa"/>
            <w:vMerge w:val="continue"/>
            <w:tcBorders>
              <w:tl2br w:val="nil"/>
              <w:tr2bl w:val="nil"/>
            </w:tcBorders>
            <w:shd w:val="clear" w:color="auto" w:fill="auto"/>
            <w:tcMar>
              <w:top w:w="15" w:type="dxa"/>
              <w:left w:w="108" w:type="dxa"/>
              <w:bottom w:w="0" w:type="dxa"/>
              <w:right w:w="108" w:type="dxa"/>
            </w:tcMar>
            <w:vAlign w:val="center"/>
          </w:tcPr>
          <w:p w14:paraId="47573137">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079" w:type="dxa"/>
            <w:vMerge w:val="continue"/>
            <w:tcBorders>
              <w:tl2br w:val="nil"/>
              <w:tr2bl w:val="nil"/>
            </w:tcBorders>
            <w:shd w:val="clear" w:color="auto" w:fill="auto"/>
            <w:tcMar>
              <w:top w:w="15" w:type="dxa"/>
              <w:left w:w="108" w:type="dxa"/>
              <w:bottom w:w="0" w:type="dxa"/>
              <w:right w:w="108" w:type="dxa"/>
            </w:tcMar>
            <w:vAlign w:val="center"/>
          </w:tcPr>
          <w:p w14:paraId="4F7F113D">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275" w:type="dxa"/>
            <w:vMerge w:val="restart"/>
            <w:tcBorders>
              <w:tl2br w:val="nil"/>
              <w:tr2bl w:val="nil"/>
            </w:tcBorders>
            <w:shd w:val="clear" w:color="auto" w:fill="auto"/>
            <w:tcMar>
              <w:top w:w="15" w:type="dxa"/>
              <w:left w:w="108" w:type="dxa"/>
              <w:bottom w:w="0" w:type="dxa"/>
              <w:right w:w="108" w:type="dxa"/>
            </w:tcMar>
            <w:vAlign w:val="center"/>
          </w:tcPr>
          <w:p w14:paraId="41DC48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4"/>
                <w:sz w:val="20"/>
                <w:szCs w:val="20"/>
                <w:highlight w:val="none"/>
              </w:rPr>
            </w:pPr>
            <w:r>
              <w:rPr>
                <w:rFonts w:hint="eastAsia" w:ascii="宋体" w:hAnsi="宋体" w:eastAsia="宋体" w:cs="宋体"/>
                <w:color w:val="auto"/>
                <w:kern w:val="24"/>
                <w:sz w:val="20"/>
                <w:szCs w:val="20"/>
                <w:highlight w:val="none"/>
              </w:rPr>
              <w:t>第三方评价</w:t>
            </w:r>
          </w:p>
        </w:tc>
        <w:tc>
          <w:tcPr>
            <w:tcW w:w="709" w:type="dxa"/>
            <w:tcBorders>
              <w:tl2br w:val="nil"/>
              <w:tr2bl w:val="nil"/>
            </w:tcBorders>
            <w:shd w:val="clear" w:color="auto" w:fill="auto"/>
            <w:tcMar>
              <w:top w:w="15" w:type="dxa"/>
              <w:left w:w="108" w:type="dxa"/>
              <w:bottom w:w="0" w:type="dxa"/>
              <w:right w:w="108" w:type="dxa"/>
            </w:tcMar>
            <w:vAlign w:val="center"/>
          </w:tcPr>
          <w:p w14:paraId="766F61E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0.5</w:t>
            </w:r>
          </w:p>
        </w:tc>
        <w:tc>
          <w:tcPr>
            <w:tcW w:w="10896" w:type="dxa"/>
            <w:tcBorders>
              <w:tl2br w:val="nil"/>
              <w:tr2bl w:val="nil"/>
            </w:tcBorders>
            <w:shd w:val="clear" w:color="auto" w:fill="auto"/>
            <w:tcMar>
              <w:top w:w="15" w:type="dxa"/>
              <w:left w:w="108" w:type="dxa"/>
              <w:bottom w:w="0" w:type="dxa"/>
              <w:right w:w="108" w:type="dxa"/>
            </w:tcMar>
            <w:vAlign w:val="center"/>
          </w:tcPr>
          <w:p w14:paraId="6CDAADF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4"/>
                <w:sz w:val="20"/>
                <w:szCs w:val="20"/>
                <w:highlight w:val="none"/>
                <w:lang w:val="en-US" w:eastAsia="zh-CN"/>
              </w:rPr>
            </w:pPr>
            <w:r>
              <w:rPr>
                <w:rFonts w:hint="eastAsia" w:ascii="宋体" w:hAnsi="宋体" w:eastAsia="宋体" w:cs="宋体"/>
                <w:color w:val="auto"/>
                <w:kern w:val="24"/>
                <w:sz w:val="20"/>
                <w:szCs w:val="20"/>
                <w:highlight w:val="none"/>
                <w:lang w:val="en-US" w:eastAsia="zh-CN"/>
              </w:rPr>
              <w:t>投标人至今被评为纳税信用A级纳税人称号的：</w:t>
            </w:r>
          </w:p>
          <w:p w14:paraId="4272A26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4"/>
                <w:sz w:val="20"/>
                <w:szCs w:val="20"/>
                <w:highlight w:val="none"/>
                <w:lang w:val="en-US" w:eastAsia="zh-CN"/>
              </w:rPr>
            </w:pPr>
            <w:r>
              <w:rPr>
                <w:rFonts w:hint="eastAsia" w:ascii="宋体" w:hAnsi="宋体" w:eastAsia="宋体" w:cs="宋体"/>
                <w:color w:val="auto"/>
                <w:kern w:val="24"/>
                <w:sz w:val="20"/>
                <w:szCs w:val="20"/>
                <w:highlight w:val="none"/>
                <w:lang w:val="en-US" w:eastAsia="zh-CN"/>
              </w:rPr>
              <w:t>（1）连续5个年度或以上（含5个年度）（须包含202</w:t>
            </w:r>
            <w:r>
              <w:rPr>
                <w:rFonts w:hint="eastAsia" w:ascii="宋体" w:hAnsi="宋体" w:cs="宋体"/>
                <w:color w:val="auto"/>
                <w:kern w:val="24"/>
                <w:sz w:val="20"/>
                <w:szCs w:val="20"/>
                <w:highlight w:val="none"/>
                <w:lang w:val="en-US" w:eastAsia="zh-CN"/>
              </w:rPr>
              <w:t>4</w:t>
            </w:r>
            <w:r>
              <w:rPr>
                <w:rFonts w:hint="eastAsia" w:ascii="宋体" w:hAnsi="宋体" w:eastAsia="宋体" w:cs="宋体"/>
                <w:color w:val="auto"/>
                <w:kern w:val="24"/>
                <w:sz w:val="20"/>
                <w:szCs w:val="20"/>
                <w:highlight w:val="none"/>
                <w:lang w:val="en-US" w:eastAsia="zh-CN"/>
              </w:rPr>
              <w:t>年度）的得0.5分；（2）连续3-4个年度（须包含202</w:t>
            </w:r>
            <w:r>
              <w:rPr>
                <w:rFonts w:hint="eastAsia" w:ascii="宋体" w:hAnsi="宋体" w:cs="宋体"/>
                <w:color w:val="auto"/>
                <w:kern w:val="24"/>
                <w:sz w:val="20"/>
                <w:szCs w:val="20"/>
                <w:highlight w:val="none"/>
                <w:lang w:val="en-US" w:eastAsia="zh-CN"/>
              </w:rPr>
              <w:t>4</w:t>
            </w:r>
            <w:r>
              <w:rPr>
                <w:rFonts w:hint="eastAsia" w:ascii="宋体" w:hAnsi="宋体" w:eastAsia="宋体" w:cs="宋体"/>
                <w:color w:val="auto"/>
                <w:kern w:val="24"/>
                <w:sz w:val="20"/>
                <w:szCs w:val="20"/>
                <w:highlight w:val="none"/>
                <w:lang w:val="en-US" w:eastAsia="zh-CN"/>
              </w:rPr>
              <w:t>年度）的得0.3分；（3）连续1-2个年度（须包含202</w:t>
            </w:r>
            <w:r>
              <w:rPr>
                <w:rFonts w:hint="eastAsia" w:ascii="宋体" w:hAnsi="宋体" w:cs="宋体"/>
                <w:color w:val="auto"/>
                <w:kern w:val="24"/>
                <w:sz w:val="20"/>
                <w:szCs w:val="20"/>
                <w:highlight w:val="none"/>
                <w:lang w:val="en-US" w:eastAsia="zh-CN"/>
              </w:rPr>
              <w:t>4</w:t>
            </w:r>
            <w:r>
              <w:rPr>
                <w:rFonts w:hint="eastAsia" w:ascii="宋体" w:hAnsi="宋体" w:eastAsia="宋体" w:cs="宋体"/>
                <w:color w:val="auto"/>
                <w:kern w:val="24"/>
                <w:sz w:val="20"/>
                <w:szCs w:val="20"/>
                <w:highlight w:val="none"/>
                <w:lang w:val="en-US" w:eastAsia="zh-CN"/>
              </w:rPr>
              <w:t>年度）的得0.1分；（4）其他情况不得分。</w:t>
            </w:r>
          </w:p>
        </w:tc>
      </w:tr>
      <w:tr w14:paraId="349910B2">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540" w:hRule="atLeast"/>
        </w:trPr>
        <w:tc>
          <w:tcPr>
            <w:tcW w:w="589" w:type="dxa"/>
            <w:vMerge w:val="continue"/>
            <w:tcBorders>
              <w:tl2br w:val="nil"/>
              <w:tr2bl w:val="nil"/>
            </w:tcBorders>
            <w:vAlign w:val="center"/>
          </w:tcPr>
          <w:p w14:paraId="1FF524A3">
            <w:pPr>
              <w:keepNext w:val="0"/>
              <w:keepLines w:val="0"/>
              <w:widowControl/>
              <w:suppressLineNumbers w:val="0"/>
              <w:spacing w:before="0" w:beforeAutospacing="0" w:after="0" w:afterAutospacing="0"/>
              <w:ind w:left="0" w:right="0"/>
              <w:jc w:val="left"/>
              <w:rPr>
                <w:rFonts w:hint="default" w:ascii="宋体" w:hAnsi="宋体" w:cs="宋体"/>
                <w:color w:val="auto"/>
                <w:kern w:val="0"/>
                <w:sz w:val="36"/>
                <w:szCs w:val="36"/>
                <w:highlight w:val="none"/>
              </w:rPr>
            </w:pPr>
          </w:p>
        </w:tc>
        <w:tc>
          <w:tcPr>
            <w:tcW w:w="1079" w:type="dxa"/>
            <w:vMerge w:val="continue"/>
            <w:tcBorders>
              <w:tl2br w:val="nil"/>
              <w:tr2bl w:val="nil"/>
            </w:tcBorders>
            <w:vAlign w:val="center"/>
          </w:tcPr>
          <w:p w14:paraId="6946F028">
            <w:pPr>
              <w:keepNext w:val="0"/>
              <w:keepLines w:val="0"/>
              <w:widowControl/>
              <w:suppressLineNumbers w:val="0"/>
              <w:spacing w:before="0" w:beforeAutospacing="0" w:after="0" w:afterAutospacing="0"/>
              <w:ind w:left="0" w:right="0"/>
              <w:jc w:val="left"/>
              <w:rPr>
                <w:rFonts w:hint="default" w:ascii="宋体" w:hAnsi="宋体" w:cs="宋体"/>
                <w:color w:val="auto"/>
                <w:kern w:val="0"/>
                <w:sz w:val="36"/>
                <w:szCs w:val="36"/>
                <w:highlight w:val="none"/>
              </w:rPr>
            </w:pPr>
          </w:p>
        </w:tc>
        <w:tc>
          <w:tcPr>
            <w:tcW w:w="1275" w:type="dxa"/>
            <w:vMerge w:val="continue"/>
            <w:tcBorders>
              <w:tl2br w:val="nil"/>
              <w:tr2bl w:val="nil"/>
            </w:tcBorders>
            <w:shd w:val="clear" w:color="auto" w:fill="auto"/>
            <w:tcMar>
              <w:top w:w="15" w:type="dxa"/>
              <w:left w:w="108" w:type="dxa"/>
              <w:bottom w:w="0" w:type="dxa"/>
              <w:right w:w="108" w:type="dxa"/>
            </w:tcMar>
            <w:vAlign w:val="center"/>
          </w:tcPr>
          <w:p w14:paraId="70E473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4"/>
                <w:sz w:val="20"/>
                <w:szCs w:val="20"/>
                <w:highlight w:val="none"/>
              </w:rPr>
            </w:pPr>
          </w:p>
        </w:tc>
        <w:tc>
          <w:tcPr>
            <w:tcW w:w="709" w:type="dxa"/>
            <w:tcBorders>
              <w:tl2br w:val="nil"/>
              <w:tr2bl w:val="nil"/>
            </w:tcBorders>
            <w:shd w:val="clear" w:color="auto" w:fill="auto"/>
            <w:tcMar>
              <w:top w:w="15" w:type="dxa"/>
              <w:left w:w="108" w:type="dxa"/>
              <w:bottom w:w="0" w:type="dxa"/>
              <w:right w:w="108" w:type="dxa"/>
            </w:tcMar>
            <w:vAlign w:val="center"/>
          </w:tcPr>
          <w:p w14:paraId="4ADCBB9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0.5</w:t>
            </w:r>
          </w:p>
        </w:tc>
        <w:tc>
          <w:tcPr>
            <w:tcW w:w="10896" w:type="dxa"/>
            <w:tcBorders>
              <w:tl2br w:val="nil"/>
              <w:tr2bl w:val="nil"/>
            </w:tcBorders>
            <w:shd w:val="clear" w:color="auto" w:fill="auto"/>
            <w:tcMar>
              <w:top w:w="15" w:type="dxa"/>
              <w:left w:w="108" w:type="dxa"/>
              <w:bottom w:w="0" w:type="dxa"/>
              <w:right w:w="108" w:type="dxa"/>
            </w:tcMar>
            <w:vAlign w:val="center"/>
          </w:tcPr>
          <w:p w14:paraId="614C1E2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4"/>
                <w:sz w:val="20"/>
                <w:szCs w:val="20"/>
                <w:highlight w:val="none"/>
                <w:lang w:val="en-US" w:eastAsia="zh-CN"/>
              </w:rPr>
            </w:pPr>
            <w:r>
              <w:rPr>
                <w:rFonts w:hint="eastAsia" w:ascii="宋体" w:hAnsi="宋体" w:eastAsia="宋体" w:cs="宋体"/>
                <w:color w:val="auto"/>
                <w:kern w:val="24"/>
                <w:sz w:val="20"/>
                <w:szCs w:val="20"/>
                <w:highlight w:val="none"/>
                <w:lang w:val="en-US" w:eastAsia="zh-CN"/>
              </w:rPr>
              <w:t>投标人同时具有在有效期内的质量管理体系认证证书、职业健康安全管理体系认证证书、环境管理体系认证证书的，得0.5分。每少一项，扣0.3分，最低扣至0分。本项最高得0.5分。</w:t>
            </w:r>
          </w:p>
        </w:tc>
      </w:tr>
      <w:tr w14:paraId="08E3D383">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589" w:type="dxa"/>
            <w:tcBorders>
              <w:tl2br w:val="nil"/>
              <w:tr2bl w:val="nil"/>
            </w:tcBorders>
            <w:vAlign w:val="center"/>
          </w:tcPr>
          <w:p w14:paraId="0B35DBA1">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二</w:t>
            </w:r>
          </w:p>
        </w:tc>
        <w:tc>
          <w:tcPr>
            <w:tcW w:w="1079" w:type="dxa"/>
            <w:tcBorders>
              <w:tl2br w:val="nil"/>
              <w:tr2bl w:val="nil"/>
            </w:tcBorders>
            <w:vAlign w:val="center"/>
          </w:tcPr>
          <w:p w14:paraId="32179E80">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项目管理机构能力</w:t>
            </w:r>
          </w:p>
          <w:p w14:paraId="6A375BAF">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w:t>
            </w:r>
            <w:r>
              <w:rPr>
                <w:rFonts w:hint="eastAsia" w:ascii="宋体" w:hAnsi="宋体" w:cs="宋体"/>
                <w:color w:val="auto"/>
                <w:kern w:val="24"/>
                <w:sz w:val="20"/>
                <w:szCs w:val="20"/>
                <w:highlight w:val="none"/>
                <w:lang w:val="en-US" w:eastAsia="zh-CN"/>
              </w:rPr>
              <w:t>6</w:t>
            </w:r>
            <w:r>
              <w:rPr>
                <w:rFonts w:hint="eastAsia" w:ascii="宋体" w:hAnsi="宋体" w:cs="宋体"/>
                <w:color w:val="auto"/>
                <w:kern w:val="24"/>
                <w:sz w:val="20"/>
                <w:szCs w:val="20"/>
                <w:highlight w:val="none"/>
              </w:rPr>
              <w:t>分）</w:t>
            </w:r>
          </w:p>
        </w:tc>
        <w:tc>
          <w:tcPr>
            <w:tcW w:w="1275" w:type="dxa"/>
            <w:tcBorders>
              <w:tl2br w:val="nil"/>
              <w:tr2bl w:val="nil"/>
            </w:tcBorders>
            <w:vAlign w:val="center"/>
          </w:tcPr>
          <w:p w14:paraId="1F2D66FD">
            <w:pPr>
              <w:keepNext w:val="0"/>
              <w:keepLines w:val="0"/>
              <w:widowControl/>
              <w:suppressLineNumbers w:val="0"/>
              <w:spacing w:before="0" w:beforeAutospacing="0" w:after="0" w:afterAutospacing="0"/>
              <w:ind w:left="0" w:right="0"/>
              <w:jc w:val="center"/>
              <w:rPr>
                <w:rFonts w:hint="default" w:ascii="宋体" w:hAnsi="宋体" w:cs="宋体"/>
                <w:color w:val="auto"/>
                <w:kern w:val="0"/>
                <w:sz w:val="36"/>
                <w:szCs w:val="36"/>
                <w:highlight w:val="none"/>
              </w:rPr>
            </w:pPr>
            <w:r>
              <w:rPr>
                <w:rFonts w:hint="eastAsia" w:ascii="宋体" w:hAnsi="宋体" w:cs="宋体"/>
                <w:color w:val="auto"/>
                <w:kern w:val="24"/>
                <w:sz w:val="20"/>
                <w:szCs w:val="20"/>
                <w:highlight w:val="none"/>
              </w:rPr>
              <w:t>项目管理机构能力</w:t>
            </w:r>
          </w:p>
        </w:tc>
        <w:tc>
          <w:tcPr>
            <w:tcW w:w="709" w:type="dxa"/>
            <w:tcBorders>
              <w:tl2br w:val="nil"/>
              <w:tr2bl w:val="nil"/>
            </w:tcBorders>
            <w:vAlign w:val="center"/>
          </w:tcPr>
          <w:p w14:paraId="59DBD08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36"/>
                <w:szCs w:val="36"/>
                <w:highlight w:val="none"/>
                <w:lang w:val="en-US" w:eastAsia="zh-CN"/>
              </w:rPr>
            </w:pPr>
            <w:r>
              <w:rPr>
                <w:rFonts w:hint="eastAsia" w:ascii="宋体" w:hAnsi="宋体" w:cs="宋体"/>
                <w:color w:val="auto"/>
                <w:kern w:val="24"/>
                <w:sz w:val="20"/>
                <w:szCs w:val="20"/>
                <w:highlight w:val="none"/>
                <w:lang w:val="en-US" w:eastAsia="zh-CN"/>
              </w:rPr>
              <w:t>6</w:t>
            </w:r>
          </w:p>
        </w:tc>
        <w:tc>
          <w:tcPr>
            <w:tcW w:w="10896" w:type="dxa"/>
            <w:tcBorders>
              <w:tl2br w:val="nil"/>
              <w:tr2bl w:val="nil"/>
            </w:tcBorders>
            <w:shd w:val="clear" w:color="auto" w:fill="auto"/>
            <w:tcMar>
              <w:top w:w="15" w:type="dxa"/>
              <w:left w:w="108" w:type="dxa"/>
              <w:bottom w:w="0" w:type="dxa"/>
              <w:right w:w="108" w:type="dxa"/>
            </w:tcMar>
            <w:vAlign w:val="center"/>
          </w:tcPr>
          <w:p w14:paraId="1D0EC2C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rPr>
              <w:t>1、</w:t>
            </w:r>
            <w:r>
              <w:rPr>
                <w:rFonts w:hint="eastAsia" w:ascii="宋体" w:hAnsi="宋体" w:cs="宋体"/>
                <w:color w:val="auto"/>
                <w:kern w:val="24"/>
                <w:sz w:val="20"/>
                <w:szCs w:val="20"/>
                <w:highlight w:val="none"/>
                <w:lang w:val="en-US" w:eastAsia="zh-CN"/>
              </w:rPr>
              <w:t>项目负责人（1人）：</w:t>
            </w:r>
          </w:p>
          <w:p w14:paraId="434533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4"/>
                <w:sz w:val="20"/>
                <w:szCs w:val="20"/>
                <w:highlight w:val="none"/>
                <w:lang w:eastAsia="zh-CN"/>
              </w:rPr>
            </w:pPr>
            <w:r>
              <w:rPr>
                <w:rFonts w:hint="eastAsia" w:ascii="宋体" w:hAnsi="宋体" w:cs="宋体"/>
                <w:color w:val="auto"/>
                <w:kern w:val="24"/>
                <w:sz w:val="20"/>
                <w:szCs w:val="20"/>
                <w:highlight w:val="none"/>
                <w:lang w:val="en-US" w:eastAsia="zh-CN"/>
              </w:rPr>
              <w:t>具有建筑工程</w:t>
            </w:r>
            <w:r>
              <w:rPr>
                <w:rFonts w:hint="eastAsia" w:ascii="宋体" w:hAnsi="宋体" w:cs="宋体"/>
                <w:color w:val="auto"/>
                <w:kern w:val="24"/>
                <w:sz w:val="20"/>
                <w:szCs w:val="20"/>
                <w:highlight w:val="none"/>
              </w:rPr>
              <w:t>类专业</w:t>
            </w:r>
            <w:r>
              <w:rPr>
                <w:rFonts w:hint="eastAsia" w:ascii="宋体" w:hAnsi="宋体" w:cs="宋体"/>
                <w:color w:val="auto"/>
                <w:kern w:val="24"/>
                <w:sz w:val="20"/>
                <w:szCs w:val="20"/>
                <w:highlight w:val="none"/>
                <w:lang w:val="en-US" w:eastAsia="zh-CN"/>
              </w:rPr>
              <w:t>中级</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或以上</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职称</w:t>
            </w:r>
            <w:r>
              <w:rPr>
                <w:rFonts w:hint="eastAsia" w:ascii="宋体" w:hAnsi="宋体" w:cs="宋体"/>
                <w:color w:val="auto"/>
                <w:kern w:val="24"/>
                <w:sz w:val="20"/>
                <w:szCs w:val="20"/>
                <w:highlight w:val="none"/>
                <w:lang w:val="en-US" w:eastAsia="zh-CN"/>
              </w:rPr>
              <w:t>的</w:t>
            </w:r>
            <w:r>
              <w:rPr>
                <w:rFonts w:hint="eastAsia" w:ascii="宋体" w:hAnsi="宋体" w:cs="宋体"/>
                <w:color w:val="auto"/>
                <w:kern w:val="24"/>
                <w:sz w:val="20"/>
                <w:szCs w:val="20"/>
                <w:highlight w:val="none"/>
              </w:rPr>
              <w:t>，得</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分</w:t>
            </w:r>
            <w:r>
              <w:rPr>
                <w:rFonts w:hint="eastAsia" w:ascii="宋体" w:hAnsi="宋体" w:cs="宋体"/>
                <w:color w:val="auto"/>
                <w:kern w:val="24"/>
                <w:sz w:val="20"/>
                <w:szCs w:val="20"/>
                <w:highlight w:val="none"/>
                <w:lang w:val="en-US" w:eastAsia="zh-CN"/>
              </w:rPr>
              <w:t>；其余不得分</w:t>
            </w:r>
            <w:r>
              <w:rPr>
                <w:rFonts w:hint="eastAsia" w:ascii="宋体" w:hAnsi="宋体" w:cs="宋体"/>
                <w:color w:val="auto"/>
                <w:kern w:val="24"/>
                <w:sz w:val="20"/>
                <w:szCs w:val="20"/>
                <w:highlight w:val="none"/>
                <w:lang w:eastAsia="zh-CN"/>
              </w:rPr>
              <w:t>。</w:t>
            </w:r>
          </w:p>
          <w:p w14:paraId="0712BF04">
            <w:pPr>
              <w:keepNext w:val="0"/>
              <w:keepLines w:val="0"/>
              <w:widowControl/>
              <w:suppressLineNumbers w:val="0"/>
              <w:spacing w:before="0" w:beforeAutospacing="0" w:after="0" w:afterAutospacing="0"/>
              <w:ind w:left="0" w:right="0"/>
              <w:jc w:val="left"/>
              <w:rPr>
                <w:rFonts w:hint="default" w:ascii="宋体" w:hAnsi="宋体" w:cs="宋体"/>
                <w:color w:val="auto"/>
                <w:kern w:val="24"/>
                <w:sz w:val="20"/>
                <w:szCs w:val="20"/>
                <w:highlight w:val="none"/>
              </w:rPr>
            </w:pPr>
            <w:r>
              <w:rPr>
                <w:rFonts w:hint="eastAsia" w:ascii="宋体" w:hAnsi="宋体" w:cs="宋体"/>
                <w:color w:val="auto"/>
                <w:kern w:val="24"/>
                <w:sz w:val="20"/>
                <w:szCs w:val="20"/>
                <w:highlight w:val="none"/>
                <w:lang w:val="en-US" w:eastAsia="zh-CN"/>
              </w:rPr>
              <w:t>2、</w:t>
            </w:r>
            <w:r>
              <w:rPr>
                <w:rFonts w:hint="eastAsia" w:ascii="宋体" w:hAnsi="宋体" w:cs="宋体"/>
                <w:color w:val="auto"/>
                <w:kern w:val="24"/>
                <w:sz w:val="20"/>
                <w:szCs w:val="20"/>
                <w:highlight w:val="none"/>
              </w:rPr>
              <w:t>质量负责人（</w:t>
            </w:r>
            <w:r>
              <w:rPr>
                <w:rFonts w:hint="eastAsia" w:ascii="宋体" w:hAnsi="宋体" w:cs="宋体"/>
                <w:color w:val="auto"/>
                <w:kern w:val="24"/>
                <w:sz w:val="20"/>
                <w:szCs w:val="20"/>
                <w:highlight w:val="none"/>
                <w:lang w:val="en-US" w:eastAsia="zh-CN"/>
              </w:rPr>
              <w:t>1人</w:t>
            </w:r>
            <w:r>
              <w:rPr>
                <w:rFonts w:hint="eastAsia" w:ascii="宋体" w:hAnsi="宋体" w:cs="宋体"/>
                <w:color w:val="auto"/>
                <w:kern w:val="24"/>
                <w:sz w:val="20"/>
                <w:szCs w:val="20"/>
                <w:highlight w:val="none"/>
              </w:rPr>
              <w:t>）：</w:t>
            </w:r>
          </w:p>
          <w:p w14:paraId="1EBB5B1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4"/>
                <w:sz w:val="20"/>
                <w:szCs w:val="20"/>
                <w:highlight w:val="none"/>
                <w:lang w:eastAsia="zh-CN"/>
              </w:rPr>
            </w:pPr>
            <w:r>
              <w:rPr>
                <w:rFonts w:hint="eastAsia" w:ascii="宋体" w:hAnsi="宋体" w:cs="宋体"/>
                <w:color w:val="auto"/>
                <w:kern w:val="24"/>
                <w:sz w:val="20"/>
                <w:szCs w:val="20"/>
                <w:highlight w:val="none"/>
                <w:lang w:val="en-US" w:eastAsia="zh-CN"/>
              </w:rPr>
              <w:t>具有</w:t>
            </w:r>
            <w:r>
              <w:rPr>
                <w:rFonts w:hint="eastAsia" w:ascii="宋体" w:hAnsi="宋体" w:cs="宋体"/>
                <w:color w:val="auto"/>
                <w:kern w:val="24"/>
                <w:sz w:val="20"/>
                <w:szCs w:val="20"/>
                <w:highlight w:val="none"/>
              </w:rPr>
              <w:t>建筑</w:t>
            </w:r>
            <w:r>
              <w:rPr>
                <w:rFonts w:hint="eastAsia" w:ascii="宋体" w:hAnsi="宋体" w:cs="宋体"/>
                <w:color w:val="auto"/>
                <w:kern w:val="24"/>
                <w:sz w:val="20"/>
                <w:szCs w:val="20"/>
                <w:highlight w:val="none"/>
                <w:lang w:val="en-US" w:eastAsia="zh-CN"/>
              </w:rPr>
              <w:t>工程类</w:t>
            </w:r>
            <w:r>
              <w:rPr>
                <w:rFonts w:hint="eastAsia" w:ascii="宋体" w:hAnsi="宋体" w:cs="宋体"/>
                <w:color w:val="auto"/>
                <w:kern w:val="24"/>
                <w:sz w:val="20"/>
                <w:szCs w:val="20"/>
                <w:highlight w:val="none"/>
              </w:rPr>
              <w:t>专业</w:t>
            </w:r>
            <w:r>
              <w:rPr>
                <w:rFonts w:hint="eastAsia" w:ascii="宋体" w:hAnsi="宋体" w:cs="宋体"/>
                <w:color w:val="auto"/>
                <w:kern w:val="24"/>
                <w:sz w:val="20"/>
                <w:szCs w:val="20"/>
                <w:highlight w:val="none"/>
                <w:lang w:val="en-US" w:eastAsia="zh-CN"/>
              </w:rPr>
              <w:t>中级</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或以上</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职称</w:t>
            </w:r>
            <w:r>
              <w:rPr>
                <w:rFonts w:hint="eastAsia" w:ascii="宋体" w:hAnsi="宋体" w:cs="宋体"/>
                <w:color w:val="auto"/>
                <w:kern w:val="24"/>
                <w:sz w:val="20"/>
                <w:szCs w:val="20"/>
                <w:highlight w:val="none"/>
                <w:lang w:val="en-US" w:eastAsia="zh-CN"/>
              </w:rPr>
              <w:t>的</w:t>
            </w:r>
            <w:r>
              <w:rPr>
                <w:rFonts w:hint="eastAsia" w:ascii="宋体" w:hAnsi="宋体" w:cs="宋体"/>
                <w:color w:val="auto"/>
                <w:kern w:val="24"/>
                <w:sz w:val="20"/>
                <w:szCs w:val="20"/>
                <w:highlight w:val="none"/>
              </w:rPr>
              <w:t>，得</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分</w:t>
            </w:r>
            <w:r>
              <w:rPr>
                <w:rFonts w:hint="eastAsia" w:ascii="宋体" w:hAnsi="宋体" w:cs="宋体"/>
                <w:color w:val="auto"/>
                <w:kern w:val="24"/>
                <w:sz w:val="20"/>
                <w:szCs w:val="20"/>
                <w:highlight w:val="none"/>
                <w:lang w:val="en-US" w:eastAsia="zh-CN"/>
              </w:rPr>
              <w:t>；其余不得分</w:t>
            </w:r>
            <w:r>
              <w:rPr>
                <w:rFonts w:hint="eastAsia" w:ascii="宋体" w:hAnsi="宋体" w:cs="宋体"/>
                <w:color w:val="auto"/>
                <w:kern w:val="24"/>
                <w:sz w:val="20"/>
                <w:szCs w:val="20"/>
                <w:highlight w:val="none"/>
                <w:lang w:eastAsia="zh-CN"/>
              </w:rPr>
              <w:t>。</w:t>
            </w:r>
          </w:p>
          <w:p w14:paraId="54CF871C">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lang w:val="en-US" w:eastAsia="zh-CN"/>
              </w:rPr>
              <w:t>3</w:t>
            </w:r>
            <w:r>
              <w:rPr>
                <w:rFonts w:hint="eastAsia" w:ascii="宋体" w:hAnsi="宋体" w:cs="宋体"/>
                <w:color w:val="auto"/>
                <w:kern w:val="24"/>
                <w:sz w:val="20"/>
                <w:szCs w:val="20"/>
                <w:highlight w:val="none"/>
              </w:rPr>
              <w:t>、造价负责人（</w:t>
            </w:r>
            <w:r>
              <w:rPr>
                <w:rFonts w:hint="eastAsia" w:ascii="宋体" w:hAnsi="宋体" w:cs="宋体"/>
                <w:color w:val="auto"/>
                <w:kern w:val="24"/>
                <w:sz w:val="20"/>
                <w:szCs w:val="20"/>
                <w:highlight w:val="none"/>
                <w:lang w:val="en-US" w:eastAsia="zh-CN"/>
              </w:rPr>
              <w:t>1人</w:t>
            </w:r>
            <w:r>
              <w:rPr>
                <w:rFonts w:hint="eastAsia" w:ascii="宋体" w:hAnsi="宋体" w:cs="宋体"/>
                <w:color w:val="auto"/>
                <w:kern w:val="24"/>
                <w:sz w:val="20"/>
                <w:szCs w:val="20"/>
                <w:highlight w:val="none"/>
              </w:rPr>
              <w:t>）：</w:t>
            </w:r>
          </w:p>
          <w:p w14:paraId="612884F6">
            <w:pPr>
              <w:keepNext w:val="0"/>
              <w:keepLines w:val="0"/>
              <w:widowControl/>
              <w:suppressLineNumbers w:val="0"/>
              <w:spacing w:before="0" w:beforeAutospacing="0" w:after="0" w:afterAutospacing="0"/>
              <w:ind w:left="0" w:right="0"/>
              <w:jc w:val="left"/>
              <w:rPr>
                <w:rFonts w:hint="default" w:ascii="宋体" w:hAnsi="宋体" w:cs="宋体"/>
                <w:color w:val="auto"/>
                <w:kern w:val="24"/>
                <w:sz w:val="20"/>
                <w:szCs w:val="20"/>
                <w:highlight w:val="none"/>
                <w:lang w:val="en-US"/>
              </w:rPr>
            </w:pPr>
            <w:r>
              <w:rPr>
                <w:rFonts w:hint="eastAsia" w:ascii="宋体" w:hAnsi="宋体" w:cs="宋体"/>
                <w:color w:val="auto"/>
                <w:kern w:val="24"/>
                <w:sz w:val="20"/>
                <w:szCs w:val="20"/>
                <w:highlight w:val="none"/>
                <w:lang w:val="en-US" w:eastAsia="zh-CN"/>
              </w:rPr>
              <w:t>①具有一级注册造价工程师（土建专业）资格证书，并在本单位注册的，得0.5分；其余不得分。</w:t>
            </w:r>
          </w:p>
          <w:p w14:paraId="653D87B1">
            <w:pPr>
              <w:keepNext w:val="0"/>
              <w:keepLines w:val="0"/>
              <w:widowControl/>
              <w:suppressLineNumbers w:val="0"/>
              <w:spacing w:before="0" w:beforeAutospacing="0" w:after="0" w:afterAutospacing="0"/>
              <w:ind w:left="0" w:right="0"/>
              <w:jc w:val="left"/>
              <w:rPr>
                <w:rFonts w:hint="default" w:eastAsia="宋体"/>
                <w:lang w:val="en-US" w:eastAsia="zh-CN"/>
              </w:rPr>
            </w:pPr>
            <w:r>
              <w:rPr>
                <w:rFonts w:hint="eastAsia" w:hAnsi="宋体" w:cs="宋体"/>
                <w:color w:val="auto"/>
                <w:kern w:val="24"/>
                <w:sz w:val="20"/>
                <w:szCs w:val="20"/>
                <w:highlight w:val="none"/>
                <w:lang w:val="en-US" w:eastAsia="zh-CN"/>
              </w:rPr>
              <w:t>②具有</w:t>
            </w:r>
            <w:r>
              <w:rPr>
                <w:rFonts w:hint="eastAsia" w:ascii="宋体" w:hAnsi="宋体" w:cs="宋体"/>
                <w:color w:val="auto"/>
                <w:kern w:val="24"/>
                <w:sz w:val="20"/>
                <w:szCs w:val="20"/>
                <w:highlight w:val="none"/>
              </w:rPr>
              <w:t>建筑经济类或工程造价类专业</w:t>
            </w:r>
            <w:r>
              <w:rPr>
                <w:rFonts w:hint="eastAsia" w:ascii="宋体" w:hAnsi="宋体" w:cs="宋体"/>
                <w:color w:val="auto"/>
                <w:kern w:val="24"/>
                <w:sz w:val="20"/>
                <w:szCs w:val="20"/>
                <w:highlight w:val="none"/>
                <w:lang w:val="en-US" w:eastAsia="zh-CN"/>
              </w:rPr>
              <w:t>中级</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或以上</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职称，得</w:t>
            </w:r>
            <w:r>
              <w:rPr>
                <w:rFonts w:hint="eastAsia" w:ascii="宋体" w:hAnsi="宋体" w:cs="宋体"/>
                <w:color w:val="auto"/>
                <w:kern w:val="24"/>
                <w:sz w:val="20"/>
                <w:szCs w:val="20"/>
                <w:highlight w:val="none"/>
                <w:lang w:val="en-US" w:eastAsia="zh-CN"/>
              </w:rPr>
              <w:t>0.5</w:t>
            </w:r>
            <w:r>
              <w:rPr>
                <w:rFonts w:hint="eastAsia" w:ascii="宋体" w:hAnsi="宋体" w:cs="宋体"/>
                <w:color w:val="auto"/>
                <w:kern w:val="24"/>
                <w:sz w:val="20"/>
                <w:szCs w:val="20"/>
                <w:highlight w:val="none"/>
              </w:rPr>
              <w:t>分</w:t>
            </w:r>
            <w:r>
              <w:rPr>
                <w:rFonts w:hint="eastAsia" w:ascii="宋体" w:hAnsi="宋体" w:cs="宋体"/>
                <w:color w:val="auto"/>
                <w:kern w:val="24"/>
                <w:sz w:val="20"/>
                <w:szCs w:val="20"/>
                <w:highlight w:val="none"/>
                <w:lang w:val="en-US" w:eastAsia="zh-CN"/>
              </w:rPr>
              <w:t>；其余不得分</w:t>
            </w:r>
            <w:r>
              <w:rPr>
                <w:rFonts w:hint="eastAsia" w:ascii="宋体" w:hAnsi="宋体" w:cs="宋体"/>
                <w:color w:val="auto"/>
                <w:kern w:val="24"/>
                <w:sz w:val="20"/>
                <w:szCs w:val="20"/>
                <w:highlight w:val="none"/>
              </w:rPr>
              <w:t>。</w:t>
            </w:r>
          </w:p>
          <w:p w14:paraId="08149AF5">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lang w:val="en-US" w:eastAsia="zh-CN"/>
              </w:rPr>
              <w:t>4</w:t>
            </w:r>
            <w:r>
              <w:rPr>
                <w:rFonts w:hint="eastAsia" w:ascii="宋体" w:hAnsi="宋体" w:cs="宋体"/>
                <w:color w:val="auto"/>
                <w:kern w:val="24"/>
                <w:sz w:val="20"/>
                <w:szCs w:val="20"/>
                <w:highlight w:val="none"/>
              </w:rPr>
              <w:t>、安全负责人（</w:t>
            </w:r>
            <w:r>
              <w:rPr>
                <w:rFonts w:hint="eastAsia" w:ascii="宋体" w:hAnsi="宋体" w:cs="宋体"/>
                <w:color w:val="auto"/>
                <w:kern w:val="24"/>
                <w:sz w:val="20"/>
                <w:szCs w:val="20"/>
                <w:highlight w:val="none"/>
                <w:lang w:val="en-US" w:eastAsia="zh-CN"/>
              </w:rPr>
              <w:t>1人</w:t>
            </w:r>
            <w:r>
              <w:rPr>
                <w:rFonts w:hint="eastAsia" w:ascii="宋体" w:hAnsi="宋体" w:cs="宋体"/>
                <w:color w:val="auto"/>
                <w:kern w:val="24"/>
                <w:sz w:val="20"/>
                <w:szCs w:val="20"/>
                <w:highlight w:val="none"/>
              </w:rPr>
              <w:t>）：</w:t>
            </w:r>
          </w:p>
          <w:p w14:paraId="677578FF">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①</w:t>
            </w:r>
            <w:r>
              <w:rPr>
                <w:rFonts w:hint="eastAsia" w:ascii="宋体" w:hAnsi="宋体" w:cs="宋体"/>
                <w:color w:val="auto"/>
                <w:kern w:val="24"/>
                <w:sz w:val="20"/>
                <w:szCs w:val="20"/>
                <w:highlight w:val="none"/>
                <w:lang w:val="en-US" w:eastAsia="zh-CN"/>
              </w:rPr>
              <w:t>具有</w:t>
            </w:r>
            <w:r>
              <w:rPr>
                <w:rFonts w:hint="eastAsia" w:ascii="宋体" w:hAnsi="宋体" w:cs="宋体"/>
                <w:color w:val="auto"/>
                <w:kern w:val="24"/>
                <w:sz w:val="20"/>
                <w:szCs w:val="20"/>
                <w:highlight w:val="none"/>
              </w:rPr>
              <w:t>注册安全工程师（建筑施工安全）注册证书，得</w:t>
            </w:r>
            <w:r>
              <w:rPr>
                <w:rFonts w:hint="eastAsia" w:ascii="宋体" w:hAnsi="宋体" w:cs="宋体"/>
                <w:color w:val="auto"/>
                <w:kern w:val="24"/>
                <w:sz w:val="20"/>
                <w:szCs w:val="20"/>
                <w:highlight w:val="none"/>
                <w:lang w:val="en-US" w:eastAsia="zh-CN"/>
              </w:rPr>
              <w:t>0.5</w:t>
            </w:r>
            <w:r>
              <w:rPr>
                <w:rFonts w:hint="eastAsia" w:ascii="宋体" w:hAnsi="宋体" w:cs="宋体"/>
                <w:color w:val="auto"/>
                <w:kern w:val="24"/>
                <w:sz w:val="20"/>
                <w:szCs w:val="20"/>
                <w:highlight w:val="none"/>
              </w:rPr>
              <w:t>分；</w:t>
            </w:r>
          </w:p>
          <w:p w14:paraId="25BD3B4D">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②</w:t>
            </w:r>
            <w:r>
              <w:rPr>
                <w:rFonts w:hint="eastAsia" w:ascii="宋体" w:hAnsi="宋体" w:cs="宋体"/>
                <w:color w:val="auto"/>
                <w:kern w:val="24"/>
                <w:sz w:val="20"/>
                <w:szCs w:val="20"/>
                <w:highlight w:val="none"/>
                <w:lang w:val="en-US" w:eastAsia="zh-CN"/>
              </w:rPr>
              <w:t>具有</w:t>
            </w:r>
            <w:r>
              <w:rPr>
                <w:rFonts w:hint="eastAsia" w:ascii="宋体" w:hAnsi="宋体" w:cs="宋体"/>
                <w:color w:val="auto"/>
                <w:kern w:val="24"/>
                <w:sz w:val="20"/>
                <w:szCs w:val="20"/>
                <w:highlight w:val="none"/>
              </w:rPr>
              <w:t>建筑工程类专业中级</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或以上</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职称</w:t>
            </w:r>
            <w:r>
              <w:rPr>
                <w:rFonts w:hint="eastAsia" w:ascii="宋体" w:hAnsi="宋体" w:cs="宋体"/>
                <w:color w:val="auto"/>
                <w:kern w:val="24"/>
                <w:sz w:val="20"/>
                <w:szCs w:val="20"/>
                <w:highlight w:val="none"/>
                <w:lang w:val="en-US" w:eastAsia="zh-CN"/>
              </w:rPr>
              <w:t>的</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rPr>
              <w:t>得</w:t>
            </w:r>
            <w:r>
              <w:rPr>
                <w:rFonts w:hint="eastAsia" w:ascii="宋体" w:hAnsi="宋体" w:cs="宋体"/>
                <w:color w:val="auto"/>
                <w:kern w:val="24"/>
                <w:sz w:val="20"/>
                <w:szCs w:val="20"/>
                <w:highlight w:val="none"/>
                <w:lang w:val="en-US" w:eastAsia="zh-CN"/>
              </w:rPr>
              <w:t>0.5</w:t>
            </w:r>
            <w:r>
              <w:rPr>
                <w:rFonts w:hint="eastAsia" w:ascii="宋体" w:hAnsi="宋体" w:cs="宋体"/>
                <w:color w:val="auto"/>
                <w:kern w:val="24"/>
                <w:sz w:val="20"/>
                <w:szCs w:val="20"/>
                <w:highlight w:val="none"/>
              </w:rPr>
              <w:t>分</w:t>
            </w:r>
            <w:r>
              <w:rPr>
                <w:rFonts w:hint="eastAsia" w:ascii="宋体" w:hAnsi="宋体" w:cs="宋体"/>
                <w:color w:val="auto"/>
                <w:kern w:val="24"/>
                <w:sz w:val="20"/>
                <w:szCs w:val="20"/>
                <w:highlight w:val="none"/>
                <w:lang w:val="en-US" w:eastAsia="zh-CN"/>
              </w:rPr>
              <w:t>；其余不得分</w:t>
            </w:r>
            <w:r>
              <w:rPr>
                <w:rFonts w:hint="eastAsia" w:ascii="宋体" w:hAnsi="宋体" w:cs="宋体"/>
                <w:color w:val="auto"/>
                <w:kern w:val="24"/>
                <w:sz w:val="20"/>
                <w:szCs w:val="20"/>
                <w:highlight w:val="none"/>
              </w:rPr>
              <w:t>。</w:t>
            </w:r>
          </w:p>
          <w:p w14:paraId="7315BE63">
            <w:pPr>
              <w:pStyle w:val="9"/>
              <w:keepNext w:val="0"/>
              <w:keepLines w:val="0"/>
              <w:suppressLineNumbers w:val="0"/>
              <w:spacing w:before="0" w:beforeAutospacing="0" w:after="0" w:afterAutospacing="0"/>
              <w:ind w:left="0" w:leftChars="0" w:right="0" w:firstLine="0" w:firstLineChars="0"/>
              <w:rPr>
                <w:rFonts w:hint="eastAsia"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③工作经验大于15年（含15年）的，得1分；工作经验15年以下的，得0.5分。</w:t>
            </w:r>
          </w:p>
          <w:p w14:paraId="5D2BC2C1">
            <w:pPr>
              <w:keepNext w:val="0"/>
              <w:keepLines w:val="0"/>
              <w:numPr>
                <w:ilvl w:val="0"/>
                <w:numId w:val="1"/>
              </w:numPr>
              <w:suppressLineNumbers w:val="0"/>
              <w:spacing w:before="0" w:beforeAutospacing="0" w:after="0" w:afterAutospacing="0"/>
              <w:ind w:left="0" w:right="0"/>
              <w:rPr>
                <w:rFonts w:hint="eastAsia"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装修工程师（1人）</w:t>
            </w:r>
          </w:p>
          <w:p w14:paraId="54A422B7">
            <w:pPr>
              <w:pStyle w:val="22"/>
              <w:keepNext w:val="0"/>
              <w:keepLines w:val="0"/>
              <w:numPr>
                <w:ilvl w:val="0"/>
                <w:numId w:val="0"/>
              </w:numPr>
              <w:suppressLineNumbers w:val="0"/>
              <w:spacing w:before="0" w:beforeAutospacing="0" w:after="0" w:afterAutospacing="0"/>
              <w:ind w:left="0" w:right="0"/>
              <w:rPr>
                <w:rFonts w:hint="default"/>
                <w:lang w:val="en-US" w:eastAsia="zh-CN"/>
              </w:rPr>
            </w:pPr>
            <w:r>
              <w:rPr>
                <w:rFonts w:hint="eastAsia"/>
                <w:lang w:val="en-US" w:eastAsia="zh-CN"/>
              </w:rPr>
              <w:t>具有建筑装修装饰工程类专业中级（或以上）职称的，得1分</w:t>
            </w:r>
            <w:r>
              <w:rPr>
                <w:rFonts w:hint="eastAsia" w:ascii="宋体" w:hAnsi="宋体" w:cs="宋体"/>
                <w:color w:val="auto"/>
                <w:kern w:val="24"/>
                <w:sz w:val="20"/>
                <w:szCs w:val="20"/>
                <w:highlight w:val="none"/>
                <w:lang w:val="en-US" w:eastAsia="zh-CN"/>
              </w:rPr>
              <w:t>；其余不得分</w:t>
            </w:r>
            <w:r>
              <w:rPr>
                <w:rFonts w:hint="eastAsia"/>
                <w:lang w:val="en-US" w:eastAsia="zh-CN"/>
              </w:rPr>
              <w:t>。</w:t>
            </w:r>
          </w:p>
          <w:p w14:paraId="13B7D957">
            <w:pPr>
              <w:keepNext w:val="0"/>
              <w:keepLines w:val="0"/>
              <w:widowControl/>
              <w:suppressLineNumbers w:val="0"/>
              <w:spacing w:before="0" w:beforeAutospacing="0" w:after="0" w:afterAutospacing="0"/>
              <w:ind w:left="0" w:right="0"/>
              <w:jc w:val="left"/>
              <w:rPr>
                <w:rFonts w:hint="default" w:ascii="宋体" w:hAnsi="宋体" w:cs="宋体"/>
                <w:color w:val="auto"/>
                <w:kern w:val="24"/>
                <w:sz w:val="20"/>
                <w:szCs w:val="20"/>
                <w:highlight w:val="none"/>
              </w:rPr>
            </w:pPr>
            <w:r>
              <w:rPr>
                <w:rFonts w:hint="eastAsia" w:ascii="宋体" w:hAnsi="宋体" w:cs="宋体"/>
                <w:color w:val="auto"/>
                <w:kern w:val="24"/>
                <w:sz w:val="20"/>
                <w:szCs w:val="20"/>
                <w:highlight w:val="none"/>
              </w:rPr>
              <w:t>注：以上各项累加最高得</w:t>
            </w:r>
            <w:r>
              <w:rPr>
                <w:rFonts w:hint="eastAsia" w:ascii="宋体" w:hAnsi="宋体" w:cs="宋体"/>
                <w:color w:val="auto"/>
                <w:kern w:val="24"/>
                <w:sz w:val="20"/>
                <w:szCs w:val="20"/>
                <w:highlight w:val="none"/>
                <w:lang w:val="en-US" w:eastAsia="zh-CN"/>
              </w:rPr>
              <w:t>6</w:t>
            </w:r>
            <w:r>
              <w:rPr>
                <w:rFonts w:hint="eastAsia" w:ascii="宋体" w:hAnsi="宋体" w:cs="宋体"/>
                <w:color w:val="auto"/>
                <w:kern w:val="24"/>
                <w:sz w:val="20"/>
                <w:szCs w:val="20"/>
                <w:highlight w:val="none"/>
              </w:rPr>
              <w:t>分。以上人员不得兼任，职称得分按投入人员的最高职称计算一次。</w:t>
            </w:r>
          </w:p>
        </w:tc>
      </w:tr>
      <w:tr w14:paraId="3326080A">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589" w:type="dxa"/>
            <w:vMerge w:val="restart"/>
            <w:tcBorders>
              <w:tl2br w:val="nil"/>
              <w:tr2bl w:val="nil"/>
            </w:tcBorders>
            <w:vAlign w:val="center"/>
          </w:tcPr>
          <w:p w14:paraId="58BE0177">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三</w:t>
            </w:r>
          </w:p>
        </w:tc>
        <w:tc>
          <w:tcPr>
            <w:tcW w:w="1079" w:type="dxa"/>
            <w:vMerge w:val="restart"/>
            <w:tcBorders>
              <w:tl2br w:val="nil"/>
              <w:tr2bl w:val="nil"/>
            </w:tcBorders>
            <w:vAlign w:val="center"/>
          </w:tcPr>
          <w:p w14:paraId="6C1EBA48">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施工组织设计</w:t>
            </w:r>
          </w:p>
          <w:p w14:paraId="732FF74A">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w:t>
            </w:r>
            <w:r>
              <w:rPr>
                <w:rFonts w:hint="eastAsia" w:ascii="宋体" w:hAnsi="宋体" w:cs="宋体"/>
                <w:color w:val="auto"/>
                <w:kern w:val="24"/>
                <w:sz w:val="20"/>
                <w:szCs w:val="20"/>
                <w:highlight w:val="none"/>
                <w:lang w:val="en-US" w:eastAsia="zh-CN"/>
              </w:rPr>
              <w:t>8</w:t>
            </w:r>
            <w:r>
              <w:rPr>
                <w:rFonts w:hint="eastAsia" w:ascii="宋体" w:hAnsi="宋体" w:cs="宋体"/>
                <w:color w:val="auto"/>
                <w:kern w:val="24"/>
                <w:sz w:val="20"/>
                <w:szCs w:val="20"/>
                <w:highlight w:val="none"/>
              </w:rPr>
              <w:t>分）</w:t>
            </w:r>
          </w:p>
        </w:tc>
        <w:tc>
          <w:tcPr>
            <w:tcW w:w="1275" w:type="dxa"/>
            <w:tcBorders>
              <w:tl2br w:val="nil"/>
              <w:tr2bl w:val="nil"/>
            </w:tcBorders>
            <w:vAlign w:val="center"/>
          </w:tcPr>
          <w:p w14:paraId="7266B1DC">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质量控制措施</w:t>
            </w:r>
          </w:p>
        </w:tc>
        <w:tc>
          <w:tcPr>
            <w:tcW w:w="709" w:type="dxa"/>
            <w:tcBorders>
              <w:tl2br w:val="nil"/>
              <w:tr2bl w:val="nil"/>
            </w:tcBorders>
            <w:vAlign w:val="center"/>
          </w:tcPr>
          <w:p w14:paraId="7ADA7F74">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3</w:t>
            </w:r>
          </w:p>
        </w:tc>
        <w:tc>
          <w:tcPr>
            <w:tcW w:w="10896" w:type="dxa"/>
            <w:tcBorders>
              <w:tl2br w:val="nil"/>
              <w:tr2bl w:val="nil"/>
            </w:tcBorders>
            <w:shd w:val="clear" w:color="auto" w:fill="auto"/>
            <w:tcMar>
              <w:top w:w="15" w:type="dxa"/>
              <w:left w:w="108" w:type="dxa"/>
              <w:bottom w:w="0" w:type="dxa"/>
              <w:right w:w="108" w:type="dxa"/>
            </w:tcMar>
            <w:vAlign w:val="center"/>
          </w:tcPr>
          <w:p w14:paraId="2A2DD3BF">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lang w:val="en-US" w:eastAsia="zh-CN"/>
              </w:rPr>
              <w:t>根据投标人编制</w:t>
            </w:r>
            <w:r>
              <w:rPr>
                <w:rFonts w:hint="eastAsia" w:ascii="宋体" w:hAnsi="宋体" w:cs="宋体"/>
                <w:color w:val="auto"/>
                <w:kern w:val="24"/>
                <w:sz w:val="20"/>
                <w:szCs w:val="20"/>
                <w:highlight w:val="none"/>
              </w:rPr>
              <w:t>宿舍内粉刷、防水补漏、电气改造、装饰装修</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学生宿舍洗衣房改造及加固增高栏杆</w:t>
            </w:r>
            <w:r>
              <w:rPr>
                <w:rFonts w:hint="eastAsia" w:ascii="宋体" w:hAnsi="宋体" w:cs="宋体"/>
                <w:color w:val="auto"/>
                <w:kern w:val="24"/>
                <w:sz w:val="20"/>
                <w:szCs w:val="20"/>
                <w:highlight w:val="none"/>
              </w:rPr>
              <w:t>等工作内容</w:t>
            </w:r>
            <w:r>
              <w:rPr>
                <w:rFonts w:hint="eastAsia" w:ascii="宋体" w:hAnsi="宋体" w:cs="宋体"/>
                <w:color w:val="auto"/>
                <w:kern w:val="24"/>
                <w:sz w:val="20"/>
                <w:szCs w:val="20"/>
                <w:highlight w:val="none"/>
                <w:lang w:val="en-US" w:eastAsia="zh-CN"/>
              </w:rPr>
              <w:t>的</w:t>
            </w:r>
            <w:r>
              <w:rPr>
                <w:rFonts w:hint="eastAsia" w:ascii="宋体" w:hAnsi="宋体" w:cs="宋体"/>
                <w:color w:val="auto"/>
                <w:kern w:val="24"/>
                <w:sz w:val="20"/>
                <w:szCs w:val="20"/>
                <w:highlight w:val="none"/>
              </w:rPr>
              <w:t>质量措施</w:t>
            </w:r>
            <w:r>
              <w:rPr>
                <w:rFonts w:hint="eastAsia" w:ascii="宋体" w:hAnsi="宋体" w:cs="宋体"/>
                <w:color w:val="auto"/>
                <w:kern w:val="24"/>
                <w:sz w:val="20"/>
                <w:szCs w:val="20"/>
                <w:highlight w:val="none"/>
                <w:lang w:val="en-US" w:eastAsia="zh-CN"/>
              </w:rPr>
              <w:t>进行评审：</w:t>
            </w:r>
          </w:p>
          <w:p w14:paraId="272D9E85">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【优】方案措施专业性强，内容完整、详细，具有很好的</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、可靠性、实用性和可操作性，得</w:t>
            </w:r>
            <w:r>
              <w:rPr>
                <w:rFonts w:hint="eastAsia" w:ascii="宋体" w:hAnsi="宋体" w:cs="宋体"/>
                <w:color w:val="auto"/>
                <w:kern w:val="24"/>
                <w:sz w:val="20"/>
                <w:szCs w:val="20"/>
                <w:highlight w:val="none"/>
                <w:lang w:val="en-US" w:eastAsia="zh-CN"/>
              </w:rPr>
              <w:t>3</w:t>
            </w:r>
            <w:r>
              <w:rPr>
                <w:rFonts w:hint="eastAsia" w:ascii="宋体" w:hAnsi="宋体" w:cs="宋体"/>
                <w:color w:val="auto"/>
                <w:kern w:val="24"/>
                <w:sz w:val="20"/>
                <w:szCs w:val="20"/>
                <w:highlight w:val="none"/>
              </w:rPr>
              <w:t>分；</w:t>
            </w:r>
          </w:p>
          <w:p w14:paraId="1E92974B">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【良】方案措施专业性较强，内容较完整，具有</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、可靠性、实用性和可操作性，得</w:t>
            </w:r>
            <w:r>
              <w:rPr>
                <w:rFonts w:hint="eastAsia" w:ascii="宋体" w:hAnsi="宋体" w:cs="宋体"/>
                <w:color w:val="auto"/>
                <w:kern w:val="24"/>
                <w:sz w:val="20"/>
                <w:szCs w:val="20"/>
                <w:highlight w:val="none"/>
                <w:lang w:val="en-US" w:eastAsia="zh-CN"/>
              </w:rPr>
              <w:t>2</w:t>
            </w:r>
            <w:r>
              <w:rPr>
                <w:rFonts w:hint="eastAsia" w:ascii="宋体" w:hAnsi="宋体" w:cs="宋体"/>
                <w:color w:val="auto"/>
                <w:kern w:val="24"/>
                <w:sz w:val="20"/>
                <w:szCs w:val="20"/>
                <w:highlight w:val="none"/>
              </w:rPr>
              <w:t>分；</w:t>
            </w:r>
          </w:p>
          <w:p w14:paraId="1E69FA77">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【中】方案措施专业性一般，内容不够完整，</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、可靠性、实用性和可操作性一般，得</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分；</w:t>
            </w:r>
          </w:p>
          <w:p w14:paraId="3BEA2B99">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【差】未提供或其他不得分。</w:t>
            </w:r>
          </w:p>
        </w:tc>
      </w:tr>
      <w:tr w14:paraId="3A36534C">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589" w:type="dxa"/>
            <w:vMerge w:val="continue"/>
            <w:tcBorders>
              <w:tl2br w:val="nil"/>
              <w:tr2bl w:val="nil"/>
            </w:tcBorders>
            <w:vAlign w:val="center"/>
          </w:tcPr>
          <w:p w14:paraId="7DE3A5F6">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lang w:val="en-US" w:eastAsia="zh-CN"/>
              </w:rPr>
            </w:pPr>
          </w:p>
        </w:tc>
        <w:tc>
          <w:tcPr>
            <w:tcW w:w="1079" w:type="dxa"/>
            <w:vMerge w:val="continue"/>
            <w:tcBorders>
              <w:tl2br w:val="nil"/>
              <w:tr2bl w:val="nil"/>
            </w:tcBorders>
            <w:vAlign w:val="center"/>
          </w:tcPr>
          <w:p w14:paraId="00BD39FB">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275" w:type="dxa"/>
            <w:tcBorders>
              <w:tl2br w:val="nil"/>
              <w:tr2bl w:val="nil"/>
            </w:tcBorders>
            <w:vAlign w:val="center"/>
          </w:tcPr>
          <w:p w14:paraId="23FBA8AD">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施工总进度计划和计划管理</w:t>
            </w:r>
          </w:p>
        </w:tc>
        <w:tc>
          <w:tcPr>
            <w:tcW w:w="709" w:type="dxa"/>
            <w:tcBorders>
              <w:tl2br w:val="nil"/>
              <w:tr2bl w:val="nil"/>
            </w:tcBorders>
            <w:vAlign w:val="center"/>
          </w:tcPr>
          <w:p w14:paraId="6AB96665">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3</w:t>
            </w:r>
          </w:p>
        </w:tc>
        <w:tc>
          <w:tcPr>
            <w:tcW w:w="10896" w:type="dxa"/>
            <w:tcBorders>
              <w:tl2br w:val="nil"/>
              <w:tr2bl w:val="nil"/>
            </w:tcBorders>
            <w:shd w:val="clear" w:color="auto" w:fill="auto"/>
            <w:tcMar>
              <w:top w:w="15" w:type="dxa"/>
              <w:left w:w="108" w:type="dxa"/>
              <w:bottom w:w="0" w:type="dxa"/>
              <w:right w:w="108" w:type="dxa"/>
            </w:tcMar>
            <w:vAlign w:val="center"/>
          </w:tcPr>
          <w:p w14:paraId="642037A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根据投标人按《暨南大学学生宿舍及学生活动中心修缮项目实施需求书》编制的保障项目按期完工的施工进度计划、</w:t>
            </w:r>
            <w:r>
              <w:rPr>
                <w:rFonts w:hint="eastAsia" w:ascii="宋体" w:hAnsi="宋体" w:cs="宋体"/>
                <w:color w:val="auto"/>
                <w:kern w:val="24"/>
                <w:sz w:val="20"/>
                <w:szCs w:val="20"/>
                <w:highlight w:val="none"/>
              </w:rPr>
              <w:t>进度计划管理</w:t>
            </w:r>
            <w:r>
              <w:rPr>
                <w:rFonts w:hint="eastAsia" w:ascii="宋体" w:hAnsi="宋体" w:cs="宋体"/>
                <w:color w:val="auto"/>
                <w:kern w:val="24"/>
                <w:sz w:val="20"/>
                <w:szCs w:val="20"/>
                <w:highlight w:val="none"/>
                <w:lang w:eastAsia="zh-CN"/>
              </w:rPr>
              <w:t>、</w:t>
            </w:r>
            <w:r>
              <w:rPr>
                <w:rFonts w:hint="eastAsia" w:ascii="宋体" w:hAnsi="宋体" w:cs="宋体"/>
                <w:color w:val="auto"/>
                <w:kern w:val="24"/>
                <w:sz w:val="20"/>
                <w:szCs w:val="20"/>
                <w:highlight w:val="none"/>
                <w:lang w:val="en-US" w:eastAsia="zh-CN"/>
              </w:rPr>
              <w:t>施工进度保障措施进行评审：</w:t>
            </w:r>
          </w:p>
          <w:p w14:paraId="28CB31B5">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【优】方案措施专业性强，内容完整、详细，具有很好的</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、可靠性、实用性和可操作性，得</w:t>
            </w:r>
            <w:r>
              <w:rPr>
                <w:rFonts w:hint="eastAsia" w:ascii="宋体" w:hAnsi="宋体" w:cs="宋体"/>
                <w:color w:val="auto"/>
                <w:kern w:val="24"/>
                <w:sz w:val="20"/>
                <w:szCs w:val="20"/>
                <w:highlight w:val="none"/>
                <w:lang w:val="en-US" w:eastAsia="zh-CN"/>
              </w:rPr>
              <w:t>3</w:t>
            </w:r>
            <w:r>
              <w:rPr>
                <w:rFonts w:hint="eastAsia" w:ascii="宋体" w:hAnsi="宋体" w:cs="宋体"/>
                <w:color w:val="auto"/>
                <w:kern w:val="24"/>
                <w:sz w:val="20"/>
                <w:szCs w:val="20"/>
                <w:highlight w:val="none"/>
              </w:rPr>
              <w:t>分；</w:t>
            </w:r>
          </w:p>
          <w:p w14:paraId="205FE40B">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【良】方案措施专业性较强，内容较完整，具有</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、可靠性、实用性和可操作性，得</w:t>
            </w:r>
            <w:r>
              <w:rPr>
                <w:rFonts w:hint="eastAsia" w:ascii="宋体" w:hAnsi="宋体" w:cs="宋体"/>
                <w:color w:val="auto"/>
                <w:kern w:val="24"/>
                <w:sz w:val="20"/>
                <w:szCs w:val="20"/>
                <w:highlight w:val="none"/>
                <w:lang w:val="en-US" w:eastAsia="zh-CN"/>
              </w:rPr>
              <w:t>2</w:t>
            </w:r>
            <w:r>
              <w:rPr>
                <w:rFonts w:hint="eastAsia" w:ascii="宋体" w:hAnsi="宋体" w:cs="宋体"/>
                <w:color w:val="auto"/>
                <w:kern w:val="24"/>
                <w:sz w:val="20"/>
                <w:szCs w:val="20"/>
                <w:highlight w:val="none"/>
              </w:rPr>
              <w:t>分；</w:t>
            </w:r>
          </w:p>
          <w:p w14:paraId="2CA1E697">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【中】方案措施专业性一般，内容不够完整，</w:t>
            </w:r>
            <w:r>
              <w:rPr>
                <w:rFonts w:hint="eastAsia" w:ascii="宋体" w:hAnsi="宋体" w:cs="宋体"/>
                <w:color w:val="auto"/>
                <w:kern w:val="24"/>
                <w:sz w:val="20"/>
                <w:szCs w:val="20"/>
                <w:highlight w:val="none"/>
                <w:lang w:eastAsia="zh-CN"/>
              </w:rPr>
              <w:t>针对性</w:t>
            </w:r>
            <w:r>
              <w:rPr>
                <w:rFonts w:hint="eastAsia" w:ascii="宋体" w:hAnsi="宋体" w:cs="宋体"/>
                <w:color w:val="auto"/>
                <w:kern w:val="24"/>
                <w:sz w:val="20"/>
                <w:szCs w:val="20"/>
                <w:highlight w:val="none"/>
              </w:rPr>
              <w:t>、可靠性、实用性和可操作性一般，得</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分；</w:t>
            </w:r>
          </w:p>
          <w:p w14:paraId="5D2F9440">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【差】未提供或其他不得分。</w:t>
            </w:r>
          </w:p>
        </w:tc>
      </w:tr>
      <w:tr w14:paraId="30A7F479">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589" w:type="dxa"/>
            <w:vMerge w:val="continue"/>
            <w:tcBorders>
              <w:tl2br w:val="nil"/>
              <w:tr2bl w:val="nil"/>
            </w:tcBorders>
            <w:vAlign w:val="center"/>
          </w:tcPr>
          <w:p w14:paraId="1011D00F">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lang w:val="en-US" w:eastAsia="zh-CN"/>
              </w:rPr>
            </w:pPr>
          </w:p>
        </w:tc>
        <w:tc>
          <w:tcPr>
            <w:tcW w:w="1079" w:type="dxa"/>
            <w:vMerge w:val="continue"/>
            <w:tcBorders>
              <w:tl2br w:val="nil"/>
              <w:tr2bl w:val="nil"/>
            </w:tcBorders>
            <w:vAlign w:val="center"/>
          </w:tcPr>
          <w:p w14:paraId="67B4882E">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p>
        </w:tc>
        <w:tc>
          <w:tcPr>
            <w:tcW w:w="1275" w:type="dxa"/>
            <w:tcBorders>
              <w:tl2br w:val="nil"/>
              <w:tr2bl w:val="nil"/>
            </w:tcBorders>
            <w:vAlign w:val="center"/>
          </w:tcPr>
          <w:p w14:paraId="66D2FE87">
            <w:pPr>
              <w:keepNext w:val="0"/>
              <w:keepLines w:val="0"/>
              <w:widowControl/>
              <w:suppressLineNumbers w:val="0"/>
              <w:spacing w:before="0" w:beforeAutospacing="0" w:after="0" w:afterAutospacing="0"/>
              <w:ind w:left="0" w:right="0"/>
              <w:jc w:val="center"/>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安全文明、绿色施工措施</w:t>
            </w:r>
          </w:p>
        </w:tc>
        <w:tc>
          <w:tcPr>
            <w:tcW w:w="709" w:type="dxa"/>
            <w:tcBorders>
              <w:tl2br w:val="nil"/>
              <w:tr2bl w:val="nil"/>
            </w:tcBorders>
            <w:vAlign w:val="center"/>
          </w:tcPr>
          <w:p w14:paraId="0E0B4EC9">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lang w:val="en-US" w:eastAsia="zh-CN"/>
              </w:rPr>
            </w:pPr>
            <w:r>
              <w:rPr>
                <w:rFonts w:hint="eastAsia" w:ascii="宋体" w:hAnsi="宋体" w:cs="宋体"/>
                <w:color w:val="auto"/>
                <w:kern w:val="24"/>
                <w:sz w:val="20"/>
                <w:szCs w:val="20"/>
                <w:highlight w:val="none"/>
                <w:lang w:val="en-US" w:eastAsia="zh-CN"/>
              </w:rPr>
              <w:t>2</w:t>
            </w:r>
          </w:p>
        </w:tc>
        <w:tc>
          <w:tcPr>
            <w:tcW w:w="10896" w:type="dxa"/>
            <w:tcBorders>
              <w:tl2br w:val="nil"/>
              <w:tr2bl w:val="nil"/>
            </w:tcBorders>
            <w:shd w:val="clear" w:color="auto" w:fill="auto"/>
            <w:tcMar>
              <w:top w:w="15" w:type="dxa"/>
              <w:left w:w="108" w:type="dxa"/>
              <w:bottom w:w="0" w:type="dxa"/>
              <w:right w:w="108" w:type="dxa"/>
            </w:tcMar>
            <w:vAlign w:val="center"/>
          </w:tcPr>
          <w:p w14:paraId="63A80A16">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根据投标人编制的</w:t>
            </w:r>
            <w:r>
              <w:rPr>
                <w:rFonts w:hint="eastAsia" w:ascii="宋体" w:hAnsi="宋体" w:cs="宋体"/>
                <w:color w:val="auto"/>
                <w:kern w:val="24"/>
                <w:sz w:val="20"/>
                <w:szCs w:val="20"/>
                <w:highlight w:val="none"/>
                <w:lang w:val="en-US" w:eastAsia="zh-CN"/>
              </w:rPr>
              <w:t>针对校园内学生密集区的</w:t>
            </w:r>
            <w:r>
              <w:rPr>
                <w:rFonts w:hint="eastAsia" w:ascii="宋体" w:hAnsi="宋体" w:cs="宋体"/>
                <w:color w:val="auto"/>
                <w:kern w:val="24"/>
                <w:sz w:val="20"/>
                <w:szCs w:val="20"/>
                <w:highlight w:val="none"/>
              </w:rPr>
              <w:t>安全文明、绿色施工措施进行评审：</w:t>
            </w:r>
          </w:p>
          <w:p w14:paraId="79319641">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【优】方案措施专业性强，内容完整、详细，具有很好的</w:t>
            </w:r>
            <w:r>
              <w:rPr>
                <w:rFonts w:hint="eastAsia" w:ascii="宋体" w:hAnsi="宋体" w:cs="宋体"/>
                <w:color w:val="auto"/>
                <w:kern w:val="24"/>
                <w:sz w:val="20"/>
                <w:szCs w:val="20"/>
                <w:highlight w:val="none"/>
                <w:lang w:val="en-US" w:eastAsia="zh-CN"/>
              </w:rPr>
              <w:t>针对</w:t>
            </w:r>
            <w:r>
              <w:rPr>
                <w:rFonts w:hint="eastAsia" w:ascii="宋体" w:hAnsi="宋体" w:cs="宋体"/>
                <w:color w:val="auto"/>
                <w:kern w:val="24"/>
                <w:sz w:val="20"/>
                <w:szCs w:val="20"/>
                <w:highlight w:val="none"/>
              </w:rPr>
              <w:t>性、可靠性、实用性和可操作性，得</w:t>
            </w:r>
            <w:r>
              <w:rPr>
                <w:rFonts w:hint="eastAsia" w:ascii="宋体" w:hAnsi="宋体" w:cs="宋体"/>
                <w:color w:val="auto"/>
                <w:kern w:val="24"/>
                <w:sz w:val="20"/>
                <w:szCs w:val="20"/>
                <w:highlight w:val="none"/>
                <w:lang w:val="en-US" w:eastAsia="zh-CN"/>
              </w:rPr>
              <w:t>2</w:t>
            </w:r>
            <w:r>
              <w:rPr>
                <w:rFonts w:hint="eastAsia" w:ascii="宋体" w:hAnsi="宋体" w:cs="宋体"/>
                <w:color w:val="auto"/>
                <w:kern w:val="24"/>
                <w:sz w:val="20"/>
                <w:szCs w:val="20"/>
                <w:highlight w:val="none"/>
              </w:rPr>
              <w:t>分；</w:t>
            </w:r>
          </w:p>
          <w:p w14:paraId="5C71BA6E">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【良】方案措施专业性较强，内容较完整，具有</w:t>
            </w:r>
            <w:r>
              <w:rPr>
                <w:rFonts w:hint="eastAsia" w:ascii="宋体" w:hAnsi="宋体" w:cs="宋体"/>
                <w:color w:val="auto"/>
                <w:kern w:val="24"/>
                <w:sz w:val="20"/>
                <w:szCs w:val="20"/>
                <w:highlight w:val="none"/>
                <w:lang w:val="en-US" w:eastAsia="zh-CN"/>
              </w:rPr>
              <w:t>针对</w:t>
            </w:r>
            <w:r>
              <w:rPr>
                <w:rFonts w:hint="eastAsia" w:ascii="宋体" w:hAnsi="宋体" w:cs="宋体"/>
                <w:color w:val="auto"/>
                <w:kern w:val="24"/>
                <w:sz w:val="20"/>
                <w:szCs w:val="20"/>
                <w:highlight w:val="none"/>
              </w:rPr>
              <w:t>性、可靠性、实用性和可操作性，得</w:t>
            </w:r>
            <w:r>
              <w:rPr>
                <w:rFonts w:hint="eastAsia" w:ascii="宋体" w:hAnsi="宋体" w:cs="宋体"/>
                <w:color w:val="auto"/>
                <w:kern w:val="24"/>
                <w:sz w:val="20"/>
                <w:szCs w:val="20"/>
                <w:highlight w:val="none"/>
                <w:lang w:val="en-US" w:eastAsia="zh-CN"/>
              </w:rPr>
              <w:t>1</w:t>
            </w:r>
            <w:r>
              <w:rPr>
                <w:rFonts w:hint="eastAsia" w:ascii="宋体" w:hAnsi="宋体" w:cs="宋体"/>
                <w:color w:val="auto"/>
                <w:kern w:val="24"/>
                <w:sz w:val="20"/>
                <w:szCs w:val="20"/>
                <w:highlight w:val="none"/>
              </w:rPr>
              <w:t>分；</w:t>
            </w:r>
          </w:p>
          <w:p w14:paraId="4D892C9A">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【中】方案措施专业性一般，内容不够完整，</w:t>
            </w:r>
            <w:r>
              <w:rPr>
                <w:rFonts w:hint="eastAsia" w:ascii="宋体" w:hAnsi="宋体" w:cs="宋体"/>
                <w:color w:val="auto"/>
                <w:kern w:val="24"/>
                <w:sz w:val="20"/>
                <w:szCs w:val="20"/>
                <w:highlight w:val="none"/>
                <w:lang w:val="en-US" w:eastAsia="zh-CN"/>
              </w:rPr>
              <w:t>针对</w:t>
            </w:r>
            <w:r>
              <w:rPr>
                <w:rFonts w:hint="eastAsia" w:ascii="宋体" w:hAnsi="宋体" w:cs="宋体"/>
                <w:color w:val="auto"/>
                <w:kern w:val="24"/>
                <w:sz w:val="20"/>
                <w:szCs w:val="20"/>
                <w:highlight w:val="none"/>
              </w:rPr>
              <w:t>性、可靠性、实用性和可操作性一般，得</w:t>
            </w:r>
            <w:r>
              <w:rPr>
                <w:rFonts w:hint="eastAsia" w:ascii="宋体" w:hAnsi="宋体" w:cs="宋体"/>
                <w:color w:val="auto"/>
                <w:kern w:val="24"/>
                <w:sz w:val="20"/>
                <w:szCs w:val="20"/>
                <w:highlight w:val="none"/>
                <w:lang w:val="en-US" w:eastAsia="zh-CN"/>
              </w:rPr>
              <w:t>0.5</w:t>
            </w:r>
            <w:r>
              <w:rPr>
                <w:rFonts w:hint="eastAsia" w:ascii="宋体" w:hAnsi="宋体" w:cs="宋体"/>
                <w:color w:val="auto"/>
                <w:kern w:val="24"/>
                <w:sz w:val="20"/>
                <w:szCs w:val="20"/>
                <w:highlight w:val="none"/>
              </w:rPr>
              <w:t>分；</w:t>
            </w:r>
          </w:p>
          <w:p w14:paraId="4396D672">
            <w:pPr>
              <w:keepNext w:val="0"/>
              <w:keepLines w:val="0"/>
              <w:widowControl/>
              <w:suppressLineNumbers w:val="0"/>
              <w:spacing w:before="0" w:beforeAutospacing="0" w:after="0" w:afterAutospacing="0"/>
              <w:ind w:left="0" w:right="0"/>
              <w:jc w:val="left"/>
              <w:rPr>
                <w:rFonts w:hint="eastAsia" w:ascii="宋体" w:hAnsi="宋体" w:cs="宋体"/>
                <w:color w:val="auto"/>
                <w:kern w:val="24"/>
                <w:sz w:val="20"/>
                <w:szCs w:val="20"/>
                <w:highlight w:val="none"/>
              </w:rPr>
            </w:pPr>
            <w:r>
              <w:rPr>
                <w:rFonts w:hint="eastAsia" w:ascii="宋体" w:hAnsi="宋体" w:cs="宋体"/>
                <w:color w:val="auto"/>
                <w:kern w:val="24"/>
                <w:sz w:val="20"/>
                <w:szCs w:val="20"/>
                <w:highlight w:val="none"/>
              </w:rPr>
              <w:t>【差】未提供或其他不得分。</w:t>
            </w:r>
          </w:p>
        </w:tc>
      </w:tr>
      <w:tr w14:paraId="6F914990">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6" w:hRule="atLeast"/>
        </w:trPr>
        <w:tc>
          <w:tcPr>
            <w:tcW w:w="2943" w:type="dxa"/>
            <w:gridSpan w:val="3"/>
            <w:tcBorders>
              <w:tl2br w:val="nil"/>
              <w:tr2bl w:val="nil"/>
            </w:tcBorders>
            <w:vAlign w:val="center"/>
          </w:tcPr>
          <w:p w14:paraId="78833AAD">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rPr>
            </w:pPr>
            <w:r>
              <w:rPr>
                <w:rFonts w:hint="eastAsia" w:ascii="宋体" w:hAnsi="宋体" w:cs="宋体"/>
                <w:color w:val="auto"/>
                <w:kern w:val="24"/>
                <w:sz w:val="20"/>
                <w:szCs w:val="20"/>
                <w:highlight w:val="none"/>
              </w:rPr>
              <w:t>总分</w:t>
            </w:r>
          </w:p>
        </w:tc>
        <w:tc>
          <w:tcPr>
            <w:tcW w:w="709" w:type="dxa"/>
            <w:tcBorders>
              <w:tl2br w:val="nil"/>
              <w:tr2bl w:val="nil"/>
            </w:tcBorders>
            <w:vAlign w:val="center"/>
          </w:tcPr>
          <w:p w14:paraId="788B4B36">
            <w:pPr>
              <w:keepNext w:val="0"/>
              <w:keepLines w:val="0"/>
              <w:widowControl/>
              <w:suppressLineNumbers w:val="0"/>
              <w:spacing w:before="0" w:beforeAutospacing="0" w:after="0" w:afterAutospacing="0"/>
              <w:ind w:left="0" w:right="0"/>
              <w:jc w:val="center"/>
              <w:rPr>
                <w:rFonts w:hint="default" w:ascii="宋体" w:hAnsi="宋体" w:cs="宋体"/>
                <w:color w:val="auto"/>
                <w:kern w:val="24"/>
                <w:sz w:val="20"/>
                <w:szCs w:val="20"/>
                <w:highlight w:val="none"/>
              </w:rPr>
            </w:pPr>
            <w:r>
              <w:rPr>
                <w:rFonts w:hint="eastAsia" w:ascii="宋体" w:hAnsi="宋体" w:cs="宋体"/>
                <w:color w:val="auto"/>
                <w:kern w:val="24"/>
                <w:sz w:val="20"/>
                <w:szCs w:val="20"/>
                <w:highlight w:val="none"/>
              </w:rPr>
              <w:t>20</w:t>
            </w:r>
          </w:p>
        </w:tc>
        <w:tc>
          <w:tcPr>
            <w:tcW w:w="10896" w:type="dxa"/>
            <w:tcBorders>
              <w:tl2br w:val="nil"/>
              <w:tr2bl w:val="nil"/>
            </w:tcBorders>
            <w:shd w:val="clear" w:color="auto" w:fill="auto"/>
            <w:tcMar>
              <w:top w:w="15" w:type="dxa"/>
              <w:left w:w="108" w:type="dxa"/>
              <w:bottom w:w="0" w:type="dxa"/>
              <w:right w:w="108" w:type="dxa"/>
            </w:tcMar>
            <w:vAlign w:val="center"/>
          </w:tcPr>
          <w:p w14:paraId="7A06AD98">
            <w:pPr>
              <w:keepNext w:val="0"/>
              <w:keepLines w:val="0"/>
              <w:widowControl/>
              <w:suppressLineNumbers w:val="0"/>
              <w:spacing w:before="0" w:beforeAutospacing="0" w:after="0" w:afterAutospacing="0"/>
              <w:ind w:left="0" w:right="0"/>
              <w:jc w:val="left"/>
              <w:rPr>
                <w:rFonts w:hint="default" w:ascii="宋体" w:hAnsi="宋体" w:cs="宋体"/>
                <w:color w:val="auto"/>
                <w:kern w:val="24"/>
                <w:sz w:val="20"/>
                <w:szCs w:val="20"/>
                <w:highlight w:val="none"/>
              </w:rPr>
            </w:pPr>
          </w:p>
        </w:tc>
      </w:tr>
    </w:tbl>
    <w:p w14:paraId="425E05F7">
      <w:pPr>
        <w:keepNext w:val="0"/>
        <w:keepLines w:val="0"/>
        <w:widowControl/>
        <w:suppressLineNumbers w:val="0"/>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kern w:val="2"/>
          <w:sz w:val="21"/>
          <w:szCs w:val="21"/>
          <w:lang w:val="en-US" w:eastAsia="zh-CN" w:bidi="ar-SA"/>
        </w:rPr>
        <w:t>1.</w:t>
      </w:r>
      <w:r>
        <w:rPr>
          <w:rFonts w:hint="eastAsia" w:ascii="宋体" w:hAnsi="宋体" w:cs="宋体"/>
          <w:b/>
          <w:color w:val="auto"/>
          <w:szCs w:val="21"/>
          <w:highlight w:val="none"/>
        </w:rPr>
        <w:t>企业业绩：</w:t>
      </w:r>
      <w:r>
        <w:rPr>
          <w:rFonts w:hint="eastAsia" w:ascii="宋体" w:hAnsi="宋体" w:eastAsia="宋体" w:cs="宋体"/>
          <w:color w:val="auto"/>
          <w:szCs w:val="21"/>
          <w:highlight w:val="none"/>
          <w:lang w:val="en-US" w:eastAsia="zh-CN"/>
        </w:rPr>
        <w:t>业绩取自广州市住建行业信用管理平台，或提供业绩证明扫描件作为审核依据。</w:t>
      </w:r>
    </w:p>
    <w:p w14:paraId="54549A74">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验收材料”、“工程对应的企业资质”栏）以供核对（业绩相关附件的上传件取广州市住建行业信用管理平台，投标阶段可不重复提交）。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0224673C">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（1）用于本项目投标的类似业绩，在平台中“工程对应的企业资质”栏中须登记有与本项目要求相对应的资质【具体资质要求：建筑工程施工总承包（原房屋建筑工程施工总承包）】。</w:t>
      </w:r>
    </w:p>
    <w:p w14:paraId="5EED2822">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（2）金额以中标通知书为准，中标通知书上没有金额或免招标的，以施工合同（不含补充合同）为准。</w:t>
      </w:r>
    </w:p>
    <w:p w14:paraId="1224A25F">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（3）完成时间以竣工验收文件记录时间为准。竣工验收文件至少具有建设单位、设计、施工和监理单位盖章。</w:t>
      </w:r>
    </w:p>
    <w:p w14:paraId="01EAE09B">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（4）平台内业绩上传件不符合上述要求的或登记的工程资质内容与施工合同等业绩证明资料不相符的，该项业绩不予认定。</w:t>
      </w:r>
    </w:p>
    <w:p w14:paraId="742A9A9F">
      <w:pPr>
        <w:keepNext w:val="0"/>
        <w:keepLines w:val="0"/>
        <w:widowControl/>
        <w:suppressLineNumbers w:val="0"/>
        <w:ind w:firstLine="420" w:firstLineChars="200"/>
        <w:jc w:val="left"/>
        <w:rPr>
          <w:rFonts w:hint="default"/>
          <w:lang w:val="en-US" w:eastAsia="zh-CN"/>
        </w:rPr>
      </w:pPr>
      <w:r>
        <w:rPr>
          <w:rFonts w:hint="eastAsia" w:ascii="宋体" w:hAnsi="宋体" w:eastAsia="宋体" w:cs="宋体"/>
          <w:color w:val="auto"/>
          <w:szCs w:val="21"/>
          <w:highlight w:val="none"/>
          <w:lang w:val="en-US" w:eastAsia="zh-CN"/>
        </w:rPr>
        <w:t>1.2企业业绩非取自广州市住建行业信用管理平台的，投标人须提供下列三项证明文件：（1）中标通知书（如为免招标项目无须提供中标通知书，但须提供相应的免招标证明文件）（2）合同（</w:t>
      </w:r>
      <w:r>
        <w:rPr>
          <w:rFonts w:hint="eastAsia" w:ascii="宋体" w:hAnsi="宋体" w:cs="宋体"/>
          <w:color w:val="auto"/>
          <w:szCs w:val="21"/>
          <w:highlight w:val="none"/>
          <w:lang w:val="en-US" w:eastAsia="zh-CN"/>
        </w:rPr>
        <w:t>关键页</w:t>
      </w:r>
      <w:r>
        <w:rPr>
          <w:rFonts w:hint="eastAsia" w:ascii="宋体" w:hAnsi="宋体" w:eastAsia="宋体" w:cs="宋体"/>
          <w:color w:val="auto"/>
          <w:szCs w:val="21"/>
          <w:highlight w:val="none"/>
          <w:lang w:val="en-US" w:eastAsia="zh-CN"/>
        </w:rPr>
        <w:t>）（3）竣工验收文件。金额以中标通知书为准，中标通知书上没有金额或免招标的，以施工合同（不含补充合同）为准。完成时间以竣工验收文件记录时间为准。验收文件至少具有建设单位、设计、施工和监理单位盖章。</w:t>
      </w:r>
    </w:p>
    <w:p w14:paraId="7DC5C63D">
      <w:pPr>
        <w:keepNext w:val="0"/>
        <w:keepLines w:val="0"/>
        <w:widowControl/>
        <w:suppressLineNumbers w:val="0"/>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2.工程奖项：</w:t>
      </w:r>
      <w:r>
        <w:rPr>
          <w:rFonts w:hint="eastAsia" w:ascii="宋体" w:hAnsi="宋体" w:eastAsia="宋体" w:cs="宋体"/>
          <w:color w:val="auto"/>
          <w:szCs w:val="21"/>
          <w:highlight w:val="none"/>
          <w:lang w:val="en-US" w:eastAsia="zh-CN"/>
        </w:rPr>
        <w:t>工程获奖可取自广州市住建行业信用管理平台或提供获奖证书原件清晰扫描件。</w:t>
      </w:r>
    </w:p>
    <w:p w14:paraId="1AA36E1D">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奖项取自广州市住建行业信用管理平台的，投标人须提交广州市住建行业信用管理平台的网页信息截图（网页信息截图须能清晰显示带有“住建行业信用管理平台”名称，并至少包含“项目基本信息”、“奖项信息”等信息）以供核对，并加盖投标人企业电子印章。</w:t>
      </w:r>
    </w:p>
    <w:p w14:paraId="08A54ED4">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奖项提供获奖证书原件清晰扫描件的，投标人须提供获奖证书原件清晰扫描件，并同时提供获奖业绩的中标通知书（或免招标证明文件）、施工合同（不含补充合同）并加盖投标人企业电子印章。不符合上述条件或不提供平台内网页信息截图的工程获奖不予评审。</w:t>
      </w:r>
    </w:p>
    <w:p w14:paraId="496761D5">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1）时间以获奖证书颁发时间为准。</w:t>
      </w:r>
    </w:p>
    <w:p w14:paraId="13FD38BA">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2）评标委员会对取自广州市住建行业信用管理平台的工程获奖评审以投标截止时间在平台内奖项上传件为依据。</w:t>
      </w:r>
    </w:p>
    <w:p w14:paraId="13B09BC6">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3）国家级奖项指的是中国建设工程鲁班奖、国家优质工程金质奖、国家优质工程奖、中国土木工程詹天佑奖</w:t>
      </w:r>
      <w:r>
        <w:rPr>
          <w:rFonts w:hint="eastAsia" w:ascii="宋体" w:hAnsi="宋体" w:cs="宋体"/>
          <w:color w:val="auto"/>
          <w:szCs w:val="21"/>
          <w:highlight w:val="none"/>
          <w:lang w:val="en-US" w:eastAsia="zh-CN"/>
        </w:rPr>
        <w:t>、中国（全国）建筑工程装饰奖（不含设计、幕墙获奖）</w:t>
      </w:r>
      <w:r>
        <w:rPr>
          <w:rFonts w:hint="eastAsia" w:ascii="宋体" w:hAnsi="宋体" w:eastAsia="宋体" w:cs="宋体"/>
          <w:color w:val="auto"/>
          <w:szCs w:val="21"/>
          <w:highlight w:val="none"/>
          <w:lang w:val="en-US" w:eastAsia="zh-CN"/>
        </w:rPr>
        <w:t>质量类奖项；省或市级奖项指的是由省、市级建设行政主管部门或行业协会颁发的质量类奖项（其它如安全文明、技术创新、QC成果、钢结构、机电安装、科技进步及技术应用类等奖项不参与计分）。只计算房建类工程奖项，其他非房建项目，如：路桥、铁路、水利、电力、化工、冶金、市政等获奖不参与计分。</w:t>
      </w:r>
    </w:p>
    <w:p w14:paraId="4815A244">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4）投标人须为该获奖项目的施工总承包单位，须提供相关证明材料（如施工合同、业主证明、评审申请材料、批复文件、竣工验收文件等）体现其为施工总承包单位身份，否则不予计分。</w:t>
      </w:r>
    </w:p>
    <w:p w14:paraId="2BC80FF3">
      <w:pPr>
        <w:keepNext w:val="0"/>
        <w:keepLines w:val="0"/>
        <w:widowControl/>
        <w:suppressLineNumbers w:val="0"/>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5）同一项目获得多个奖项的，按最高级别奖项只计一次得分。</w:t>
      </w:r>
    </w:p>
    <w:p w14:paraId="1D4DB25F">
      <w:pPr>
        <w:numPr>
          <w:ilvl w:val="0"/>
          <w:numId w:val="0"/>
        </w:numP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.第三方评价：</w:t>
      </w:r>
    </w:p>
    <w:p w14:paraId="490F89BE">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纳税信用</w:t>
      </w:r>
      <w:r>
        <w:rPr>
          <w:rFonts w:hint="eastAsia" w:ascii="宋体" w:hAnsi="宋体" w:eastAsia="宋体" w:cs="宋体"/>
          <w:color w:val="auto"/>
          <w:szCs w:val="21"/>
          <w:highlight w:val="none"/>
          <w:lang w:val="en-US" w:eastAsia="zh-CN"/>
        </w:rPr>
        <w:t>等级：</w:t>
      </w:r>
      <w:r>
        <w:rPr>
          <w:rFonts w:hint="eastAsia" w:ascii="宋体" w:hAnsi="宋体" w:eastAsia="宋体" w:cs="宋体"/>
          <w:color w:val="auto"/>
          <w:szCs w:val="21"/>
          <w:highlight w:val="none"/>
        </w:rPr>
        <w:t>（1）需提供税务部门颁发的“纳税信用等级”证书扫描件或提供省级或以上税务局网站查询结果网页截图。（2）评定时间以证书上注明的评价（评定）年度为准。（3）所有证明文件均需加盖投标单位电子印章。（4）不符合上述条件的业绩不予评审。</w:t>
      </w:r>
    </w:p>
    <w:p w14:paraId="2C784293">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3.2管理体系认证：</w:t>
      </w:r>
      <w:r>
        <w:rPr>
          <w:rFonts w:hint="eastAsia" w:ascii="宋体" w:hAnsi="宋体" w:eastAsia="宋体" w:cs="宋体"/>
          <w:color w:val="auto"/>
          <w:szCs w:val="21"/>
          <w:highlight w:val="none"/>
        </w:rPr>
        <w:t>（1）投标人需同时提供在有效期内的相关的管理体系认证证书彩色扫描件及管理体系证书在（全国认证认可信息公共服务平台（网址：http://cx.cnca.cn/CertECloud/index/index/page）上的查询信息网页截图。（2）所有证明文件均需加盖投标单位电子印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不符合上述条件的不予评审。</w:t>
      </w:r>
    </w:p>
    <w:p w14:paraId="5B55CB5B">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项目</w:t>
      </w:r>
      <w:r>
        <w:rPr>
          <w:rFonts w:hint="eastAsia" w:ascii="宋体" w:hAnsi="宋体" w:eastAsia="宋体" w:cs="宋体"/>
          <w:b/>
          <w:color w:val="auto"/>
          <w:szCs w:val="21"/>
          <w:highlight w:val="none"/>
        </w:rPr>
        <w:t>管理机构能力：</w:t>
      </w:r>
      <w:r>
        <w:rPr>
          <w:rFonts w:hint="eastAsia" w:ascii="宋体" w:hAnsi="宋体" w:eastAsia="宋体" w:cs="宋体"/>
          <w:color w:val="auto"/>
          <w:szCs w:val="21"/>
          <w:highlight w:val="none"/>
          <w:lang w:val="en-US" w:eastAsia="zh-CN"/>
        </w:rPr>
        <w:t>（1）拟投入本项目人员须提供相关职称证书或岗位(注册（或执业）)证扫描件。</w:t>
      </w:r>
      <w:r>
        <w:rPr>
          <w:rFonts w:hint="eastAsia" w:ascii="宋体" w:hAnsi="宋体" w:cs="宋体"/>
          <w:color w:val="auto"/>
          <w:szCs w:val="21"/>
          <w:highlight w:val="none"/>
          <w:lang w:val="en-US" w:eastAsia="zh-CN"/>
        </w:rPr>
        <w:t>工作经验年限以大学专科（或以上）毕业证的颁发日期开始计算至投标截止时间至。</w:t>
      </w:r>
      <w:r>
        <w:rPr>
          <w:rFonts w:hint="eastAsia" w:ascii="宋体" w:hAnsi="宋体" w:eastAsia="宋体" w:cs="宋体"/>
          <w:color w:val="auto"/>
          <w:szCs w:val="21"/>
          <w:highlight w:val="none"/>
          <w:lang w:val="en-US" w:eastAsia="zh-CN"/>
        </w:rPr>
        <w:t>（2）须提供2025年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月在本投标单位(不含投标人的子</w:t>
      </w:r>
      <w:r>
        <w:rPr>
          <w:rFonts w:hint="eastAsia" w:ascii="宋体" w:hAnsi="宋体" w:cs="宋体"/>
          <w:color w:val="auto"/>
          <w:szCs w:val="21"/>
          <w:highlight w:val="none"/>
          <w:lang w:val="en-US" w:eastAsia="zh-CN"/>
        </w:rPr>
        <w:t>、母</w:t>
      </w:r>
      <w:r>
        <w:rPr>
          <w:rFonts w:hint="eastAsia" w:ascii="宋体" w:hAnsi="宋体" w:eastAsia="宋体" w:cs="宋体"/>
          <w:color w:val="auto"/>
          <w:szCs w:val="21"/>
          <w:highlight w:val="none"/>
          <w:lang w:val="en-US" w:eastAsia="zh-CN"/>
        </w:rPr>
        <w:t>公司，含投标人的分公司)参保的社保缴纳记录证明扫描件。（3）各岗位人员不得相互兼职，上述材料不提供或提供不齐全的不得分。同一人员具有不同级别职称证的，按最高档计取得分。（4）项目管理团队人员是指为本公司正式人员，不含子</w:t>
      </w:r>
      <w:r>
        <w:rPr>
          <w:rFonts w:hint="eastAsia" w:ascii="宋体" w:hAnsi="宋体" w:cs="宋体"/>
          <w:color w:val="auto"/>
          <w:szCs w:val="21"/>
          <w:highlight w:val="none"/>
          <w:lang w:val="en-US" w:eastAsia="zh-CN"/>
        </w:rPr>
        <w:t>、母</w:t>
      </w:r>
      <w:r>
        <w:rPr>
          <w:rFonts w:hint="eastAsia" w:ascii="宋体" w:hAnsi="宋体" w:eastAsia="宋体" w:cs="宋体"/>
          <w:color w:val="auto"/>
          <w:szCs w:val="21"/>
          <w:highlight w:val="none"/>
          <w:lang w:val="en-US" w:eastAsia="zh-CN"/>
        </w:rPr>
        <w:t>公司人员，如投标人为集团公司，则不含其集团下属的子公司人员，下属子公司也不含其集团公司的人员。（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6）以上证明文件均需加盖投标单位电子印章，不符合上述条件</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不予评审。</w:t>
      </w:r>
    </w:p>
    <w:p w14:paraId="14A6D112">
      <w:pPr>
        <w:numPr>
          <w:ilvl w:val="0"/>
          <w:numId w:val="0"/>
        </w:num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eastAsia="zh-CN"/>
        </w:rPr>
        <w:t>所有评委分数汇总后的算术平均值为投标</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lang w:val="zh-CN" w:eastAsia="zh-CN"/>
        </w:rPr>
        <w:t>的最终得分。分数出现小数点，保留小数点后二位小数，第三位小数四舍五入。</w:t>
      </w:r>
    </w:p>
    <w:p w14:paraId="6D7D3987">
      <w:pPr>
        <w:rPr>
          <w:rFonts w:ascii="宋体" w:hAnsi="宋体" w:cs="宋体"/>
          <w:color w:val="auto"/>
          <w:sz w:val="24"/>
          <w:szCs w:val="24"/>
        </w:rPr>
      </w:pPr>
      <w:r>
        <w:rPr>
          <w:rFonts w:hint="eastAsia" w:ascii="宋体" w:hAnsi="宋体" w:cs="宋体"/>
          <w:color w:val="auto"/>
          <w:szCs w:val="21"/>
        </w:rPr>
        <w:br w:type="page"/>
      </w:r>
      <w:r>
        <w:rPr>
          <w:rFonts w:hint="eastAsia" w:ascii="宋体" w:hAnsi="宋体" w:cs="宋体"/>
          <w:color w:val="auto"/>
          <w:szCs w:val="21"/>
        </w:rPr>
        <w:t>附表五</w:t>
      </w:r>
    </w:p>
    <w:p w14:paraId="498A31C5">
      <w:pPr>
        <w:jc w:val="center"/>
        <w:rPr>
          <w:rFonts w:ascii="宋体" w:hAnsi="宋体" w:cs="宋体"/>
          <w:b/>
          <w:color w:val="auto"/>
          <w:sz w:val="36"/>
          <w:szCs w:val="36"/>
        </w:rPr>
      </w:pPr>
      <w:r>
        <w:rPr>
          <w:rFonts w:hint="eastAsia" w:ascii="宋体" w:hAnsi="宋体" w:cs="宋体"/>
          <w:b/>
          <w:color w:val="auto"/>
          <w:sz w:val="36"/>
          <w:szCs w:val="36"/>
        </w:rPr>
        <w:t>经济标评分表</w:t>
      </w:r>
    </w:p>
    <w:p w14:paraId="3DE2588B">
      <w:pPr>
        <w:rPr>
          <w:rFonts w:ascii="宋体" w:hAnsi="宋体" w:cs="宋体"/>
          <w:color w:val="auto"/>
          <w:szCs w:val="21"/>
        </w:rPr>
      </w:pPr>
      <w:r>
        <w:rPr>
          <w:rFonts w:hint="eastAsia" w:ascii="宋体" w:hAnsi="宋体" w:cs="宋体"/>
          <w:color w:val="auto"/>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156D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3C5D0852">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3CC1353C">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9BD4D1F">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328AFF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830F018">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3AA87E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BEE6A36">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EF9764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68AE5C7">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56C652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D19541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D04F997">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1CCAF5C8">
            <w:pPr>
              <w:keepNext w:val="0"/>
              <w:keepLines w:val="0"/>
              <w:suppressLineNumbers w:val="0"/>
              <w:spacing w:before="0" w:beforeAutospacing="0" w:after="0" w:afterAutospacing="0"/>
              <w:ind w:left="0" w:right="0"/>
              <w:rPr>
                <w:rFonts w:hint="default" w:ascii="宋体" w:hAnsi="宋体" w:cs="宋体"/>
                <w:color w:val="auto"/>
                <w:szCs w:val="21"/>
              </w:rPr>
            </w:pPr>
          </w:p>
        </w:tc>
      </w:tr>
      <w:tr w14:paraId="1340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3ACA60DC">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1A8D1B3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38C8432">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54DF5D8">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913C66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C09942C">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D1BA9A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BE2EBEB">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2444806">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60FE82B">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39FBCA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120356E">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6F2DE313">
            <w:pPr>
              <w:keepNext w:val="0"/>
              <w:keepLines w:val="0"/>
              <w:suppressLineNumbers w:val="0"/>
              <w:spacing w:before="0" w:beforeAutospacing="0" w:after="0" w:afterAutospacing="0"/>
              <w:ind w:left="0" w:right="0"/>
              <w:rPr>
                <w:rFonts w:hint="default" w:ascii="宋体" w:hAnsi="宋体" w:cs="宋体"/>
                <w:color w:val="auto"/>
                <w:szCs w:val="21"/>
              </w:rPr>
            </w:pPr>
          </w:p>
        </w:tc>
      </w:tr>
      <w:tr w14:paraId="7452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7FDD75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4997F1CF">
            <w:pPr>
              <w:keepNext w:val="0"/>
              <w:keepLines w:val="0"/>
              <w:suppressLineNumbers w:val="0"/>
              <w:spacing w:before="0" w:beforeAutospacing="0" w:after="0" w:afterAutospacing="0"/>
              <w:ind w:left="0" w:right="0"/>
              <w:rPr>
                <w:rFonts w:hint="default" w:ascii="宋体" w:hAnsi="宋体" w:cs="宋体"/>
                <w:color w:val="auto"/>
                <w:szCs w:val="21"/>
              </w:rPr>
            </w:pPr>
          </w:p>
        </w:tc>
      </w:tr>
      <w:tr w14:paraId="22C8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7863DD7">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5E4BFACC">
            <w:pPr>
              <w:keepNext w:val="0"/>
              <w:keepLines w:val="0"/>
              <w:suppressLineNumbers w:val="0"/>
              <w:spacing w:before="0" w:beforeAutospacing="0" w:after="0" w:afterAutospacing="0"/>
              <w:ind w:left="0" w:right="0"/>
              <w:rPr>
                <w:rFonts w:hint="default" w:ascii="宋体" w:hAnsi="宋体" w:cs="宋体"/>
                <w:color w:val="auto"/>
                <w:szCs w:val="21"/>
              </w:rPr>
            </w:pPr>
          </w:p>
        </w:tc>
      </w:tr>
      <w:tr w14:paraId="787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A062AD4">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07A2A31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44EC49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9E21D67">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ED97C26">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7A9AD0C">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5BE46F5">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EA6300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3A3262B">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8C9BD9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D5F671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C8E8536">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25994D39">
            <w:pPr>
              <w:keepNext w:val="0"/>
              <w:keepLines w:val="0"/>
              <w:suppressLineNumbers w:val="0"/>
              <w:spacing w:before="0" w:beforeAutospacing="0" w:after="0" w:afterAutospacing="0"/>
              <w:ind w:left="0" w:right="0"/>
              <w:rPr>
                <w:rFonts w:hint="default" w:ascii="宋体" w:hAnsi="宋体" w:cs="宋体"/>
                <w:color w:val="auto"/>
                <w:szCs w:val="21"/>
              </w:rPr>
            </w:pPr>
          </w:p>
        </w:tc>
      </w:tr>
      <w:tr w14:paraId="57D1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5669C7EC">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04E2842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4DCE53D">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4E804B1">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72E9767">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D7B8205">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482FDE5">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1646900">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AA645F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43EF61E">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890431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15E6B4E">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0E9C340">
            <w:pPr>
              <w:keepNext w:val="0"/>
              <w:keepLines w:val="0"/>
              <w:suppressLineNumbers w:val="0"/>
              <w:spacing w:before="0" w:beforeAutospacing="0" w:after="0" w:afterAutospacing="0"/>
              <w:ind w:left="0" w:right="0"/>
              <w:rPr>
                <w:rFonts w:hint="default" w:ascii="宋体" w:hAnsi="宋体" w:cs="宋体"/>
                <w:color w:val="auto"/>
                <w:szCs w:val="21"/>
              </w:rPr>
            </w:pPr>
          </w:p>
        </w:tc>
      </w:tr>
      <w:tr w14:paraId="3E94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30AE497">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5347A83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B9B704F">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C61435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2AB8DF7">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CFC54B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25FE64D">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2BD44D5">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0B649B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ACDD4F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4F65A08">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A3379A2">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03065D37">
            <w:pPr>
              <w:keepNext w:val="0"/>
              <w:keepLines w:val="0"/>
              <w:suppressLineNumbers w:val="0"/>
              <w:spacing w:before="0" w:beforeAutospacing="0" w:after="0" w:afterAutospacing="0"/>
              <w:ind w:left="0" w:right="0"/>
              <w:rPr>
                <w:rFonts w:hint="default" w:ascii="宋体" w:hAnsi="宋体" w:cs="宋体"/>
                <w:color w:val="auto"/>
                <w:szCs w:val="21"/>
              </w:rPr>
            </w:pPr>
          </w:p>
        </w:tc>
      </w:tr>
      <w:tr w14:paraId="1D72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250FA86B">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3AFA7A45">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6D6308F">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047AF22">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DE35F2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3F9A47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B252609">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31553C0">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F4EB374">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01FD110">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A4E6C2A">
            <w:pPr>
              <w:keepNext w:val="0"/>
              <w:keepLines w:val="0"/>
              <w:suppressLineNumbers w:val="0"/>
              <w:spacing w:before="0" w:beforeAutospacing="0" w:after="0" w:afterAutospacing="0"/>
              <w:ind w:left="0" w:right="0"/>
              <w:rPr>
                <w:rFonts w:hint="default" w:ascii="宋体" w:hAnsi="宋体" w:cs="宋体"/>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F64702B">
            <w:pPr>
              <w:keepNext w:val="0"/>
              <w:keepLines w:val="0"/>
              <w:suppressLineNumbers w:val="0"/>
              <w:spacing w:before="0" w:beforeAutospacing="0" w:after="0" w:afterAutospacing="0"/>
              <w:ind w:left="0" w:right="0"/>
              <w:rPr>
                <w:rFonts w:hint="default" w:ascii="宋体" w:hAnsi="宋体" w:cs="宋体"/>
                <w:color w:val="auto"/>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F838D43">
            <w:pPr>
              <w:keepNext w:val="0"/>
              <w:keepLines w:val="0"/>
              <w:suppressLineNumbers w:val="0"/>
              <w:spacing w:before="0" w:beforeAutospacing="0" w:after="0" w:afterAutospacing="0"/>
              <w:ind w:left="0" w:right="0"/>
              <w:rPr>
                <w:rFonts w:hint="default" w:ascii="宋体" w:hAnsi="宋体" w:cs="宋体"/>
                <w:color w:val="auto"/>
                <w:szCs w:val="21"/>
              </w:rPr>
            </w:pPr>
          </w:p>
        </w:tc>
      </w:tr>
    </w:tbl>
    <w:p w14:paraId="7A6F3976">
      <w:pPr>
        <w:rPr>
          <w:rFonts w:ascii="宋体" w:hAnsi="宋体" w:cs="宋体"/>
          <w:color w:val="auto"/>
          <w:szCs w:val="21"/>
        </w:rPr>
      </w:pPr>
      <w:r>
        <w:rPr>
          <w:rFonts w:hint="eastAsia" w:ascii="宋体" w:hAnsi="宋体" w:cs="宋体"/>
          <w:color w:val="auto"/>
          <w:szCs w:val="21"/>
        </w:rPr>
        <w:t>评委签名：</w:t>
      </w:r>
    </w:p>
    <w:p w14:paraId="08C1DB85">
      <w:pPr>
        <w:rPr>
          <w:rFonts w:ascii="宋体" w:hAnsi="宋体" w:cs="宋体"/>
          <w:color w:val="auto"/>
          <w:szCs w:val="21"/>
        </w:rPr>
      </w:pPr>
    </w:p>
    <w:p w14:paraId="1FBC21E6">
      <w:pPr>
        <w:rPr>
          <w:rFonts w:ascii="宋体" w:hAnsi="宋体" w:cs="宋体"/>
          <w:color w:val="auto"/>
          <w:szCs w:val="21"/>
        </w:rPr>
      </w:pPr>
    </w:p>
    <w:p w14:paraId="3983EE15">
      <w:pPr>
        <w:rPr>
          <w:rFonts w:ascii="宋体" w:hAnsi="宋体" w:cs="宋体"/>
          <w:color w:val="auto"/>
          <w:szCs w:val="21"/>
        </w:rPr>
      </w:pPr>
    </w:p>
    <w:p w14:paraId="36B36640">
      <w:pPr>
        <w:rPr>
          <w:rFonts w:ascii="宋体" w:hAnsi="宋体" w:cs="宋体"/>
          <w:color w:val="auto"/>
          <w:szCs w:val="21"/>
        </w:rPr>
      </w:pPr>
    </w:p>
    <w:p w14:paraId="06B1FD74">
      <w:pPr>
        <w:rPr>
          <w:rFonts w:ascii="宋体" w:hAnsi="宋体" w:cs="宋体"/>
          <w:b/>
          <w:color w:val="auto"/>
          <w:szCs w:val="21"/>
        </w:rPr>
      </w:pPr>
      <w:r>
        <w:rPr>
          <w:rFonts w:hint="eastAsia" w:ascii="宋体" w:hAnsi="宋体" w:cs="宋体"/>
          <w:color w:val="auto"/>
          <w:szCs w:val="21"/>
        </w:rPr>
        <w:t>附表六</w:t>
      </w:r>
    </w:p>
    <w:p w14:paraId="696B454A">
      <w:pPr>
        <w:jc w:val="center"/>
        <w:rPr>
          <w:rFonts w:ascii="宋体" w:hAnsi="宋体" w:cs="宋体"/>
          <w:b/>
          <w:color w:val="auto"/>
          <w:sz w:val="36"/>
          <w:szCs w:val="36"/>
        </w:rPr>
      </w:pPr>
      <w:r>
        <w:rPr>
          <w:rFonts w:hint="eastAsia" w:ascii="宋体" w:hAnsi="宋体" w:cs="宋体"/>
          <w:b/>
          <w:color w:val="auto"/>
          <w:sz w:val="36"/>
          <w:szCs w:val="36"/>
        </w:rPr>
        <w:t>算术复核表</w:t>
      </w:r>
    </w:p>
    <w:p w14:paraId="3BBC4217">
      <w:pPr>
        <w:rPr>
          <w:rFonts w:ascii="宋体" w:hAnsi="宋体" w:cs="宋体"/>
          <w:color w:val="auto"/>
          <w:kern w:val="0"/>
          <w:szCs w:val="21"/>
        </w:rPr>
      </w:pPr>
      <w:r>
        <w:rPr>
          <w:rFonts w:hint="eastAsia" w:ascii="宋体" w:hAnsi="宋体" w:cs="宋体"/>
          <w:color w:val="auto"/>
          <w:kern w:val="0"/>
          <w:szCs w:val="21"/>
        </w:rPr>
        <w:t>工程名称：                                           投标人:                                                  单位：元</w:t>
      </w:r>
    </w:p>
    <w:tbl>
      <w:tblPr>
        <w:tblStyle w:val="39"/>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7AC7435">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3FA6D0B2">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4F01CC12">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0417029">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修正前投标</w:t>
            </w:r>
          </w:p>
          <w:p w14:paraId="13815D21">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62D94A58">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修正后投标</w:t>
            </w:r>
          </w:p>
          <w:p w14:paraId="5AAD0FA9">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2C367E6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修正率</w:t>
            </w:r>
          </w:p>
          <w:p w14:paraId="27D889C5">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4ED7ED1E">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9FCA914">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当B&gt;A时，修正后报价与原报价的差额；当B≤A时,R=0</w:t>
            </w:r>
          </w:p>
        </w:tc>
      </w:tr>
      <w:tr w14:paraId="0A2556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4C698F2">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1</w:t>
            </w:r>
          </w:p>
        </w:tc>
        <w:tc>
          <w:tcPr>
            <w:tcW w:w="4488" w:type="dxa"/>
            <w:tcBorders>
              <w:top w:val="nil"/>
              <w:left w:val="nil"/>
              <w:bottom w:val="single" w:color="auto" w:sz="4" w:space="0"/>
              <w:right w:val="single" w:color="auto" w:sz="4" w:space="0"/>
            </w:tcBorders>
            <w:vAlign w:val="center"/>
          </w:tcPr>
          <w:p w14:paraId="7C8C74D5">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[单位工程1]</w:t>
            </w:r>
          </w:p>
        </w:tc>
        <w:tc>
          <w:tcPr>
            <w:tcW w:w="1602" w:type="dxa"/>
            <w:tcBorders>
              <w:top w:val="nil"/>
              <w:left w:val="nil"/>
              <w:bottom w:val="single" w:color="auto" w:sz="4" w:space="0"/>
              <w:right w:val="single" w:color="auto" w:sz="4" w:space="0"/>
            </w:tcBorders>
            <w:vAlign w:val="center"/>
          </w:tcPr>
          <w:p w14:paraId="315707E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318511C0">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67B638A">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40A731F7">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38939EFC">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3D418A0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068617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2</w:t>
            </w:r>
          </w:p>
        </w:tc>
        <w:tc>
          <w:tcPr>
            <w:tcW w:w="4488" w:type="dxa"/>
            <w:tcBorders>
              <w:top w:val="nil"/>
              <w:left w:val="nil"/>
              <w:bottom w:val="single" w:color="auto" w:sz="4" w:space="0"/>
              <w:right w:val="single" w:color="auto" w:sz="4" w:space="0"/>
            </w:tcBorders>
            <w:vAlign w:val="center"/>
          </w:tcPr>
          <w:p w14:paraId="192EC025">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[单位工程2]</w:t>
            </w:r>
          </w:p>
        </w:tc>
        <w:tc>
          <w:tcPr>
            <w:tcW w:w="1602" w:type="dxa"/>
            <w:tcBorders>
              <w:top w:val="nil"/>
              <w:left w:val="nil"/>
              <w:bottom w:val="single" w:color="auto" w:sz="4" w:space="0"/>
              <w:right w:val="single" w:color="auto" w:sz="4" w:space="0"/>
            </w:tcBorders>
            <w:vAlign w:val="center"/>
          </w:tcPr>
          <w:p w14:paraId="536F79EC">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1C848146">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53FF51BB">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1A9BE274">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3958FD1E">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53D93BC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7EEC063">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761861C3">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2028393D">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33C2A312">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33362ACA">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6820DE8D">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245D7F55">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04C71B9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FF9C11A">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368CADB8">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6E004510">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0F3CD728">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0FFC7D95">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02FAA7E8">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644DF478">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4D801D8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B190896">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78AC9A46">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2AC6469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4D1EF2DE">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0DE129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679BF771">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44459902">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77F5C86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D7C6907">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n</w:t>
            </w:r>
          </w:p>
        </w:tc>
        <w:tc>
          <w:tcPr>
            <w:tcW w:w="4488" w:type="dxa"/>
            <w:tcBorders>
              <w:top w:val="nil"/>
              <w:left w:val="nil"/>
              <w:bottom w:val="single" w:color="auto" w:sz="4" w:space="0"/>
              <w:right w:val="single" w:color="auto" w:sz="4" w:space="0"/>
            </w:tcBorders>
            <w:vAlign w:val="center"/>
          </w:tcPr>
          <w:p w14:paraId="218A55CD">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[单位工程n]</w:t>
            </w:r>
          </w:p>
        </w:tc>
        <w:tc>
          <w:tcPr>
            <w:tcW w:w="1602" w:type="dxa"/>
            <w:tcBorders>
              <w:top w:val="nil"/>
              <w:left w:val="nil"/>
              <w:bottom w:val="single" w:color="auto" w:sz="4" w:space="0"/>
              <w:right w:val="single" w:color="auto" w:sz="4" w:space="0"/>
            </w:tcBorders>
            <w:vAlign w:val="center"/>
          </w:tcPr>
          <w:p w14:paraId="4E21A207">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5730BFB6">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6ACA736B">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79DDD1A7">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69FC29EE">
            <w:pPr>
              <w:keepNext w:val="0"/>
              <w:keepLines w:val="0"/>
              <w:suppressLineNumbers w:val="0"/>
              <w:spacing w:before="0" w:beforeAutospacing="0" w:after="0" w:afterAutospacing="0"/>
              <w:ind w:left="0" w:right="0"/>
              <w:rPr>
                <w:rFonts w:hint="default" w:ascii="宋体" w:hAnsi="宋体" w:cs="宋体"/>
                <w:color w:val="auto"/>
                <w:kern w:val="0"/>
                <w:szCs w:val="21"/>
              </w:rPr>
            </w:pPr>
          </w:p>
        </w:tc>
      </w:tr>
      <w:tr w14:paraId="6041AF1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C49A6B0">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559AF78F">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投标总报价</w:t>
            </w:r>
          </w:p>
        </w:tc>
        <w:tc>
          <w:tcPr>
            <w:tcW w:w="1602" w:type="dxa"/>
            <w:tcBorders>
              <w:top w:val="nil"/>
              <w:left w:val="nil"/>
              <w:bottom w:val="single" w:color="auto" w:sz="4" w:space="0"/>
              <w:right w:val="single" w:color="auto" w:sz="4" w:space="0"/>
            </w:tcBorders>
            <w:vAlign w:val="center"/>
          </w:tcPr>
          <w:p w14:paraId="08EF90FE">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3BFE200C">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37CB5219">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0C0415AB">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2C84E282">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∑A=A</w:t>
            </w:r>
            <w:r>
              <w:rPr>
                <w:rFonts w:hint="eastAsia" w:ascii="宋体" w:hAnsi="宋体" w:cs="宋体"/>
                <w:color w:val="auto"/>
                <w:kern w:val="0"/>
                <w:szCs w:val="21"/>
                <w:vertAlign w:val="subscript"/>
              </w:rPr>
              <w:t>1</w:t>
            </w:r>
            <w:r>
              <w:rPr>
                <w:rFonts w:hint="eastAsia" w:ascii="宋体" w:hAnsi="宋体" w:cs="宋体"/>
                <w:color w:val="auto"/>
                <w:kern w:val="0"/>
                <w:szCs w:val="21"/>
              </w:rPr>
              <w:t>+A</w:t>
            </w:r>
            <w:r>
              <w:rPr>
                <w:rFonts w:hint="eastAsia" w:ascii="宋体" w:hAnsi="宋体" w:cs="宋体"/>
                <w:color w:val="auto"/>
                <w:kern w:val="0"/>
                <w:szCs w:val="21"/>
                <w:vertAlign w:val="subscript"/>
              </w:rPr>
              <w:t>2</w:t>
            </w:r>
            <w:r>
              <w:rPr>
                <w:rFonts w:hint="eastAsia" w:ascii="宋体" w:hAnsi="宋体" w:cs="宋体"/>
                <w:color w:val="auto"/>
                <w:kern w:val="0"/>
                <w:szCs w:val="21"/>
              </w:rPr>
              <w:t>+…An；∑B=B</w:t>
            </w:r>
            <w:r>
              <w:rPr>
                <w:rFonts w:hint="eastAsia" w:ascii="宋体" w:hAnsi="宋体" w:cs="宋体"/>
                <w:color w:val="auto"/>
                <w:kern w:val="0"/>
                <w:szCs w:val="21"/>
                <w:vertAlign w:val="subscript"/>
              </w:rPr>
              <w:t>1</w:t>
            </w:r>
            <w:r>
              <w:rPr>
                <w:rFonts w:hint="eastAsia" w:ascii="宋体" w:hAnsi="宋体" w:cs="宋体"/>
                <w:color w:val="auto"/>
                <w:kern w:val="0"/>
                <w:szCs w:val="21"/>
              </w:rPr>
              <w:t>+B</w:t>
            </w:r>
            <w:r>
              <w:rPr>
                <w:rFonts w:hint="eastAsia" w:ascii="宋体" w:hAnsi="宋体" w:cs="宋体"/>
                <w:color w:val="auto"/>
                <w:kern w:val="0"/>
                <w:szCs w:val="21"/>
                <w:vertAlign w:val="subscript"/>
              </w:rPr>
              <w:t>2</w:t>
            </w:r>
            <w:r>
              <w:rPr>
                <w:rFonts w:hint="eastAsia" w:ascii="宋体" w:hAnsi="宋体" w:cs="宋体"/>
                <w:color w:val="auto"/>
                <w:kern w:val="0"/>
                <w:szCs w:val="21"/>
              </w:rPr>
              <w:t>+…Bn</w:t>
            </w:r>
          </w:p>
        </w:tc>
      </w:tr>
    </w:tbl>
    <w:p w14:paraId="33E9D700">
      <w:pPr>
        <w:rPr>
          <w:rFonts w:ascii="宋体" w:hAnsi="宋体" w:cs="宋体"/>
          <w:color w:val="auto"/>
          <w:kern w:val="0"/>
          <w:szCs w:val="21"/>
        </w:rPr>
      </w:pPr>
      <w:r>
        <w:rPr>
          <w:rFonts w:hint="eastAsia" w:ascii="宋体" w:hAnsi="宋体" w:cs="宋体"/>
          <w:color w:val="auto"/>
          <w:kern w:val="0"/>
          <w:szCs w:val="21"/>
        </w:rPr>
        <w:t>修正原则：</w:t>
      </w:r>
      <w:r>
        <w:rPr>
          <w:rFonts w:hint="eastAsia" w:ascii="宋体" w:hAnsi="宋体" w:cs="宋体"/>
          <w:color w:val="auto"/>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rPr>
        <w:tab/>
      </w:r>
    </w:p>
    <w:p w14:paraId="74ADEB8C">
      <w:pPr>
        <w:rPr>
          <w:rFonts w:ascii="宋体" w:hAnsi="宋体" w:cs="宋体"/>
          <w:color w:val="auto"/>
          <w:kern w:val="0"/>
          <w:szCs w:val="21"/>
        </w:rPr>
      </w:pPr>
      <w:r>
        <w:rPr>
          <w:rFonts w:hint="eastAsia" w:ascii="宋体" w:hAnsi="宋体" w:cs="宋体"/>
          <w:color w:val="auto"/>
          <w:kern w:val="0"/>
          <w:szCs w:val="21"/>
        </w:rPr>
        <w:t>评委签名：</w:t>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ab/>
      </w:r>
      <w:r>
        <w:rPr>
          <w:rFonts w:hint="eastAsia" w:ascii="宋体" w:hAnsi="宋体" w:cs="宋体"/>
          <w:color w:val="auto"/>
          <w:kern w:val="0"/>
          <w:szCs w:val="21"/>
        </w:rPr>
        <w:t>日期：</w:t>
      </w:r>
    </w:p>
    <w:p w14:paraId="2603C68B">
      <w:pPr>
        <w:rPr>
          <w:rFonts w:ascii="宋体" w:hAnsi="宋体" w:cs="宋体"/>
          <w:color w:val="auto"/>
        </w:rPr>
      </w:pPr>
    </w:p>
    <w:p w14:paraId="688881CA">
      <w:pPr>
        <w:rPr>
          <w:rFonts w:ascii="宋体" w:hAnsi="宋体" w:cs="宋体"/>
          <w:color w:val="auto"/>
        </w:rPr>
      </w:pPr>
      <w:r>
        <w:rPr>
          <w:rFonts w:hint="eastAsia" w:ascii="宋体" w:hAnsi="宋体" w:cs="宋体"/>
          <w:color w:val="auto"/>
        </w:rPr>
        <w:br w:type="page"/>
      </w:r>
    </w:p>
    <w:p w14:paraId="04B5B686">
      <w:pPr>
        <w:jc w:val="center"/>
        <w:rPr>
          <w:rFonts w:ascii="宋体" w:hAnsi="宋体" w:cs="宋体"/>
          <w:b/>
          <w:color w:val="auto"/>
          <w:sz w:val="36"/>
          <w:szCs w:val="36"/>
        </w:rPr>
      </w:pPr>
      <w:r>
        <w:rPr>
          <w:rFonts w:hint="eastAsia" w:ascii="宋体" w:hAnsi="宋体" w:cs="宋体"/>
          <w:b/>
          <w:color w:val="auto"/>
          <w:sz w:val="36"/>
          <w:szCs w:val="36"/>
        </w:rPr>
        <w:t>算术复核表</w:t>
      </w:r>
    </w:p>
    <w:p w14:paraId="679C8D1A">
      <w:pPr>
        <w:rPr>
          <w:rFonts w:ascii="宋体" w:hAnsi="宋体" w:cs="宋体"/>
          <w:color w:val="auto"/>
          <w:szCs w:val="21"/>
        </w:rPr>
      </w:pPr>
      <w:r>
        <w:rPr>
          <w:rFonts w:hint="eastAsia" w:ascii="宋体" w:hAnsi="宋体" w:cs="宋体"/>
          <w:color w:val="auto"/>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080D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AF33088">
            <w:pPr>
              <w:keepNext w:val="0"/>
              <w:keepLines w:val="0"/>
              <w:suppressLineNumbers w:val="0"/>
              <w:spacing w:before="0" w:beforeAutospacing="0" w:after="0" w:afterAutospacing="0"/>
              <w:ind w:left="0" w:right="0"/>
              <w:rPr>
                <w:rFonts w:hint="default" w:ascii="宋体" w:hAnsi="宋体" w:cs="宋体"/>
                <w:b/>
                <w:color w:val="auto"/>
                <w:sz w:val="28"/>
                <w:szCs w:val="28"/>
              </w:rPr>
            </w:pPr>
            <w:r>
              <w:rPr>
                <w:rFonts w:hint="eastAsia" w:ascii="宋体" w:hAnsi="宋体" w:cs="宋体"/>
                <w:b/>
                <w:color w:val="auto"/>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3474C761">
            <w:pPr>
              <w:keepNext w:val="0"/>
              <w:keepLines w:val="0"/>
              <w:suppressLineNumbers w:val="0"/>
              <w:spacing w:before="0" w:beforeAutospacing="0" w:after="0" w:afterAutospacing="0"/>
              <w:ind w:left="0" w:right="0"/>
              <w:rPr>
                <w:rFonts w:hint="default" w:ascii="宋体" w:hAnsi="宋体" w:cs="宋体"/>
                <w:b/>
                <w:color w:val="auto"/>
                <w:sz w:val="28"/>
                <w:szCs w:val="28"/>
              </w:rPr>
            </w:pPr>
            <w:r>
              <w:rPr>
                <w:rFonts w:hint="eastAsia" w:ascii="宋体" w:hAnsi="宋体" w:cs="宋体"/>
                <w:b/>
                <w:color w:val="auto"/>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2C860A47">
            <w:pPr>
              <w:keepNext w:val="0"/>
              <w:keepLines w:val="0"/>
              <w:suppressLineNumbers w:val="0"/>
              <w:spacing w:before="0" w:beforeAutospacing="0" w:after="0" w:afterAutospacing="0"/>
              <w:ind w:left="0" w:right="0"/>
              <w:rPr>
                <w:rFonts w:hint="default" w:ascii="宋体" w:hAnsi="宋体" w:cs="宋体"/>
                <w:b/>
                <w:color w:val="auto"/>
                <w:sz w:val="28"/>
                <w:szCs w:val="28"/>
              </w:rPr>
            </w:pPr>
            <w:r>
              <w:rPr>
                <w:rFonts w:hint="eastAsia" w:ascii="宋体" w:hAnsi="宋体" w:cs="宋体"/>
                <w:b/>
                <w:color w:val="auto"/>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14:paraId="4047D466">
            <w:pPr>
              <w:keepNext w:val="0"/>
              <w:keepLines w:val="0"/>
              <w:suppressLineNumbers w:val="0"/>
              <w:spacing w:before="0" w:beforeAutospacing="0" w:after="0" w:afterAutospacing="0"/>
              <w:ind w:left="0" w:right="0"/>
              <w:rPr>
                <w:rFonts w:hint="default" w:ascii="宋体" w:hAnsi="宋体" w:cs="宋体"/>
                <w:b/>
                <w:color w:val="auto"/>
                <w:sz w:val="28"/>
                <w:szCs w:val="28"/>
              </w:rPr>
            </w:pPr>
            <w:r>
              <w:rPr>
                <w:rFonts w:hint="eastAsia" w:ascii="宋体" w:hAnsi="宋体" w:cs="宋体"/>
                <w:b/>
                <w:color w:val="auto"/>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6EFBAB87">
            <w:pPr>
              <w:keepNext w:val="0"/>
              <w:keepLines w:val="0"/>
              <w:suppressLineNumbers w:val="0"/>
              <w:spacing w:before="0" w:beforeAutospacing="0" w:after="0" w:afterAutospacing="0"/>
              <w:ind w:left="0" w:right="0"/>
              <w:rPr>
                <w:rFonts w:hint="default" w:ascii="宋体" w:hAnsi="宋体" w:cs="宋体"/>
                <w:b/>
                <w:color w:val="auto"/>
                <w:sz w:val="28"/>
                <w:szCs w:val="28"/>
              </w:rPr>
            </w:pPr>
            <w:r>
              <w:rPr>
                <w:rFonts w:hint="eastAsia" w:ascii="宋体" w:hAnsi="宋体" w:cs="宋体"/>
                <w:b/>
                <w:color w:val="auto"/>
                <w:sz w:val="28"/>
                <w:szCs w:val="28"/>
              </w:rPr>
              <w:t>误差率（r=|A-B|/A*100%）</w:t>
            </w:r>
          </w:p>
        </w:tc>
      </w:tr>
      <w:tr w14:paraId="33BB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3AEAA11">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D5F2960">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14F5A6B">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868424A">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BBA85DC">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6652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88A9EFB">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A3690C6">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9347193">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72C1351">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0D3A1B3">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1432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55EC53C">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4DFCB26">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B3E46D4">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68B3374">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1BED43D">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2D10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1267E5C">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85FA420">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ED8154A">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F39308F">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32799E5">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281D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275AE15">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2143535">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8F63E68">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4892591">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F7EB6C0">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6F6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7B69CB1">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285838">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6F2C310">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10205A0">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09D2FB3">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0BD6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B99B596">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56AE2BD">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CC22465">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7F68E4B">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36BC26C">
            <w:pPr>
              <w:keepNext w:val="0"/>
              <w:keepLines w:val="0"/>
              <w:suppressLineNumbers w:val="0"/>
              <w:spacing w:before="0" w:beforeAutospacing="0" w:after="0" w:afterAutospacing="0"/>
              <w:ind w:left="0" w:right="0"/>
              <w:rPr>
                <w:rFonts w:hint="default" w:ascii="宋体" w:hAnsi="宋体" w:cs="宋体"/>
                <w:color w:val="auto"/>
                <w:sz w:val="36"/>
                <w:szCs w:val="36"/>
              </w:rPr>
            </w:pPr>
          </w:p>
        </w:tc>
      </w:tr>
      <w:tr w14:paraId="106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F48821A">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3FD01EC">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F01CC62">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652B72D">
            <w:pPr>
              <w:keepNext w:val="0"/>
              <w:keepLines w:val="0"/>
              <w:suppressLineNumbers w:val="0"/>
              <w:spacing w:before="0" w:beforeAutospacing="0" w:after="0" w:afterAutospacing="0"/>
              <w:ind w:left="0" w:right="0"/>
              <w:rPr>
                <w:rFonts w:hint="default" w:ascii="宋体" w:hAnsi="宋体" w:cs="宋体"/>
                <w:color w:val="auto"/>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471E81D">
            <w:pPr>
              <w:keepNext w:val="0"/>
              <w:keepLines w:val="0"/>
              <w:suppressLineNumbers w:val="0"/>
              <w:spacing w:before="0" w:beforeAutospacing="0" w:after="0" w:afterAutospacing="0"/>
              <w:ind w:left="0" w:right="0"/>
              <w:rPr>
                <w:rFonts w:hint="default" w:ascii="宋体" w:hAnsi="宋体" w:cs="宋体"/>
                <w:color w:val="auto"/>
                <w:sz w:val="36"/>
                <w:szCs w:val="36"/>
              </w:rPr>
            </w:pPr>
          </w:p>
        </w:tc>
      </w:tr>
    </w:tbl>
    <w:p w14:paraId="475DEF81">
      <w:pPr>
        <w:rPr>
          <w:rFonts w:ascii="宋体" w:hAnsi="宋体" w:cs="宋体"/>
          <w:color w:val="auto"/>
          <w:szCs w:val="21"/>
        </w:rPr>
      </w:pPr>
      <w:r>
        <w:rPr>
          <w:rFonts w:hint="eastAsia" w:ascii="宋体" w:hAnsi="宋体" w:cs="宋体"/>
          <w:color w:val="auto"/>
          <w:szCs w:val="21"/>
        </w:rPr>
        <w:t>评委签名：</w:t>
      </w:r>
    </w:p>
    <w:p w14:paraId="789A63E4">
      <w:pPr>
        <w:spacing w:line="360" w:lineRule="auto"/>
        <w:jc w:val="center"/>
        <w:rPr>
          <w:rFonts w:ascii="宋体" w:hAnsi="宋体" w:cs="宋体"/>
          <w:color w:val="auto"/>
          <w:szCs w:val="21"/>
        </w:rPr>
        <w:sectPr>
          <w:headerReference r:id="rId12" w:type="first"/>
          <w:footerReference r:id="rId14" w:type="first"/>
          <w:headerReference r:id="rId11" w:type="default"/>
          <w:footerReference r:id="rId13" w:type="default"/>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p>
    <w:p w14:paraId="1FF7C93C">
      <w:pPr>
        <w:pStyle w:val="2"/>
        <w:jc w:val="center"/>
        <w:rPr>
          <w:rFonts w:ascii="宋体" w:hAnsi="宋体" w:cs="宋体"/>
          <w:color w:val="auto"/>
        </w:rPr>
      </w:pPr>
      <w:bookmarkStart w:id="24" w:name="_Toc14934"/>
      <w:r>
        <w:rPr>
          <w:rFonts w:hint="eastAsia" w:ascii="宋体" w:hAnsi="宋体" w:cs="宋体"/>
          <w:color w:val="auto"/>
        </w:rPr>
        <w:t>第三章  合同条款</w:t>
      </w:r>
      <w:bookmarkEnd w:id="24"/>
    </w:p>
    <w:p w14:paraId="100DC19B">
      <w:pPr>
        <w:rPr>
          <w:rFonts w:ascii="宋体" w:hAnsi="宋体" w:cs="宋体"/>
          <w:b/>
          <w:color w:val="auto"/>
          <w:sz w:val="24"/>
          <w:szCs w:val="24"/>
        </w:rPr>
      </w:pPr>
      <w:r>
        <w:rPr>
          <w:rFonts w:hint="eastAsia" w:ascii="宋体" w:hAnsi="宋体" w:cs="宋体"/>
          <w:color w:val="auto"/>
          <w:sz w:val="24"/>
          <w:szCs w:val="24"/>
        </w:rPr>
        <w:t>另册。</w:t>
      </w:r>
    </w:p>
    <w:p w14:paraId="2B8BC995">
      <w:pPr>
        <w:rPr>
          <w:rFonts w:ascii="宋体" w:hAnsi="宋体" w:cs="宋体"/>
          <w:color w:val="auto"/>
          <w:sz w:val="24"/>
          <w:szCs w:val="24"/>
        </w:rPr>
      </w:pPr>
    </w:p>
    <w:p w14:paraId="502410C5">
      <w:pPr>
        <w:pStyle w:val="4"/>
        <w:spacing w:line="360" w:lineRule="auto"/>
        <w:rPr>
          <w:rFonts w:ascii="宋体" w:hAnsi="宋体" w:cs="宋体"/>
          <w:color w:val="auto"/>
          <w:sz w:val="24"/>
          <w:szCs w:val="24"/>
        </w:rPr>
      </w:pPr>
    </w:p>
    <w:p w14:paraId="79560AF9">
      <w:pPr>
        <w:pStyle w:val="4"/>
        <w:spacing w:line="360" w:lineRule="auto"/>
        <w:rPr>
          <w:rFonts w:ascii="宋体" w:hAnsi="宋体" w:cs="宋体"/>
          <w:color w:val="auto"/>
          <w:sz w:val="24"/>
          <w:szCs w:val="24"/>
        </w:rPr>
      </w:pPr>
    </w:p>
    <w:p w14:paraId="4362DE31">
      <w:pPr>
        <w:pStyle w:val="4"/>
        <w:spacing w:line="360" w:lineRule="auto"/>
        <w:rPr>
          <w:rFonts w:ascii="宋体" w:hAnsi="宋体" w:cs="宋体"/>
          <w:color w:val="auto"/>
          <w:sz w:val="24"/>
          <w:szCs w:val="24"/>
        </w:rPr>
      </w:pPr>
    </w:p>
    <w:p w14:paraId="06D6CD4E">
      <w:pPr>
        <w:pStyle w:val="4"/>
        <w:spacing w:line="360" w:lineRule="auto"/>
        <w:rPr>
          <w:rFonts w:ascii="宋体" w:hAnsi="宋体" w:cs="宋体"/>
          <w:color w:val="auto"/>
          <w:sz w:val="24"/>
          <w:szCs w:val="24"/>
        </w:rPr>
      </w:pPr>
    </w:p>
    <w:p w14:paraId="34CCB3BF">
      <w:pPr>
        <w:pStyle w:val="4"/>
        <w:spacing w:line="360" w:lineRule="auto"/>
        <w:rPr>
          <w:rFonts w:ascii="宋体" w:hAnsi="宋体" w:cs="宋体"/>
          <w:color w:val="auto"/>
          <w:sz w:val="24"/>
          <w:szCs w:val="24"/>
        </w:rPr>
      </w:pPr>
    </w:p>
    <w:p w14:paraId="1DCF13DB">
      <w:pPr>
        <w:pStyle w:val="4"/>
        <w:spacing w:line="360" w:lineRule="auto"/>
        <w:rPr>
          <w:rFonts w:ascii="宋体" w:hAnsi="宋体" w:cs="宋体"/>
          <w:color w:val="auto"/>
          <w:sz w:val="24"/>
          <w:szCs w:val="24"/>
        </w:rPr>
      </w:pPr>
    </w:p>
    <w:p w14:paraId="0D832009">
      <w:pPr>
        <w:pStyle w:val="4"/>
        <w:spacing w:line="360" w:lineRule="auto"/>
        <w:rPr>
          <w:rFonts w:ascii="宋体" w:hAnsi="宋体" w:cs="宋体"/>
          <w:color w:val="auto"/>
          <w:sz w:val="24"/>
          <w:szCs w:val="24"/>
        </w:rPr>
      </w:pPr>
    </w:p>
    <w:p w14:paraId="72D343C0">
      <w:pPr>
        <w:pStyle w:val="4"/>
        <w:spacing w:line="360" w:lineRule="auto"/>
        <w:rPr>
          <w:rFonts w:ascii="宋体" w:hAnsi="宋体" w:cs="宋体"/>
          <w:color w:val="auto"/>
          <w:sz w:val="24"/>
          <w:szCs w:val="24"/>
        </w:rPr>
      </w:pPr>
    </w:p>
    <w:p w14:paraId="0CC2F2B3">
      <w:pPr>
        <w:pStyle w:val="4"/>
        <w:spacing w:line="360" w:lineRule="auto"/>
        <w:rPr>
          <w:rFonts w:ascii="宋体" w:hAnsi="宋体" w:cs="宋体"/>
          <w:color w:val="auto"/>
          <w:sz w:val="24"/>
          <w:szCs w:val="24"/>
        </w:rPr>
      </w:pPr>
    </w:p>
    <w:p w14:paraId="1E1527BE">
      <w:pPr>
        <w:pStyle w:val="4"/>
        <w:spacing w:line="360" w:lineRule="auto"/>
        <w:rPr>
          <w:rFonts w:ascii="宋体" w:hAnsi="宋体" w:cs="宋体"/>
          <w:color w:val="auto"/>
          <w:sz w:val="24"/>
          <w:szCs w:val="24"/>
        </w:rPr>
      </w:pPr>
    </w:p>
    <w:p w14:paraId="436F5C53">
      <w:pPr>
        <w:pStyle w:val="4"/>
        <w:spacing w:line="360" w:lineRule="auto"/>
        <w:rPr>
          <w:rFonts w:ascii="宋体" w:hAnsi="宋体" w:cs="宋体"/>
          <w:color w:val="auto"/>
          <w:sz w:val="24"/>
          <w:szCs w:val="24"/>
        </w:rPr>
      </w:pPr>
    </w:p>
    <w:p w14:paraId="1D8B4D0E">
      <w:pPr>
        <w:pStyle w:val="4"/>
        <w:spacing w:line="360" w:lineRule="auto"/>
        <w:rPr>
          <w:rFonts w:ascii="宋体" w:hAnsi="宋体" w:cs="宋体"/>
          <w:color w:val="auto"/>
          <w:sz w:val="24"/>
          <w:szCs w:val="24"/>
        </w:rPr>
      </w:pPr>
    </w:p>
    <w:p w14:paraId="6C1AD8CD">
      <w:pPr>
        <w:pStyle w:val="4"/>
        <w:spacing w:line="360" w:lineRule="auto"/>
        <w:rPr>
          <w:rFonts w:ascii="宋体" w:hAnsi="宋体" w:cs="宋体"/>
          <w:color w:val="auto"/>
          <w:sz w:val="24"/>
          <w:szCs w:val="24"/>
        </w:rPr>
      </w:pPr>
    </w:p>
    <w:p w14:paraId="1A039296">
      <w:pPr>
        <w:pStyle w:val="4"/>
        <w:spacing w:line="360" w:lineRule="auto"/>
        <w:rPr>
          <w:rFonts w:ascii="宋体" w:hAnsi="宋体" w:cs="宋体"/>
          <w:color w:val="auto"/>
          <w:sz w:val="24"/>
          <w:szCs w:val="24"/>
        </w:rPr>
      </w:pPr>
    </w:p>
    <w:p w14:paraId="31BAECA6">
      <w:pPr>
        <w:pStyle w:val="4"/>
        <w:spacing w:line="360" w:lineRule="auto"/>
        <w:rPr>
          <w:rFonts w:ascii="宋体" w:hAnsi="宋体" w:cs="宋体"/>
          <w:color w:val="auto"/>
          <w:sz w:val="24"/>
          <w:szCs w:val="24"/>
        </w:rPr>
      </w:pPr>
    </w:p>
    <w:p w14:paraId="501B0826">
      <w:pPr>
        <w:pStyle w:val="4"/>
        <w:spacing w:line="360" w:lineRule="auto"/>
        <w:rPr>
          <w:rFonts w:ascii="宋体" w:hAnsi="宋体" w:cs="宋体"/>
          <w:color w:val="auto"/>
          <w:sz w:val="24"/>
          <w:szCs w:val="24"/>
        </w:rPr>
      </w:pPr>
    </w:p>
    <w:p w14:paraId="60D55FFF">
      <w:pPr>
        <w:pStyle w:val="4"/>
        <w:spacing w:line="360" w:lineRule="auto"/>
        <w:rPr>
          <w:rFonts w:ascii="宋体" w:hAnsi="宋体" w:cs="宋体"/>
          <w:color w:val="auto"/>
          <w:sz w:val="24"/>
          <w:szCs w:val="24"/>
        </w:rPr>
      </w:pPr>
    </w:p>
    <w:p w14:paraId="774C4D26">
      <w:pPr>
        <w:pStyle w:val="4"/>
        <w:spacing w:line="360" w:lineRule="auto"/>
        <w:rPr>
          <w:rFonts w:ascii="宋体" w:hAnsi="宋体" w:cs="宋体"/>
          <w:color w:val="auto"/>
          <w:sz w:val="24"/>
          <w:szCs w:val="24"/>
        </w:rPr>
      </w:pPr>
    </w:p>
    <w:p w14:paraId="34C04E40">
      <w:pPr>
        <w:pStyle w:val="4"/>
        <w:spacing w:line="360" w:lineRule="auto"/>
        <w:rPr>
          <w:rFonts w:ascii="宋体" w:hAnsi="宋体" w:cs="宋体"/>
          <w:color w:val="auto"/>
          <w:sz w:val="24"/>
          <w:szCs w:val="24"/>
        </w:rPr>
      </w:pPr>
    </w:p>
    <w:p w14:paraId="76729667">
      <w:pPr>
        <w:pStyle w:val="22"/>
        <w:spacing w:line="360" w:lineRule="auto"/>
        <w:rPr>
          <w:rFonts w:hAnsi="宋体" w:cs="宋体"/>
          <w:color w:val="auto"/>
          <w:sz w:val="24"/>
          <w:szCs w:val="24"/>
        </w:rPr>
      </w:pPr>
    </w:p>
    <w:p w14:paraId="355132A9">
      <w:pPr>
        <w:pStyle w:val="22"/>
        <w:spacing w:line="360" w:lineRule="auto"/>
        <w:rPr>
          <w:rFonts w:hAnsi="宋体" w:cs="宋体"/>
          <w:color w:val="auto"/>
          <w:sz w:val="24"/>
          <w:szCs w:val="24"/>
        </w:rPr>
      </w:pPr>
    </w:p>
    <w:p w14:paraId="161F3411">
      <w:pPr>
        <w:pStyle w:val="2"/>
        <w:numPr>
          <w:ilvl w:val="0"/>
          <w:numId w:val="2"/>
        </w:numPr>
        <w:jc w:val="center"/>
        <w:rPr>
          <w:rFonts w:ascii="宋体" w:hAnsi="宋体" w:cs="宋体"/>
          <w:color w:val="auto"/>
        </w:rPr>
      </w:pPr>
      <w:bookmarkStart w:id="25" w:name="_Toc12630"/>
      <w:r>
        <w:rPr>
          <w:rFonts w:hint="eastAsia" w:ascii="宋体" w:hAnsi="宋体" w:cs="宋体"/>
          <w:color w:val="auto"/>
        </w:rPr>
        <w:t>投标文件格式</w:t>
      </w:r>
      <w:bookmarkEnd w:id="25"/>
    </w:p>
    <w:p w14:paraId="56F6CD25">
      <w:pPr>
        <w:spacing w:after="120"/>
        <w:ind w:firstLine="0"/>
        <w:jc w:val="both"/>
        <w:outlineLvl w:val="1"/>
        <w:rPr>
          <w:rFonts w:ascii="宋体" w:hAnsi="宋体"/>
          <w:b/>
          <w:sz w:val="28"/>
          <w:szCs w:val="24"/>
        </w:rPr>
      </w:pPr>
      <w:r>
        <w:rPr>
          <w:rFonts w:ascii="宋体" w:hAnsi="宋体"/>
          <w:b/>
          <w:sz w:val="28"/>
          <w:szCs w:val="24"/>
        </w:rPr>
        <w:br w:type="page"/>
      </w:r>
      <w:bookmarkStart w:id="26" w:name="_Toc9279"/>
      <w:bookmarkStart w:id="27" w:name="_Toc62056031"/>
      <w:bookmarkStart w:id="28" w:name="_Toc504722502"/>
      <w:bookmarkStart w:id="29" w:name="_Toc504722503"/>
      <w:bookmarkStart w:id="30" w:name="_Toc24194"/>
      <w:bookmarkStart w:id="31" w:name="_Toc29476911"/>
      <w:bookmarkStart w:id="32" w:name="_Toc62056032"/>
      <w:bookmarkStart w:id="33" w:name="_Toc4489935"/>
      <w:r>
        <w:rPr>
          <w:rFonts w:hint="eastAsia" w:ascii="宋体" w:hAnsi="宋体"/>
          <w:b/>
          <w:sz w:val="28"/>
          <w:szCs w:val="24"/>
        </w:rPr>
        <w:t>一、技术标投标文件格式</w:t>
      </w:r>
      <w:bookmarkEnd w:id="26"/>
      <w:bookmarkEnd w:id="27"/>
      <w:bookmarkEnd w:id="28"/>
    </w:p>
    <w:p w14:paraId="1A532CF6">
      <w:pPr>
        <w:widowControl/>
        <w:topLinePunct/>
        <w:adjustRightInd w:val="0"/>
        <w:snapToGrid w:val="0"/>
        <w:spacing w:after="200"/>
        <w:jc w:val="left"/>
        <w:outlineLvl w:val="2"/>
        <w:rPr>
          <w:rFonts w:ascii="宋体" w:hAnsi="宋体"/>
          <w:spacing w:val="4"/>
          <w:kern w:val="0"/>
          <w:sz w:val="24"/>
          <w:szCs w:val="24"/>
        </w:rPr>
      </w:pPr>
      <w:r>
        <w:rPr>
          <w:rFonts w:hint="eastAsia" w:ascii="宋体" w:hAnsi="宋体"/>
          <w:spacing w:val="4"/>
          <w:kern w:val="0"/>
          <w:sz w:val="24"/>
          <w:szCs w:val="24"/>
        </w:rPr>
        <w:t>格式一：技术标封面</w:t>
      </w:r>
      <w:bookmarkEnd w:id="29"/>
      <w:bookmarkEnd w:id="30"/>
      <w:bookmarkEnd w:id="31"/>
      <w:bookmarkEnd w:id="32"/>
      <w:bookmarkEnd w:id="33"/>
    </w:p>
    <w:p w14:paraId="0D7F14D8">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4F602910">
      <w:pPr>
        <w:widowControl/>
        <w:topLinePunct/>
        <w:adjustRightInd w:val="0"/>
        <w:snapToGrid w:val="0"/>
        <w:spacing w:after="200" w:line="360" w:lineRule="auto"/>
        <w:jc w:val="center"/>
        <w:rPr>
          <w:rFonts w:ascii="宋体" w:hAnsi="宋体"/>
          <w:spacing w:val="4"/>
          <w:kern w:val="0"/>
          <w:sz w:val="36"/>
          <w:szCs w:val="36"/>
          <w:u w:val="single"/>
        </w:rPr>
      </w:pPr>
      <w:r>
        <w:rPr>
          <w:rFonts w:hint="eastAsia" w:ascii="宋体" w:hAnsi="宋体"/>
          <w:spacing w:val="4"/>
          <w:kern w:val="0"/>
          <w:sz w:val="36"/>
          <w:szCs w:val="36"/>
          <w:u w:val="single"/>
        </w:rPr>
        <w:t xml:space="preserve">[工程名称] </w:t>
      </w:r>
    </w:p>
    <w:p w14:paraId="22685EF3">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2F171B2D">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7D0D7530">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736E149D">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63344FB0">
      <w:pPr>
        <w:widowControl/>
        <w:topLinePunct/>
        <w:adjustRightInd w:val="0"/>
        <w:snapToGrid w:val="0"/>
        <w:spacing w:after="200" w:line="360" w:lineRule="auto"/>
        <w:jc w:val="center"/>
        <w:rPr>
          <w:rFonts w:ascii="宋体" w:hAnsi="宋体"/>
          <w:spacing w:val="4"/>
          <w:kern w:val="0"/>
          <w:sz w:val="84"/>
          <w:szCs w:val="84"/>
        </w:rPr>
      </w:pPr>
      <w:r>
        <w:rPr>
          <w:rFonts w:hint="eastAsia" w:ascii="宋体" w:hAnsi="宋体"/>
          <w:spacing w:val="4"/>
          <w:kern w:val="0"/>
          <w:sz w:val="84"/>
          <w:szCs w:val="84"/>
        </w:rPr>
        <w:t>投标文件</w:t>
      </w:r>
    </w:p>
    <w:p w14:paraId="6508DA56">
      <w:pPr>
        <w:widowControl/>
        <w:topLinePunct/>
        <w:adjustRightInd w:val="0"/>
        <w:snapToGrid w:val="0"/>
        <w:spacing w:after="200" w:line="360" w:lineRule="auto"/>
        <w:jc w:val="center"/>
        <w:rPr>
          <w:rFonts w:ascii="宋体" w:hAnsi="宋体"/>
          <w:spacing w:val="4"/>
          <w:kern w:val="0"/>
          <w:sz w:val="36"/>
          <w:szCs w:val="36"/>
        </w:rPr>
      </w:pPr>
      <w:r>
        <w:rPr>
          <w:rFonts w:hint="eastAsia" w:ascii="宋体" w:hAnsi="宋体"/>
          <w:spacing w:val="4"/>
          <w:kern w:val="0"/>
          <w:sz w:val="36"/>
          <w:szCs w:val="36"/>
        </w:rPr>
        <w:t>第一册【技术投标书（含资格审查文件）】</w:t>
      </w:r>
    </w:p>
    <w:p w14:paraId="0671241D">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04687A9B">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4B80FDAC">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32B68D29">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投标人：</w:t>
      </w:r>
      <w:r>
        <w:rPr>
          <w:rFonts w:hint="eastAsia" w:ascii="宋体" w:hAnsi="宋体"/>
          <w:spacing w:val="4"/>
          <w:kern w:val="0"/>
          <w:sz w:val="30"/>
          <w:szCs w:val="30"/>
          <w:u w:val="single"/>
        </w:rPr>
        <w:t xml:space="preserve">    </w:t>
      </w:r>
      <w:bookmarkStart w:id="34" w:name="_Toc163337619"/>
      <w:bookmarkStart w:id="35" w:name="_Toc318924494"/>
      <w:bookmarkStart w:id="36" w:name="_Toc226209002"/>
      <w:bookmarkStart w:id="37" w:name="_Toc337720090"/>
      <w:bookmarkStart w:id="38" w:name="_Toc239216030"/>
      <w:bookmarkStart w:id="39" w:name="_Toc239311745"/>
      <w:bookmarkStart w:id="40" w:name="_Toc395261098"/>
      <w:bookmarkStart w:id="41" w:name="_Toc484958691"/>
      <w:bookmarkStart w:id="42" w:name="_Toc369536769"/>
      <w:bookmarkStart w:id="43" w:name="_Toc352240522"/>
      <w:bookmarkStart w:id="44" w:name="_Toc449308419"/>
      <w:bookmarkStart w:id="45" w:name="_Toc358370577"/>
      <w:bookmarkStart w:id="46" w:name="_Toc464131223"/>
      <w:bookmarkStart w:id="47" w:name="_Toc352623420"/>
      <w:r>
        <w:rPr>
          <w:rFonts w:hint="eastAsia" w:ascii="宋体" w:hAnsi="宋体"/>
          <w:spacing w:val="4"/>
          <w:kern w:val="0"/>
          <w:sz w:val="30"/>
          <w:szCs w:val="30"/>
          <w:u w:val="single"/>
        </w:rPr>
        <w:t xml:space="preserve">    （填写投标人单位名称）</w:t>
      </w:r>
      <w:bookmarkEnd w:id="34"/>
      <w:bookmarkEnd w:id="35"/>
      <w:bookmarkEnd w:id="36"/>
      <w:bookmarkEnd w:id="37"/>
      <w:bookmarkEnd w:id="38"/>
      <w:bookmarkEnd w:id="39"/>
      <w:r>
        <w:rPr>
          <w:rFonts w:hint="eastAsia" w:ascii="宋体" w:hAnsi="宋体"/>
          <w:spacing w:val="4"/>
          <w:kern w:val="0"/>
          <w:sz w:val="30"/>
          <w:szCs w:val="30"/>
          <w:u w:val="single"/>
        </w:rPr>
        <w:t xml:space="preserve">  </w:t>
      </w:r>
      <w:bookmarkEnd w:id="40"/>
      <w:bookmarkEnd w:id="41"/>
      <w:bookmarkEnd w:id="42"/>
      <w:bookmarkEnd w:id="43"/>
      <w:bookmarkEnd w:id="44"/>
      <w:bookmarkEnd w:id="45"/>
      <w:bookmarkEnd w:id="46"/>
      <w:bookmarkEnd w:id="47"/>
    </w:p>
    <w:p w14:paraId="786739F6">
      <w:pPr>
        <w:widowControl/>
        <w:topLinePunct/>
        <w:adjustRightInd w:val="0"/>
        <w:snapToGrid w:val="0"/>
        <w:spacing w:after="200" w:line="360" w:lineRule="auto"/>
        <w:ind w:firstLine="616" w:firstLineChars="200"/>
        <w:jc w:val="left"/>
        <w:rPr>
          <w:rFonts w:ascii="宋体" w:hAnsi="宋体"/>
          <w:spacing w:val="4"/>
          <w:kern w:val="0"/>
          <w:sz w:val="30"/>
          <w:szCs w:val="30"/>
        </w:rPr>
      </w:pPr>
    </w:p>
    <w:p w14:paraId="1352A719">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法定代表人或</w:t>
      </w:r>
    </w:p>
    <w:p w14:paraId="4976FE1F">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其委托代理人：</w:t>
      </w:r>
      <w:r>
        <w:rPr>
          <w:rFonts w:hint="eastAsia" w:ascii="宋体" w:hAnsi="宋体"/>
          <w:spacing w:val="4"/>
          <w:kern w:val="0"/>
          <w:sz w:val="30"/>
          <w:szCs w:val="30"/>
          <w:u w:val="single"/>
        </w:rPr>
        <w:t xml:space="preserve">                   （签名或盖章）</w:t>
      </w:r>
    </w:p>
    <w:p w14:paraId="282CFFC5">
      <w:pPr>
        <w:widowControl/>
        <w:topLinePunct/>
        <w:adjustRightInd w:val="0"/>
        <w:snapToGrid w:val="0"/>
        <w:spacing w:after="200" w:line="360" w:lineRule="auto"/>
        <w:ind w:firstLine="616" w:firstLineChars="200"/>
        <w:jc w:val="left"/>
        <w:rPr>
          <w:rFonts w:ascii="宋体" w:hAnsi="宋体"/>
          <w:sz w:val="24"/>
          <w:szCs w:val="24"/>
        </w:rPr>
      </w:pPr>
      <w:r>
        <w:rPr>
          <w:rFonts w:hint="eastAsia" w:ascii="宋体" w:hAnsi="宋体"/>
          <w:snapToGrid w:val="0"/>
          <w:spacing w:val="4"/>
          <w:kern w:val="0"/>
          <w:sz w:val="30"/>
          <w:szCs w:val="30"/>
        </w:rPr>
        <w:t>日  期：</w:t>
      </w:r>
      <w:r>
        <w:rPr>
          <w:rFonts w:hint="eastAsia" w:ascii="宋体" w:hAnsi="宋体"/>
          <w:u w:val="single"/>
        </w:rPr>
        <w:t xml:space="preserve">                                            </w:t>
      </w:r>
    </w:p>
    <w:p w14:paraId="5ABF1905">
      <w:pPr>
        <w:widowControl/>
        <w:topLinePunct/>
        <w:adjustRightInd w:val="0"/>
        <w:snapToGrid w:val="0"/>
        <w:spacing w:after="200"/>
        <w:jc w:val="left"/>
        <w:outlineLvl w:val="2"/>
        <w:rPr>
          <w:rFonts w:ascii="宋体" w:hAnsi="宋体"/>
          <w:spacing w:val="4"/>
          <w:kern w:val="0"/>
          <w:sz w:val="24"/>
          <w:szCs w:val="24"/>
        </w:rPr>
      </w:pPr>
      <w:r>
        <w:rPr>
          <w:b/>
        </w:rPr>
        <w:br w:type="page"/>
      </w:r>
      <w:bookmarkStart w:id="48" w:name="_Toc4489936"/>
      <w:bookmarkStart w:id="49" w:name="_Toc29476912"/>
      <w:bookmarkStart w:id="50" w:name="_Toc62056033"/>
      <w:r>
        <w:rPr>
          <w:rFonts w:hint="eastAsia" w:ascii="宋体" w:hAnsi="宋体"/>
          <w:spacing w:val="4"/>
          <w:kern w:val="0"/>
          <w:sz w:val="24"/>
          <w:szCs w:val="24"/>
        </w:rPr>
        <w:t>格式二：广州建设工程施工招标投标书</w:t>
      </w:r>
      <w:bookmarkEnd w:id="48"/>
      <w:bookmarkEnd w:id="49"/>
      <w:bookmarkEnd w:id="50"/>
    </w:p>
    <w:p w14:paraId="4DC1EBC1">
      <w:pPr>
        <w:autoSpaceDE w:val="0"/>
        <w:autoSpaceDN w:val="0"/>
        <w:adjustRightInd w:val="0"/>
        <w:ind w:left="-540" w:leftChars="-257" w:firstLine="1135" w:firstLineChars="257"/>
        <w:jc w:val="center"/>
        <w:rPr>
          <w:rFonts w:ascii="宋体" w:hAnsi="宋体" w:cs="宋体"/>
          <w:b/>
          <w:bCs/>
          <w:sz w:val="44"/>
          <w:szCs w:val="44"/>
          <w:lang w:val="zh-CN"/>
        </w:rPr>
      </w:pPr>
    </w:p>
    <w:p w14:paraId="79E434C0">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9"/>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6310"/>
      </w:tblGrid>
      <w:tr w14:paraId="600F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4F102C31">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r>
              <w:rPr>
                <w:rFonts w:hint="eastAsia" w:ascii="宋体" w:hAnsi="宋体" w:cs="宋体"/>
                <w:b/>
                <w:sz w:val="24"/>
                <w:szCs w:val="24"/>
                <w:lang w:val="zh-CN"/>
              </w:rPr>
              <w:t>工程名称</w:t>
            </w:r>
          </w:p>
        </w:tc>
        <w:tc>
          <w:tcPr>
            <w:tcW w:w="6310" w:type="dxa"/>
            <w:tcBorders>
              <w:top w:val="single" w:color="auto" w:sz="4" w:space="0"/>
              <w:left w:val="single" w:color="auto" w:sz="4" w:space="0"/>
              <w:bottom w:val="single" w:color="auto" w:sz="4" w:space="0"/>
              <w:right w:val="single" w:color="auto" w:sz="4" w:space="0"/>
            </w:tcBorders>
            <w:vAlign w:val="center"/>
          </w:tcPr>
          <w:p w14:paraId="7513AF20">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r w14:paraId="15C2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192B04B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投标总报价（元）</w:t>
            </w:r>
          </w:p>
        </w:tc>
        <w:tc>
          <w:tcPr>
            <w:tcW w:w="6310" w:type="dxa"/>
            <w:tcBorders>
              <w:top w:val="single" w:color="auto" w:sz="4" w:space="0"/>
              <w:left w:val="single" w:color="auto" w:sz="4" w:space="0"/>
              <w:bottom w:val="single" w:color="auto" w:sz="4" w:space="0"/>
              <w:right w:val="single" w:color="auto" w:sz="4" w:space="0"/>
            </w:tcBorders>
            <w:vAlign w:val="center"/>
          </w:tcPr>
          <w:p w14:paraId="42CBCF53">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r w14:paraId="2701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2E24B2F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其中：人工费（元）</w:t>
            </w:r>
          </w:p>
        </w:tc>
        <w:tc>
          <w:tcPr>
            <w:tcW w:w="6310" w:type="dxa"/>
            <w:tcBorders>
              <w:top w:val="single" w:color="auto" w:sz="4" w:space="0"/>
              <w:left w:val="single" w:color="auto" w:sz="4" w:space="0"/>
              <w:bottom w:val="single" w:color="auto" w:sz="4" w:space="0"/>
              <w:right w:val="single" w:color="auto" w:sz="4" w:space="0"/>
            </w:tcBorders>
            <w:vAlign w:val="center"/>
          </w:tcPr>
          <w:p w14:paraId="08DC79E1">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r w14:paraId="7338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284B4E9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其中：绿色施工安全防护措施费（元）</w:t>
            </w:r>
          </w:p>
        </w:tc>
        <w:tc>
          <w:tcPr>
            <w:tcW w:w="6310" w:type="dxa"/>
            <w:tcBorders>
              <w:top w:val="single" w:color="auto" w:sz="4" w:space="0"/>
              <w:left w:val="single" w:color="auto" w:sz="4" w:space="0"/>
              <w:bottom w:val="single" w:color="auto" w:sz="4" w:space="0"/>
              <w:right w:val="single" w:color="auto" w:sz="4" w:space="0"/>
            </w:tcBorders>
            <w:vAlign w:val="center"/>
          </w:tcPr>
          <w:p w14:paraId="36D14F2E">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r w14:paraId="1775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545FFCD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投标总工期</w:t>
            </w:r>
          </w:p>
        </w:tc>
        <w:tc>
          <w:tcPr>
            <w:tcW w:w="6310" w:type="dxa"/>
            <w:tcBorders>
              <w:top w:val="single" w:color="auto" w:sz="4" w:space="0"/>
              <w:left w:val="single" w:color="auto" w:sz="4" w:space="0"/>
              <w:bottom w:val="single" w:color="auto" w:sz="4" w:space="0"/>
              <w:right w:val="single" w:color="auto" w:sz="4" w:space="0"/>
            </w:tcBorders>
            <w:vAlign w:val="center"/>
          </w:tcPr>
          <w:p w14:paraId="14C6C07E">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r w14:paraId="5BCD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4174A39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工程质量标准</w:t>
            </w:r>
          </w:p>
        </w:tc>
        <w:tc>
          <w:tcPr>
            <w:tcW w:w="6310" w:type="dxa"/>
            <w:tcBorders>
              <w:top w:val="single" w:color="auto" w:sz="4" w:space="0"/>
              <w:left w:val="single" w:color="auto" w:sz="4" w:space="0"/>
              <w:bottom w:val="single" w:color="auto" w:sz="4" w:space="0"/>
              <w:right w:val="single" w:color="auto" w:sz="4" w:space="0"/>
            </w:tcBorders>
            <w:vAlign w:val="center"/>
          </w:tcPr>
          <w:p w14:paraId="5625D451">
            <w:pPr>
              <w:keepNext w:val="0"/>
              <w:keepLines w:val="0"/>
              <w:suppressLineNumbers w:val="0"/>
              <w:autoSpaceDE w:val="0"/>
              <w:autoSpaceDN w:val="0"/>
              <w:adjustRightInd w:val="0"/>
              <w:spacing w:before="0" w:beforeAutospacing="0" w:after="0" w:afterAutospacing="0"/>
              <w:ind w:left="0" w:right="0"/>
              <w:jc w:val="center"/>
              <w:rPr>
                <w:rFonts w:hint="default"/>
              </w:rPr>
            </w:pPr>
          </w:p>
        </w:tc>
      </w:tr>
      <w:tr w14:paraId="1EC5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069" w:type="dxa"/>
            <w:tcBorders>
              <w:top w:val="single" w:color="auto" w:sz="4" w:space="0"/>
              <w:left w:val="single" w:color="auto" w:sz="4" w:space="0"/>
              <w:bottom w:val="single" w:color="auto" w:sz="4" w:space="0"/>
              <w:right w:val="single" w:color="auto" w:sz="4" w:space="0"/>
            </w:tcBorders>
            <w:vAlign w:val="center"/>
          </w:tcPr>
          <w:p w14:paraId="20DAAB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szCs w:val="24"/>
                <w:lang w:val="zh-CN"/>
              </w:rPr>
            </w:pPr>
            <w:r>
              <w:rPr>
                <w:rFonts w:hint="eastAsia" w:ascii="宋体" w:hAnsi="宋体" w:cs="宋体"/>
                <w:b/>
                <w:sz w:val="24"/>
                <w:szCs w:val="24"/>
                <w:lang w:val="zh-CN"/>
              </w:rPr>
              <w:t>保修期限</w:t>
            </w:r>
          </w:p>
        </w:tc>
        <w:tc>
          <w:tcPr>
            <w:tcW w:w="6310" w:type="dxa"/>
            <w:tcBorders>
              <w:top w:val="single" w:color="auto" w:sz="4" w:space="0"/>
              <w:left w:val="single" w:color="auto" w:sz="4" w:space="0"/>
              <w:bottom w:val="single" w:color="auto" w:sz="4" w:space="0"/>
              <w:right w:val="single" w:color="auto" w:sz="4" w:space="0"/>
            </w:tcBorders>
            <w:vAlign w:val="center"/>
          </w:tcPr>
          <w:p w14:paraId="5040149B">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sz w:val="24"/>
                <w:szCs w:val="24"/>
                <w:lang w:val="zh-CN"/>
              </w:rPr>
            </w:pPr>
          </w:p>
        </w:tc>
      </w:tr>
    </w:tbl>
    <w:p w14:paraId="1387E107">
      <w:pPr>
        <w:tabs>
          <w:tab w:val="left" w:pos="720"/>
        </w:tabs>
        <w:snapToGrid w:val="0"/>
        <w:spacing w:line="360" w:lineRule="auto"/>
        <w:rPr>
          <w:sz w:val="24"/>
          <w:szCs w:val="24"/>
        </w:rPr>
      </w:pPr>
    </w:p>
    <w:p w14:paraId="68E86C91">
      <w:pPr>
        <w:widowControl/>
        <w:topLinePunct/>
        <w:adjustRightInd w:val="0"/>
        <w:snapToGrid w:val="0"/>
        <w:spacing w:after="200"/>
        <w:jc w:val="left"/>
        <w:outlineLvl w:val="2"/>
        <w:rPr>
          <w:rFonts w:ascii="宋体" w:hAnsi="宋体"/>
          <w:spacing w:val="4"/>
          <w:kern w:val="0"/>
          <w:sz w:val="24"/>
          <w:szCs w:val="24"/>
        </w:rPr>
      </w:pPr>
      <w:r>
        <w:rPr>
          <w:sz w:val="24"/>
          <w:szCs w:val="24"/>
        </w:rPr>
        <w:br w:type="page"/>
      </w:r>
      <w:bookmarkStart w:id="51" w:name="_Toc29476913"/>
      <w:bookmarkStart w:id="52" w:name="_Toc504722505"/>
      <w:bookmarkStart w:id="53" w:name="_Toc62056034"/>
      <w:bookmarkStart w:id="54" w:name="_Toc4489937"/>
      <w:bookmarkStart w:id="55" w:name="_Toc22278"/>
      <w:r>
        <w:rPr>
          <w:rFonts w:hint="eastAsia" w:ascii="宋体" w:hAnsi="宋体"/>
          <w:spacing w:val="4"/>
          <w:kern w:val="0"/>
          <w:sz w:val="24"/>
          <w:szCs w:val="24"/>
        </w:rPr>
        <w:t>格式三：投标函</w:t>
      </w:r>
      <w:bookmarkEnd w:id="51"/>
      <w:bookmarkEnd w:id="52"/>
      <w:bookmarkEnd w:id="53"/>
      <w:bookmarkEnd w:id="54"/>
      <w:bookmarkEnd w:id="55"/>
    </w:p>
    <w:p w14:paraId="64231302">
      <w:pPr>
        <w:widowControl/>
        <w:topLinePunct/>
        <w:adjustRightInd w:val="0"/>
        <w:snapToGrid w:val="0"/>
        <w:spacing w:after="200" w:line="360" w:lineRule="auto"/>
        <w:jc w:val="center"/>
        <w:rPr>
          <w:rFonts w:ascii="宋体" w:hAnsi="宋体"/>
          <w:b/>
          <w:spacing w:val="4"/>
          <w:kern w:val="0"/>
          <w:sz w:val="36"/>
          <w:szCs w:val="36"/>
        </w:rPr>
      </w:pPr>
      <w:r>
        <w:rPr>
          <w:rFonts w:hint="eastAsia" w:ascii="宋体" w:hAnsi="宋体"/>
          <w:b/>
          <w:spacing w:val="4"/>
          <w:kern w:val="0"/>
          <w:sz w:val="36"/>
          <w:szCs w:val="36"/>
        </w:rPr>
        <w:t>投 标 函</w:t>
      </w:r>
    </w:p>
    <w:p w14:paraId="706D4D2D">
      <w:pPr>
        <w:widowControl/>
        <w:topLinePunct/>
        <w:adjustRightInd w:val="0"/>
        <w:snapToGrid w:val="0"/>
        <w:spacing w:after="2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致：</w:t>
      </w:r>
      <w:r>
        <w:rPr>
          <w:rFonts w:hint="eastAsia" w:ascii="宋体" w:hAnsi="宋体"/>
          <w:spacing w:val="4"/>
          <w:kern w:val="0"/>
          <w:sz w:val="24"/>
          <w:szCs w:val="24"/>
          <w:u w:val="single"/>
        </w:rPr>
        <w:t xml:space="preserve"> （招标人名称） </w:t>
      </w:r>
    </w:p>
    <w:p w14:paraId="67297F21">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1.根据招标人</w:t>
      </w:r>
      <w:r>
        <w:rPr>
          <w:rFonts w:hint="eastAsia" w:ascii="宋体" w:hAnsi="宋体"/>
          <w:spacing w:val="4"/>
          <w:kern w:val="0"/>
          <w:sz w:val="24"/>
          <w:szCs w:val="24"/>
          <w:u w:val="single"/>
        </w:rPr>
        <w:t xml:space="preserve"> （工程项目名称） </w:t>
      </w:r>
      <w:r>
        <w:rPr>
          <w:rFonts w:hint="eastAsia" w:ascii="宋体" w:hAnsi="宋体"/>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661E0EB9">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2.我方已详细审核全部招标文件，包括修改文件（如有时）及有关附件。</w:t>
      </w:r>
    </w:p>
    <w:p w14:paraId="3156756C">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3.如果我方中标，我方保证按照合同文件中规定的开工日期开始施工，并按规定的预计竣工日期完成和交付全部工程。</w:t>
      </w:r>
    </w:p>
    <w:p w14:paraId="60F3F2FF">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4.如果我方中标，我方承诺在充分考虑场地环境变化及政策性调整等风险因素的前提下，继续</w:t>
      </w:r>
      <w:r>
        <w:rPr>
          <w:rFonts w:hint="eastAsia" w:ascii="宋体" w:hAnsi="宋体"/>
          <w:spacing w:val="4"/>
          <w:kern w:val="0"/>
          <w:sz w:val="24"/>
          <w:szCs w:val="24"/>
          <w:lang w:val="en-US" w:eastAsia="zh-CN"/>
        </w:rPr>
        <w:t>按照《暨南大学学生宿舍及学生活动中心修缮项目实施需求书》要求</w:t>
      </w:r>
      <w:r>
        <w:rPr>
          <w:rFonts w:hint="eastAsia" w:ascii="宋体" w:hAnsi="宋体"/>
          <w:spacing w:val="4"/>
          <w:kern w:val="0"/>
          <w:sz w:val="24"/>
          <w:szCs w:val="24"/>
        </w:rPr>
        <w:t>补充完善施工组织设计，直至招标人满意为止并加以实施，由此产生的费用已包含在投标报价中。</w:t>
      </w:r>
    </w:p>
    <w:p w14:paraId="757088F2">
      <w:pPr>
        <w:widowControl/>
        <w:topLinePunct/>
        <w:adjustRightInd w:val="0"/>
        <w:snapToGrid w:val="0"/>
        <w:spacing w:after="100" w:line="360" w:lineRule="auto"/>
        <w:ind w:firstLine="496" w:firstLineChars="200"/>
        <w:jc w:val="left"/>
        <w:rPr>
          <w:rFonts w:ascii="宋体" w:hAnsi="宋体"/>
          <w:spacing w:val="4"/>
          <w:kern w:val="0"/>
          <w:sz w:val="24"/>
          <w:szCs w:val="24"/>
          <w:u w:val="single"/>
        </w:rPr>
      </w:pPr>
      <w:r>
        <w:rPr>
          <w:rFonts w:hint="eastAsia" w:ascii="宋体" w:hAnsi="宋体"/>
          <w:spacing w:val="4"/>
          <w:kern w:val="0"/>
          <w:sz w:val="24"/>
          <w:szCs w:val="24"/>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2A220B80">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6.如果我方中标，我方将按照招标文件的规定，按时提交履约担保，以保障本项目优质、优价、按期、顺利完成。</w:t>
      </w:r>
    </w:p>
    <w:p w14:paraId="01F8A52F">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7.我方同意所提交的投标文件在招标文件投标须知中第13条规定的投标有效期内有效，在此期限届满之前，本投标书始终将对我方具有约束力，并随时接受中标。</w:t>
      </w:r>
    </w:p>
    <w:p w14:paraId="25D0D114">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8.在合同协议书正式签署生效之前，本投标书连同你单位的中标通知书将构成我们双方之间共同遵守的文件，对双方具有约束力。</w:t>
      </w:r>
    </w:p>
    <w:p w14:paraId="20426A98">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9.随同本投标文件，如果我方在投标文件有效期内撤回投标文件；或在接到中标通知书后28天内未能或拒绝签订合同协议书；或未能按招标文件要求提交履约担保，你单位有权</w:t>
      </w:r>
      <w:r>
        <w:rPr>
          <w:rFonts w:hint="eastAsia" w:ascii="宋体" w:hAnsi="宋体"/>
          <w:b/>
          <w:bCs/>
          <w:spacing w:val="4"/>
          <w:kern w:val="0"/>
          <w:sz w:val="24"/>
          <w:szCs w:val="24"/>
          <w:u w:val="single"/>
        </w:rPr>
        <w:t>要求我方对由此造成的损失作出赔偿</w:t>
      </w:r>
      <w:r>
        <w:rPr>
          <w:rFonts w:hint="eastAsia" w:ascii="宋体" w:hAnsi="宋体"/>
          <w:spacing w:val="4"/>
          <w:kern w:val="0"/>
          <w:sz w:val="24"/>
          <w:szCs w:val="24"/>
        </w:rPr>
        <w:t>，另选中</w:t>
      </w:r>
      <w:bookmarkStart w:id="56" w:name="_Toc484958693"/>
      <w:r>
        <w:rPr>
          <w:rFonts w:hint="eastAsia" w:ascii="宋体" w:hAnsi="宋体"/>
          <w:spacing w:val="4"/>
          <w:kern w:val="0"/>
          <w:sz w:val="24"/>
          <w:szCs w:val="24"/>
        </w:rPr>
        <w:t>标单位。</w:t>
      </w:r>
    </w:p>
    <w:p w14:paraId="61FA94C2">
      <w:pPr>
        <w:widowControl/>
        <w:topLinePunct/>
        <w:adjustRightInd w:val="0"/>
        <w:snapToGrid w:val="0"/>
        <w:spacing w:after="100" w:line="360" w:lineRule="auto"/>
        <w:ind w:firstLine="496" w:firstLineChars="200"/>
        <w:jc w:val="left"/>
        <w:rPr>
          <w:rFonts w:ascii="宋体" w:hAnsi="宋体"/>
          <w:spacing w:val="4"/>
          <w:kern w:val="0"/>
          <w:sz w:val="24"/>
          <w:szCs w:val="24"/>
        </w:rPr>
      </w:pPr>
      <w:r>
        <w:rPr>
          <w:rFonts w:hint="eastAsia" w:ascii="宋体" w:hAnsi="宋体"/>
          <w:spacing w:val="4"/>
          <w:kern w:val="0"/>
          <w:sz w:val="24"/>
          <w:szCs w:val="24"/>
        </w:rPr>
        <w:t>10.我方</w:t>
      </w:r>
      <w:bookmarkEnd w:id="56"/>
      <w:r>
        <w:rPr>
          <w:rFonts w:hint="eastAsia" w:ascii="宋体" w:hAnsi="宋体"/>
          <w:spacing w:val="4"/>
          <w:kern w:val="0"/>
          <w:sz w:val="24"/>
          <w:szCs w:val="24"/>
        </w:rPr>
        <w:t>理解</w:t>
      </w:r>
      <w:bookmarkStart w:id="57" w:name="_Toc484958694"/>
      <w:r>
        <w:rPr>
          <w:rFonts w:hint="eastAsia" w:ascii="宋体" w:hAnsi="宋体"/>
          <w:spacing w:val="4"/>
          <w:kern w:val="0"/>
          <w:sz w:val="24"/>
          <w:szCs w:val="24"/>
        </w:rPr>
        <w:t>，你单位不一</w:t>
      </w:r>
      <w:bookmarkEnd w:id="57"/>
      <w:r>
        <w:rPr>
          <w:rFonts w:hint="eastAsia" w:ascii="宋体" w:hAnsi="宋体"/>
          <w:spacing w:val="4"/>
          <w:kern w:val="0"/>
          <w:sz w:val="24"/>
          <w:szCs w:val="24"/>
        </w:rPr>
        <w:t>定</w:t>
      </w:r>
      <w:bookmarkStart w:id="58" w:name="_Toc484958695"/>
      <w:r>
        <w:rPr>
          <w:rFonts w:hint="eastAsia" w:ascii="宋体" w:hAnsi="宋体"/>
          <w:spacing w:val="4"/>
          <w:kern w:val="0"/>
          <w:sz w:val="24"/>
          <w:szCs w:val="24"/>
        </w:rPr>
        <w:t>接受最低</w:t>
      </w:r>
      <w:bookmarkEnd w:id="58"/>
      <w:r>
        <w:rPr>
          <w:rFonts w:hint="eastAsia" w:ascii="宋体" w:hAnsi="宋体"/>
          <w:spacing w:val="4"/>
          <w:kern w:val="0"/>
          <w:sz w:val="24"/>
          <w:szCs w:val="24"/>
        </w:rPr>
        <w:t>标</w:t>
      </w:r>
      <w:bookmarkStart w:id="59" w:name="_Toc484958696"/>
      <w:r>
        <w:rPr>
          <w:rFonts w:hint="eastAsia" w:ascii="宋体" w:hAnsi="宋体"/>
          <w:spacing w:val="4"/>
          <w:kern w:val="0"/>
          <w:sz w:val="24"/>
          <w:szCs w:val="24"/>
        </w:rPr>
        <w:t>价的</w:t>
      </w:r>
      <w:bookmarkEnd w:id="59"/>
      <w:r>
        <w:rPr>
          <w:rFonts w:hint="eastAsia" w:ascii="宋体" w:hAnsi="宋体"/>
          <w:spacing w:val="4"/>
          <w:kern w:val="0"/>
          <w:sz w:val="24"/>
          <w:szCs w:val="24"/>
        </w:rPr>
        <w:t>投</w:t>
      </w:r>
      <w:bookmarkStart w:id="60" w:name="_Toc484958697"/>
      <w:r>
        <w:rPr>
          <w:rFonts w:hint="eastAsia" w:ascii="宋体" w:hAnsi="宋体"/>
          <w:spacing w:val="4"/>
          <w:kern w:val="0"/>
          <w:sz w:val="24"/>
          <w:szCs w:val="24"/>
        </w:rPr>
        <w:t>标或你单位接到的其它任何投标。同</w:t>
      </w:r>
      <w:bookmarkEnd w:id="60"/>
      <w:r>
        <w:rPr>
          <w:rFonts w:hint="eastAsia" w:ascii="宋体" w:hAnsi="宋体"/>
          <w:spacing w:val="4"/>
          <w:kern w:val="0"/>
          <w:sz w:val="24"/>
          <w:szCs w:val="24"/>
        </w:rPr>
        <w:t>时</w:t>
      </w:r>
      <w:bookmarkStart w:id="61" w:name="_Toc484958698"/>
      <w:r>
        <w:rPr>
          <w:rFonts w:hint="eastAsia" w:ascii="宋体" w:hAnsi="宋体"/>
          <w:spacing w:val="4"/>
          <w:kern w:val="0"/>
          <w:sz w:val="24"/>
          <w:szCs w:val="24"/>
        </w:rPr>
        <w:t>也理解，你单位不负担我方的任何投</w:t>
      </w:r>
      <w:bookmarkEnd w:id="61"/>
      <w:r>
        <w:rPr>
          <w:rFonts w:hint="eastAsia" w:ascii="宋体" w:hAnsi="宋体"/>
          <w:spacing w:val="4"/>
          <w:kern w:val="0"/>
          <w:sz w:val="24"/>
          <w:szCs w:val="24"/>
        </w:rPr>
        <w:t>标</w:t>
      </w:r>
      <w:bookmarkStart w:id="62" w:name="_Toc484958699"/>
      <w:r>
        <w:rPr>
          <w:rFonts w:hint="eastAsia" w:ascii="宋体" w:hAnsi="宋体"/>
          <w:spacing w:val="4"/>
          <w:kern w:val="0"/>
          <w:sz w:val="24"/>
          <w:szCs w:val="24"/>
        </w:rPr>
        <w:t>费用</w:t>
      </w:r>
      <w:bookmarkEnd w:id="62"/>
      <w:bookmarkStart w:id="63" w:name="_Toc484958700"/>
      <w:r>
        <w:rPr>
          <w:rFonts w:hint="eastAsia" w:ascii="宋体" w:hAnsi="宋体"/>
          <w:spacing w:val="4"/>
          <w:kern w:val="0"/>
          <w:sz w:val="24"/>
          <w:szCs w:val="24"/>
        </w:rPr>
        <w:t>。</w:t>
      </w:r>
    </w:p>
    <w:p w14:paraId="0F70DC03">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684D46A3">
      <w:pPr>
        <w:widowControl/>
        <w:topLinePunct/>
        <w:adjustRightInd w:val="0"/>
        <w:snapToGrid w:val="0"/>
        <w:spacing w:after="200" w:line="360" w:lineRule="auto"/>
        <w:ind w:firstLine="691" w:firstLineChars="279"/>
        <w:jc w:val="left"/>
        <w:rPr>
          <w:rFonts w:ascii="宋体" w:hAnsi="宋体"/>
          <w:spacing w:val="4"/>
          <w:kern w:val="0"/>
          <w:sz w:val="24"/>
          <w:szCs w:val="24"/>
        </w:rPr>
      </w:pPr>
      <w:r>
        <w:rPr>
          <w:rFonts w:hint="eastAsia" w:ascii="宋体" w:hAnsi="宋体"/>
          <w:spacing w:val="4"/>
          <w:kern w:val="0"/>
          <w:sz w:val="24"/>
          <w:szCs w:val="24"/>
        </w:rPr>
        <w:t>投 标 人：</w:t>
      </w:r>
      <w:bookmarkEnd w:id="63"/>
    </w:p>
    <w:p w14:paraId="6ABB3B34">
      <w:pPr>
        <w:widowControl/>
        <w:topLinePunct/>
        <w:adjustRightInd w:val="0"/>
        <w:snapToGrid w:val="0"/>
        <w:spacing w:after="200" w:line="360" w:lineRule="auto"/>
        <w:ind w:firstLine="691" w:firstLineChars="279"/>
        <w:jc w:val="left"/>
        <w:rPr>
          <w:rFonts w:ascii="宋体" w:hAnsi="宋体"/>
          <w:spacing w:val="4"/>
          <w:kern w:val="0"/>
          <w:sz w:val="24"/>
          <w:szCs w:val="24"/>
        </w:rPr>
      </w:pPr>
      <w:bookmarkStart w:id="64" w:name="_Toc484958701"/>
      <w:r>
        <w:rPr>
          <w:rFonts w:hint="eastAsia" w:ascii="宋体" w:hAnsi="宋体"/>
          <w:spacing w:val="4"/>
          <w:kern w:val="0"/>
          <w:sz w:val="24"/>
          <w:szCs w:val="24"/>
        </w:rPr>
        <w:t>法定代表人或授权代理人（签字或盖章）</w:t>
      </w:r>
      <w:bookmarkEnd w:id="64"/>
      <w:r>
        <w:rPr>
          <w:rFonts w:hint="eastAsia" w:ascii="宋体" w:hAnsi="宋体"/>
          <w:spacing w:val="4"/>
          <w:kern w:val="0"/>
          <w:sz w:val="24"/>
          <w:szCs w:val="24"/>
        </w:rPr>
        <w:t>：</w:t>
      </w:r>
    </w:p>
    <w:p w14:paraId="680B5885">
      <w:pPr>
        <w:widowControl/>
        <w:topLinePunct/>
        <w:adjustRightInd w:val="0"/>
        <w:snapToGrid w:val="0"/>
        <w:spacing w:after="200" w:line="360" w:lineRule="auto"/>
        <w:ind w:firstLine="691" w:firstLineChars="279"/>
        <w:jc w:val="left"/>
        <w:rPr>
          <w:rFonts w:ascii="宋体" w:hAnsi="宋体"/>
          <w:spacing w:val="4"/>
          <w:kern w:val="0"/>
          <w:sz w:val="24"/>
          <w:szCs w:val="24"/>
        </w:rPr>
      </w:pPr>
      <w:r>
        <w:rPr>
          <w:rFonts w:hint="eastAsia" w:ascii="宋体" w:hAnsi="宋体"/>
          <w:spacing w:val="4"/>
          <w:kern w:val="0"/>
          <w:sz w:val="24"/>
          <w:szCs w:val="24"/>
        </w:rPr>
        <w:t xml:space="preserve">日    期：   年    月    日 </w:t>
      </w:r>
    </w:p>
    <w:p w14:paraId="4D9BB4C8">
      <w:pPr>
        <w:pStyle w:val="4"/>
        <w:spacing w:after="0" w:line="360" w:lineRule="auto"/>
        <w:ind w:firstLine="0"/>
        <w:rPr>
          <w:rFonts w:ascii="宋体" w:hAnsi="宋体" w:cs="宋体"/>
          <w:b/>
          <w:color w:val="auto"/>
          <w:sz w:val="24"/>
          <w:szCs w:val="24"/>
        </w:rPr>
      </w:pPr>
    </w:p>
    <w:p w14:paraId="0F7FD15A">
      <w:pPr>
        <w:outlineLvl w:val="2"/>
      </w:pPr>
      <w:r>
        <w:rPr>
          <w:rFonts w:hint="eastAsia" w:ascii="宋体" w:hAnsi="宋体" w:cs="宋体"/>
          <w:b/>
          <w:color w:val="auto"/>
          <w:sz w:val="32"/>
          <w:szCs w:val="32"/>
        </w:rPr>
        <w:br w:type="page"/>
      </w:r>
      <w:bookmarkStart w:id="65" w:name="_Toc62056036"/>
      <w:bookmarkStart w:id="66" w:name="_Toc504722513"/>
      <w:bookmarkStart w:id="67" w:name="_Toc29476915"/>
      <w:r>
        <w:rPr>
          <w:rFonts w:hint="eastAsia" w:ascii="宋体" w:hAnsi="宋体"/>
          <w:spacing w:val="4"/>
          <w:kern w:val="0"/>
          <w:sz w:val="24"/>
          <w:szCs w:val="24"/>
        </w:rPr>
        <w:t>格式</w:t>
      </w:r>
      <w:r>
        <w:rPr>
          <w:rFonts w:hint="eastAsia" w:ascii="宋体" w:hAnsi="宋体"/>
          <w:spacing w:val="4"/>
          <w:kern w:val="0"/>
          <w:sz w:val="24"/>
          <w:szCs w:val="24"/>
          <w:lang w:val="en-US" w:eastAsia="zh-CN"/>
        </w:rPr>
        <w:t>四</w:t>
      </w:r>
      <w:r>
        <w:rPr>
          <w:rFonts w:hint="eastAsia" w:ascii="宋体" w:hAnsi="宋体"/>
          <w:spacing w:val="4"/>
          <w:kern w:val="0"/>
          <w:sz w:val="24"/>
          <w:szCs w:val="24"/>
        </w:rPr>
        <w:t>：法定代表人证明书、授权委托书</w:t>
      </w:r>
      <w:bookmarkEnd w:id="65"/>
      <w:bookmarkEnd w:id="66"/>
      <w:bookmarkEnd w:id="67"/>
    </w:p>
    <w:p w14:paraId="1E2A5BC9">
      <w:pPr>
        <w:widowControl/>
        <w:topLinePunct/>
        <w:adjustRightInd w:val="0"/>
        <w:snapToGrid w:val="0"/>
        <w:spacing w:after="200"/>
        <w:jc w:val="center"/>
        <w:rPr>
          <w:rFonts w:ascii="宋体" w:hAnsi="宋体"/>
          <w:b/>
          <w:spacing w:val="4"/>
          <w:kern w:val="0"/>
          <w:sz w:val="32"/>
          <w:szCs w:val="32"/>
        </w:rPr>
      </w:pPr>
    </w:p>
    <w:p w14:paraId="5F34E8DD">
      <w:pPr>
        <w:widowControl/>
        <w:topLinePunct/>
        <w:adjustRightInd w:val="0"/>
        <w:snapToGrid w:val="0"/>
        <w:spacing w:after="200"/>
        <w:jc w:val="center"/>
        <w:rPr>
          <w:rFonts w:ascii="宋体" w:hAnsi="宋体"/>
          <w:b/>
          <w:spacing w:val="4"/>
          <w:kern w:val="0"/>
          <w:sz w:val="32"/>
          <w:szCs w:val="32"/>
        </w:rPr>
      </w:pPr>
      <w:r>
        <w:rPr>
          <w:rFonts w:hint="eastAsia" w:ascii="宋体" w:hAnsi="宋体"/>
          <w:b/>
          <w:spacing w:val="4"/>
          <w:kern w:val="0"/>
          <w:sz w:val="32"/>
          <w:szCs w:val="32"/>
        </w:rPr>
        <w:t>法定代表人证明书、授权委托书</w:t>
      </w:r>
    </w:p>
    <w:p w14:paraId="0E758BB9">
      <w:pPr>
        <w:topLinePunct/>
        <w:adjustRightInd w:val="0"/>
        <w:snapToGrid w:val="0"/>
        <w:rPr>
          <w:snapToGrid w:val="0"/>
          <w:spacing w:val="4"/>
          <w:sz w:val="24"/>
          <w:szCs w:val="24"/>
        </w:rPr>
      </w:pPr>
      <w:r>
        <w:rPr>
          <w:rFonts w:hint="eastAsia"/>
          <w:snapToGrid w:val="0"/>
          <w:spacing w:val="4"/>
          <w:sz w:val="24"/>
          <w:szCs w:val="24"/>
        </w:rPr>
        <w:t>（1）法定代表人证明书</w:t>
      </w:r>
    </w:p>
    <w:p w14:paraId="0B28F5BB">
      <w:pPr>
        <w:topLinePunct/>
        <w:adjustRightInd w:val="0"/>
        <w:snapToGrid w:val="0"/>
        <w:ind w:right="668"/>
        <w:jc w:val="right"/>
        <w:rPr>
          <w:snapToGrid w:val="0"/>
          <w:spacing w:val="4"/>
          <w:sz w:val="24"/>
          <w:szCs w:val="24"/>
        </w:rPr>
      </w:pPr>
      <w: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635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265F8ADA">
                            <w:pPr>
                              <w:pStyle w:val="56"/>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A2CD836">
                            <w:pPr>
                              <w:pStyle w:val="56"/>
                              <w:ind w:firstLine="0" w:firstLineChars="0"/>
                              <w:rPr>
                                <w:rFonts w:ascii="宋体" w:hAnsi="宋体"/>
                                <w:szCs w:val="28"/>
                              </w:rPr>
                            </w:pPr>
                            <w:r>
                              <w:rPr>
                                <w:rFonts w:hint="eastAsia" w:ascii="宋体" w:hAnsi="宋体"/>
                                <w:szCs w:val="28"/>
                              </w:rPr>
                              <w:t>特此证明。</w:t>
                            </w:r>
                          </w:p>
                          <w:p w14:paraId="13426D55">
                            <w:pPr>
                              <w:pStyle w:val="56"/>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6D46F2E5">
                            <w:pPr>
                              <w:pStyle w:val="56"/>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7BF51A82">
                            <w:pPr>
                              <w:pStyle w:val="56"/>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989ABC">
                            <w:pPr>
                              <w:pStyle w:val="56"/>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2EDA07EE">
                            <w:pPr>
                              <w:pStyle w:val="56"/>
                              <w:ind w:firstLine="0" w:firstLineChars="0"/>
                              <w:rPr>
                                <w:rFonts w:ascii="宋体" w:hAnsi="宋体"/>
                                <w:szCs w:val="28"/>
                              </w:rPr>
                            </w:pPr>
                            <w:r>
                              <w:rPr>
                                <w:rFonts w:hint="eastAsia" w:ascii="宋体" w:hAnsi="宋体"/>
                                <w:szCs w:val="28"/>
                              </w:rPr>
                              <w:t>　　　　　　　　　　单位：　　　　　　　　　　　（盖章）</w:t>
                            </w:r>
                          </w:p>
                          <w:p w14:paraId="356F55E8">
                            <w:pPr>
                              <w:pStyle w:val="56"/>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14:paraId="265F8ADA">
                      <w:pPr>
                        <w:pStyle w:val="56"/>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5A2CD836">
                      <w:pPr>
                        <w:pStyle w:val="56"/>
                        <w:ind w:firstLine="0" w:firstLineChars="0"/>
                        <w:rPr>
                          <w:rFonts w:ascii="宋体" w:hAnsi="宋体"/>
                          <w:szCs w:val="28"/>
                        </w:rPr>
                      </w:pPr>
                      <w:r>
                        <w:rPr>
                          <w:rFonts w:hint="eastAsia" w:ascii="宋体" w:hAnsi="宋体"/>
                          <w:szCs w:val="28"/>
                        </w:rPr>
                        <w:t>特此证明。</w:t>
                      </w:r>
                    </w:p>
                    <w:p w14:paraId="13426D55">
                      <w:pPr>
                        <w:pStyle w:val="56"/>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6D46F2E5">
                      <w:pPr>
                        <w:pStyle w:val="56"/>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7BF51A82">
                      <w:pPr>
                        <w:pStyle w:val="56"/>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989ABC">
                      <w:pPr>
                        <w:pStyle w:val="56"/>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2EDA07EE">
                      <w:pPr>
                        <w:pStyle w:val="56"/>
                        <w:ind w:firstLine="0" w:firstLineChars="0"/>
                        <w:rPr>
                          <w:rFonts w:ascii="宋体" w:hAnsi="宋体"/>
                          <w:szCs w:val="28"/>
                        </w:rPr>
                      </w:pPr>
                      <w:r>
                        <w:rPr>
                          <w:rFonts w:hint="eastAsia" w:ascii="宋体" w:hAnsi="宋体"/>
                          <w:szCs w:val="28"/>
                        </w:rPr>
                        <w:t>　　　　　　　　　　单位：　　　　　　　　　　　（盖章）</w:t>
                      </w:r>
                    </w:p>
                    <w:p w14:paraId="356F55E8">
                      <w:pPr>
                        <w:pStyle w:val="56"/>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spacing w:val="4"/>
          <w:sz w:val="24"/>
          <w:szCs w:val="24"/>
        </w:rPr>
        <w:t>（　 ）第　号</w:t>
      </w:r>
    </w:p>
    <w:p w14:paraId="132D5B2E">
      <w:pPr>
        <w:rPr>
          <w:snapToGrid w:val="0"/>
          <w:spacing w:val="4"/>
          <w:sz w:val="24"/>
          <w:szCs w:val="24"/>
        </w:rPr>
      </w:pPr>
    </w:p>
    <w:p w14:paraId="68A7A8AE">
      <w:pPr>
        <w:topLinePunct/>
        <w:adjustRightInd w:val="0"/>
        <w:snapToGrid w:val="0"/>
        <w:ind w:firstLine="496" w:firstLineChars="200"/>
        <w:rPr>
          <w:snapToGrid w:val="0"/>
          <w:spacing w:val="4"/>
          <w:sz w:val="24"/>
          <w:szCs w:val="24"/>
        </w:rPr>
      </w:pPr>
      <w:r>
        <w:rPr>
          <w:rFonts w:hint="eastAsia"/>
          <w:snapToGrid w:val="0"/>
          <w:spacing w:val="4"/>
          <w:sz w:val="24"/>
          <w:szCs w:val="24"/>
        </w:rPr>
        <w:t>（2）法定代表人授权委托书</w:t>
      </w:r>
    </w:p>
    <w:p w14:paraId="50046046">
      <w:pPr>
        <w:topLinePunct/>
        <w:adjustRightInd w:val="0"/>
        <w:snapToGrid w:val="0"/>
        <w:ind w:firstLine="496" w:firstLineChars="200"/>
        <w:rPr>
          <w:snapToGrid w:val="0"/>
          <w:spacing w:val="4"/>
          <w:sz w:val="24"/>
          <w:szCs w:val="24"/>
        </w:rPr>
      </w:pPr>
      <w:r>
        <w:rPr>
          <w:rFonts w:hint="eastAsia"/>
          <w:snapToGrid w:val="0"/>
          <w:spacing w:val="4"/>
          <w:sz w:val="24"/>
          <w:szCs w:val="24"/>
        </w:rPr>
        <w:t xml:space="preserve">                                                 （   ）第  号</w:t>
      </w:r>
    </w:p>
    <w:p w14:paraId="34E58036">
      <w:pPr>
        <w:topLinePunct/>
        <w:adjustRightInd w:val="0"/>
        <w:snapToGrid w:val="0"/>
        <w:spacing w:line="360" w:lineRule="auto"/>
        <w:ind w:firstLine="420" w:firstLineChars="200"/>
        <w:rPr>
          <w:snapToGrid w:val="0"/>
          <w:spacing w:val="4"/>
          <w:sz w:val="24"/>
          <w:szCs w:val="2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508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13AC3DE7">
                            <w:pPr>
                              <w:pStyle w:val="56"/>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B5921F7">
                            <w:pPr>
                              <w:pStyle w:val="56"/>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2B2EC3FC">
                            <w:pPr>
                              <w:pStyle w:val="56"/>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7981472">
                            <w:pPr>
                              <w:pStyle w:val="56"/>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3AEF12E">
                            <w:pPr>
                              <w:pStyle w:val="56"/>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60A2A7F">
                            <w:pPr>
                              <w:pStyle w:val="56"/>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2A9EB18D">
                            <w:pPr>
                              <w:pStyle w:val="56"/>
                              <w:ind w:firstLine="0" w:firstLineChars="0"/>
                              <w:rPr>
                                <w:rFonts w:ascii="宋体" w:hAnsi="宋体"/>
                              </w:rPr>
                            </w:pPr>
                            <w:r>
                              <w:rPr>
                                <w:rFonts w:hint="eastAsia" w:ascii="宋体" w:hAnsi="宋体"/>
                              </w:rPr>
                              <w:t>授权单位：（盖章）</w:t>
                            </w:r>
                            <w:r>
                              <w:rPr>
                                <w:rFonts w:ascii="宋体" w:hAnsi="宋体"/>
                                <w:u w:val="single"/>
                              </w:rPr>
                              <w:t xml:space="preserve">                      </w:t>
                            </w:r>
                          </w:p>
                          <w:p w14:paraId="4F9C5BB1">
                            <w:pPr>
                              <w:pStyle w:val="56"/>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14:paraId="13AC3DE7">
                      <w:pPr>
                        <w:pStyle w:val="56"/>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B5921F7">
                      <w:pPr>
                        <w:pStyle w:val="56"/>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2B2EC3FC">
                      <w:pPr>
                        <w:pStyle w:val="56"/>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7981472">
                      <w:pPr>
                        <w:pStyle w:val="56"/>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3AEF12E">
                      <w:pPr>
                        <w:pStyle w:val="56"/>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60A2A7F">
                      <w:pPr>
                        <w:pStyle w:val="56"/>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2A9EB18D">
                      <w:pPr>
                        <w:pStyle w:val="56"/>
                        <w:ind w:firstLine="0" w:firstLineChars="0"/>
                        <w:rPr>
                          <w:rFonts w:ascii="宋体" w:hAnsi="宋体"/>
                        </w:rPr>
                      </w:pPr>
                      <w:r>
                        <w:rPr>
                          <w:rFonts w:hint="eastAsia" w:ascii="宋体" w:hAnsi="宋体"/>
                        </w:rPr>
                        <w:t>授权单位：（盖章）</w:t>
                      </w:r>
                      <w:r>
                        <w:rPr>
                          <w:rFonts w:ascii="宋体" w:hAnsi="宋体"/>
                          <w:u w:val="single"/>
                        </w:rPr>
                        <w:t xml:space="preserve">                      </w:t>
                      </w:r>
                    </w:p>
                    <w:p w14:paraId="4F9C5BB1">
                      <w:pPr>
                        <w:pStyle w:val="56"/>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14:paraId="3ABBA9E9">
      <w:bookmarkStart w:id="68" w:name="_Toc4339798"/>
      <w:bookmarkStart w:id="69" w:name="_Toc3736"/>
      <w:bookmarkStart w:id="70" w:name="_Toc4486079"/>
      <w:bookmarkStart w:id="71" w:name="_Toc4340136"/>
      <w:bookmarkStart w:id="72" w:name="_Toc4489947"/>
      <w:r>
        <w:rPr>
          <w:rFonts w:hint="eastAsia"/>
        </w:rPr>
        <w:t>注：按提供的格式或使用从工商管理部门购买的格式填写。</w:t>
      </w:r>
      <w:bookmarkEnd w:id="68"/>
      <w:bookmarkEnd w:id="69"/>
      <w:bookmarkEnd w:id="70"/>
      <w:bookmarkEnd w:id="71"/>
      <w:bookmarkEnd w:id="72"/>
    </w:p>
    <w:p w14:paraId="22679142">
      <w:pPr>
        <w:widowControl/>
        <w:topLinePunct/>
        <w:adjustRightInd w:val="0"/>
        <w:snapToGrid w:val="0"/>
        <w:spacing w:after="200"/>
        <w:jc w:val="left"/>
        <w:outlineLvl w:val="2"/>
        <w:rPr>
          <w:rFonts w:ascii="宋体" w:hAnsi="宋体"/>
          <w:spacing w:val="4"/>
          <w:kern w:val="0"/>
          <w:sz w:val="24"/>
          <w:szCs w:val="24"/>
        </w:rPr>
      </w:pPr>
      <w:r>
        <w:rPr>
          <w:rFonts w:hint="eastAsia" w:ascii="宋体" w:hAnsi="宋体" w:cs="宋体"/>
          <w:color w:val="auto"/>
          <w:szCs w:val="21"/>
        </w:rPr>
        <w:br w:type="page"/>
      </w:r>
      <w:bookmarkStart w:id="73" w:name="_Toc29476916"/>
      <w:bookmarkStart w:id="74" w:name="_Toc62056037"/>
      <w:bookmarkStart w:id="75" w:name="_Toc4489948"/>
      <w:r>
        <w:rPr>
          <w:rFonts w:hint="eastAsia" w:ascii="宋体" w:hAnsi="宋体" w:eastAsia="宋体" w:cs="Times New Roman"/>
          <w:spacing w:val="4"/>
          <w:kern w:val="0"/>
          <w:sz w:val="24"/>
          <w:szCs w:val="24"/>
        </w:rPr>
        <w:t>格式</w:t>
      </w:r>
      <w:r>
        <w:rPr>
          <w:rFonts w:hint="eastAsia" w:ascii="宋体" w:hAnsi="宋体" w:eastAsia="宋体" w:cs="Times New Roman"/>
          <w:spacing w:val="4"/>
          <w:kern w:val="0"/>
          <w:sz w:val="24"/>
          <w:szCs w:val="24"/>
          <w:lang w:val="en-US" w:eastAsia="zh-CN"/>
        </w:rPr>
        <w:t>五</w:t>
      </w:r>
      <w:r>
        <w:rPr>
          <w:rFonts w:hint="eastAsia" w:ascii="宋体" w:hAnsi="宋体" w:eastAsia="宋体" w:cs="Times New Roman"/>
          <w:spacing w:val="4"/>
          <w:kern w:val="0"/>
          <w:sz w:val="24"/>
          <w:szCs w:val="24"/>
        </w:rPr>
        <w:t>：</w:t>
      </w:r>
      <w:bookmarkEnd w:id="73"/>
      <w:bookmarkEnd w:id="74"/>
      <w:bookmarkEnd w:id="75"/>
      <w:r>
        <w:rPr>
          <w:rFonts w:hint="eastAsia" w:ascii="宋体" w:hAnsi="宋体"/>
          <w:spacing w:val="4"/>
          <w:kern w:val="0"/>
          <w:sz w:val="24"/>
          <w:szCs w:val="24"/>
        </w:rPr>
        <w:t>投入主要人员汇总表</w:t>
      </w:r>
    </w:p>
    <w:p w14:paraId="09F28793">
      <w:pPr>
        <w:pStyle w:val="103"/>
        <w:rPr>
          <w:rFonts w:ascii="宋体" w:hAnsi="宋体" w:eastAsia="宋体" w:cs="宋体"/>
          <w:b w:val="0"/>
          <w:color w:val="auto"/>
        </w:rPr>
      </w:pPr>
      <w:r>
        <w:rPr>
          <w:rFonts w:hint="eastAsia" w:ascii="宋体" w:hAnsi="宋体" w:eastAsia="宋体" w:cs="宋体"/>
          <w:b w:val="0"/>
          <w:color w:val="auto"/>
        </w:rPr>
        <w:t>投入主要人员汇总表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31"/>
        <w:gridCol w:w="874"/>
        <w:gridCol w:w="874"/>
        <w:gridCol w:w="874"/>
        <w:gridCol w:w="874"/>
        <w:gridCol w:w="874"/>
        <w:gridCol w:w="1236"/>
        <w:gridCol w:w="1161"/>
      </w:tblGrid>
      <w:tr w14:paraId="24E9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2DBCE07C">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序号</w:t>
            </w:r>
          </w:p>
        </w:tc>
        <w:tc>
          <w:tcPr>
            <w:tcW w:w="1231" w:type="dxa"/>
            <w:vAlign w:val="center"/>
          </w:tcPr>
          <w:p w14:paraId="501A47B5">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spacing w:val="-6"/>
              </w:rPr>
              <w:t>在本项目担任的职务</w:t>
            </w:r>
          </w:p>
        </w:tc>
        <w:tc>
          <w:tcPr>
            <w:tcW w:w="874" w:type="dxa"/>
            <w:vAlign w:val="center"/>
          </w:tcPr>
          <w:p w14:paraId="38EA084E">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姓名</w:t>
            </w:r>
          </w:p>
        </w:tc>
        <w:tc>
          <w:tcPr>
            <w:tcW w:w="874" w:type="dxa"/>
            <w:vAlign w:val="center"/>
          </w:tcPr>
          <w:p w14:paraId="5F19EE34">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年龄</w:t>
            </w:r>
          </w:p>
        </w:tc>
        <w:tc>
          <w:tcPr>
            <w:tcW w:w="874" w:type="dxa"/>
            <w:vAlign w:val="center"/>
          </w:tcPr>
          <w:p w14:paraId="15EFCC4A">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职称</w:t>
            </w:r>
          </w:p>
        </w:tc>
        <w:tc>
          <w:tcPr>
            <w:tcW w:w="874" w:type="dxa"/>
            <w:vAlign w:val="center"/>
          </w:tcPr>
          <w:p w14:paraId="428151E7">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专业</w:t>
            </w:r>
          </w:p>
        </w:tc>
        <w:tc>
          <w:tcPr>
            <w:tcW w:w="874" w:type="dxa"/>
            <w:vAlign w:val="center"/>
          </w:tcPr>
          <w:p w14:paraId="530F347D">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从事相关工作年限</w:t>
            </w:r>
          </w:p>
        </w:tc>
        <w:tc>
          <w:tcPr>
            <w:tcW w:w="1236" w:type="dxa"/>
            <w:vAlign w:val="center"/>
          </w:tcPr>
          <w:p w14:paraId="59993137">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工程师注册（或岗位）证号</w:t>
            </w:r>
          </w:p>
        </w:tc>
        <w:tc>
          <w:tcPr>
            <w:tcW w:w="1161" w:type="dxa"/>
            <w:vAlign w:val="center"/>
          </w:tcPr>
          <w:p w14:paraId="2B4B32D4">
            <w:pPr>
              <w:pStyle w:val="101"/>
              <w:keepNext w:val="0"/>
              <w:keepLines w:val="0"/>
              <w:suppressLineNumbers w:val="0"/>
              <w:spacing w:before="0" w:beforeAutospacing="0" w:after="0" w:afterAutospacing="0"/>
              <w:ind w:left="0" w:right="0"/>
              <w:jc w:val="center"/>
              <w:rPr>
                <w:rFonts w:hint="default" w:hAnsi="宋体" w:cs="宋体"/>
                <w:b/>
                <w:color w:val="auto"/>
              </w:rPr>
            </w:pPr>
            <w:r>
              <w:rPr>
                <w:rFonts w:hint="eastAsia" w:hAnsi="宋体" w:cs="宋体"/>
                <w:b/>
                <w:color w:val="auto"/>
              </w:rPr>
              <w:t>备注</w:t>
            </w:r>
          </w:p>
        </w:tc>
      </w:tr>
      <w:tr w14:paraId="43BD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49E2203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0B802A8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39E0A385">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84CFC1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41742DF">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3FDD6D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3744C33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11451E8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6C60C77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6B42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09BDEA8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4554E2C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F724A3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D6FFE0E">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1172458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48E40B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4631C29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7EF46DF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6470926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5761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57AAC83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4AF5176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DBA39C6">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9754F4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967B87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155780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0BCE00E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746D6AB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49CEF3B0">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446B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2BD33BC2">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6A66D3B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0045F200">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7E9535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4A6736DE">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C74F70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16B07C6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2122B69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72C6F44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6A86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2526289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31D93D35">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43ACA982">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0774C4E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0442B70">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AFCFF9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1D21F1F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55D951F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5CE1292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621E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4AAFF13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2E69B2E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0769CF26">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C95D31E">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8709D95">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17406FD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23AA3756">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149C1962">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65213FF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7E44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15A3C46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5F114D46">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33FB11F">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12E0528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3AF57CE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AA80542">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19021A4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37012EE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1C93006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657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141CE49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1A43B28C">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09E0E2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035B839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682886E8">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9033BFC">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57A8A48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3EB4214C">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047195A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4693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029BFEC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66AD59E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E96417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6B361E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3213D6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BB5E79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19EC9B09">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1713AAC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7090616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55D5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369FB41B">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1902438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1C1395F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577BB96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FE375B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7FBEF98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5F7D6F81">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2D008C64">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7E0E0E2D">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r w14:paraId="2A05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4764EEB3">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1" w:type="dxa"/>
            <w:vAlign w:val="center"/>
          </w:tcPr>
          <w:p w14:paraId="3362999E">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6690C1C">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2FD0BC5C">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38648EFA">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vAlign w:val="center"/>
          </w:tcPr>
          <w:p w14:paraId="43104EF5">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874" w:type="dxa"/>
          </w:tcPr>
          <w:p w14:paraId="450DF8A6">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236" w:type="dxa"/>
            <w:vAlign w:val="center"/>
          </w:tcPr>
          <w:p w14:paraId="0E7CEFE7">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c>
          <w:tcPr>
            <w:tcW w:w="1161" w:type="dxa"/>
          </w:tcPr>
          <w:p w14:paraId="1D5DB7AF">
            <w:pPr>
              <w:pStyle w:val="56"/>
              <w:keepNext w:val="0"/>
              <w:keepLines w:val="0"/>
              <w:suppressLineNumbers w:val="0"/>
              <w:spacing w:before="0" w:beforeAutospacing="0" w:after="0" w:afterAutospacing="0"/>
              <w:ind w:left="0" w:right="0" w:firstLine="496"/>
              <w:rPr>
                <w:rFonts w:hint="default" w:ascii="宋体" w:hAnsi="宋体" w:cs="宋体"/>
                <w:snapToGrid w:val="0"/>
                <w:color w:val="auto"/>
                <w:kern w:val="2"/>
              </w:rPr>
            </w:pPr>
          </w:p>
        </w:tc>
      </w:tr>
    </w:tbl>
    <w:p w14:paraId="197B381F">
      <w:pPr>
        <w:pStyle w:val="56"/>
        <w:spacing w:line="400" w:lineRule="exact"/>
        <w:ind w:firstLine="496"/>
        <w:rPr>
          <w:rFonts w:ascii="宋体" w:hAnsi="宋体" w:cs="宋体"/>
          <w:color w:val="auto"/>
        </w:rPr>
      </w:pPr>
    </w:p>
    <w:p w14:paraId="2EC19717">
      <w:pPr>
        <w:spacing w:line="480" w:lineRule="auto"/>
        <w:ind w:right="420" w:firstLine="3596" w:firstLineChars="1450"/>
        <w:rPr>
          <w:rFonts w:hint="eastAsia" w:ascii="宋体" w:hAnsi="宋体" w:cs="Times New Roman"/>
          <w:spacing w:val="4"/>
          <w:kern w:val="0"/>
          <w:sz w:val="24"/>
          <w:szCs w:val="24"/>
        </w:rPr>
      </w:pPr>
      <w:r>
        <w:rPr>
          <w:rFonts w:hint="eastAsia" w:ascii="宋体" w:hAnsi="宋体" w:cs="Times New Roman"/>
          <w:spacing w:val="4"/>
          <w:kern w:val="0"/>
          <w:sz w:val="24"/>
          <w:szCs w:val="24"/>
        </w:rPr>
        <w:t>投标人：　　</w:t>
      </w:r>
    </w:p>
    <w:p w14:paraId="38391845">
      <w:pPr>
        <w:spacing w:line="480" w:lineRule="auto"/>
        <w:ind w:right="420" w:firstLine="3596" w:firstLineChars="1450"/>
        <w:rPr>
          <w:rFonts w:hint="eastAsia" w:ascii="宋体" w:hAnsi="宋体" w:cs="Times New Roman"/>
          <w:spacing w:val="4"/>
          <w:kern w:val="0"/>
          <w:sz w:val="24"/>
          <w:szCs w:val="24"/>
        </w:rPr>
      </w:pPr>
      <w:r>
        <w:rPr>
          <w:rFonts w:hint="eastAsia" w:ascii="宋体" w:hAnsi="宋体" w:cs="Times New Roman"/>
          <w:spacing w:val="4"/>
          <w:kern w:val="0"/>
          <w:sz w:val="24"/>
          <w:szCs w:val="24"/>
        </w:rPr>
        <w:t>日   期：    年    月    日</w:t>
      </w:r>
    </w:p>
    <w:p w14:paraId="5A359A5E">
      <w:pPr>
        <w:widowControl/>
        <w:topLinePunct/>
        <w:adjustRightInd w:val="0"/>
        <w:snapToGrid w:val="0"/>
        <w:spacing w:after="200" w:line="360" w:lineRule="auto"/>
        <w:ind w:firstLine="3596" w:firstLineChars="1450"/>
        <w:jc w:val="left"/>
        <w:rPr>
          <w:rFonts w:ascii="宋体" w:hAnsi="宋体"/>
          <w:spacing w:val="4"/>
          <w:kern w:val="0"/>
          <w:sz w:val="24"/>
          <w:szCs w:val="24"/>
        </w:rPr>
      </w:pPr>
    </w:p>
    <w:p w14:paraId="7240B335">
      <w:pPr>
        <w:widowControl/>
        <w:topLinePunct/>
        <w:adjustRightInd w:val="0"/>
        <w:snapToGrid w:val="0"/>
        <w:spacing w:after="200"/>
        <w:jc w:val="left"/>
        <w:outlineLvl w:val="2"/>
        <w:rPr>
          <w:rFonts w:ascii="宋体" w:hAnsi="宋体"/>
          <w:spacing w:val="4"/>
          <w:kern w:val="0"/>
          <w:sz w:val="24"/>
          <w:szCs w:val="24"/>
        </w:rPr>
      </w:pPr>
      <w:bookmarkStart w:id="76" w:name="_Toc4489950"/>
      <w:bookmarkStart w:id="77" w:name="_Toc29476918"/>
      <w:bookmarkStart w:id="78" w:name="_Toc62056040"/>
      <w:r>
        <w:rPr>
          <w:rFonts w:hint="eastAsia" w:ascii="宋体" w:hAnsi="宋体"/>
          <w:spacing w:val="4"/>
          <w:kern w:val="0"/>
          <w:sz w:val="24"/>
          <w:szCs w:val="24"/>
        </w:rPr>
        <w:br w:type="page"/>
      </w:r>
      <w:r>
        <w:rPr>
          <w:rFonts w:hint="eastAsia" w:ascii="宋体" w:hAnsi="宋体"/>
          <w:spacing w:val="4"/>
          <w:kern w:val="0"/>
          <w:sz w:val="24"/>
          <w:szCs w:val="24"/>
        </w:rPr>
        <w:t>格式</w:t>
      </w:r>
      <w:r>
        <w:rPr>
          <w:rFonts w:hint="eastAsia" w:ascii="宋体" w:hAnsi="宋体"/>
          <w:spacing w:val="4"/>
          <w:kern w:val="0"/>
          <w:sz w:val="24"/>
          <w:szCs w:val="24"/>
          <w:lang w:val="en-US" w:eastAsia="zh-CN"/>
        </w:rPr>
        <w:t>六</w:t>
      </w:r>
      <w:r>
        <w:rPr>
          <w:rFonts w:hint="eastAsia" w:ascii="宋体" w:hAnsi="宋体"/>
          <w:spacing w:val="4"/>
          <w:kern w:val="0"/>
          <w:sz w:val="24"/>
          <w:szCs w:val="24"/>
        </w:rPr>
        <w:t>：</w:t>
      </w:r>
      <w:bookmarkEnd w:id="76"/>
      <w:r>
        <w:rPr>
          <w:rFonts w:hint="eastAsia" w:ascii="宋体" w:hAnsi="宋体"/>
          <w:spacing w:val="4"/>
          <w:kern w:val="0"/>
          <w:sz w:val="24"/>
          <w:szCs w:val="24"/>
        </w:rPr>
        <w:t>主要人员简历表</w:t>
      </w:r>
      <w:bookmarkEnd w:id="77"/>
      <w:bookmarkEnd w:id="78"/>
    </w:p>
    <w:p w14:paraId="35FFAEC3">
      <w:pPr>
        <w:widowControl/>
        <w:topLinePunct/>
        <w:adjustRightInd w:val="0"/>
        <w:snapToGrid w:val="0"/>
        <w:spacing w:after="200" w:line="360" w:lineRule="auto"/>
        <w:jc w:val="center"/>
        <w:rPr>
          <w:rFonts w:ascii="宋体" w:hAnsi="宋体"/>
          <w:b/>
          <w:spacing w:val="4"/>
          <w:kern w:val="0"/>
          <w:sz w:val="36"/>
          <w:szCs w:val="36"/>
        </w:rPr>
      </w:pPr>
      <w:r>
        <w:rPr>
          <w:rFonts w:hint="eastAsia" w:ascii="宋体" w:hAnsi="宋体"/>
          <w:b/>
          <w:spacing w:val="4"/>
          <w:kern w:val="0"/>
          <w:sz w:val="36"/>
          <w:szCs w:val="36"/>
        </w:rPr>
        <w:t>主要人员简历表</w:t>
      </w:r>
    </w:p>
    <w:tbl>
      <w:tblPr>
        <w:tblStyle w:val="39"/>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225D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vAlign w:val="center"/>
          </w:tcPr>
          <w:p w14:paraId="5D138601">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姓名</w:t>
            </w:r>
          </w:p>
        </w:tc>
        <w:tc>
          <w:tcPr>
            <w:tcW w:w="2126" w:type="dxa"/>
            <w:gridSpan w:val="3"/>
            <w:vAlign w:val="center"/>
          </w:tcPr>
          <w:p w14:paraId="35953E3D">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c>
          <w:tcPr>
            <w:tcW w:w="1370" w:type="dxa"/>
            <w:gridSpan w:val="2"/>
            <w:vAlign w:val="center"/>
          </w:tcPr>
          <w:p w14:paraId="41427CFA">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性别</w:t>
            </w:r>
          </w:p>
        </w:tc>
        <w:tc>
          <w:tcPr>
            <w:tcW w:w="1701" w:type="dxa"/>
            <w:gridSpan w:val="2"/>
            <w:vAlign w:val="center"/>
          </w:tcPr>
          <w:p w14:paraId="2ED0BF76">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c>
          <w:tcPr>
            <w:tcW w:w="1182" w:type="dxa"/>
            <w:vAlign w:val="center"/>
          </w:tcPr>
          <w:p w14:paraId="3D240232">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年龄</w:t>
            </w:r>
          </w:p>
        </w:tc>
        <w:tc>
          <w:tcPr>
            <w:tcW w:w="1620" w:type="dxa"/>
            <w:gridSpan w:val="2"/>
            <w:vAlign w:val="center"/>
          </w:tcPr>
          <w:p w14:paraId="5882BBB4">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r>
      <w:tr w14:paraId="759C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vAlign w:val="center"/>
          </w:tcPr>
          <w:p w14:paraId="6CB18221">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default" w:ascii="宋体" w:hAnsi="宋体"/>
                <w:b/>
                <w:bCs/>
                <w:kern w:val="0"/>
                <w:sz w:val="22"/>
                <w:szCs w:val="21"/>
                <w:lang w:eastAsia="en-US" w:bidi="en-US"/>
              </w:rPr>
              <w:t>身份证号码</w:t>
            </w:r>
          </w:p>
        </w:tc>
        <w:tc>
          <w:tcPr>
            <w:tcW w:w="7999" w:type="dxa"/>
            <w:gridSpan w:val="10"/>
            <w:vAlign w:val="center"/>
          </w:tcPr>
          <w:p w14:paraId="109940ED">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r>
      <w:tr w14:paraId="4E8E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14:paraId="710C6CCC">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职务</w:t>
            </w:r>
          </w:p>
        </w:tc>
        <w:tc>
          <w:tcPr>
            <w:tcW w:w="2126" w:type="dxa"/>
            <w:gridSpan w:val="3"/>
            <w:vAlign w:val="center"/>
          </w:tcPr>
          <w:p w14:paraId="2DC1B32F">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c>
          <w:tcPr>
            <w:tcW w:w="1370" w:type="dxa"/>
            <w:gridSpan w:val="2"/>
            <w:vAlign w:val="center"/>
          </w:tcPr>
          <w:p w14:paraId="01876062">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职称</w:t>
            </w:r>
          </w:p>
        </w:tc>
        <w:tc>
          <w:tcPr>
            <w:tcW w:w="1701" w:type="dxa"/>
            <w:gridSpan w:val="2"/>
            <w:vAlign w:val="center"/>
          </w:tcPr>
          <w:p w14:paraId="7C90D44B">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c>
          <w:tcPr>
            <w:tcW w:w="1182" w:type="dxa"/>
            <w:vAlign w:val="center"/>
          </w:tcPr>
          <w:p w14:paraId="1591771D">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学历</w:t>
            </w:r>
          </w:p>
        </w:tc>
        <w:tc>
          <w:tcPr>
            <w:tcW w:w="1620" w:type="dxa"/>
            <w:gridSpan w:val="2"/>
            <w:vAlign w:val="center"/>
          </w:tcPr>
          <w:p w14:paraId="72507992">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r>
      <w:tr w14:paraId="4AC4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vAlign w:val="center"/>
          </w:tcPr>
          <w:p w14:paraId="7A62D5FC">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参加工作</w:t>
            </w:r>
          </w:p>
          <w:p w14:paraId="56031EB2">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时间</w:t>
            </w:r>
          </w:p>
        </w:tc>
        <w:tc>
          <w:tcPr>
            <w:tcW w:w="2126" w:type="dxa"/>
            <w:gridSpan w:val="3"/>
            <w:vAlign w:val="center"/>
          </w:tcPr>
          <w:p w14:paraId="7AFA7C38">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c>
          <w:tcPr>
            <w:tcW w:w="1370" w:type="dxa"/>
            <w:gridSpan w:val="2"/>
            <w:vAlign w:val="center"/>
          </w:tcPr>
          <w:p w14:paraId="0F353B3A">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担任相应职务年限</w:t>
            </w:r>
          </w:p>
        </w:tc>
        <w:tc>
          <w:tcPr>
            <w:tcW w:w="4503" w:type="dxa"/>
            <w:gridSpan w:val="5"/>
            <w:vAlign w:val="center"/>
          </w:tcPr>
          <w:p w14:paraId="1D58F383">
            <w:pPr>
              <w:keepNext/>
              <w:keepLines/>
              <w:widowControl/>
              <w:suppressLineNumbers w:val="0"/>
              <w:spacing w:before="120" w:beforeAutospacing="0" w:after="120" w:afterAutospacing="0" w:line="276" w:lineRule="auto"/>
              <w:ind w:left="0" w:right="0"/>
              <w:jc w:val="center"/>
              <w:outlineLvl w:val="0"/>
              <w:rPr>
                <w:rFonts w:hint="default" w:ascii="宋体" w:hAnsi="宋体"/>
                <w:b/>
                <w:kern w:val="0"/>
                <w:sz w:val="24"/>
                <w:szCs w:val="24"/>
                <w:lang w:eastAsia="en-US" w:bidi="en-US"/>
              </w:rPr>
            </w:pPr>
          </w:p>
        </w:tc>
      </w:tr>
      <w:tr w14:paraId="0043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Align w:val="center"/>
          </w:tcPr>
          <w:p w14:paraId="67556E12">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资</w:t>
            </w:r>
            <w:bookmarkStart w:id="79" w:name="_Toc358370585"/>
            <w:bookmarkStart w:id="80" w:name="_Toc352240530"/>
            <w:bookmarkStart w:id="81" w:name="_Toc239216038"/>
            <w:bookmarkStart w:id="82" w:name="_Toc318924502"/>
            <w:bookmarkStart w:id="83" w:name="_Toc395261106"/>
            <w:bookmarkStart w:id="84" w:name="_Toc337720098"/>
            <w:bookmarkStart w:id="85" w:name="_Toc226209010"/>
            <w:bookmarkStart w:id="86" w:name="_Toc163337627"/>
            <w:bookmarkStart w:id="87" w:name="_Toc352623428"/>
            <w:bookmarkStart w:id="88" w:name="_Toc369536777"/>
            <w:bookmarkStart w:id="89" w:name="_Toc449308427"/>
            <w:bookmarkStart w:id="90" w:name="_Toc239311753"/>
            <w:r>
              <w:rPr>
                <w:rFonts w:hint="eastAsia" w:ascii="宋体" w:hAnsi="宋体"/>
                <w:b/>
                <w:kern w:val="0"/>
                <w:sz w:val="24"/>
                <w:szCs w:val="24"/>
                <w:lang w:eastAsia="en-US" w:bidi="en-US"/>
              </w:rPr>
              <w:t>格证书号</w:t>
            </w:r>
          </w:p>
        </w:tc>
        <w:tc>
          <w:tcPr>
            <w:tcW w:w="7999" w:type="dxa"/>
            <w:gridSpan w:val="10"/>
            <w:vAlign w:val="center"/>
          </w:tcPr>
          <w:p w14:paraId="14E16B85">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spacing w:val="4"/>
                <w:sz w:val="24"/>
                <w:szCs w:val="24"/>
                <w:lang w:bidi="en-US"/>
              </w:rPr>
            </w:pPr>
          </w:p>
        </w:tc>
      </w:tr>
      <w:tr w14:paraId="38CA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vAlign w:val="center"/>
          </w:tcPr>
          <w:p w14:paraId="1AF53826">
            <w:pPr>
              <w:keepNext w:val="0"/>
              <w:keepLines w:val="0"/>
              <w:widowControl/>
              <w:suppressLineNumbers w:val="0"/>
              <w:topLinePunct/>
              <w:adjustRightInd w:val="0"/>
              <w:snapToGrid w:val="0"/>
              <w:spacing w:before="240" w:beforeAutospacing="0" w:after="200" w:afterAutospacing="0"/>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业绩简介</w:t>
            </w:r>
          </w:p>
        </w:tc>
      </w:tr>
      <w:tr w14:paraId="1897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48A03D13">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建设单位</w:t>
            </w:r>
            <w:bookmarkEnd w:id="79"/>
            <w:bookmarkEnd w:id="80"/>
            <w:bookmarkEnd w:id="81"/>
            <w:bookmarkEnd w:id="82"/>
            <w:bookmarkEnd w:id="83"/>
            <w:bookmarkEnd w:id="84"/>
            <w:bookmarkEnd w:id="85"/>
            <w:bookmarkEnd w:id="86"/>
            <w:bookmarkEnd w:id="87"/>
            <w:bookmarkEnd w:id="88"/>
            <w:bookmarkEnd w:id="89"/>
            <w:bookmarkEnd w:id="90"/>
          </w:p>
        </w:tc>
        <w:tc>
          <w:tcPr>
            <w:tcW w:w="1547" w:type="dxa"/>
            <w:vAlign w:val="center"/>
          </w:tcPr>
          <w:p w14:paraId="3CE6B68D">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项目名称</w:t>
            </w:r>
          </w:p>
        </w:tc>
        <w:tc>
          <w:tcPr>
            <w:tcW w:w="1549" w:type="dxa"/>
            <w:gridSpan w:val="2"/>
            <w:vAlign w:val="center"/>
          </w:tcPr>
          <w:p w14:paraId="6F2E12C4">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建设规模</w:t>
            </w:r>
          </w:p>
        </w:tc>
        <w:tc>
          <w:tcPr>
            <w:tcW w:w="1783" w:type="dxa"/>
            <w:gridSpan w:val="2"/>
            <w:vAlign w:val="center"/>
          </w:tcPr>
          <w:p w14:paraId="40805D03">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开、竣工日期</w:t>
            </w:r>
          </w:p>
        </w:tc>
        <w:tc>
          <w:tcPr>
            <w:tcW w:w="1547" w:type="dxa"/>
            <w:gridSpan w:val="3"/>
            <w:vAlign w:val="center"/>
          </w:tcPr>
          <w:p w14:paraId="0268FA17">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在建或已完</w:t>
            </w:r>
          </w:p>
        </w:tc>
        <w:tc>
          <w:tcPr>
            <w:tcW w:w="1551" w:type="dxa"/>
            <w:vAlign w:val="center"/>
          </w:tcPr>
          <w:p w14:paraId="6D24B2EC">
            <w:pPr>
              <w:keepNext w:val="0"/>
              <w:keepLines w:val="0"/>
              <w:widowControl/>
              <w:suppressLineNumbers w:val="0"/>
              <w:spacing w:before="0" w:beforeAutospacing="0" w:after="200" w:afterAutospacing="0" w:line="276" w:lineRule="auto"/>
              <w:ind w:left="0" w:right="0"/>
              <w:jc w:val="center"/>
              <w:rPr>
                <w:rFonts w:hint="default" w:ascii="宋体" w:hAnsi="宋体"/>
                <w:b/>
                <w:kern w:val="0"/>
                <w:sz w:val="24"/>
                <w:szCs w:val="24"/>
                <w:lang w:eastAsia="en-US" w:bidi="en-US"/>
              </w:rPr>
            </w:pPr>
            <w:r>
              <w:rPr>
                <w:rFonts w:hint="eastAsia" w:ascii="宋体" w:hAnsi="宋体"/>
                <w:b/>
                <w:kern w:val="0"/>
                <w:sz w:val="24"/>
                <w:szCs w:val="24"/>
                <w:lang w:eastAsia="en-US" w:bidi="en-US"/>
              </w:rPr>
              <w:t>工程质量</w:t>
            </w:r>
          </w:p>
        </w:tc>
      </w:tr>
      <w:tr w14:paraId="2DD9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vAlign w:val="center"/>
          </w:tcPr>
          <w:p w14:paraId="39221D12">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c>
          <w:tcPr>
            <w:tcW w:w="1547" w:type="dxa"/>
            <w:vAlign w:val="center"/>
          </w:tcPr>
          <w:p w14:paraId="07755A69">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c>
          <w:tcPr>
            <w:tcW w:w="1549" w:type="dxa"/>
            <w:gridSpan w:val="2"/>
            <w:vAlign w:val="center"/>
          </w:tcPr>
          <w:p w14:paraId="4693D140">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c>
          <w:tcPr>
            <w:tcW w:w="1783" w:type="dxa"/>
            <w:gridSpan w:val="2"/>
            <w:vAlign w:val="center"/>
          </w:tcPr>
          <w:p w14:paraId="224A479F">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c>
          <w:tcPr>
            <w:tcW w:w="1547" w:type="dxa"/>
            <w:gridSpan w:val="3"/>
            <w:vAlign w:val="center"/>
          </w:tcPr>
          <w:p w14:paraId="32C2C364">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c>
          <w:tcPr>
            <w:tcW w:w="1551" w:type="dxa"/>
            <w:vAlign w:val="center"/>
          </w:tcPr>
          <w:p w14:paraId="6DD6EDA7">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spacing w:val="4"/>
                <w:sz w:val="24"/>
                <w:szCs w:val="24"/>
                <w:lang w:bidi="en-US"/>
              </w:rPr>
            </w:pPr>
          </w:p>
        </w:tc>
      </w:tr>
      <w:tr w14:paraId="15B8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vAlign w:val="center"/>
          </w:tcPr>
          <w:p w14:paraId="1B309E86">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c>
          <w:tcPr>
            <w:tcW w:w="1547" w:type="dxa"/>
            <w:vAlign w:val="center"/>
          </w:tcPr>
          <w:p w14:paraId="29007995">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c>
          <w:tcPr>
            <w:tcW w:w="1549" w:type="dxa"/>
            <w:gridSpan w:val="2"/>
            <w:vAlign w:val="center"/>
          </w:tcPr>
          <w:p w14:paraId="1F98ADCB">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c>
          <w:tcPr>
            <w:tcW w:w="1783" w:type="dxa"/>
            <w:gridSpan w:val="2"/>
            <w:vAlign w:val="center"/>
          </w:tcPr>
          <w:p w14:paraId="486BFF5D">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c>
          <w:tcPr>
            <w:tcW w:w="1547" w:type="dxa"/>
            <w:gridSpan w:val="3"/>
            <w:vAlign w:val="center"/>
          </w:tcPr>
          <w:p w14:paraId="46028680">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c>
          <w:tcPr>
            <w:tcW w:w="1551" w:type="dxa"/>
            <w:vAlign w:val="center"/>
          </w:tcPr>
          <w:p w14:paraId="34C5FC2A">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spacing w:val="4"/>
                <w:sz w:val="24"/>
                <w:szCs w:val="24"/>
                <w:lang w:bidi="en-US"/>
              </w:rPr>
            </w:pPr>
          </w:p>
        </w:tc>
      </w:tr>
    </w:tbl>
    <w:p w14:paraId="01413C50">
      <w:pPr>
        <w:ind w:firstLine="551" w:firstLineChars="196"/>
        <w:rPr>
          <w:rFonts w:ascii="仿宋" w:hAnsi="仿宋" w:eastAsia="仿宋"/>
          <w:b/>
          <w:bCs/>
          <w:sz w:val="28"/>
          <w:szCs w:val="28"/>
        </w:rPr>
      </w:pPr>
    </w:p>
    <w:p w14:paraId="39F38B34">
      <w:pPr>
        <w:widowControl/>
        <w:topLinePunct/>
        <w:adjustRightInd w:val="0"/>
        <w:snapToGrid w:val="0"/>
        <w:spacing w:after="200" w:line="360" w:lineRule="auto"/>
        <w:ind w:firstLine="198" w:firstLineChars="80"/>
        <w:jc w:val="left"/>
        <w:rPr>
          <w:rFonts w:ascii="宋体" w:hAnsi="宋体"/>
          <w:spacing w:val="4"/>
          <w:kern w:val="0"/>
          <w:sz w:val="24"/>
          <w:szCs w:val="24"/>
        </w:rPr>
      </w:pPr>
    </w:p>
    <w:p w14:paraId="527B285F">
      <w:pPr>
        <w:widowControl/>
        <w:topLinePunct/>
        <w:adjustRightInd w:val="0"/>
        <w:snapToGrid w:val="0"/>
        <w:spacing w:after="200" w:line="360" w:lineRule="auto"/>
        <w:ind w:firstLine="3596" w:firstLineChars="1450"/>
        <w:jc w:val="left"/>
        <w:rPr>
          <w:rFonts w:ascii="宋体" w:hAnsi="宋体"/>
          <w:spacing w:val="4"/>
          <w:kern w:val="0"/>
          <w:sz w:val="24"/>
          <w:szCs w:val="24"/>
        </w:rPr>
      </w:pPr>
      <w:r>
        <w:rPr>
          <w:rFonts w:hint="eastAsia" w:ascii="宋体" w:hAnsi="宋体"/>
          <w:spacing w:val="4"/>
          <w:kern w:val="0"/>
          <w:sz w:val="24"/>
          <w:szCs w:val="24"/>
        </w:rPr>
        <w:t>投标人：　　</w:t>
      </w:r>
    </w:p>
    <w:p w14:paraId="1A7DDB02">
      <w:pPr>
        <w:ind w:right="420" w:firstLine="3596" w:firstLineChars="1450"/>
      </w:pPr>
      <w:r>
        <w:rPr>
          <w:rFonts w:hint="eastAsia" w:ascii="宋体" w:hAnsi="宋体"/>
          <w:spacing w:val="4"/>
          <w:kern w:val="0"/>
          <w:sz w:val="24"/>
          <w:szCs w:val="24"/>
        </w:rPr>
        <w:t xml:space="preserve">日   期：    年    月    日 </w:t>
      </w:r>
    </w:p>
    <w:p w14:paraId="15E1341D">
      <w:pPr>
        <w:widowControl/>
        <w:topLinePunct/>
        <w:adjustRightInd w:val="0"/>
        <w:snapToGrid w:val="0"/>
        <w:spacing w:after="200" w:line="240" w:lineRule="auto"/>
        <w:jc w:val="left"/>
        <w:outlineLvl w:val="2"/>
        <w:rPr>
          <w:rFonts w:hint="eastAsia" w:ascii="宋体" w:hAnsi="宋体" w:cs="Times New Roman"/>
          <w:b w:val="0"/>
          <w:bCs w:val="0"/>
          <w:spacing w:val="4"/>
          <w:kern w:val="0"/>
          <w:sz w:val="24"/>
          <w:szCs w:val="24"/>
        </w:rPr>
      </w:pPr>
      <w:r>
        <w:rPr>
          <w:rFonts w:hint="eastAsia" w:ascii="宋体" w:hAnsi="宋体" w:cs="宋体"/>
          <w:color w:val="auto"/>
          <w:szCs w:val="21"/>
        </w:rPr>
        <w:br w:type="page"/>
      </w:r>
      <w:bookmarkStart w:id="91" w:name="_Toc12738"/>
      <w:r>
        <w:rPr>
          <w:rFonts w:hint="eastAsia" w:ascii="宋体" w:hAnsi="宋体"/>
          <w:spacing w:val="4"/>
          <w:kern w:val="0"/>
          <w:sz w:val="24"/>
          <w:szCs w:val="24"/>
        </w:rPr>
        <w:t>格式</w:t>
      </w:r>
      <w:r>
        <w:rPr>
          <w:rFonts w:hint="eastAsia" w:ascii="宋体" w:hAnsi="宋体"/>
          <w:spacing w:val="4"/>
          <w:kern w:val="0"/>
          <w:sz w:val="24"/>
          <w:szCs w:val="24"/>
          <w:lang w:val="en-US" w:eastAsia="zh-CN"/>
        </w:rPr>
        <w:t>七</w:t>
      </w:r>
      <w:r>
        <w:rPr>
          <w:rFonts w:hint="eastAsia" w:ascii="宋体" w:hAnsi="宋体"/>
          <w:spacing w:val="4"/>
          <w:kern w:val="0"/>
          <w:sz w:val="24"/>
          <w:szCs w:val="24"/>
        </w:rPr>
        <w:t>：</w:t>
      </w:r>
      <w:bookmarkEnd w:id="91"/>
      <w:r>
        <w:rPr>
          <w:rFonts w:hint="eastAsia" w:ascii="宋体" w:hAnsi="宋体" w:cs="Times New Roman"/>
          <w:b w:val="0"/>
          <w:bCs w:val="0"/>
          <w:spacing w:val="4"/>
          <w:kern w:val="0"/>
          <w:sz w:val="24"/>
          <w:szCs w:val="24"/>
        </w:rPr>
        <w:t>类似业绩一览表</w:t>
      </w:r>
    </w:p>
    <w:p w14:paraId="1F75B196">
      <w:pPr>
        <w:widowControl/>
        <w:topLinePunct/>
        <w:adjustRightInd w:val="0"/>
        <w:snapToGrid w:val="0"/>
        <w:spacing w:after="200" w:line="360" w:lineRule="auto"/>
        <w:jc w:val="center"/>
        <w:rPr>
          <w:rFonts w:hint="eastAsia" w:ascii="宋体" w:hAnsi="宋体" w:eastAsia="宋体" w:cs="Times New Roman"/>
          <w:b/>
          <w:bCs w:val="0"/>
          <w:spacing w:val="4"/>
          <w:kern w:val="0"/>
          <w:sz w:val="32"/>
          <w:szCs w:val="32"/>
        </w:rPr>
      </w:pPr>
      <w:r>
        <w:rPr>
          <w:rFonts w:hint="eastAsia" w:ascii="宋体" w:hAnsi="宋体" w:eastAsia="宋体" w:cs="Times New Roman"/>
          <w:b/>
          <w:bCs w:val="0"/>
          <w:spacing w:val="4"/>
          <w:kern w:val="0"/>
          <w:sz w:val="32"/>
          <w:szCs w:val="32"/>
        </w:rPr>
        <w:t>类似业绩一览表（取自广州市住建行业信用管理平台）</w:t>
      </w:r>
    </w:p>
    <w:p w14:paraId="01B3330D">
      <w:pPr>
        <w:tabs>
          <w:tab w:val="left" w:pos="720"/>
        </w:tabs>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项目名称：</w:t>
      </w:r>
      <w:r>
        <w:rPr>
          <w:rFonts w:hint="eastAsia" w:ascii="宋体" w:hAnsi="宋体" w:cs="宋体"/>
          <w:color w:val="auto"/>
          <w:sz w:val="24"/>
          <w:lang w:eastAsia="zh-CN"/>
        </w:rPr>
        <w:t>暨南大学学生宿舍及学生活动中心维修项目（2025年）</w:t>
      </w:r>
      <w:r>
        <w:rPr>
          <w:rFonts w:hint="eastAsia" w:ascii="宋体" w:hAnsi="宋体" w:cs="宋体"/>
          <w:color w:val="auto"/>
          <w:sz w:val="24"/>
          <w:lang w:val="en-US" w:eastAsia="zh-CN"/>
        </w:rPr>
        <w:t>施工</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3289"/>
        <w:gridCol w:w="3325"/>
      </w:tblGrid>
      <w:tr w14:paraId="4DE9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vAlign w:val="center"/>
          </w:tcPr>
          <w:p w14:paraId="3D0CD919">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序号</w:t>
            </w:r>
          </w:p>
        </w:tc>
        <w:tc>
          <w:tcPr>
            <w:tcW w:w="3289" w:type="dxa"/>
            <w:vAlign w:val="center"/>
          </w:tcPr>
          <w:p w14:paraId="13B168D2">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项目名称</w:t>
            </w:r>
          </w:p>
        </w:tc>
        <w:tc>
          <w:tcPr>
            <w:tcW w:w="3325" w:type="dxa"/>
            <w:vAlign w:val="center"/>
          </w:tcPr>
          <w:p w14:paraId="02C293A4">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val="en-US" w:eastAsia="zh-CN"/>
              </w:rPr>
              <w:t>编号</w:t>
            </w:r>
          </w:p>
        </w:tc>
      </w:tr>
      <w:tr w14:paraId="2EE7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899" w:type="dxa"/>
          </w:tcPr>
          <w:p w14:paraId="7495F615">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289" w:type="dxa"/>
          </w:tcPr>
          <w:p w14:paraId="5C51BA4A">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25" w:type="dxa"/>
          </w:tcPr>
          <w:p w14:paraId="1DD64FC3">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664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899" w:type="dxa"/>
          </w:tcPr>
          <w:p w14:paraId="1A26831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289" w:type="dxa"/>
          </w:tcPr>
          <w:p w14:paraId="4FAFCE5E">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25" w:type="dxa"/>
          </w:tcPr>
          <w:p w14:paraId="1B747400">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7345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899" w:type="dxa"/>
          </w:tcPr>
          <w:p w14:paraId="6448C81B">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289" w:type="dxa"/>
          </w:tcPr>
          <w:p w14:paraId="21FFB4F6">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25" w:type="dxa"/>
          </w:tcPr>
          <w:p w14:paraId="71F010B4">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bl>
    <w:p w14:paraId="61897487">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注：按技术标详细审查的评审要求提供，如无符合要求类似业绩的，在项目栏中填写“无”。</w:t>
      </w:r>
    </w:p>
    <w:p w14:paraId="16BD3AFF">
      <w:pPr>
        <w:tabs>
          <w:tab w:val="left" w:pos="720"/>
        </w:tabs>
        <w:snapToGrid w:val="0"/>
        <w:spacing w:line="360" w:lineRule="auto"/>
        <w:rPr>
          <w:rFonts w:hint="eastAsia" w:ascii="宋体" w:hAnsi="宋体" w:cs="宋体"/>
          <w:color w:val="auto"/>
          <w:szCs w:val="21"/>
        </w:rPr>
      </w:pPr>
    </w:p>
    <w:p w14:paraId="357F17F0">
      <w:pPr>
        <w:widowControl/>
        <w:topLinePunct/>
        <w:adjustRightInd w:val="0"/>
        <w:snapToGrid w:val="0"/>
        <w:spacing w:after="200" w:line="360" w:lineRule="auto"/>
        <w:ind w:firstLine="3596" w:firstLineChars="1450"/>
        <w:jc w:val="left"/>
        <w:rPr>
          <w:rFonts w:ascii="宋体" w:hAnsi="宋体"/>
          <w:spacing w:val="4"/>
          <w:kern w:val="0"/>
          <w:sz w:val="24"/>
          <w:szCs w:val="24"/>
        </w:rPr>
      </w:pPr>
      <w:r>
        <w:rPr>
          <w:rFonts w:hint="eastAsia" w:ascii="宋体" w:hAnsi="宋体"/>
          <w:spacing w:val="4"/>
          <w:kern w:val="0"/>
          <w:sz w:val="24"/>
          <w:szCs w:val="24"/>
        </w:rPr>
        <w:t>投标人：　　</w:t>
      </w:r>
    </w:p>
    <w:p w14:paraId="423C31DD">
      <w:pPr>
        <w:ind w:right="420" w:firstLine="3596" w:firstLineChars="1450"/>
      </w:pPr>
      <w:r>
        <w:rPr>
          <w:rFonts w:hint="eastAsia" w:ascii="宋体" w:hAnsi="宋体"/>
          <w:spacing w:val="4"/>
          <w:kern w:val="0"/>
          <w:sz w:val="24"/>
          <w:szCs w:val="24"/>
        </w:rPr>
        <w:t xml:space="preserve">日   期：    年    月    日 </w:t>
      </w:r>
    </w:p>
    <w:p w14:paraId="1614DEA7">
      <w:pPr>
        <w:keepNext w:val="0"/>
        <w:keepLines w:val="0"/>
        <w:widowControl/>
        <w:suppressLineNumbers w:val="0"/>
        <w:jc w:val="left"/>
        <w:rPr>
          <w:rFonts w:hint="eastAsia" w:ascii="宋体" w:hAnsi="宋体" w:eastAsia="宋体" w:cs="宋体"/>
          <w:color w:val="auto"/>
          <w:szCs w:val="21"/>
          <w:highlight w:val="green"/>
          <w:lang w:val="en-US" w:eastAsia="zh-CN"/>
        </w:rPr>
      </w:pPr>
    </w:p>
    <w:p w14:paraId="306259F3">
      <w:pPr>
        <w:widowControl/>
        <w:topLinePunct/>
        <w:adjustRightInd w:val="0"/>
        <w:snapToGrid w:val="0"/>
        <w:spacing w:after="200" w:line="360" w:lineRule="auto"/>
        <w:jc w:val="center"/>
        <w:rPr>
          <w:rFonts w:hint="eastAsia" w:ascii="宋体" w:hAnsi="宋体" w:cs="Times New Roman"/>
          <w:b/>
          <w:bCs w:val="0"/>
          <w:spacing w:val="4"/>
          <w:kern w:val="0"/>
          <w:sz w:val="36"/>
          <w:szCs w:val="36"/>
          <w:lang w:val="en-US" w:eastAsia="zh-CN"/>
        </w:rPr>
      </w:pPr>
    </w:p>
    <w:p w14:paraId="4959F4F1">
      <w:pPr>
        <w:widowControl/>
        <w:topLinePunct/>
        <w:adjustRightInd w:val="0"/>
        <w:snapToGrid w:val="0"/>
        <w:spacing w:after="200" w:line="360" w:lineRule="auto"/>
        <w:jc w:val="center"/>
        <w:rPr>
          <w:rFonts w:hint="eastAsia" w:ascii="宋体" w:hAnsi="宋体" w:eastAsia="宋体" w:cs="Times New Roman"/>
          <w:b/>
          <w:bCs w:val="0"/>
          <w:spacing w:val="4"/>
          <w:kern w:val="0"/>
          <w:sz w:val="32"/>
          <w:szCs w:val="32"/>
          <w:lang w:val="en-US" w:eastAsia="zh-CN"/>
        </w:rPr>
      </w:pPr>
      <w:r>
        <w:rPr>
          <w:rFonts w:hint="eastAsia" w:ascii="宋体" w:hAnsi="宋体" w:eastAsia="宋体" w:cs="Times New Roman"/>
          <w:b/>
          <w:bCs w:val="0"/>
          <w:spacing w:val="4"/>
          <w:kern w:val="0"/>
          <w:sz w:val="32"/>
          <w:szCs w:val="32"/>
          <w:lang w:val="en-US" w:eastAsia="zh-CN"/>
        </w:rPr>
        <w:t>类似业绩一览表（不取自广州市住建行业信用管理平台）</w:t>
      </w:r>
    </w:p>
    <w:p w14:paraId="338A7EC5">
      <w:pPr>
        <w:tabs>
          <w:tab w:val="left" w:pos="720"/>
        </w:tabs>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暨南大学学生宿舍及学生活动中心维修项目（2025年）</w:t>
      </w:r>
      <w:r>
        <w:rPr>
          <w:rFonts w:hint="eastAsia" w:ascii="宋体" w:hAnsi="宋体" w:cs="宋体"/>
          <w:color w:val="auto"/>
          <w:sz w:val="24"/>
          <w:lang w:val="en-US" w:eastAsia="zh-CN"/>
        </w:rPr>
        <w:t>施工</w:t>
      </w:r>
    </w:p>
    <w:tbl>
      <w:tblPr>
        <w:tblStyle w:val="39"/>
        <w:tblW w:w="5066"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398"/>
        <w:gridCol w:w="2424"/>
        <w:gridCol w:w="2424"/>
      </w:tblGrid>
      <w:tr w14:paraId="5D2D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2" w:type="dxa"/>
            <w:vAlign w:val="center"/>
          </w:tcPr>
          <w:p w14:paraId="31C6AD65">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序号</w:t>
            </w:r>
          </w:p>
        </w:tc>
        <w:tc>
          <w:tcPr>
            <w:tcW w:w="2398" w:type="dxa"/>
            <w:vAlign w:val="center"/>
          </w:tcPr>
          <w:p w14:paraId="30F72C3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项目名称</w:t>
            </w:r>
          </w:p>
        </w:tc>
        <w:tc>
          <w:tcPr>
            <w:tcW w:w="2424" w:type="dxa"/>
            <w:vAlign w:val="center"/>
          </w:tcPr>
          <w:p w14:paraId="579BC08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lang w:val="en-US" w:eastAsia="zh-CN"/>
              </w:rPr>
              <w:t>合同总价（万元）</w:t>
            </w:r>
          </w:p>
        </w:tc>
        <w:tc>
          <w:tcPr>
            <w:tcW w:w="2424" w:type="dxa"/>
            <w:vAlign w:val="center"/>
          </w:tcPr>
          <w:p w14:paraId="65DA73E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lang w:val="en-US" w:eastAsia="zh-CN"/>
              </w:rPr>
              <w:t>完成时间</w:t>
            </w:r>
          </w:p>
        </w:tc>
      </w:tr>
      <w:tr w14:paraId="0FC4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382" w:type="dxa"/>
          </w:tcPr>
          <w:p w14:paraId="36C11F87">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398" w:type="dxa"/>
          </w:tcPr>
          <w:p w14:paraId="0AE8541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5B0947FA">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7FFDD184">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780B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382" w:type="dxa"/>
          </w:tcPr>
          <w:p w14:paraId="4A82131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398" w:type="dxa"/>
          </w:tcPr>
          <w:p w14:paraId="0B02838E">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5164DCC0">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1B6984FD">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0B54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382" w:type="dxa"/>
          </w:tcPr>
          <w:p w14:paraId="099ACEFE">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398" w:type="dxa"/>
          </w:tcPr>
          <w:p w14:paraId="4B06A9D7">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2FAF97EB">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2424" w:type="dxa"/>
          </w:tcPr>
          <w:p w14:paraId="4001D4CE">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bl>
    <w:p w14:paraId="3DFED2CA">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注：按技术标详细审查的评审要求提供，如无符合要求类似业绩的，在项目栏中填写“无”。</w:t>
      </w:r>
    </w:p>
    <w:p w14:paraId="03AAB518">
      <w:pPr>
        <w:widowControl/>
        <w:topLinePunct/>
        <w:adjustRightInd w:val="0"/>
        <w:snapToGrid w:val="0"/>
        <w:spacing w:after="200" w:line="360" w:lineRule="auto"/>
        <w:ind w:firstLine="3596" w:firstLineChars="1450"/>
        <w:jc w:val="left"/>
        <w:rPr>
          <w:rFonts w:ascii="宋体" w:hAnsi="宋体"/>
          <w:spacing w:val="4"/>
          <w:kern w:val="0"/>
          <w:sz w:val="24"/>
          <w:szCs w:val="24"/>
        </w:rPr>
      </w:pPr>
      <w:r>
        <w:rPr>
          <w:rFonts w:hint="eastAsia" w:ascii="宋体" w:hAnsi="宋体"/>
          <w:spacing w:val="4"/>
          <w:kern w:val="0"/>
          <w:sz w:val="24"/>
          <w:szCs w:val="24"/>
        </w:rPr>
        <w:t>投标人：　　</w:t>
      </w:r>
    </w:p>
    <w:p w14:paraId="5DD9C162">
      <w:pPr>
        <w:ind w:right="420" w:firstLine="3596" w:firstLineChars="1450"/>
      </w:pPr>
      <w:r>
        <w:rPr>
          <w:rFonts w:hint="eastAsia" w:ascii="宋体" w:hAnsi="宋体"/>
          <w:spacing w:val="4"/>
          <w:kern w:val="0"/>
          <w:sz w:val="24"/>
          <w:szCs w:val="24"/>
        </w:rPr>
        <w:t xml:space="preserve">日   期：    年    月    日 </w:t>
      </w:r>
    </w:p>
    <w:p w14:paraId="78905F49">
      <w:pPr>
        <w:widowControl/>
        <w:topLinePunct/>
        <w:adjustRightInd w:val="0"/>
        <w:snapToGrid w:val="0"/>
        <w:spacing w:after="200" w:line="240" w:lineRule="auto"/>
        <w:jc w:val="left"/>
        <w:outlineLvl w:val="2"/>
        <w:rPr>
          <w:rFonts w:hint="eastAsia" w:ascii="宋体" w:hAnsi="宋体" w:cs="宋体"/>
          <w:b/>
          <w:bCs/>
          <w:color w:val="auto"/>
          <w:sz w:val="24"/>
          <w:szCs w:val="24"/>
        </w:rPr>
      </w:pPr>
      <w:r>
        <w:rPr>
          <w:rFonts w:hint="eastAsia" w:ascii="宋体" w:hAnsi="宋体" w:cs="Times New Roman"/>
          <w:b/>
          <w:bCs w:val="0"/>
          <w:spacing w:val="4"/>
          <w:kern w:val="0"/>
          <w:sz w:val="36"/>
          <w:szCs w:val="36"/>
          <w:lang w:val="en-US" w:eastAsia="zh-CN"/>
        </w:rPr>
        <w:br w:type="page"/>
      </w:r>
      <w:r>
        <w:rPr>
          <w:rFonts w:hint="eastAsia" w:ascii="宋体" w:hAnsi="宋体" w:cs="Times New Roman"/>
          <w:b w:val="0"/>
          <w:bCs w:val="0"/>
          <w:spacing w:val="4"/>
          <w:kern w:val="0"/>
          <w:sz w:val="24"/>
          <w:szCs w:val="24"/>
        </w:rPr>
        <w:t>格式</w:t>
      </w:r>
      <w:r>
        <w:rPr>
          <w:rFonts w:hint="eastAsia" w:ascii="宋体" w:hAnsi="宋体" w:cs="Times New Roman"/>
          <w:b w:val="0"/>
          <w:bCs w:val="0"/>
          <w:spacing w:val="4"/>
          <w:kern w:val="0"/>
          <w:sz w:val="24"/>
          <w:szCs w:val="24"/>
          <w:lang w:val="en-US" w:eastAsia="zh-CN"/>
        </w:rPr>
        <w:t>八</w:t>
      </w:r>
      <w:r>
        <w:rPr>
          <w:rFonts w:hint="eastAsia" w:ascii="宋体" w:hAnsi="宋体" w:cs="Times New Roman"/>
          <w:b w:val="0"/>
          <w:bCs w:val="0"/>
          <w:spacing w:val="4"/>
          <w:kern w:val="0"/>
          <w:sz w:val="24"/>
          <w:szCs w:val="24"/>
        </w:rPr>
        <w:t>：工程奖项一览表</w:t>
      </w:r>
    </w:p>
    <w:p w14:paraId="5F0F5688">
      <w:pPr>
        <w:widowControl/>
        <w:topLinePunct/>
        <w:adjustRightInd w:val="0"/>
        <w:snapToGrid w:val="0"/>
        <w:spacing w:after="200" w:line="360" w:lineRule="auto"/>
        <w:jc w:val="center"/>
        <w:rPr>
          <w:rFonts w:hint="eastAsia" w:ascii="宋体" w:hAnsi="宋体" w:eastAsia="宋体" w:cs="Times New Roman"/>
          <w:b/>
          <w:bCs w:val="0"/>
          <w:spacing w:val="4"/>
          <w:kern w:val="0"/>
          <w:sz w:val="32"/>
          <w:szCs w:val="32"/>
        </w:rPr>
      </w:pPr>
      <w:r>
        <w:rPr>
          <w:rFonts w:hint="eastAsia" w:ascii="宋体" w:hAnsi="宋体" w:eastAsia="宋体" w:cs="Times New Roman"/>
          <w:b/>
          <w:bCs w:val="0"/>
          <w:spacing w:val="4"/>
          <w:kern w:val="0"/>
          <w:sz w:val="32"/>
          <w:szCs w:val="32"/>
        </w:rPr>
        <w:t>工程奖项一览表（取自广州市住建行业信用管理平台）</w:t>
      </w:r>
    </w:p>
    <w:p w14:paraId="7A6A875A">
      <w:pPr>
        <w:tabs>
          <w:tab w:val="left" w:pos="720"/>
        </w:tabs>
        <w:snapToGrid w:val="0"/>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暨南大学学生宿舍及学生活动中心维修项目（2025年）</w:t>
      </w:r>
      <w:r>
        <w:rPr>
          <w:rFonts w:hint="eastAsia" w:ascii="宋体" w:hAnsi="宋体" w:cs="宋体"/>
          <w:color w:val="auto"/>
          <w:sz w:val="24"/>
          <w:lang w:val="en-US" w:eastAsia="zh-CN"/>
        </w:rPr>
        <w:t>施工</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3311"/>
        <w:gridCol w:w="3317"/>
      </w:tblGrid>
      <w:tr w14:paraId="7B8B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85" w:type="dxa"/>
            <w:vAlign w:val="center"/>
          </w:tcPr>
          <w:p w14:paraId="5FDD73EB">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序号</w:t>
            </w:r>
          </w:p>
        </w:tc>
        <w:tc>
          <w:tcPr>
            <w:tcW w:w="3311" w:type="dxa"/>
            <w:vAlign w:val="center"/>
          </w:tcPr>
          <w:p w14:paraId="2D4326FE">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项目名称</w:t>
            </w:r>
          </w:p>
        </w:tc>
        <w:tc>
          <w:tcPr>
            <w:tcW w:w="3317" w:type="dxa"/>
            <w:vAlign w:val="center"/>
          </w:tcPr>
          <w:p w14:paraId="277A0D78">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项目编号</w:t>
            </w:r>
          </w:p>
        </w:tc>
      </w:tr>
      <w:tr w14:paraId="0BAC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885" w:type="dxa"/>
          </w:tcPr>
          <w:p w14:paraId="26FC9D7A">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79209C04">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63128087">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3447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885" w:type="dxa"/>
          </w:tcPr>
          <w:p w14:paraId="1852ECF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4ED16A0E">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7C89E15F">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697B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885" w:type="dxa"/>
          </w:tcPr>
          <w:p w14:paraId="223C369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70019C1F">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42ADFAC5">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bl>
    <w:p w14:paraId="35B162D2">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注：按技术标详细审查的评审要求提供证明材料，如无符合要求的工程奖项的，在项目栏中填写“无”。</w:t>
      </w:r>
    </w:p>
    <w:p w14:paraId="0F98FBE0">
      <w:pPr>
        <w:widowControl/>
        <w:topLinePunct/>
        <w:adjustRightInd w:val="0"/>
        <w:snapToGrid w:val="0"/>
        <w:spacing w:after="200" w:line="360" w:lineRule="auto"/>
        <w:ind w:firstLine="3596" w:firstLineChars="1450"/>
        <w:jc w:val="left"/>
        <w:rPr>
          <w:rFonts w:ascii="宋体" w:hAnsi="宋体"/>
          <w:spacing w:val="4"/>
          <w:kern w:val="0"/>
          <w:sz w:val="24"/>
          <w:szCs w:val="24"/>
        </w:rPr>
      </w:pPr>
      <w:r>
        <w:rPr>
          <w:rFonts w:hint="eastAsia" w:ascii="宋体" w:hAnsi="宋体"/>
          <w:spacing w:val="4"/>
          <w:kern w:val="0"/>
          <w:sz w:val="24"/>
          <w:szCs w:val="24"/>
        </w:rPr>
        <w:t>投标人：　　</w:t>
      </w:r>
    </w:p>
    <w:p w14:paraId="0FCAF53E">
      <w:pPr>
        <w:ind w:right="420" w:firstLine="3596" w:firstLineChars="1450"/>
      </w:pPr>
      <w:r>
        <w:rPr>
          <w:rFonts w:hint="eastAsia" w:ascii="宋体" w:hAnsi="宋体"/>
          <w:spacing w:val="4"/>
          <w:kern w:val="0"/>
          <w:sz w:val="24"/>
          <w:szCs w:val="24"/>
        </w:rPr>
        <w:t xml:space="preserve">日   期：    年    月    日 </w:t>
      </w:r>
    </w:p>
    <w:p w14:paraId="4D0F1992">
      <w:pPr>
        <w:tabs>
          <w:tab w:val="left" w:pos="720"/>
        </w:tabs>
        <w:snapToGrid w:val="0"/>
        <w:spacing w:line="360" w:lineRule="auto"/>
        <w:rPr>
          <w:rFonts w:ascii="宋体" w:hAnsi="宋体" w:cs="宋体"/>
          <w:color w:val="auto"/>
          <w:szCs w:val="21"/>
        </w:rPr>
      </w:pPr>
    </w:p>
    <w:p w14:paraId="2FD10764">
      <w:pPr>
        <w:widowControl/>
        <w:topLinePunct/>
        <w:adjustRightInd w:val="0"/>
        <w:snapToGrid w:val="0"/>
        <w:spacing w:after="200" w:line="360" w:lineRule="auto"/>
        <w:jc w:val="center"/>
        <w:rPr>
          <w:rFonts w:hint="eastAsia" w:ascii="宋体" w:hAnsi="宋体" w:cs="Times New Roman"/>
          <w:b/>
          <w:bCs w:val="0"/>
          <w:spacing w:val="4"/>
          <w:kern w:val="0"/>
          <w:sz w:val="32"/>
          <w:szCs w:val="32"/>
        </w:rPr>
      </w:pPr>
      <w:r>
        <w:rPr>
          <w:rFonts w:hint="eastAsia" w:ascii="宋体" w:hAnsi="宋体" w:cs="Times New Roman"/>
          <w:b/>
          <w:bCs w:val="0"/>
          <w:spacing w:val="4"/>
          <w:kern w:val="0"/>
          <w:sz w:val="32"/>
          <w:szCs w:val="32"/>
        </w:rPr>
        <w:t>工程奖项一览表（不取自广州市住建行业信用管理平台）</w:t>
      </w:r>
    </w:p>
    <w:p w14:paraId="7135256B">
      <w:pPr>
        <w:tabs>
          <w:tab w:val="left" w:pos="720"/>
        </w:tabs>
        <w:snapToGrid w:val="0"/>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暨南大学学生宿舍及学生活动中心维修项目（2025年）</w:t>
      </w:r>
      <w:r>
        <w:rPr>
          <w:rFonts w:hint="eastAsia" w:ascii="宋体" w:hAnsi="宋体" w:cs="宋体"/>
          <w:color w:val="auto"/>
          <w:sz w:val="24"/>
          <w:lang w:val="en-US" w:eastAsia="zh-CN"/>
        </w:rPr>
        <w:t>施工</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3311"/>
        <w:gridCol w:w="3317"/>
      </w:tblGrid>
      <w:tr w14:paraId="5DD81F65">
        <w:tblPrEx>
          <w:tblCellMar>
            <w:top w:w="0" w:type="dxa"/>
            <w:left w:w="108" w:type="dxa"/>
            <w:bottom w:w="0" w:type="dxa"/>
            <w:right w:w="108" w:type="dxa"/>
          </w:tblCellMar>
        </w:tblPrEx>
        <w:trPr>
          <w:trHeight w:val="647" w:hRule="atLeast"/>
        </w:trPr>
        <w:tc>
          <w:tcPr>
            <w:tcW w:w="1885" w:type="dxa"/>
            <w:vAlign w:val="center"/>
          </w:tcPr>
          <w:p w14:paraId="7D9282EB">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序号</w:t>
            </w:r>
          </w:p>
        </w:tc>
        <w:tc>
          <w:tcPr>
            <w:tcW w:w="3311" w:type="dxa"/>
            <w:vAlign w:val="center"/>
          </w:tcPr>
          <w:p w14:paraId="5236E61E">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项目名称</w:t>
            </w:r>
          </w:p>
        </w:tc>
        <w:tc>
          <w:tcPr>
            <w:tcW w:w="3317" w:type="dxa"/>
            <w:vAlign w:val="center"/>
          </w:tcPr>
          <w:p w14:paraId="58380E3C">
            <w:pPr>
              <w:keepNext w:val="0"/>
              <w:keepLines w:val="0"/>
              <w:suppressLineNumbers w:val="0"/>
              <w:tabs>
                <w:tab w:val="left" w:pos="720"/>
              </w:tabs>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获得奖项</w:t>
            </w:r>
          </w:p>
        </w:tc>
      </w:tr>
      <w:tr w14:paraId="2786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885" w:type="dxa"/>
          </w:tcPr>
          <w:p w14:paraId="38CE7385">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0985443C">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70F92E3C">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7E25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885" w:type="dxa"/>
          </w:tcPr>
          <w:p w14:paraId="19AF6CC8">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1649F5FF">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47F02DAC">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r w14:paraId="12D5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885" w:type="dxa"/>
          </w:tcPr>
          <w:p w14:paraId="3FB0970D">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1" w:type="dxa"/>
          </w:tcPr>
          <w:p w14:paraId="1C81E682">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c>
          <w:tcPr>
            <w:tcW w:w="3317" w:type="dxa"/>
          </w:tcPr>
          <w:p w14:paraId="7E478BFA">
            <w:pPr>
              <w:keepNext w:val="0"/>
              <w:keepLines w:val="0"/>
              <w:suppressLineNumbers w:val="0"/>
              <w:tabs>
                <w:tab w:val="left" w:pos="720"/>
              </w:tabs>
              <w:snapToGrid w:val="0"/>
              <w:spacing w:before="0" w:beforeAutospacing="0" w:after="0" w:afterAutospacing="0"/>
              <w:ind w:left="0" w:right="0"/>
              <w:rPr>
                <w:rFonts w:hint="default" w:ascii="宋体" w:hAnsi="宋体" w:cs="宋体"/>
                <w:color w:val="auto"/>
                <w:sz w:val="24"/>
              </w:rPr>
            </w:pPr>
          </w:p>
        </w:tc>
      </w:tr>
    </w:tbl>
    <w:p w14:paraId="50E4C72E">
      <w:pPr>
        <w:tabs>
          <w:tab w:val="left" w:pos="720"/>
        </w:tabs>
        <w:snapToGrid w:val="0"/>
        <w:spacing w:line="360" w:lineRule="auto"/>
        <w:rPr>
          <w:rFonts w:ascii="宋体" w:hAnsi="宋体" w:cs="宋体"/>
          <w:color w:val="auto"/>
          <w:szCs w:val="20"/>
        </w:rPr>
      </w:pPr>
      <w:r>
        <w:rPr>
          <w:rFonts w:hint="eastAsia" w:ascii="宋体" w:hAnsi="宋体" w:cs="宋体"/>
          <w:color w:val="auto"/>
          <w:szCs w:val="20"/>
        </w:rPr>
        <w:t>注：按技术标详细审查的评审要求提供证明材料，如无符合要求的工程奖项的，在项目栏中填写“无”。</w:t>
      </w:r>
    </w:p>
    <w:p w14:paraId="5F4BFF9F">
      <w:pPr>
        <w:widowControl/>
        <w:topLinePunct/>
        <w:adjustRightInd w:val="0"/>
        <w:snapToGrid w:val="0"/>
        <w:spacing w:after="200" w:line="360" w:lineRule="auto"/>
        <w:ind w:firstLine="3596" w:firstLineChars="1450"/>
        <w:jc w:val="left"/>
        <w:rPr>
          <w:rFonts w:ascii="宋体" w:hAnsi="宋体"/>
          <w:spacing w:val="4"/>
          <w:kern w:val="0"/>
          <w:sz w:val="24"/>
          <w:szCs w:val="24"/>
        </w:rPr>
      </w:pPr>
      <w:r>
        <w:rPr>
          <w:rFonts w:hint="eastAsia" w:ascii="宋体" w:hAnsi="宋体"/>
          <w:spacing w:val="4"/>
          <w:kern w:val="0"/>
          <w:sz w:val="24"/>
          <w:szCs w:val="24"/>
        </w:rPr>
        <w:t>投标人：　　</w:t>
      </w:r>
    </w:p>
    <w:p w14:paraId="5027CDDB">
      <w:pPr>
        <w:ind w:right="420" w:firstLine="3596" w:firstLineChars="1450"/>
      </w:pPr>
      <w:r>
        <w:rPr>
          <w:rFonts w:hint="eastAsia" w:ascii="宋体" w:hAnsi="宋体"/>
          <w:spacing w:val="4"/>
          <w:kern w:val="0"/>
          <w:sz w:val="24"/>
          <w:szCs w:val="24"/>
        </w:rPr>
        <w:t xml:space="preserve">日   期：    年    月    日 </w:t>
      </w:r>
    </w:p>
    <w:p w14:paraId="52B27B01">
      <w:pPr>
        <w:widowControl/>
        <w:topLinePunct/>
        <w:adjustRightInd w:val="0"/>
        <w:snapToGrid w:val="0"/>
        <w:spacing w:after="200" w:line="240" w:lineRule="auto"/>
        <w:jc w:val="left"/>
        <w:outlineLvl w:val="2"/>
        <w:rPr>
          <w:rFonts w:hint="eastAsia" w:ascii="宋体" w:hAnsi="宋体" w:eastAsia="宋体" w:cs="Times New Roman"/>
          <w:b w:val="0"/>
          <w:bCs w:val="0"/>
          <w:color w:val="auto"/>
          <w:spacing w:val="4"/>
          <w:kern w:val="0"/>
          <w:sz w:val="24"/>
          <w:szCs w:val="24"/>
        </w:rPr>
      </w:pPr>
      <w:r>
        <w:rPr>
          <w:rFonts w:hint="eastAsia" w:ascii="宋体" w:hAnsi="宋体" w:cs="宋体"/>
          <w:snapToGrid w:val="0"/>
          <w:color w:val="auto"/>
        </w:rPr>
        <w:br w:type="page"/>
      </w:r>
      <w:bookmarkStart w:id="92" w:name="_Toc32404"/>
      <w:r>
        <w:rPr>
          <w:rFonts w:hint="eastAsia" w:ascii="宋体" w:hAnsi="宋体" w:cs="Times New Roman"/>
          <w:b w:val="0"/>
          <w:bCs w:val="0"/>
          <w:color w:val="auto"/>
          <w:spacing w:val="4"/>
          <w:kern w:val="0"/>
          <w:sz w:val="24"/>
          <w:szCs w:val="24"/>
        </w:rPr>
        <w:t>格式</w:t>
      </w:r>
      <w:r>
        <w:rPr>
          <w:rFonts w:hint="eastAsia" w:ascii="宋体" w:hAnsi="宋体" w:cs="Times New Roman"/>
          <w:b w:val="0"/>
          <w:bCs w:val="0"/>
          <w:color w:val="auto"/>
          <w:spacing w:val="4"/>
          <w:kern w:val="0"/>
          <w:sz w:val="24"/>
          <w:szCs w:val="24"/>
          <w:lang w:val="en-US" w:eastAsia="zh-CN"/>
        </w:rPr>
        <w:t>九</w:t>
      </w:r>
      <w:r>
        <w:rPr>
          <w:rFonts w:hint="eastAsia" w:ascii="宋体" w:hAnsi="宋体" w:cs="Times New Roman"/>
          <w:b w:val="0"/>
          <w:bCs w:val="0"/>
          <w:color w:val="auto"/>
          <w:spacing w:val="4"/>
          <w:kern w:val="0"/>
          <w:sz w:val="24"/>
          <w:szCs w:val="24"/>
        </w:rPr>
        <w:t>：</w:t>
      </w:r>
      <w:r>
        <w:rPr>
          <w:rFonts w:hint="eastAsia" w:ascii="宋体" w:hAnsi="宋体" w:eastAsia="宋体" w:cs="Times New Roman"/>
          <w:b w:val="0"/>
          <w:bCs w:val="0"/>
          <w:color w:val="auto"/>
          <w:spacing w:val="4"/>
          <w:kern w:val="0"/>
          <w:sz w:val="24"/>
          <w:szCs w:val="24"/>
        </w:rPr>
        <w:t>主要设备、材料拟选用品牌表</w:t>
      </w:r>
      <w:bookmarkEnd w:id="92"/>
    </w:p>
    <w:p w14:paraId="6A80224F">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主要设备、材料拟选用品牌表</w:t>
      </w:r>
    </w:p>
    <w:tbl>
      <w:tblPr>
        <w:tblStyle w:val="39"/>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6"/>
        <w:gridCol w:w="1975"/>
        <w:gridCol w:w="1626"/>
        <w:gridCol w:w="2280"/>
        <w:gridCol w:w="1976"/>
      </w:tblGrid>
      <w:tr w14:paraId="5F19DD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Header/>
        </w:trPr>
        <w:tc>
          <w:tcPr>
            <w:tcW w:w="656" w:type="dxa"/>
            <w:tcBorders>
              <w:tl2br w:val="nil"/>
              <w:tr2bl w:val="nil"/>
            </w:tcBorders>
            <w:shd w:val="clear" w:color="auto" w:fill="auto"/>
            <w:vAlign w:val="center"/>
          </w:tcPr>
          <w:p w14:paraId="111F1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75" w:type="dxa"/>
            <w:tcBorders>
              <w:tl2br w:val="nil"/>
              <w:tr2bl w:val="nil"/>
            </w:tcBorders>
            <w:shd w:val="clear" w:color="auto" w:fill="auto"/>
            <w:vAlign w:val="center"/>
          </w:tcPr>
          <w:p w14:paraId="26169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材料、设备名称</w:t>
            </w:r>
          </w:p>
        </w:tc>
        <w:tc>
          <w:tcPr>
            <w:tcW w:w="1626" w:type="dxa"/>
            <w:tcBorders>
              <w:tl2br w:val="nil"/>
              <w:tr2bl w:val="nil"/>
            </w:tcBorders>
            <w:shd w:val="clear" w:color="auto" w:fill="auto"/>
            <w:vAlign w:val="center"/>
          </w:tcPr>
          <w:p w14:paraId="12785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2280" w:type="dxa"/>
            <w:tcBorders>
              <w:tl2br w:val="nil"/>
              <w:tr2bl w:val="nil"/>
            </w:tcBorders>
            <w:shd w:val="clear" w:color="auto" w:fill="auto"/>
            <w:vAlign w:val="center"/>
          </w:tcPr>
          <w:p w14:paraId="32C3F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厂家或品牌</w:t>
            </w:r>
          </w:p>
          <w:p w14:paraId="0DA1E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（或相当于）</w:t>
            </w:r>
          </w:p>
        </w:tc>
        <w:tc>
          <w:tcPr>
            <w:tcW w:w="1976" w:type="dxa"/>
            <w:tcBorders>
              <w:tl2br w:val="nil"/>
              <w:tr2bl w:val="nil"/>
            </w:tcBorders>
            <w:shd w:val="clear" w:color="auto" w:fill="auto"/>
            <w:vAlign w:val="center"/>
          </w:tcPr>
          <w:p w14:paraId="7A8C75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投标人</w:t>
            </w:r>
            <w:r>
              <w:rPr>
                <w:rFonts w:hint="eastAsia" w:ascii="宋体" w:hAnsi="宋体" w:cs="宋体"/>
                <w:i w:val="0"/>
                <w:iCs w:val="0"/>
                <w:color w:val="000000"/>
                <w:kern w:val="0"/>
                <w:sz w:val="22"/>
                <w:szCs w:val="22"/>
                <w:u w:val="none"/>
                <w:lang w:val="en-US" w:eastAsia="zh-CN" w:bidi="ar"/>
              </w:rPr>
              <w:t>拟</w:t>
            </w:r>
            <w:r>
              <w:rPr>
                <w:rFonts w:hint="eastAsia" w:ascii="宋体" w:hAnsi="宋体" w:eastAsia="宋体" w:cs="宋体"/>
                <w:i w:val="0"/>
                <w:iCs w:val="0"/>
                <w:color w:val="000000"/>
                <w:kern w:val="0"/>
                <w:sz w:val="22"/>
                <w:szCs w:val="22"/>
                <w:u w:val="none"/>
                <w:lang w:val="en-US" w:eastAsia="zh-CN" w:bidi="ar"/>
              </w:rPr>
              <w:t>选用品牌</w:t>
            </w:r>
          </w:p>
        </w:tc>
      </w:tr>
      <w:tr w14:paraId="542679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5990C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一</w:t>
            </w:r>
          </w:p>
        </w:tc>
        <w:tc>
          <w:tcPr>
            <w:tcW w:w="7857" w:type="dxa"/>
            <w:gridSpan w:val="4"/>
            <w:tcBorders>
              <w:tl2br w:val="nil"/>
              <w:tr2bl w:val="nil"/>
            </w:tcBorders>
            <w:shd w:val="clear" w:color="auto" w:fill="auto"/>
            <w:vAlign w:val="center"/>
          </w:tcPr>
          <w:p w14:paraId="101B10E9">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装修部分</w:t>
            </w:r>
          </w:p>
        </w:tc>
      </w:tr>
      <w:tr w14:paraId="4E030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224DD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1975" w:type="dxa"/>
            <w:tcBorders>
              <w:tl2br w:val="nil"/>
              <w:tr2bl w:val="nil"/>
            </w:tcBorders>
            <w:shd w:val="clear" w:color="auto" w:fill="auto"/>
            <w:vAlign w:val="center"/>
          </w:tcPr>
          <w:p w14:paraId="220E96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腻子粉、耐水腻子粉</w:t>
            </w:r>
          </w:p>
        </w:tc>
        <w:tc>
          <w:tcPr>
            <w:tcW w:w="1626" w:type="dxa"/>
            <w:tcBorders>
              <w:tl2br w:val="nil"/>
              <w:tr2bl w:val="nil"/>
            </w:tcBorders>
            <w:shd w:val="clear" w:color="auto" w:fill="auto"/>
            <w:vAlign w:val="center"/>
          </w:tcPr>
          <w:p w14:paraId="27ED4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36D23D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广州万宝、广东复特、广州银达</w:t>
            </w:r>
          </w:p>
        </w:tc>
        <w:tc>
          <w:tcPr>
            <w:tcW w:w="1976" w:type="dxa"/>
            <w:tcBorders>
              <w:tl2br w:val="nil"/>
              <w:tr2bl w:val="nil"/>
            </w:tcBorders>
            <w:shd w:val="clear" w:color="auto" w:fill="auto"/>
            <w:vAlign w:val="center"/>
          </w:tcPr>
          <w:p w14:paraId="09D3E67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ADE61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536B7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1975" w:type="dxa"/>
            <w:tcBorders>
              <w:tl2br w:val="nil"/>
              <w:tr2bl w:val="nil"/>
            </w:tcBorders>
            <w:shd w:val="clear" w:color="auto" w:fill="auto"/>
            <w:vAlign w:val="center"/>
          </w:tcPr>
          <w:p w14:paraId="76ABD7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A级无级涂料</w:t>
            </w:r>
          </w:p>
        </w:tc>
        <w:tc>
          <w:tcPr>
            <w:tcW w:w="1626" w:type="dxa"/>
            <w:tcBorders>
              <w:tl2br w:val="nil"/>
              <w:tr2bl w:val="nil"/>
            </w:tcBorders>
            <w:shd w:val="clear" w:color="auto" w:fill="auto"/>
            <w:vAlign w:val="center"/>
          </w:tcPr>
          <w:p w14:paraId="487B10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36F6D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立邦、华润、多乐士</w:t>
            </w:r>
          </w:p>
        </w:tc>
        <w:tc>
          <w:tcPr>
            <w:tcW w:w="1976" w:type="dxa"/>
            <w:tcBorders>
              <w:tl2br w:val="nil"/>
              <w:tr2bl w:val="nil"/>
            </w:tcBorders>
            <w:shd w:val="clear" w:color="auto" w:fill="auto"/>
            <w:vAlign w:val="center"/>
          </w:tcPr>
          <w:p w14:paraId="7B5C632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E64E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464F8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1975" w:type="dxa"/>
            <w:tcBorders>
              <w:tl2br w:val="nil"/>
              <w:tr2bl w:val="nil"/>
            </w:tcBorders>
            <w:shd w:val="clear" w:color="auto" w:fill="auto"/>
            <w:vAlign w:val="center"/>
          </w:tcPr>
          <w:p w14:paraId="3FD17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钢化玻璃</w:t>
            </w:r>
          </w:p>
        </w:tc>
        <w:tc>
          <w:tcPr>
            <w:tcW w:w="1626" w:type="dxa"/>
            <w:tcBorders>
              <w:tl2br w:val="nil"/>
              <w:tr2bl w:val="nil"/>
            </w:tcBorders>
            <w:shd w:val="clear" w:color="auto" w:fill="auto"/>
            <w:vAlign w:val="center"/>
          </w:tcPr>
          <w:p w14:paraId="5A79AE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6mm</w:t>
            </w:r>
          </w:p>
        </w:tc>
        <w:tc>
          <w:tcPr>
            <w:tcW w:w="2280" w:type="dxa"/>
            <w:tcBorders>
              <w:tl2br w:val="nil"/>
              <w:tr2bl w:val="nil"/>
            </w:tcBorders>
            <w:shd w:val="clear" w:color="auto" w:fill="auto"/>
            <w:vAlign w:val="center"/>
          </w:tcPr>
          <w:p w14:paraId="7A1628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信义、台玻、南玻</w:t>
            </w:r>
          </w:p>
        </w:tc>
        <w:tc>
          <w:tcPr>
            <w:tcW w:w="1976" w:type="dxa"/>
            <w:tcBorders>
              <w:tl2br w:val="nil"/>
              <w:tr2bl w:val="nil"/>
            </w:tcBorders>
            <w:shd w:val="clear" w:color="auto" w:fill="auto"/>
            <w:vAlign w:val="center"/>
          </w:tcPr>
          <w:p w14:paraId="2F94DC6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9D69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EBBF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1975" w:type="dxa"/>
            <w:tcBorders>
              <w:tl2br w:val="nil"/>
              <w:tr2bl w:val="nil"/>
            </w:tcBorders>
            <w:shd w:val="clear" w:color="auto" w:fill="auto"/>
            <w:vAlign w:val="center"/>
          </w:tcPr>
          <w:p w14:paraId="7CCC15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铝合金推拉窗</w:t>
            </w:r>
          </w:p>
        </w:tc>
        <w:tc>
          <w:tcPr>
            <w:tcW w:w="1626" w:type="dxa"/>
            <w:tcBorders>
              <w:tl2br w:val="nil"/>
              <w:tr2bl w:val="nil"/>
            </w:tcBorders>
            <w:shd w:val="clear" w:color="auto" w:fill="auto"/>
            <w:vAlign w:val="center"/>
          </w:tcPr>
          <w:p w14:paraId="4A2C9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7ED7CF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凤铝、新河铝材、亚铝</w:t>
            </w:r>
          </w:p>
        </w:tc>
        <w:tc>
          <w:tcPr>
            <w:tcW w:w="1976" w:type="dxa"/>
            <w:tcBorders>
              <w:tl2br w:val="nil"/>
              <w:tr2bl w:val="nil"/>
            </w:tcBorders>
            <w:shd w:val="clear" w:color="auto" w:fill="auto"/>
            <w:vAlign w:val="center"/>
          </w:tcPr>
          <w:p w14:paraId="7D97690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074DE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2F83F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w:t>
            </w:r>
          </w:p>
        </w:tc>
        <w:tc>
          <w:tcPr>
            <w:tcW w:w="1975" w:type="dxa"/>
            <w:tcBorders>
              <w:tl2br w:val="nil"/>
              <w:tr2bl w:val="nil"/>
            </w:tcBorders>
            <w:shd w:val="clear" w:color="auto" w:fill="auto"/>
            <w:vAlign w:val="center"/>
          </w:tcPr>
          <w:p w14:paraId="6C21F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防水涂料</w:t>
            </w:r>
          </w:p>
        </w:tc>
        <w:tc>
          <w:tcPr>
            <w:tcW w:w="1626" w:type="dxa"/>
            <w:tcBorders>
              <w:tl2br w:val="nil"/>
              <w:tr2bl w:val="nil"/>
            </w:tcBorders>
            <w:shd w:val="clear" w:color="auto" w:fill="auto"/>
            <w:vAlign w:val="center"/>
          </w:tcPr>
          <w:p w14:paraId="589DBC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各类</w:t>
            </w:r>
          </w:p>
        </w:tc>
        <w:tc>
          <w:tcPr>
            <w:tcW w:w="2280" w:type="dxa"/>
            <w:tcBorders>
              <w:tl2br w:val="nil"/>
              <w:tr2bl w:val="nil"/>
            </w:tcBorders>
            <w:shd w:val="clear" w:color="auto" w:fill="auto"/>
            <w:vAlign w:val="center"/>
          </w:tcPr>
          <w:p w14:paraId="0B5CBE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科顺、卓宝、德高</w:t>
            </w:r>
          </w:p>
        </w:tc>
        <w:tc>
          <w:tcPr>
            <w:tcW w:w="1976" w:type="dxa"/>
            <w:tcBorders>
              <w:tl2br w:val="nil"/>
              <w:tr2bl w:val="nil"/>
            </w:tcBorders>
            <w:shd w:val="clear" w:color="auto" w:fill="auto"/>
            <w:vAlign w:val="center"/>
          </w:tcPr>
          <w:p w14:paraId="24359D0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B034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1AE26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w:t>
            </w:r>
          </w:p>
        </w:tc>
        <w:tc>
          <w:tcPr>
            <w:tcW w:w="1975" w:type="dxa"/>
            <w:tcBorders>
              <w:tl2br w:val="nil"/>
              <w:tr2bl w:val="nil"/>
            </w:tcBorders>
            <w:shd w:val="clear" w:color="auto" w:fill="auto"/>
            <w:vAlign w:val="center"/>
          </w:tcPr>
          <w:p w14:paraId="3E1B5C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抛光砖、防滑砖</w:t>
            </w:r>
          </w:p>
        </w:tc>
        <w:tc>
          <w:tcPr>
            <w:tcW w:w="1626" w:type="dxa"/>
            <w:tcBorders>
              <w:tl2br w:val="nil"/>
              <w:tr2bl w:val="nil"/>
            </w:tcBorders>
            <w:shd w:val="clear" w:color="auto" w:fill="auto"/>
            <w:vAlign w:val="center"/>
          </w:tcPr>
          <w:p w14:paraId="0B6F8D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800×800</w:t>
            </w:r>
          </w:p>
        </w:tc>
        <w:tc>
          <w:tcPr>
            <w:tcW w:w="2280" w:type="dxa"/>
            <w:tcBorders>
              <w:tl2br w:val="nil"/>
              <w:tr2bl w:val="nil"/>
            </w:tcBorders>
            <w:shd w:val="clear" w:color="auto" w:fill="auto"/>
            <w:vAlign w:val="center"/>
          </w:tcPr>
          <w:p w14:paraId="124A5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东鹏、宏宇、冠珠</w:t>
            </w:r>
          </w:p>
        </w:tc>
        <w:tc>
          <w:tcPr>
            <w:tcW w:w="1976" w:type="dxa"/>
            <w:tcBorders>
              <w:tl2br w:val="nil"/>
              <w:tr2bl w:val="nil"/>
            </w:tcBorders>
            <w:shd w:val="clear" w:color="auto" w:fill="auto"/>
            <w:vAlign w:val="center"/>
          </w:tcPr>
          <w:p w14:paraId="070BF53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81795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4A740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w:t>
            </w:r>
          </w:p>
        </w:tc>
        <w:tc>
          <w:tcPr>
            <w:tcW w:w="1975" w:type="dxa"/>
            <w:tcBorders>
              <w:tl2br w:val="nil"/>
              <w:tr2bl w:val="nil"/>
            </w:tcBorders>
            <w:shd w:val="clear" w:color="auto" w:fill="auto"/>
            <w:vAlign w:val="center"/>
          </w:tcPr>
          <w:p w14:paraId="6707E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不锈钢圆管</w:t>
            </w:r>
          </w:p>
        </w:tc>
        <w:tc>
          <w:tcPr>
            <w:tcW w:w="1626" w:type="dxa"/>
            <w:tcBorders>
              <w:tl2br w:val="nil"/>
              <w:tr2bl w:val="nil"/>
            </w:tcBorders>
            <w:shd w:val="clear" w:color="auto" w:fill="auto"/>
            <w:vAlign w:val="center"/>
          </w:tcPr>
          <w:p w14:paraId="12FD70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φ60*3、φ50*3、φ25*1.5（mm）</w:t>
            </w:r>
          </w:p>
        </w:tc>
        <w:tc>
          <w:tcPr>
            <w:tcW w:w="2280" w:type="dxa"/>
            <w:tcBorders>
              <w:tl2br w:val="nil"/>
              <w:tr2bl w:val="nil"/>
            </w:tcBorders>
            <w:shd w:val="clear" w:color="auto" w:fill="auto"/>
            <w:vAlign w:val="center"/>
          </w:tcPr>
          <w:p w14:paraId="426461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宇航、吉隆兴、永大</w:t>
            </w:r>
          </w:p>
        </w:tc>
        <w:tc>
          <w:tcPr>
            <w:tcW w:w="1976" w:type="dxa"/>
            <w:tcBorders>
              <w:tl2br w:val="nil"/>
              <w:tr2bl w:val="nil"/>
            </w:tcBorders>
            <w:shd w:val="clear" w:color="auto" w:fill="auto"/>
            <w:vAlign w:val="center"/>
          </w:tcPr>
          <w:p w14:paraId="2DE0280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F025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884B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975" w:type="dxa"/>
            <w:tcBorders>
              <w:tl2br w:val="nil"/>
              <w:tr2bl w:val="nil"/>
            </w:tcBorders>
            <w:shd w:val="clear" w:color="auto" w:fill="auto"/>
            <w:vAlign w:val="center"/>
          </w:tcPr>
          <w:p w14:paraId="0577E0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不锈钢矩形管</w:t>
            </w:r>
          </w:p>
        </w:tc>
        <w:tc>
          <w:tcPr>
            <w:tcW w:w="1626" w:type="dxa"/>
            <w:tcBorders>
              <w:tl2br w:val="nil"/>
              <w:tr2bl w:val="nil"/>
            </w:tcBorders>
            <w:shd w:val="clear" w:color="auto" w:fill="auto"/>
            <w:vAlign w:val="center"/>
          </w:tcPr>
          <w:p w14:paraId="5953D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38*25*2（mm）</w:t>
            </w:r>
          </w:p>
        </w:tc>
        <w:tc>
          <w:tcPr>
            <w:tcW w:w="2280" w:type="dxa"/>
            <w:tcBorders>
              <w:tl2br w:val="nil"/>
              <w:tr2bl w:val="nil"/>
            </w:tcBorders>
            <w:shd w:val="clear" w:color="auto" w:fill="auto"/>
            <w:vAlign w:val="center"/>
          </w:tcPr>
          <w:p w14:paraId="74B0DA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宇航、吉隆兴、永大</w:t>
            </w:r>
          </w:p>
        </w:tc>
        <w:tc>
          <w:tcPr>
            <w:tcW w:w="1976" w:type="dxa"/>
            <w:tcBorders>
              <w:tl2br w:val="nil"/>
              <w:tr2bl w:val="nil"/>
            </w:tcBorders>
            <w:shd w:val="clear" w:color="auto" w:fill="auto"/>
            <w:vAlign w:val="center"/>
          </w:tcPr>
          <w:p w14:paraId="0CC8DC8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FBE49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51419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w:t>
            </w:r>
          </w:p>
        </w:tc>
        <w:tc>
          <w:tcPr>
            <w:tcW w:w="1975" w:type="dxa"/>
            <w:tcBorders>
              <w:tl2br w:val="nil"/>
              <w:tr2bl w:val="nil"/>
            </w:tcBorders>
            <w:shd w:val="clear" w:color="auto" w:fill="auto"/>
            <w:vAlign w:val="center"/>
          </w:tcPr>
          <w:p w14:paraId="376A90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环氧富锌底漆</w:t>
            </w:r>
          </w:p>
        </w:tc>
        <w:tc>
          <w:tcPr>
            <w:tcW w:w="1626" w:type="dxa"/>
            <w:tcBorders>
              <w:tl2br w:val="nil"/>
              <w:tr2bl w:val="nil"/>
            </w:tcBorders>
            <w:shd w:val="clear" w:color="auto" w:fill="auto"/>
            <w:vAlign w:val="center"/>
          </w:tcPr>
          <w:p w14:paraId="641958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5C0E92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集泰、泰堡、金隅</w:t>
            </w:r>
          </w:p>
        </w:tc>
        <w:tc>
          <w:tcPr>
            <w:tcW w:w="1976" w:type="dxa"/>
            <w:tcBorders>
              <w:tl2br w:val="nil"/>
              <w:tr2bl w:val="nil"/>
            </w:tcBorders>
            <w:shd w:val="clear" w:color="auto" w:fill="auto"/>
            <w:vAlign w:val="center"/>
          </w:tcPr>
          <w:p w14:paraId="356F86B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F72FE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63D84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w:t>
            </w:r>
          </w:p>
        </w:tc>
        <w:tc>
          <w:tcPr>
            <w:tcW w:w="1975" w:type="dxa"/>
            <w:tcBorders>
              <w:tl2br w:val="nil"/>
              <w:tr2bl w:val="nil"/>
            </w:tcBorders>
            <w:shd w:val="clear" w:color="auto" w:fill="auto"/>
            <w:vAlign w:val="center"/>
          </w:tcPr>
          <w:p w14:paraId="6505CD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聚氨酯面漆</w:t>
            </w:r>
          </w:p>
        </w:tc>
        <w:tc>
          <w:tcPr>
            <w:tcW w:w="1626" w:type="dxa"/>
            <w:tcBorders>
              <w:tl2br w:val="nil"/>
              <w:tr2bl w:val="nil"/>
            </w:tcBorders>
            <w:shd w:val="clear" w:color="auto" w:fill="auto"/>
            <w:vAlign w:val="center"/>
          </w:tcPr>
          <w:p w14:paraId="1C907A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020B1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集泰、泰堡、金隅</w:t>
            </w:r>
          </w:p>
        </w:tc>
        <w:tc>
          <w:tcPr>
            <w:tcW w:w="1976" w:type="dxa"/>
            <w:tcBorders>
              <w:tl2br w:val="nil"/>
              <w:tr2bl w:val="nil"/>
            </w:tcBorders>
            <w:shd w:val="clear" w:color="auto" w:fill="auto"/>
            <w:vAlign w:val="center"/>
          </w:tcPr>
          <w:p w14:paraId="0AE4572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16760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2EB2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二</w:t>
            </w:r>
          </w:p>
        </w:tc>
        <w:tc>
          <w:tcPr>
            <w:tcW w:w="7857" w:type="dxa"/>
            <w:gridSpan w:val="4"/>
            <w:tcBorders>
              <w:tl2br w:val="nil"/>
              <w:tr2bl w:val="nil"/>
            </w:tcBorders>
            <w:shd w:val="clear" w:color="auto" w:fill="auto"/>
            <w:vAlign w:val="center"/>
          </w:tcPr>
          <w:p w14:paraId="4EC17B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安装部分</w:t>
            </w:r>
          </w:p>
        </w:tc>
      </w:tr>
      <w:tr w14:paraId="61B0A7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6181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1975" w:type="dxa"/>
            <w:tcBorders>
              <w:tl2br w:val="nil"/>
              <w:tr2bl w:val="nil"/>
            </w:tcBorders>
            <w:shd w:val="clear" w:color="auto" w:fill="auto"/>
            <w:vAlign w:val="center"/>
          </w:tcPr>
          <w:p w14:paraId="64261B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吸盘灯</w:t>
            </w:r>
          </w:p>
        </w:tc>
        <w:tc>
          <w:tcPr>
            <w:tcW w:w="1626" w:type="dxa"/>
            <w:tcBorders>
              <w:tl2br w:val="nil"/>
              <w:tr2bl w:val="nil"/>
            </w:tcBorders>
            <w:shd w:val="clear" w:color="auto" w:fill="auto"/>
            <w:vAlign w:val="center"/>
          </w:tcPr>
          <w:p w14:paraId="2255DB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12W</w:t>
            </w:r>
          </w:p>
        </w:tc>
        <w:tc>
          <w:tcPr>
            <w:tcW w:w="2280" w:type="dxa"/>
            <w:tcBorders>
              <w:tl2br w:val="nil"/>
              <w:tr2bl w:val="nil"/>
            </w:tcBorders>
            <w:shd w:val="clear" w:color="auto" w:fill="auto"/>
            <w:vAlign w:val="center"/>
          </w:tcPr>
          <w:p w14:paraId="6F8F2D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佛山照明、欧普、三雄极光</w:t>
            </w:r>
          </w:p>
        </w:tc>
        <w:tc>
          <w:tcPr>
            <w:tcW w:w="1976" w:type="dxa"/>
            <w:tcBorders>
              <w:tl2br w:val="nil"/>
              <w:tr2bl w:val="nil"/>
            </w:tcBorders>
            <w:shd w:val="clear" w:color="auto" w:fill="auto"/>
            <w:vAlign w:val="center"/>
          </w:tcPr>
          <w:p w14:paraId="666ED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548EAD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4AC24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75" w:type="dxa"/>
            <w:tcBorders>
              <w:tl2br w:val="nil"/>
              <w:tr2bl w:val="nil"/>
            </w:tcBorders>
            <w:shd w:val="clear" w:color="auto" w:fill="auto"/>
            <w:vAlign w:val="center"/>
          </w:tcPr>
          <w:p w14:paraId="0E312D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平板灯</w:t>
            </w:r>
          </w:p>
        </w:tc>
        <w:tc>
          <w:tcPr>
            <w:tcW w:w="1626" w:type="dxa"/>
            <w:tcBorders>
              <w:tl2br w:val="nil"/>
              <w:tr2bl w:val="nil"/>
            </w:tcBorders>
            <w:shd w:val="clear" w:color="auto" w:fill="auto"/>
            <w:vAlign w:val="center"/>
          </w:tcPr>
          <w:p w14:paraId="3B85AF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200mm*1200（mm）24W/300mm*300（mm） 18W</w:t>
            </w:r>
          </w:p>
        </w:tc>
        <w:tc>
          <w:tcPr>
            <w:tcW w:w="2280" w:type="dxa"/>
            <w:tcBorders>
              <w:tl2br w:val="nil"/>
              <w:tr2bl w:val="nil"/>
            </w:tcBorders>
            <w:shd w:val="clear" w:color="auto" w:fill="auto"/>
            <w:vAlign w:val="center"/>
          </w:tcPr>
          <w:p w14:paraId="1F0D7C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佛山照明、欧普、三雄极光</w:t>
            </w:r>
          </w:p>
        </w:tc>
        <w:tc>
          <w:tcPr>
            <w:tcW w:w="1976" w:type="dxa"/>
            <w:tcBorders>
              <w:tl2br w:val="nil"/>
              <w:tr2bl w:val="nil"/>
            </w:tcBorders>
            <w:shd w:val="clear" w:color="auto" w:fill="auto"/>
            <w:vAlign w:val="center"/>
          </w:tcPr>
          <w:p w14:paraId="5D473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3C322B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29EA0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75" w:type="dxa"/>
            <w:tcBorders>
              <w:tl2br w:val="nil"/>
              <w:tr2bl w:val="nil"/>
            </w:tcBorders>
            <w:shd w:val="clear" w:color="auto" w:fill="auto"/>
            <w:vAlign w:val="center"/>
          </w:tcPr>
          <w:p w14:paraId="7D449A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开关、插座、光面板</w:t>
            </w:r>
          </w:p>
        </w:tc>
        <w:tc>
          <w:tcPr>
            <w:tcW w:w="1626" w:type="dxa"/>
            <w:tcBorders>
              <w:tl2br w:val="nil"/>
              <w:tr2bl w:val="nil"/>
            </w:tcBorders>
            <w:shd w:val="clear" w:color="auto" w:fill="auto"/>
            <w:vAlign w:val="center"/>
          </w:tcPr>
          <w:p w14:paraId="7B3EB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19ABF8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公牛、正泰、德力西、奇胜</w:t>
            </w:r>
          </w:p>
        </w:tc>
        <w:tc>
          <w:tcPr>
            <w:tcW w:w="1976" w:type="dxa"/>
            <w:tcBorders>
              <w:tl2br w:val="nil"/>
              <w:tr2bl w:val="nil"/>
            </w:tcBorders>
            <w:shd w:val="clear" w:color="auto" w:fill="auto"/>
            <w:vAlign w:val="center"/>
          </w:tcPr>
          <w:p w14:paraId="5FAE1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7800D9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43FC1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75" w:type="dxa"/>
            <w:tcBorders>
              <w:tl2br w:val="nil"/>
              <w:tr2bl w:val="nil"/>
            </w:tcBorders>
            <w:shd w:val="clear" w:color="auto" w:fill="auto"/>
            <w:vAlign w:val="center"/>
          </w:tcPr>
          <w:p w14:paraId="0CC794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配电箱</w:t>
            </w:r>
          </w:p>
        </w:tc>
        <w:tc>
          <w:tcPr>
            <w:tcW w:w="1626" w:type="dxa"/>
            <w:tcBorders>
              <w:tl2br w:val="nil"/>
              <w:tr2bl w:val="nil"/>
            </w:tcBorders>
            <w:shd w:val="clear" w:color="auto" w:fill="auto"/>
            <w:vAlign w:val="center"/>
          </w:tcPr>
          <w:p w14:paraId="7FCF5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按设计图</w:t>
            </w:r>
          </w:p>
        </w:tc>
        <w:tc>
          <w:tcPr>
            <w:tcW w:w="2280" w:type="dxa"/>
            <w:tcBorders>
              <w:tl2br w:val="nil"/>
              <w:tr2bl w:val="nil"/>
            </w:tcBorders>
            <w:shd w:val="clear" w:color="auto" w:fill="auto"/>
            <w:vAlign w:val="center"/>
          </w:tcPr>
          <w:p w14:paraId="333FAB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正泰、罗格朗、施耐德</w:t>
            </w:r>
          </w:p>
        </w:tc>
        <w:tc>
          <w:tcPr>
            <w:tcW w:w="1976" w:type="dxa"/>
            <w:tcBorders>
              <w:tl2br w:val="nil"/>
              <w:tr2bl w:val="nil"/>
            </w:tcBorders>
            <w:shd w:val="clear" w:color="auto" w:fill="auto"/>
            <w:vAlign w:val="center"/>
          </w:tcPr>
          <w:p w14:paraId="2F6A1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1E331A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2FC9B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75" w:type="dxa"/>
            <w:tcBorders>
              <w:tl2br w:val="nil"/>
              <w:tr2bl w:val="nil"/>
            </w:tcBorders>
            <w:shd w:val="clear" w:color="auto" w:fill="auto"/>
            <w:vAlign w:val="center"/>
          </w:tcPr>
          <w:p w14:paraId="7E22A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断路器</w:t>
            </w:r>
          </w:p>
        </w:tc>
        <w:tc>
          <w:tcPr>
            <w:tcW w:w="1626" w:type="dxa"/>
            <w:tcBorders>
              <w:tl2br w:val="nil"/>
              <w:tr2bl w:val="nil"/>
            </w:tcBorders>
            <w:shd w:val="clear" w:color="auto" w:fill="auto"/>
            <w:vAlign w:val="center"/>
          </w:tcPr>
          <w:p w14:paraId="07E3D4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按设计图</w:t>
            </w:r>
          </w:p>
        </w:tc>
        <w:tc>
          <w:tcPr>
            <w:tcW w:w="2280" w:type="dxa"/>
            <w:tcBorders>
              <w:tl2br w:val="nil"/>
              <w:tr2bl w:val="nil"/>
            </w:tcBorders>
            <w:shd w:val="clear" w:color="auto" w:fill="auto"/>
            <w:vAlign w:val="center"/>
          </w:tcPr>
          <w:p w14:paraId="16A3FE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正泰、罗格朗、施耐德</w:t>
            </w:r>
          </w:p>
        </w:tc>
        <w:tc>
          <w:tcPr>
            <w:tcW w:w="1976" w:type="dxa"/>
            <w:tcBorders>
              <w:tl2br w:val="nil"/>
              <w:tr2bl w:val="nil"/>
            </w:tcBorders>
            <w:shd w:val="clear" w:color="auto" w:fill="auto"/>
            <w:vAlign w:val="center"/>
          </w:tcPr>
          <w:p w14:paraId="56633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7B8B0A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3CFAA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75" w:type="dxa"/>
            <w:tcBorders>
              <w:tl2br w:val="nil"/>
              <w:tr2bl w:val="nil"/>
            </w:tcBorders>
            <w:shd w:val="clear" w:color="auto" w:fill="auto"/>
            <w:vAlign w:val="center"/>
          </w:tcPr>
          <w:p w14:paraId="5D226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PVC线槽</w:t>
            </w:r>
          </w:p>
        </w:tc>
        <w:tc>
          <w:tcPr>
            <w:tcW w:w="1626" w:type="dxa"/>
            <w:tcBorders>
              <w:tl2br w:val="nil"/>
              <w:tr2bl w:val="nil"/>
            </w:tcBorders>
            <w:shd w:val="clear" w:color="auto" w:fill="auto"/>
            <w:vAlign w:val="center"/>
          </w:tcPr>
          <w:p w14:paraId="6A9D25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24*14（mm）</w:t>
            </w:r>
          </w:p>
        </w:tc>
        <w:tc>
          <w:tcPr>
            <w:tcW w:w="2280" w:type="dxa"/>
            <w:tcBorders>
              <w:tl2br w:val="nil"/>
              <w:tr2bl w:val="nil"/>
            </w:tcBorders>
            <w:shd w:val="clear" w:color="auto" w:fill="auto"/>
            <w:vAlign w:val="center"/>
          </w:tcPr>
          <w:p w14:paraId="7BED52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联塑、浙杰、雄塑</w:t>
            </w:r>
          </w:p>
        </w:tc>
        <w:tc>
          <w:tcPr>
            <w:tcW w:w="1976" w:type="dxa"/>
            <w:tcBorders>
              <w:tl2br w:val="nil"/>
              <w:tr2bl w:val="nil"/>
            </w:tcBorders>
            <w:shd w:val="clear" w:color="auto" w:fill="auto"/>
            <w:vAlign w:val="center"/>
          </w:tcPr>
          <w:p w14:paraId="53F1D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32EDB8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3BDF7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75" w:type="dxa"/>
            <w:tcBorders>
              <w:tl2br w:val="nil"/>
              <w:tr2bl w:val="nil"/>
            </w:tcBorders>
            <w:shd w:val="clear" w:color="auto" w:fill="auto"/>
            <w:vAlign w:val="center"/>
          </w:tcPr>
          <w:p w14:paraId="23E1EE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镀锌电线管</w:t>
            </w:r>
          </w:p>
        </w:tc>
        <w:tc>
          <w:tcPr>
            <w:tcW w:w="1626" w:type="dxa"/>
            <w:tcBorders>
              <w:tl2br w:val="nil"/>
              <w:tr2bl w:val="nil"/>
            </w:tcBorders>
            <w:shd w:val="clear" w:color="auto" w:fill="auto"/>
            <w:vAlign w:val="center"/>
          </w:tcPr>
          <w:p w14:paraId="68946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JDG20、JDG25、JDG32</w:t>
            </w:r>
          </w:p>
        </w:tc>
        <w:tc>
          <w:tcPr>
            <w:tcW w:w="2280" w:type="dxa"/>
            <w:tcBorders>
              <w:tl2br w:val="nil"/>
              <w:tr2bl w:val="nil"/>
            </w:tcBorders>
            <w:shd w:val="clear" w:color="auto" w:fill="auto"/>
            <w:vAlign w:val="center"/>
          </w:tcPr>
          <w:p w14:paraId="2CCF2C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西钢、中兴、通千</w:t>
            </w:r>
          </w:p>
        </w:tc>
        <w:tc>
          <w:tcPr>
            <w:tcW w:w="1976" w:type="dxa"/>
            <w:tcBorders>
              <w:tl2br w:val="nil"/>
              <w:tr2bl w:val="nil"/>
            </w:tcBorders>
            <w:shd w:val="clear" w:color="auto" w:fill="auto"/>
            <w:vAlign w:val="center"/>
          </w:tcPr>
          <w:p w14:paraId="1A485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4B5757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2145A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75" w:type="dxa"/>
            <w:tcBorders>
              <w:tl2br w:val="nil"/>
              <w:tr2bl w:val="nil"/>
            </w:tcBorders>
            <w:shd w:val="clear" w:color="auto" w:fill="auto"/>
            <w:vAlign w:val="center"/>
          </w:tcPr>
          <w:p w14:paraId="23C321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绝缘电线</w:t>
            </w:r>
          </w:p>
        </w:tc>
        <w:tc>
          <w:tcPr>
            <w:tcW w:w="1626" w:type="dxa"/>
            <w:tcBorders>
              <w:tl2br w:val="nil"/>
              <w:tr2bl w:val="nil"/>
            </w:tcBorders>
            <w:shd w:val="clear" w:color="auto" w:fill="auto"/>
            <w:vAlign w:val="center"/>
          </w:tcPr>
          <w:p w14:paraId="72409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1723BF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广东南洋、穗星、珠江、双菱</w:t>
            </w:r>
          </w:p>
        </w:tc>
        <w:tc>
          <w:tcPr>
            <w:tcW w:w="1976" w:type="dxa"/>
            <w:tcBorders>
              <w:tl2br w:val="nil"/>
              <w:tr2bl w:val="nil"/>
            </w:tcBorders>
            <w:shd w:val="clear" w:color="auto" w:fill="auto"/>
            <w:vAlign w:val="center"/>
          </w:tcPr>
          <w:p w14:paraId="68351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0205D8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1ECD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75" w:type="dxa"/>
            <w:tcBorders>
              <w:tl2br w:val="nil"/>
              <w:tr2bl w:val="nil"/>
            </w:tcBorders>
            <w:shd w:val="clear" w:color="auto" w:fill="auto"/>
            <w:vAlign w:val="center"/>
          </w:tcPr>
          <w:p w14:paraId="2C25DD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监控摄像机</w:t>
            </w:r>
          </w:p>
        </w:tc>
        <w:tc>
          <w:tcPr>
            <w:tcW w:w="1626" w:type="dxa"/>
            <w:tcBorders>
              <w:tl2br w:val="nil"/>
              <w:tr2bl w:val="nil"/>
            </w:tcBorders>
            <w:shd w:val="clear" w:color="auto" w:fill="auto"/>
            <w:vAlign w:val="center"/>
          </w:tcPr>
          <w:p w14:paraId="3BD925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球型</w:t>
            </w:r>
          </w:p>
        </w:tc>
        <w:tc>
          <w:tcPr>
            <w:tcW w:w="2280" w:type="dxa"/>
            <w:tcBorders>
              <w:tl2br w:val="nil"/>
              <w:tr2bl w:val="nil"/>
            </w:tcBorders>
            <w:shd w:val="clear" w:color="auto" w:fill="auto"/>
            <w:vAlign w:val="center"/>
          </w:tcPr>
          <w:p w14:paraId="43E30A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海康威视、大华、英飞拓</w:t>
            </w:r>
          </w:p>
        </w:tc>
        <w:tc>
          <w:tcPr>
            <w:tcW w:w="1976" w:type="dxa"/>
            <w:tcBorders>
              <w:tl2br w:val="nil"/>
              <w:tr2bl w:val="nil"/>
            </w:tcBorders>
            <w:shd w:val="clear" w:color="auto" w:fill="auto"/>
            <w:vAlign w:val="center"/>
          </w:tcPr>
          <w:p w14:paraId="0D17A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30DF6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0C6C1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75" w:type="dxa"/>
            <w:tcBorders>
              <w:tl2br w:val="nil"/>
              <w:tr2bl w:val="nil"/>
            </w:tcBorders>
            <w:shd w:val="clear" w:color="auto" w:fill="auto"/>
            <w:vAlign w:val="center"/>
          </w:tcPr>
          <w:p w14:paraId="7269F0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塑料给水管</w:t>
            </w:r>
          </w:p>
        </w:tc>
        <w:tc>
          <w:tcPr>
            <w:tcW w:w="1626" w:type="dxa"/>
            <w:tcBorders>
              <w:tl2br w:val="nil"/>
              <w:tr2bl w:val="nil"/>
            </w:tcBorders>
            <w:shd w:val="clear" w:color="auto" w:fill="auto"/>
            <w:vAlign w:val="center"/>
          </w:tcPr>
          <w:p w14:paraId="60470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5B494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顾地、雄塑、联塑</w:t>
            </w:r>
          </w:p>
        </w:tc>
        <w:tc>
          <w:tcPr>
            <w:tcW w:w="1976" w:type="dxa"/>
            <w:tcBorders>
              <w:tl2br w:val="nil"/>
              <w:tr2bl w:val="nil"/>
            </w:tcBorders>
            <w:shd w:val="clear" w:color="auto" w:fill="auto"/>
            <w:vAlign w:val="center"/>
          </w:tcPr>
          <w:p w14:paraId="0ECDA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3147F4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69E22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75" w:type="dxa"/>
            <w:tcBorders>
              <w:tl2br w:val="nil"/>
              <w:tr2bl w:val="nil"/>
            </w:tcBorders>
            <w:shd w:val="clear" w:color="auto" w:fill="auto"/>
            <w:vAlign w:val="center"/>
          </w:tcPr>
          <w:p w14:paraId="76B88D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塑料排水管</w:t>
            </w:r>
          </w:p>
        </w:tc>
        <w:tc>
          <w:tcPr>
            <w:tcW w:w="1626" w:type="dxa"/>
            <w:tcBorders>
              <w:tl2br w:val="nil"/>
              <w:tr2bl w:val="nil"/>
            </w:tcBorders>
            <w:shd w:val="clear" w:color="auto" w:fill="auto"/>
            <w:vAlign w:val="center"/>
          </w:tcPr>
          <w:p w14:paraId="2E2F7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0F3F24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顾地、雄塑、联塑</w:t>
            </w:r>
          </w:p>
        </w:tc>
        <w:tc>
          <w:tcPr>
            <w:tcW w:w="1976" w:type="dxa"/>
            <w:tcBorders>
              <w:tl2br w:val="nil"/>
              <w:tr2bl w:val="nil"/>
            </w:tcBorders>
            <w:shd w:val="clear" w:color="auto" w:fill="auto"/>
            <w:vAlign w:val="center"/>
          </w:tcPr>
          <w:p w14:paraId="62B02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39529A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35844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75" w:type="dxa"/>
            <w:tcBorders>
              <w:tl2br w:val="nil"/>
              <w:tr2bl w:val="nil"/>
            </w:tcBorders>
            <w:shd w:val="clear" w:color="auto" w:fill="auto"/>
            <w:vAlign w:val="center"/>
          </w:tcPr>
          <w:p w14:paraId="1E7883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花洒</w:t>
            </w:r>
          </w:p>
        </w:tc>
        <w:tc>
          <w:tcPr>
            <w:tcW w:w="1626" w:type="dxa"/>
            <w:tcBorders>
              <w:tl2br w:val="nil"/>
              <w:tr2bl w:val="nil"/>
            </w:tcBorders>
            <w:shd w:val="clear" w:color="auto" w:fill="auto"/>
            <w:vAlign w:val="center"/>
          </w:tcPr>
          <w:p w14:paraId="008A7E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7C31A6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恒洁、四季沐歌、箭牌卫浴</w:t>
            </w:r>
          </w:p>
        </w:tc>
        <w:tc>
          <w:tcPr>
            <w:tcW w:w="1976" w:type="dxa"/>
            <w:tcBorders>
              <w:tl2br w:val="nil"/>
              <w:tr2bl w:val="nil"/>
            </w:tcBorders>
            <w:shd w:val="clear" w:color="auto" w:fill="auto"/>
            <w:vAlign w:val="center"/>
          </w:tcPr>
          <w:p w14:paraId="2C6A6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53156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7034F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75" w:type="dxa"/>
            <w:tcBorders>
              <w:tl2br w:val="nil"/>
              <w:tr2bl w:val="nil"/>
            </w:tcBorders>
            <w:shd w:val="clear" w:color="auto" w:fill="auto"/>
            <w:vAlign w:val="center"/>
          </w:tcPr>
          <w:p w14:paraId="6A8D0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坐便器</w:t>
            </w:r>
          </w:p>
        </w:tc>
        <w:tc>
          <w:tcPr>
            <w:tcW w:w="1626" w:type="dxa"/>
            <w:tcBorders>
              <w:tl2br w:val="nil"/>
              <w:tr2bl w:val="nil"/>
            </w:tcBorders>
            <w:shd w:val="clear" w:color="auto" w:fill="auto"/>
            <w:vAlign w:val="center"/>
          </w:tcPr>
          <w:p w14:paraId="6E990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41C29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恒洁、四季沐歌、箭牌卫浴</w:t>
            </w:r>
          </w:p>
        </w:tc>
        <w:tc>
          <w:tcPr>
            <w:tcW w:w="1976" w:type="dxa"/>
            <w:tcBorders>
              <w:tl2br w:val="nil"/>
              <w:tr2bl w:val="nil"/>
            </w:tcBorders>
            <w:shd w:val="clear" w:color="auto" w:fill="auto"/>
            <w:vAlign w:val="center"/>
          </w:tcPr>
          <w:p w14:paraId="5FB53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495C3C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56" w:type="dxa"/>
            <w:tcBorders>
              <w:tl2br w:val="nil"/>
              <w:tr2bl w:val="nil"/>
            </w:tcBorders>
            <w:shd w:val="clear" w:color="auto" w:fill="auto"/>
            <w:vAlign w:val="center"/>
          </w:tcPr>
          <w:p w14:paraId="6E64A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75" w:type="dxa"/>
            <w:tcBorders>
              <w:tl2br w:val="nil"/>
              <w:tr2bl w:val="nil"/>
            </w:tcBorders>
            <w:shd w:val="clear" w:color="auto" w:fill="auto"/>
            <w:vAlign w:val="center"/>
          </w:tcPr>
          <w:p w14:paraId="0C03D9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洗衣机水龙头</w:t>
            </w:r>
          </w:p>
        </w:tc>
        <w:tc>
          <w:tcPr>
            <w:tcW w:w="1626" w:type="dxa"/>
            <w:tcBorders>
              <w:tl2br w:val="nil"/>
              <w:tr2bl w:val="nil"/>
            </w:tcBorders>
            <w:shd w:val="clear" w:color="auto" w:fill="auto"/>
            <w:vAlign w:val="center"/>
          </w:tcPr>
          <w:p w14:paraId="7D5DD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综合</w:t>
            </w:r>
          </w:p>
        </w:tc>
        <w:tc>
          <w:tcPr>
            <w:tcW w:w="2280" w:type="dxa"/>
            <w:tcBorders>
              <w:tl2br w:val="nil"/>
              <w:tr2bl w:val="nil"/>
            </w:tcBorders>
            <w:shd w:val="clear" w:color="auto" w:fill="auto"/>
            <w:vAlign w:val="center"/>
          </w:tcPr>
          <w:p w14:paraId="6B77F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恒洁、四季沐歌、箭牌卫浴</w:t>
            </w:r>
          </w:p>
        </w:tc>
        <w:tc>
          <w:tcPr>
            <w:tcW w:w="1976" w:type="dxa"/>
            <w:tcBorders>
              <w:tl2br w:val="nil"/>
              <w:tr2bl w:val="nil"/>
            </w:tcBorders>
            <w:shd w:val="clear" w:color="auto" w:fill="auto"/>
            <w:vAlign w:val="center"/>
          </w:tcPr>
          <w:p w14:paraId="246D1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bl>
    <w:p w14:paraId="436E7294">
      <w:pPr>
        <w:spacing w:line="360" w:lineRule="auto"/>
        <w:rPr>
          <w:rFonts w:ascii="宋体" w:hAnsi="宋体" w:cs="宋体"/>
          <w:color w:val="auto"/>
          <w:szCs w:val="21"/>
        </w:rPr>
      </w:pPr>
      <w:r>
        <w:rPr>
          <w:rFonts w:hint="eastAsia" w:ascii="宋体" w:hAnsi="宋体" w:cs="宋体"/>
          <w:color w:val="auto"/>
          <w:szCs w:val="21"/>
        </w:rPr>
        <w:t>注： 1、本表中选用的主要材料、设备由投标人视本工程具体实际情况自行填报。</w:t>
      </w:r>
    </w:p>
    <w:p w14:paraId="7946F8F1">
      <w:pPr>
        <w:spacing w:line="360" w:lineRule="auto"/>
        <w:ind w:firstLine="525" w:firstLineChars="250"/>
        <w:rPr>
          <w:rFonts w:ascii="宋体" w:hAnsi="宋体" w:cs="宋体"/>
          <w:color w:val="auto"/>
          <w:szCs w:val="21"/>
        </w:rPr>
      </w:pPr>
      <w:r>
        <w:rPr>
          <w:rFonts w:hint="eastAsia" w:ascii="宋体" w:hAnsi="宋体" w:cs="宋体"/>
          <w:color w:val="auto"/>
          <w:szCs w:val="21"/>
        </w:rPr>
        <w:t>2、投标人若在技术标投标文件中选用的材料、设备与经济标投标文件中选用材料、设备不一致的，中标后，招标人有权选用质量性能较优、质量档次高的品牌/生产厂家，投标人不能因此向招标人要求调整价差。</w:t>
      </w:r>
    </w:p>
    <w:p w14:paraId="6C6C55E5">
      <w:pPr>
        <w:spacing w:line="360" w:lineRule="auto"/>
        <w:ind w:firstLine="525" w:firstLineChars="250"/>
        <w:rPr>
          <w:rFonts w:ascii="宋体" w:hAnsi="宋体" w:cs="宋体"/>
          <w:color w:val="auto"/>
          <w:szCs w:val="21"/>
        </w:rPr>
      </w:pPr>
      <w:r>
        <w:rPr>
          <w:rFonts w:hint="eastAsia" w:ascii="宋体" w:hAnsi="宋体" w:cs="宋体"/>
          <w:color w:val="auto"/>
          <w:szCs w:val="21"/>
        </w:rPr>
        <w:t>3、投标人选用的材料设备品牌或生产厂家应按上述《主要设备、材料拟选用品牌表》或相当于（或优于）《主要设备、材料拟选用品牌表》档次和质量的产品进行选用填报。如选用相当于或优于招标文件中推荐品牌（厂家）的，需提供有效的证明材料，有效证明材料需能充分证明其选用品牌的质量档次相当于或优于招标文件要求，且在采购前必须经招标人审批同意，否则，视为自行更换品牌，按招标文件和合同规定承担违约责任。</w:t>
      </w:r>
    </w:p>
    <w:p w14:paraId="0099D1F8">
      <w:pPr>
        <w:widowControl/>
        <w:topLinePunct w:val="0"/>
        <w:adjustRightInd/>
        <w:snapToGrid/>
        <w:spacing w:after="0" w:line="360" w:lineRule="auto"/>
        <w:ind w:firstLine="4620" w:firstLineChars="2200"/>
        <w:jc w:val="left"/>
        <w:rPr>
          <w:rFonts w:hint="eastAsia" w:ascii="宋体" w:hAnsi="宋体" w:cs="宋体"/>
          <w:color w:val="auto"/>
          <w:spacing w:val="0"/>
          <w:kern w:val="2"/>
          <w:sz w:val="21"/>
          <w:szCs w:val="21"/>
        </w:rPr>
      </w:pPr>
    </w:p>
    <w:p w14:paraId="6B2C2DBD">
      <w:pPr>
        <w:widowControl/>
        <w:topLinePunct w:val="0"/>
        <w:adjustRightInd/>
        <w:snapToGrid/>
        <w:spacing w:after="0" w:line="360" w:lineRule="auto"/>
        <w:ind w:firstLine="4620" w:firstLineChars="2200"/>
        <w:jc w:val="left"/>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投标人：　</w:t>
      </w:r>
    </w:p>
    <w:p w14:paraId="17BE7043">
      <w:pPr>
        <w:spacing w:line="360" w:lineRule="auto"/>
        <w:ind w:right="0" w:firstLine="4620" w:firstLineChars="2200"/>
        <w:jc w:val="left"/>
        <w:rPr>
          <w:rFonts w:hint="eastAsia" w:ascii="宋体" w:hAnsi="宋体" w:cs="宋体"/>
          <w:color w:val="auto"/>
          <w:szCs w:val="21"/>
        </w:rPr>
      </w:pPr>
      <w:r>
        <w:rPr>
          <w:rFonts w:hint="eastAsia" w:ascii="宋体" w:hAnsi="宋体" w:cs="宋体"/>
          <w:color w:val="auto"/>
          <w:spacing w:val="0"/>
          <w:kern w:val="2"/>
          <w:sz w:val="21"/>
          <w:szCs w:val="21"/>
        </w:rPr>
        <w:t xml:space="preserve">日   期：    年    月    日 </w:t>
      </w:r>
    </w:p>
    <w:p w14:paraId="6ABF2697">
      <w:pPr>
        <w:widowControl/>
        <w:topLinePunct/>
        <w:adjustRightInd w:val="0"/>
        <w:snapToGrid w:val="0"/>
        <w:spacing w:after="200"/>
        <w:jc w:val="left"/>
        <w:outlineLvl w:val="2"/>
        <w:rPr>
          <w:rFonts w:ascii="宋体" w:hAnsi="宋体" w:eastAsia="宋体" w:cs="宋体"/>
          <w:b w:val="0"/>
          <w:color w:val="auto"/>
          <w:spacing w:val="0"/>
          <w:kern w:val="2"/>
          <w:sz w:val="24"/>
          <w:szCs w:val="24"/>
        </w:rPr>
      </w:pPr>
      <w:r>
        <w:rPr>
          <w:rFonts w:hint="eastAsia" w:ascii="宋体" w:hAnsi="宋体" w:eastAsia="宋体" w:cs="Times New Roman"/>
          <w:b w:val="0"/>
          <w:bCs w:val="0"/>
          <w:color w:val="auto"/>
          <w:spacing w:val="4"/>
          <w:kern w:val="0"/>
          <w:sz w:val="24"/>
          <w:szCs w:val="24"/>
        </w:rPr>
        <w:br w:type="page"/>
      </w:r>
      <w:r>
        <w:rPr>
          <w:rFonts w:hint="eastAsia" w:ascii="宋体" w:hAnsi="宋体" w:eastAsia="宋体" w:cs="Times New Roman"/>
          <w:b w:val="0"/>
          <w:bCs w:val="0"/>
          <w:color w:val="auto"/>
          <w:spacing w:val="4"/>
          <w:kern w:val="0"/>
          <w:sz w:val="24"/>
          <w:szCs w:val="24"/>
        </w:rPr>
        <w:t>格式</w:t>
      </w:r>
      <w:r>
        <w:rPr>
          <w:rFonts w:hint="eastAsia" w:ascii="宋体" w:hAnsi="宋体" w:eastAsia="宋体" w:cs="Times New Roman"/>
          <w:b w:val="0"/>
          <w:bCs w:val="0"/>
          <w:color w:val="auto"/>
          <w:spacing w:val="4"/>
          <w:kern w:val="0"/>
          <w:sz w:val="24"/>
          <w:szCs w:val="24"/>
          <w:lang w:val="en-US" w:eastAsia="zh-CN"/>
        </w:rPr>
        <w:t>十</w:t>
      </w:r>
      <w:r>
        <w:rPr>
          <w:rFonts w:hint="eastAsia" w:ascii="宋体" w:hAnsi="宋体" w:eastAsia="宋体" w:cs="Times New Roman"/>
          <w:b w:val="0"/>
          <w:bCs w:val="0"/>
          <w:color w:val="auto"/>
          <w:spacing w:val="4"/>
          <w:kern w:val="0"/>
          <w:sz w:val="24"/>
          <w:szCs w:val="24"/>
        </w:rPr>
        <w:t>：危险性较大的分部分项工程清单及超过一定规模的危险性较大的分部分项工程清单</w:t>
      </w:r>
    </w:p>
    <w:p w14:paraId="298D5E47">
      <w:pPr>
        <w:autoSpaceDE w:val="0"/>
        <w:autoSpaceDN w:val="0"/>
        <w:adjustRightInd w:val="0"/>
        <w:jc w:val="center"/>
        <w:rPr>
          <w:rFonts w:ascii="宋体" w:hAnsi="宋体" w:cs="宋体"/>
          <w:b/>
          <w:bCs/>
          <w:color w:val="auto"/>
          <w:sz w:val="28"/>
          <w:szCs w:val="28"/>
          <w:lang w:val="zh-CN"/>
        </w:rPr>
      </w:pPr>
      <w:r>
        <w:rPr>
          <w:rFonts w:hint="eastAsia" w:ascii="宋体" w:hAnsi="宋体" w:cs="宋体"/>
          <w:b/>
          <w:bCs/>
          <w:color w:val="auto"/>
          <w:sz w:val="28"/>
          <w:szCs w:val="28"/>
          <w:lang w:val="zh-CN"/>
        </w:rPr>
        <w:t>危险性较大的分部分项工程清单及超过一定规模的危险性较大的分部分项工程清单</w:t>
      </w:r>
    </w:p>
    <w:p w14:paraId="6DBA7C1A">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1、根据中华人民共和国住房和城乡建设部令第37号《危险性较大的分部分项工程安全管理规定》（以下简称“37号文”），投标人在投标时须补充完善危大工程清单并明确相应的安全管理措施。</w:t>
      </w:r>
    </w:p>
    <w:p w14:paraId="200EF994">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2、招标人根据设计文件的要求及37号文的规定列出“危险性较大的分部分项工程清单及超过一定规模的危险性较大的分部分项工程清单”中与本招标项目相关的清单项，具体详见第5点“打√”标识。</w:t>
      </w:r>
    </w:p>
    <w:p w14:paraId="5E1B52B0">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（1）投标单位同意建设单位在清单中标识的该项请在对应项打“√”标识，并于投标文件中提供相应的安全管理措施。</w:t>
      </w:r>
    </w:p>
    <w:p w14:paraId="49F7272E">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（2）投标单位对清单中认为需要补充的该项请在对应项打“√”标识，并于投标文件中提供相应的安全管理措施。</w:t>
      </w:r>
    </w:p>
    <w:p w14:paraId="564B9F39">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（3）投标单位不同意建设单位在清单中标识的该项请在对应项打“×”标识，并在备注栏填上相关说明。</w:t>
      </w:r>
    </w:p>
    <w:p w14:paraId="42EF5409">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3、投标单位应当在投标时根据招标人提供的下述第5点清单，在中标后提供的施工组织中编制专项施工方案。</w:t>
      </w:r>
    </w:p>
    <w:p w14:paraId="382BD261">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EAC7D5F">
      <w:pPr>
        <w:pStyle w:val="111"/>
        <w:autoSpaceDE/>
        <w:autoSpaceDN/>
        <w:adjustRightInd w:val="0"/>
        <w:spacing w:line="288" w:lineRule="auto"/>
        <w:ind w:firstLine="480"/>
        <w:jc w:val="left"/>
        <w:rPr>
          <w:rFonts w:ascii="宋体" w:hAnsi="宋体" w:cs="宋体"/>
          <w:color w:val="auto"/>
          <w:sz w:val="24"/>
          <w:szCs w:val="28"/>
        </w:rPr>
      </w:pPr>
      <w:r>
        <w:rPr>
          <w:rFonts w:hint="eastAsia" w:ascii="宋体" w:hAnsi="宋体" w:cs="宋体"/>
          <w:color w:val="auto"/>
          <w:sz w:val="24"/>
          <w:szCs w:val="28"/>
        </w:rPr>
        <w:t>5、危险性较大的分部分项工程清单及超过一定规模的危险性较大的分部分项工程清单：</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3A8B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446007DA">
            <w:pPr>
              <w:pStyle w:val="111"/>
              <w:keepNext w:val="0"/>
              <w:keepLines w:val="0"/>
              <w:suppressLineNumbers w:val="0"/>
              <w:autoSpaceDE w:val="0"/>
              <w:autoSpaceDN w:val="0"/>
              <w:adjustRightInd w:val="0"/>
              <w:spacing w:before="0" w:beforeAutospacing="0" w:after="0" w:afterAutospacing="0" w:line="240" w:lineRule="auto"/>
              <w:ind w:left="0" w:right="0" w:firstLine="482"/>
              <w:jc w:val="left"/>
              <w:rPr>
                <w:rFonts w:hint="default" w:ascii="宋体" w:hAnsi="宋体" w:cs="宋体"/>
                <w:b/>
                <w:color w:val="auto"/>
                <w:sz w:val="24"/>
              </w:rPr>
            </w:pPr>
            <w:r>
              <w:rPr>
                <w:rFonts w:hint="eastAsia" w:ascii="宋体" w:hAnsi="宋体" w:cs="宋体"/>
                <w:b/>
                <w:color w:val="auto"/>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598BAA81">
            <w:pPr>
              <w:keepNext w:val="0"/>
              <w:keepLines w:val="0"/>
              <w:suppressLineNumbers w:val="0"/>
              <w:spacing w:before="0" w:beforeAutospacing="0" w:after="0" w:afterAutospacing="0"/>
              <w:ind w:left="0" w:right="0"/>
              <w:jc w:val="center"/>
              <w:rPr>
                <w:rFonts w:hint="default" w:ascii="宋体" w:hAnsi="宋体" w:cs="宋体"/>
                <w:color w:val="auto"/>
                <w:sz w:val="24"/>
                <w:szCs w:val="36"/>
              </w:rPr>
            </w:pPr>
            <w:r>
              <w:rPr>
                <w:rFonts w:hint="eastAsia" w:ascii="宋体" w:hAnsi="宋体" w:cs="宋体"/>
                <w:color w:val="auto"/>
                <w:sz w:val="24"/>
                <w:szCs w:val="36"/>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21EF4142">
            <w:pPr>
              <w:keepNext w:val="0"/>
              <w:keepLines w:val="0"/>
              <w:suppressLineNumbers w:val="0"/>
              <w:spacing w:before="0" w:beforeAutospacing="0" w:after="0" w:afterAutospacing="0"/>
              <w:ind w:left="0" w:right="0"/>
              <w:jc w:val="center"/>
              <w:rPr>
                <w:rFonts w:hint="default" w:ascii="宋体" w:hAnsi="宋体" w:cs="宋体"/>
                <w:color w:val="auto"/>
                <w:sz w:val="24"/>
                <w:szCs w:val="36"/>
              </w:rPr>
            </w:pPr>
            <w:r>
              <w:rPr>
                <w:rFonts w:hint="eastAsia" w:ascii="宋体" w:hAnsi="宋体" w:cs="宋体"/>
                <w:color w:val="auto"/>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65E8DDB4">
            <w:pPr>
              <w:keepNext w:val="0"/>
              <w:keepLines w:val="0"/>
              <w:suppressLineNumbers w:val="0"/>
              <w:spacing w:before="0" w:beforeAutospacing="0" w:after="0" w:afterAutospacing="0"/>
              <w:ind w:left="0" w:right="0"/>
              <w:jc w:val="center"/>
              <w:rPr>
                <w:rFonts w:hint="default" w:ascii="宋体" w:hAnsi="宋体" w:cs="宋体"/>
                <w:color w:val="auto"/>
                <w:sz w:val="24"/>
                <w:szCs w:val="36"/>
              </w:rPr>
            </w:pPr>
            <w:r>
              <w:rPr>
                <w:rFonts w:hint="eastAsia" w:ascii="宋体" w:hAnsi="宋体" w:cs="宋体"/>
                <w:color w:val="auto"/>
                <w:sz w:val="24"/>
                <w:szCs w:val="36"/>
              </w:rPr>
              <w:t>备注</w:t>
            </w:r>
          </w:p>
        </w:tc>
      </w:tr>
      <w:tr w14:paraId="20F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9716647">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53054BED">
            <w:pPr>
              <w:keepNext w:val="0"/>
              <w:keepLines w:val="0"/>
              <w:suppressLineNumbers w:val="0"/>
              <w:spacing w:before="0" w:beforeAutospacing="0" w:after="0" w:afterAutospacing="0"/>
              <w:ind w:left="0" w:right="0"/>
              <w:jc w:val="center"/>
              <w:rPr>
                <w:rFonts w:hint="default" w:ascii="宋体" w:hAnsi="宋体" w:cs="宋体"/>
                <w:color w:val="auto"/>
                <w:sz w:val="24"/>
                <w:szCs w:val="36"/>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B1097A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4581CDC">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288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A460CB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05B7F49C">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21DB50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15BD9FD">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1A3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F9731D">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779D3FCA">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B9B2868">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2EE316">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7F89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DCA9A0F">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4B2ECD2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A6A14B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882E41">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DB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5A55DF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71CA5D8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755509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0CAB7D5">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92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1903BB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24CCF4C1">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788D7B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E266077">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CE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BD9D6C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764D6A2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EBE6E0D">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A64D91A">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0F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8FC174E">
            <w:pPr>
              <w:keepNext w:val="0"/>
              <w:keepLines w:val="0"/>
              <w:widowControl/>
              <w:suppressLineNumbers w:val="0"/>
              <w:spacing w:before="0" w:beforeAutospacing="0" w:after="0" w:afterAutospacing="0" w:line="240" w:lineRule="auto"/>
              <w:ind w:left="0" w:right="0"/>
              <w:jc w:val="left"/>
              <w:rPr>
                <w:rFonts w:hint="default" w:ascii="宋体" w:hAnsi="宋体" w:cs="宋体"/>
                <w:color w:val="auto"/>
                <w:sz w:val="24"/>
              </w:rPr>
            </w:pPr>
            <w:r>
              <w:rPr>
                <w:rFonts w:hint="eastAsia" w:ascii="宋体" w:hAnsi="宋体" w:cs="宋体"/>
                <w:color w:val="auto"/>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523FCFA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CAD3A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F5A7858">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FC1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271CE0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37041D1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F242A56">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C8F1D28">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7D94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E0582A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28460396">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E88AC24">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77B5FD">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98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0FD5963">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4EA93B4A">
            <w:pPr>
              <w:keepNext w:val="0"/>
              <w:keepLines w:val="0"/>
              <w:suppressLineNumbers w:val="0"/>
              <w:spacing w:before="0" w:beforeAutospacing="0" w:after="0" w:afterAutospacing="0"/>
              <w:ind w:left="0" w:right="0"/>
              <w:jc w:val="center"/>
              <w:rPr>
                <w:rFonts w:hint="default" w:ascii="宋体" w:hAnsi="宋体" w:cs="宋体"/>
                <w:color w:val="auto"/>
                <w:sz w:val="24"/>
                <w:szCs w:val="36"/>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18D623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9DA7B9D">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61F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B8788D">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17F1AEF8">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27C28A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C965109">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57E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F4DC75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5D7BCB1F">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272CC43">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B432A7F">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4DFB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035CA7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3ADB18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B1662A4">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2353C34">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25F5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03C25A4">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8A6D1CC">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69AEB3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3130656">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73F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F18C54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6CC773A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5164A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1B22576">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45E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576BE55">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1CD890E6">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7E9974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6C4C80D">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EF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6C5EBAD">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4DF3B5C">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4B93AE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3E78041">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784B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tcPr>
          <w:p w14:paraId="79D369CD">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18A29B3D">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871AA7D">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D9BED5B">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A55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3890C42">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eastAsia="宋体" w:cs="宋体"/>
                <w:color w:val="auto"/>
                <w:sz w:val="22"/>
                <w:szCs w:val="21"/>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9700878">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6FAAEC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5E1B22E">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6829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CE7125">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0779B003">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64B24C1">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94253BA">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A8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749E529">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eastAsia="宋体" w:cs="宋体"/>
                <w:color w:val="auto"/>
                <w:sz w:val="22"/>
                <w:szCs w:val="21"/>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7D24A19F">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5CC6FF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C54E694">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ECE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91F50BF">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2D7C673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950A2A6">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3DA39C3">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D1F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A0D2A96">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117224FE">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8FE6E6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F4C49E1">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7736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B681576">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32C60A0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9A281DA">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7DCACC">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23F4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5FE77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1738B1C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9148A7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8DB956">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CE5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6BBB2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58A255B2">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08D3D41">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85C047E">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CE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406398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06B97E0">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475C22C">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315474C">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69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5D8E34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4B407A3A">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6D36703">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499F55">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4A6B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4B2DD015">
            <w:pPr>
              <w:keepNext w:val="0"/>
              <w:keepLines w:val="0"/>
              <w:widowControl/>
              <w:suppressLineNumbers w:val="0"/>
              <w:spacing w:before="0" w:beforeAutospacing="0" w:after="0" w:afterAutospacing="0" w:line="240" w:lineRule="auto"/>
              <w:ind w:left="0" w:right="0"/>
              <w:rPr>
                <w:rFonts w:hint="default" w:ascii="宋体" w:hAnsi="宋体" w:cs="宋体"/>
                <w:b/>
                <w:color w:val="auto"/>
                <w:sz w:val="24"/>
              </w:rPr>
            </w:pPr>
            <w:r>
              <w:rPr>
                <w:rFonts w:hint="eastAsia" w:ascii="宋体" w:hAnsi="宋体" w:cs="宋体"/>
                <w:b/>
                <w:bCs/>
                <w:color w:val="auto"/>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3E4B5B6D">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7BDD49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0A015B">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27A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E71A38">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7C32BD09">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3F199D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4D0FD4">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C0E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4D26E8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17315F9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0A50526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6E77C451">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4E25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C30FBBD">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75279274">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7BFEB5D">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D9AC322">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04B2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F6E6B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1DFFDAD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67BDE46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43E66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1251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57ED7AE">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1949885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611B50A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0EBDCEE6">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62E9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2625458">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73F73B8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05CC03F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6B85A27A">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7908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8158340">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64418CF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D0BD551">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55916D1">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A6C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B884EA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78FBFBB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5E3E41A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4DC66E2D">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4C92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5E2730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13919FB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0B5C0CD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29EF4E71">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555C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A4EB0E9">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942BD76">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DC66ED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F358240">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19CF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5FDFF8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612EFC8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5B852D1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3DAF3B3A">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553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E3EE776">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56D8FEB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2BB4FD7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27B98D5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638C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D804A34">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B22344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5D21041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0507D1">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0D1B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FE100BC">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465FEB0B">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2B7D394">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5EE6D15">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6CB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6926C2A">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2D933B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628A4A6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0F27E638">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20EC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4F76C3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E7838D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5C1E23F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38B9568F">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79A3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8D32B2C">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3E9ADE38">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E5F1D47">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21A0738">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3B09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5FCADB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r>
              <w:rPr>
                <w:rFonts w:hint="eastAsia" w:ascii="宋体" w:hAnsi="宋体" w:eastAsia="宋体" w:cs="宋体"/>
                <w:color w:val="auto"/>
                <w:sz w:val="22"/>
                <w:szCs w:val="21"/>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EC8790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361" w:type="dxa"/>
            <w:tcBorders>
              <w:top w:val="single" w:color="auto" w:sz="4" w:space="0"/>
              <w:left w:val="single" w:color="auto" w:sz="4" w:space="0"/>
              <w:bottom w:val="single" w:color="auto" w:sz="4" w:space="0"/>
              <w:right w:val="single" w:color="auto" w:sz="4" w:space="0"/>
            </w:tcBorders>
            <w:vAlign w:val="center"/>
          </w:tcPr>
          <w:p w14:paraId="5279ED5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1"/>
              </w:rPr>
            </w:pPr>
            <w:r>
              <w:rPr>
                <w:rFonts w:hint="eastAsia" w:ascii="宋体" w:hAnsi="宋体" w:eastAsia="宋体" w:cs="宋体"/>
                <w:color w:val="auto"/>
                <w:sz w:val="22"/>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14:paraId="0C211F4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1"/>
              </w:rPr>
            </w:pPr>
          </w:p>
        </w:tc>
      </w:tr>
      <w:tr w14:paraId="69AA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E261078">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0F1C53FE">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80DA865">
            <w:pPr>
              <w:keepNext w:val="0"/>
              <w:keepLines w:val="0"/>
              <w:suppressLineNumbers w:val="0"/>
              <w:spacing w:before="0" w:beforeAutospacing="0" w:after="0" w:afterAutospacing="0"/>
              <w:ind w:left="0" w:right="0"/>
              <w:jc w:val="center"/>
              <w:rPr>
                <w:rFonts w:hint="default" w:ascii="宋体" w:hAnsi="宋体" w:cs="宋体"/>
                <w:color w:val="auto"/>
              </w:rPr>
            </w:pPr>
            <w:r>
              <w:rPr>
                <w:rFonts w:hint="eastAsia" w:ascii="宋体" w:hAnsi="宋体" w:cs="宋体"/>
                <w:color w:val="auto"/>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6743D0">
            <w:pPr>
              <w:keepNext w:val="0"/>
              <w:keepLines w:val="0"/>
              <w:suppressLineNumbers w:val="0"/>
              <w:spacing w:before="0" w:beforeAutospacing="0" w:after="0" w:afterAutospacing="0"/>
              <w:ind w:left="0" w:right="0"/>
              <w:jc w:val="center"/>
              <w:rPr>
                <w:rFonts w:hint="default" w:ascii="宋体" w:hAnsi="宋体" w:cs="宋体"/>
                <w:color w:val="auto"/>
                <w:sz w:val="24"/>
                <w:szCs w:val="36"/>
              </w:rPr>
            </w:pPr>
          </w:p>
        </w:tc>
      </w:tr>
      <w:tr w14:paraId="5724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E7E4BE4">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730CF548">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5F9E634F">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400286FD">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r w14:paraId="58C3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306FF22">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650A8A9C">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4183F0FC">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4E2B40C4">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r w14:paraId="2C1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E882AB1">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4853D988">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7E29CF52">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27631033">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r w14:paraId="2370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22016A5">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605903EC">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452F6FB3">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7205D3B7">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r w14:paraId="58A0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E486F25">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13BC3026">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63D2A54F">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7E22B773">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r w14:paraId="1DEE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982EE9F">
            <w:pPr>
              <w:keepNext w:val="0"/>
              <w:keepLines w:val="0"/>
              <w:suppressLineNumbers w:val="0"/>
              <w:spacing w:before="0" w:beforeAutospacing="0" w:after="0" w:afterAutospacing="0"/>
              <w:ind w:left="0" w:right="0"/>
              <w:jc w:val="left"/>
              <w:rPr>
                <w:rFonts w:hint="default" w:ascii="宋体" w:hAnsi="宋体" w:cs="宋体"/>
                <w:color w:val="auto"/>
                <w:sz w:val="22"/>
                <w:szCs w:val="21"/>
              </w:rPr>
            </w:pPr>
            <w:r>
              <w:rPr>
                <w:rFonts w:hint="eastAsia" w:ascii="宋体" w:hAnsi="宋体" w:cs="宋体"/>
                <w:color w:val="auto"/>
                <w:sz w:val="22"/>
                <w:szCs w:val="21"/>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10993E89">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361" w:type="dxa"/>
            <w:tcBorders>
              <w:top w:val="single" w:color="auto" w:sz="4" w:space="0"/>
              <w:left w:val="single" w:color="auto" w:sz="4" w:space="0"/>
              <w:bottom w:val="single" w:color="auto" w:sz="4" w:space="0"/>
              <w:right w:val="single" w:color="auto" w:sz="4" w:space="0"/>
            </w:tcBorders>
            <w:vAlign w:val="center"/>
          </w:tcPr>
          <w:p w14:paraId="70D46A85">
            <w:pPr>
              <w:keepNext w:val="0"/>
              <w:keepLines w:val="0"/>
              <w:suppressLineNumbers w:val="0"/>
              <w:spacing w:before="0" w:beforeAutospacing="0" w:after="0" w:afterAutospacing="0"/>
              <w:ind w:left="0" w:right="0"/>
              <w:jc w:val="center"/>
              <w:rPr>
                <w:rFonts w:hint="default" w:ascii="宋体" w:hAnsi="宋体" w:cs="宋体"/>
                <w:color w:val="auto"/>
                <w:sz w:val="20"/>
                <w:szCs w:val="21"/>
              </w:rPr>
            </w:pPr>
            <w:r>
              <w:rPr>
                <w:rFonts w:hint="eastAsia" w:ascii="宋体" w:hAnsi="宋体" w:cs="宋体"/>
                <w:color w:val="auto"/>
                <w:sz w:val="22"/>
                <w:szCs w:val="32"/>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A351A5">
            <w:pPr>
              <w:keepNext w:val="0"/>
              <w:keepLines w:val="0"/>
              <w:suppressLineNumbers w:val="0"/>
              <w:spacing w:before="0" w:beforeAutospacing="0" w:after="0" w:afterAutospacing="0"/>
              <w:ind w:left="0" w:right="0"/>
              <w:jc w:val="center"/>
              <w:rPr>
                <w:rFonts w:hint="default" w:ascii="宋体" w:hAnsi="宋体" w:cs="宋体"/>
                <w:color w:val="auto"/>
                <w:sz w:val="22"/>
                <w:szCs w:val="32"/>
              </w:rPr>
            </w:pPr>
          </w:p>
        </w:tc>
      </w:tr>
    </w:tbl>
    <w:p w14:paraId="252F92CC">
      <w:pPr>
        <w:pStyle w:val="111"/>
        <w:autoSpaceDE w:val="0"/>
        <w:autoSpaceDN w:val="0"/>
        <w:adjustRightInd w:val="0"/>
        <w:spacing w:line="240" w:lineRule="auto"/>
        <w:ind w:firstLine="480"/>
        <w:jc w:val="left"/>
        <w:rPr>
          <w:rFonts w:ascii="宋体" w:hAnsi="宋体" w:cs="宋体"/>
          <w:color w:val="auto"/>
          <w:sz w:val="24"/>
          <w:szCs w:val="28"/>
        </w:rPr>
      </w:pPr>
    </w:p>
    <w:p w14:paraId="57C58824">
      <w:pPr>
        <w:spacing w:line="24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投标人名称：</w:t>
      </w:r>
    </w:p>
    <w:p w14:paraId="16FC541C">
      <w:pPr>
        <w:spacing w:line="24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法定代表人或被授权人（签字或盖章）：</w:t>
      </w:r>
    </w:p>
    <w:p w14:paraId="61BD2268">
      <w:pPr>
        <w:spacing w:line="240" w:lineRule="auto"/>
        <w:ind w:firstLine="3000" w:firstLineChars="1250"/>
        <w:rPr>
          <w:rFonts w:ascii="宋体" w:hAnsi="宋体" w:cs="宋体"/>
          <w:color w:val="auto"/>
        </w:rPr>
      </w:pPr>
      <w:r>
        <w:rPr>
          <w:rFonts w:hint="eastAsia" w:ascii="宋体" w:hAnsi="宋体" w:cs="宋体"/>
          <w:color w:val="auto"/>
          <w:sz w:val="24"/>
          <w:szCs w:val="20"/>
        </w:rPr>
        <w:t>日期：   年  月  日</w:t>
      </w:r>
    </w:p>
    <w:p w14:paraId="33F493C1">
      <w:pPr>
        <w:widowControl/>
        <w:tabs>
          <w:tab w:val="left" w:pos="720"/>
        </w:tabs>
        <w:topLinePunct w:val="0"/>
        <w:adjustRightInd/>
        <w:snapToGrid w:val="0"/>
        <w:spacing w:after="0" w:line="360" w:lineRule="auto"/>
        <w:jc w:val="left"/>
        <w:outlineLvl w:val="9"/>
        <w:rPr>
          <w:rFonts w:hint="eastAsia" w:ascii="宋体" w:hAnsi="宋体" w:eastAsia="宋体" w:cs="Times New Roman"/>
          <w:b w:val="0"/>
          <w:bCs w:val="0"/>
          <w:color w:val="auto"/>
          <w:spacing w:val="4"/>
          <w:kern w:val="0"/>
          <w:sz w:val="24"/>
          <w:szCs w:val="24"/>
        </w:rPr>
      </w:pPr>
      <w:r>
        <w:rPr>
          <w:rFonts w:hint="eastAsia" w:ascii="宋体" w:hAnsi="宋体" w:cs="宋体"/>
          <w:color w:val="auto"/>
        </w:rPr>
        <w:br w:type="page"/>
      </w:r>
      <w:r>
        <w:rPr>
          <w:rFonts w:hint="eastAsia" w:ascii="宋体" w:hAnsi="宋体" w:eastAsia="宋体" w:cs="Times New Roman"/>
          <w:b w:val="0"/>
          <w:bCs w:val="0"/>
          <w:color w:val="auto"/>
          <w:spacing w:val="4"/>
          <w:kern w:val="0"/>
          <w:sz w:val="24"/>
          <w:szCs w:val="24"/>
        </w:rPr>
        <w:t>格式</w:t>
      </w:r>
      <w:r>
        <w:rPr>
          <w:rFonts w:hint="eastAsia" w:ascii="宋体" w:hAnsi="宋体" w:eastAsia="宋体" w:cs="Times New Roman"/>
          <w:b w:val="0"/>
          <w:bCs w:val="0"/>
          <w:color w:val="auto"/>
          <w:spacing w:val="4"/>
          <w:kern w:val="0"/>
          <w:sz w:val="24"/>
          <w:szCs w:val="24"/>
          <w:lang w:val="en-US" w:eastAsia="zh-CN"/>
        </w:rPr>
        <w:t>十一</w:t>
      </w:r>
      <w:r>
        <w:rPr>
          <w:rFonts w:hint="eastAsia" w:ascii="宋体" w:hAnsi="宋体" w:eastAsia="宋体" w:cs="Times New Roman"/>
          <w:b w:val="0"/>
          <w:bCs w:val="0"/>
          <w:color w:val="auto"/>
          <w:spacing w:val="4"/>
          <w:kern w:val="0"/>
          <w:sz w:val="24"/>
          <w:szCs w:val="24"/>
        </w:rPr>
        <w:t>：参与编制技术标投标文件人员名单</w:t>
      </w:r>
    </w:p>
    <w:p w14:paraId="3E365C99">
      <w:pPr>
        <w:tabs>
          <w:tab w:val="left" w:pos="720"/>
        </w:tabs>
        <w:snapToGrid w:val="0"/>
        <w:spacing w:line="360" w:lineRule="auto"/>
        <w:jc w:val="center"/>
        <w:rPr>
          <w:rFonts w:hint="eastAsia"/>
          <w:b/>
          <w:bCs/>
          <w:sz w:val="24"/>
          <w:szCs w:val="24"/>
          <w:highlight w:val="none"/>
        </w:rPr>
      </w:pPr>
    </w:p>
    <w:p w14:paraId="7AC52F0C">
      <w:pPr>
        <w:tabs>
          <w:tab w:val="left" w:pos="720"/>
        </w:tabs>
        <w:snapToGrid w:val="0"/>
        <w:spacing w:line="360" w:lineRule="auto"/>
        <w:jc w:val="center"/>
        <w:rPr>
          <w:b/>
          <w:bCs/>
          <w:sz w:val="24"/>
          <w:szCs w:val="24"/>
          <w:highlight w:val="none"/>
        </w:rPr>
      </w:pPr>
      <w:r>
        <w:rPr>
          <w:rFonts w:hint="eastAsia"/>
          <w:b/>
          <w:bCs/>
          <w:sz w:val="24"/>
          <w:szCs w:val="24"/>
          <w:highlight w:val="none"/>
        </w:rPr>
        <w:t>参与编制技术标投标文件人员名单</w:t>
      </w:r>
    </w:p>
    <w:tbl>
      <w:tblPr>
        <w:tblStyle w:val="3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528"/>
        <w:gridCol w:w="2581"/>
        <w:gridCol w:w="2476"/>
        <w:gridCol w:w="1514"/>
      </w:tblGrid>
      <w:tr w14:paraId="701C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0" w:type="dxa"/>
            <w:gridSpan w:val="5"/>
            <w:tcBorders>
              <w:top w:val="single" w:color="auto" w:sz="4" w:space="0"/>
              <w:left w:val="single" w:color="auto" w:sz="4" w:space="0"/>
              <w:bottom w:val="single" w:color="auto" w:sz="4" w:space="0"/>
              <w:right w:val="single" w:color="auto" w:sz="4" w:space="0"/>
            </w:tcBorders>
            <w:vAlign w:val="center"/>
          </w:tcPr>
          <w:p w14:paraId="55E3258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投标人名称</w:t>
            </w:r>
          </w:p>
        </w:tc>
      </w:tr>
      <w:tr w14:paraId="20D0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5B7205A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姓名</w:t>
            </w:r>
          </w:p>
        </w:tc>
        <w:tc>
          <w:tcPr>
            <w:tcW w:w="1528" w:type="dxa"/>
            <w:tcBorders>
              <w:top w:val="single" w:color="auto" w:sz="4" w:space="0"/>
              <w:left w:val="single" w:color="auto" w:sz="4" w:space="0"/>
              <w:bottom w:val="single" w:color="auto" w:sz="4" w:space="0"/>
              <w:right w:val="single" w:color="auto" w:sz="4" w:space="0"/>
            </w:tcBorders>
            <w:vAlign w:val="center"/>
          </w:tcPr>
          <w:p w14:paraId="6D712C6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职务</w:t>
            </w:r>
          </w:p>
        </w:tc>
        <w:tc>
          <w:tcPr>
            <w:tcW w:w="2581" w:type="dxa"/>
            <w:tcBorders>
              <w:top w:val="single" w:color="auto" w:sz="4" w:space="0"/>
              <w:left w:val="single" w:color="auto" w:sz="4" w:space="0"/>
              <w:bottom w:val="single" w:color="auto" w:sz="4" w:space="0"/>
              <w:right w:val="single" w:color="auto" w:sz="4" w:space="0"/>
            </w:tcBorders>
            <w:vAlign w:val="center"/>
          </w:tcPr>
          <w:p w14:paraId="18CCF36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所承担工作</w:t>
            </w:r>
          </w:p>
        </w:tc>
        <w:tc>
          <w:tcPr>
            <w:tcW w:w="2476" w:type="dxa"/>
            <w:tcBorders>
              <w:top w:val="single" w:color="auto" w:sz="4" w:space="0"/>
              <w:left w:val="single" w:color="auto" w:sz="4" w:space="0"/>
              <w:bottom w:val="single" w:color="auto" w:sz="4" w:space="0"/>
              <w:right w:val="single" w:color="auto" w:sz="4" w:space="0"/>
            </w:tcBorders>
            <w:vAlign w:val="center"/>
          </w:tcPr>
          <w:p w14:paraId="1E9C453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身份证号码</w:t>
            </w:r>
          </w:p>
        </w:tc>
        <w:tc>
          <w:tcPr>
            <w:tcW w:w="1514" w:type="dxa"/>
            <w:tcBorders>
              <w:top w:val="single" w:color="auto" w:sz="4" w:space="0"/>
              <w:left w:val="single" w:color="auto" w:sz="4" w:space="0"/>
              <w:bottom w:val="single" w:color="auto" w:sz="4" w:space="0"/>
              <w:right w:val="single" w:color="auto" w:sz="4" w:space="0"/>
            </w:tcBorders>
            <w:vAlign w:val="center"/>
          </w:tcPr>
          <w:p w14:paraId="12D8451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本人签名栏</w:t>
            </w:r>
          </w:p>
        </w:tc>
      </w:tr>
      <w:tr w14:paraId="427C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0A3C543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24AC711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6C327A9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094E72C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235A40B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4A15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A5CC98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5171B55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2945070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2CDBC9B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611E35D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739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53FB82B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64EE803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2B9B32E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2A605C0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7DF311B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0910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AA270F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1DE33B6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750AC43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2068CD8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355E26A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417C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5F35490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38363E8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4402AEF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1F4164B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17F5A39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254F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049528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6EFFB01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5EB29E0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28F92EE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7191BCF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41BF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5ECDEB5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20799D5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39679B9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2CC2B69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58AB000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r w14:paraId="1C79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417CB4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7B6E03A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581" w:type="dxa"/>
            <w:tcBorders>
              <w:top w:val="single" w:color="auto" w:sz="4" w:space="0"/>
              <w:left w:val="single" w:color="auto" w:sz="4" w:space="0"/>
              <w:bottom w:val="single" w:color="auto" w:sz="4" w:space="0"/>
              <w:right w:val="single" w:color="auto" w:sz="4" w:space="0"/>
            </w:tcBorders>
            <w:vAlign w:val="center"/>
          </w:tcPr>
          <w:p w14:paraId="5A95D88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14:paraId="7E8873E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1555040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highlight w:val="none"/>
              </w:rPr>
            </w:pPr>
          </w:p>
        </w:tc>
      </w:tr>
    </w:tbl>
    <w:p w14:paraId="5D0BCB4B">
      <w:pPr>
        <w:tabs>
          <w:tab w:val="left" w:pos="720"/>
        </w:tabs>
        <w:snapToGrid w:val="0"/>
        <w:spacing w:line="360" w:lineRule="auto"/>
        <w:rPr>
          <w:b/>
          <w:bCs/>
          <w:sz w:val="24"/>
          <w:szCs w:val="24"/>
          <w:highlight w:val="none"/>
        </w:rPr>
      </w:pPr>
      <w:r>
        <w:rPr>
          <w:rFonts w:hint="eastAsia" w:ascii="宋体" w:hAnsi="宋体"/>
          <w:b/>
          <w:bCs/>
          <w:szCs w:val="21"/>
          <w:highlight w:val="none"/>
        </w:rPr>
        <w:t>注：参与编制技术标投标文件所有人员名单应包括如编制技术投标方案、负责清样校对、负责打印及复印等所有人员在内的人员名单。</w:t>
      </w:r>
    </w:p>
    <w:p w14:paraId="15F2EB09">
      <w:pPr>
        <w:widowControl/>
        <w:topLinePunct/>
        <w:adjustRightInd w:val="0"/>
        <w:snapToGrid w:val="0"/>
        <w:spacing w:after="200"/>
        <w:jc w:val="left"/>
        <w:outlineLvl w:val="1"/>
        <w:rPr>
          <w:rFonts w:ascii="宋体" w:hAnsi="宋体"/>
          <w:b/>
          <w:sz w:val="28"/>
        </w:rPr>
      </w:pPr>
      <w:r>
        <w:rPr>
          <w:rFonts w:hint="eastAsia" w:ascii="宋体" w:hAnsi="宋体" w:cs="宋体"/>
          <w:color w:val="auto"/>
        </w:rPr>
        <w:br w:type="page"/>
      </w:r>
      <w:bookmarkStart w:id="93" w:name="_Toc62056047"/>
      <w:bookmarkStart w:id="94" w:name="_Toc1507"/>
      <w:bookmarkStart w:id="95" w:name="_Toc504722518"/>
      <w:r>
        <w:rPr>
          <w:rFonts w:hint="eastAsia" w:ascii="宋体" w:hAnsi="宋体"/>
          <w:b/>
          <w:sz w:val="28"/>
        </w:rPr>
        <w:t>二、经济标投标文件格式</w:t>
      </w:r>
      <w:bookmarkEnd w:id="93"/>
      <w:bookmarkEnd w:id="94"/>
      <w:bookmarkEnd w:id="95"/>
    </w:p>
    <w:p w14:paraId="17431FD9">
      <w:pPr>
        <w:widowControl/>
        <w:topLinePunct/>
        <w:adjustRightInd w:val="0"/>
        <w:snapToGrid w:val="0"/>
        <w:spacing w:after="200"/>
        <w:jc w:val="left"/>
        <w:outlineLvl w:val="2"/>
        <w:rPr>
          <w:rFonts w:ascii="宋体" w:hAnsi="宋体"/>
          <w:spacing w:val="4"/>
          <w:kern w:val="0"/>
          <w:sz w:val="24"/>
          <w:szCs w:val="24"/>
        </w:rPr>
      </w:pPr>
      <w:bookmarkStart w:id="96" w:name="_Toc62056048"/>
      <w:bookmarkStart w:id="97" w:name="_Toc22912"/>
      <w:bookmarkStart w:id="98" w:name="_Toc504722519"/>
      <w:bookmarkStart w:id="99" w:name="_Toc4489953"/>
      <w:bookmarkStart w:id="100" w:name="_Toc29476922"/>
      <w:r>
        <w:rPr>
          <w:rFonts w:hint="eastAsia" w:ascii="宋体" w:hAnsi="宋体"/>
          <w:spacing w:val="4"/>
          <w:kern w:val="0"/>
          <w:sz w:val="24"/>
          <w:szCs w:val="24"/>
        </w:rPr>
        <w:t>格式一：经济标封面</w:t>
      </w:r>
      <w:bookmarkEnd w:id="96"/>
      <w:bookmarkEnd w:id="97"/>
      <w:bookmarkEnd w:id="98"/>
      <w:bookmarkEnd w:id="99"/>
      <w:bookmarkEnd w:id="100"/>
    </w:p>
    <w:p w14:paraId="1341F7C5">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5C856C57">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2CDD36E2">
      <w:pPr>
        <w:widowControl/>
        <w:topLinePunct/>
        <w:adjustRightInd w:val="0"/>
        <w:snapToGrid w:val="0"/>
        <w:spacing w:after="200" w:line="360" w:lineRule="auto"/>
        <w:jc w:val="center"/>
        <w:rPr>
          <w:rFonts w:ascii="宋体" w:hAnsi="宋体"/>
          <w:spacing w:val="4"/>
          <w:kern w:val="0"/>
          <w:sz w:val="36"/>
          <w:szCs w:val="36"/>
          <w:u w:val="single"/>
        </w:rPr>
      </w:pPr>
      <w:r>
        <w:rPr>
          <w:rFonts w:hint="eastAsia" w:ascii="宋体" w:hAnsi="宋体"/>
          <w:spacing w:val="4"/>
          <w:kern w:val="0"/>
          <w:sz w:val="36"/>
          <w:szCs w:val="36"/>
          <w:u w:val="single"/>
        </w:rPr>
        <w:t xml:space="preserve">[工程名称] </w:t>
      </w:r>
    </w:p>
    <w:p w14:paraId="3F6FBE4C">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1B0E9E16">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0D57A485">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2641EF5B">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64EBB7BF">
      <w:pPr>
        <w:widowControl/>
        <w:topLinePunct/>
        <w:adjustRightInd w:val="0"/>
        <w:snapToGrid w:val="0"/>
        <w:spacing w:after="200" w:line="360" w:lineRule="auto"/>
        <w:jc w:val="center"/>
        <w:rPr>
          <w:rFonts w:ascii="宋体" w:hAnsi="宋体"/>
          <w:spacing w:val="4"/>
          <w:kern w:val="0"/>
          <w:sz w:val="84"/>
          <w:szCs w:val="84"/>
        </w:rPr>
      </w:pPr>
      <w:r>
        <w:rPr>
          <w:rFonts w:hint="eastAsia" w:ascii="宋体" w:hAnsi="宋体"/>
          <w:spacing w:val="4"/>
          <w:kern w:val="0"/>
          <w:sz w:val="84"/>
          <w:szCs w:val="84"/>
        </w:rPr>
        <w:t>投标文件</w:t>
      </w:r>
    </w:p>
    <w:p w14:paraId="28A2EC10">
      <w:pPr>
        <w:widowControl/>
        <w:topLinePunct/>
        <w:adjustRightInd w:val="0"/>
        <w:snapToGrid w:val="0"/>
        <w:spacing w:after="200" w:line="360" w:lineRule="auto"/>
        <w:jc w:val="center"/>
        <w:rPr>
          <w:rFonts w:ascii="宋体" w:hAnsi="宋体"/>
          <w:spacing w:val="4"/>
          <w:kern w:val="0"/>
          <w:sz w:val="36"/>
          <w:szCs w:val="36"/>
        </w:rPr>
      </w:pPr>
      <w:r>
        <w:rPr>
          <w:rFonts w:hint="eastAsia" w:ascii="宋体" w:hAnsi="宋体"/>
          <w:spacing w:val="4"/>
          <w:kern w:val="0"/>
          <w:sz w:val="36"/>
          <w:szCs w:val="36"/>
        </w:rPr>
        <w:t>第二册 （经济标书）</w:t>
      </w:r>
    </w:p>
    <w:p w14:paraId="270D9C92">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7798CA4D">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投标人：</w:t>
      </w:r>
      <w:bookmarkStart w:id="101" w:name="_Toc163337643"/>
      <w:bookmarkStart w:id="102" w:name="_Toc239311767"/>
      <w:bookmarkStart w:id="103" w:name="_Toc239216052"/>
      <w:bookmarkStart w:id="104" w:name="_Toc337720111"/>
      <w:bookmarkStart w:id="105" w:name="_Toc226209025"/>
      <w:bookmarkStart w:id="106" w:name="_Toc318924517"/>
      <w:bookmarkStart w:id="107" w:name="_Toc395261116"/>
      <w:bookmarkStart w:id="108" w:name="_Toc449308436"/>
      <w:bookmarkStart w:id="109" w:name="_Toc464131240"/>
      <w:bookmarkStart w:id="110" w:name="_Toc352623441"/>
      <w:bookmarkStart w:id="111" w:name="_Toc358370596"/>
      <w:bookmarkStart w:id="112" w:name="_Toc484958710"/>
      <w:bookmarkStart w:id="113" w:name="_Toc369536788"/>
      <w:bookmarkStart w:id="114" w:name="_Toc352240543"/>
      <w:r>
        <w:rPr>
          <w:rFonts w:hint="eastAsia" w:ascii="宋体" w:hAnsi="宋体"/>
          <w:spacing w:val="4"/>
          <w:kern w:val="0"/>
          <w:sz w:val="30"/>
          <w:szCs w:val="30"/>
          <w:u w:val="single"/>
        </w:rPr>
        <w:t xml:space="preserve">       （填写投标人单位</w:t>
      </w:r>
      <w:bookmarkEnd w:id="101"/>
      <w:bookmarkEnd w:id="102"/>
      <w:bookmarkEnd w:id="103"/>
      <w:bookmarkEnd w:id="104"/>
      <w:bookmarkEnd w:id="105"/>
      <w:bookmarkEnd w:id="106"/>
      <w:r>
        <w:rPr>
          <w:rFonts w:hint="eastAsia" w:ascii="宋体" w:hAnsi="宋体"/>
          <w:spacing w:val="4"/>
          <w:kern w:val="0"/>
          <w:sz w:val="30"/>
          <w:szCs w:val="30"/>
          <w:u w:val="single"/>
        </w:rPr>
        <w:t xml:space="preserve">名称）  </w:t>
      </w:r>
      <w:bookmarkEnd w:id="107"/>
      <w:bookmarkEnd w:id="108"/>
      <w:bookmarkEnd w:id="109"/>
      <w:bookmarkEnd w:id="110"/>
      <w:bookmarkEnd w:id="111"/>
      <w:bookmarkEnd w:id="112"/>
      <w:bookmarkEnd w:id="113"/>
      <w:bookmarkEnd w:id="114"/>
      <w:r>
        <w:rPr>
          <w:rFonts w:hint="eastAsia" w:ascii="宋体" w:hAnsi="宋体"/>
          <w:spacing w:val="4"/>
          <w:kern w:val="0"/>
          <w:sz w:val="30"/>
          <w:szCs w:val="30"/>
          <w:u w:val="single"/>
        </w:rPr>
        <w:t xml:space="preserve">     </w:t>
      </w:r>
    </w:p>
    <w:p w14:paraId="1038F9D1">
      <w:pPr>
        <w:widowControl/>
        <w:topLinePunct/>
        <w:adjustRightInd w:val="0"/>
        <w:snapToGrid w:val="0"/>
        <w:spacing w:after="200" w:line="360" w:lineRule="auto"/>
        <w:ind w:firstLine="616" w:firstLineChars="200"/>
        <w:jc w:val="left"/>
        <w:rPr>
          <w:rFonts w:ascii="宋体" w:hAnsi="宋体"/>
          <w:spacing w:val="4"/>
          <w:kern w:val="0"/>
          <w:sz w:val="30"/>
          <w:szCs w:val="30"/>
        </w:rPr>
      </w:pPr>
    </w:p>
    <w:p w14:paraId="2F07E83F">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法定代表人或</w:t>
      </w:r>
    </w:p>
    <w:p w14:paraId="5CD25864">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其委托代理人：</w:t>
      </w:r>
      <w:r>
        <w:rPr>
          <w:rFonts w:hint="eastAsia" w:ascii="宋体" w:hAnsi="宋体"/>
          <w:spacing w:val="4"/>
          <w:kern w:val="0"/>
          <w:sz w:val="30"/>
          <w:szCs w:val="30"/>
          <w:u w:val="single"/>
        </w:rPr>
        <w:t xml:space="preserve">                       （签字或盖章）</w:t>
      </w:r>
    </w:p>
    <w:p w14:paraId="1CB68479">
      <w:pPr>
        <w:widowControl/>
        <w:topLinePunct/>
        <w:adjustRightInd w:val="0"/>
        <w:snapToGrid w:val="0"/>
        <w:spacing w:after="200" w:line="360" w:lineRule="auto"/>
        <w:ind w:firstLine="616" w:firstLineChars="200"/>
        <w:jc w:val="left"/>
        <w:rPr>
          <w:rFonts w:ascii="宋体" w:hAnsi="宋体"/>
          <w:spacing w:val="4"/>
          <w:kern w:val="0"/>
          <w:sz w:val="30"/>
          <w:szCs w:val="30"/>
        </w:rPr>
      </w:pPr>
      <w:r>
        <w:rPr>
          <w:rFonts w:hint="eastAsia" w:ascii="宋体" w:hAnsi="宋体"/>
          <w:spacing w:val="4"/>
          <w:kern w:val="0"/>
          <w:sz w:val="30"/>
          <w:szCs w:val="30"/>
        </w:rPr>
        <w:t>日  期：</w:t>
      </w:r>
      <w:r>
        <w:rPr>
          <w:rFonts w:hint="eastAsia" w:ascii="宋体" w:hAnsi="宋体"/>
          <w:spacing w:val="4"/>
          <w:kern w:val="0"/>
          <w:sz w:val="30"/>
          <w:szCs w:val="30"/>
          <w:u w:val="single"/>
        </w:rPr>
        <w:t xml:space="preserve">                                        </w:t>
      </w:r>
      <w:r>
        <w:rPr>
          <w:rFonts w:ascii="宋体" w:hAnsi="宋体"/>
          <w:spacing w:val="4"/>
          <w:kern w:val="0"/>
          <w:sz w:val="30"/>
          <w:szCs w:val="30"/>
        </w:rPr>
        <w:t xml:space="preserve"> </w:t>
      </w:r>
    </w:p>
    <w:p w14:paraId="625281C1">
      <w:pPr>
        <w:widowControl/>
        <w:topLinePunct/>
        <w:adjustRightInd w:val="0"/>
        <w:snapToGrid w:val="0"/>
        <w:spacing w:after="200"/>
        <w:jc w:val="left"/>
        <w:outlineLvl w:val="2"/>
        <w:rPr>
          <w:rFonts w:ascii="黑体" w:hAnsi="宋体" w:eastAsia="黑体"/>
          <w:b/>
          <w:spacing w:val="4"/>
          <w:kern w:val="0"/>
          <w:sz w:val="24"/>
          <w:szCs w:val="24"/>
        </w:rPr>
      </w:pPr>
      <w:r>
        <w:rPr>
          <w:rFonts w:ascii="宋体" w:hAnsi="宋体"/>
          <w:spacing w:val="4"/>
          <w:kern w:val="0"/>
          <w:sz w:val="24"/>
          <w:szCs w:val="24"/>
        </w:rPr>
        <w:br w:type="page"/>
      </w:r>
      <w:bookmarkStart w:id="115" w:name="_Toc29476923"/>
      <w:bookmarkStart w:id="116" w:name="_Toc62056049"/>
      <w:bookmarkStart w:id="117" w:name="_Toc4489954"/>
      <w:r>
        <w:rPr>
          <w:rFonts w:hint="eastAsia" w:ascii="宋体" w:hAnsi="宋体"/>
          <w:spacing w:val="4"/>
          <w:kern w:val="0"/>
          <w:sz w:val="24"/>
          <w:szCs w:val="24"/>
        </w:rPr>
        <w:t>格式二</w:t>
      </w:r>
      <w:bookmarkStart w:id="118" w:name="_Toc29524"/>
      <w:bookmarkStart w:id="119" w:name="_Toc504722521"/>
      <w:r>
        <w:rPr>
          <w:rFonts w:hint="eastAsia" w:ascii="宋体" w:hAnsi="宋体"/>
          <w:spacing w:val="4"/>
          <w:kern w:val="0"/>
          <w:sz w:val="24"/>
          <w:szCs w:val="24"/>
        </w:rPr>
        <w:t>：工程量清单计价表</w:t>
      </w:r>
      <w:bookmarkEnd w:id="115"/>
      <w:bookmarkEnd w:id="116"/>
      <w:bookmarkEnd w:id="117"/>
      <w:bookmarkEnd w:id="118"/>
      <w:bookmarkEnd w:id="119"/>
    </w:p>
    <w:p w14:paraId="303E676D">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17903A68">
      <w:pPr>
        <w:widowControl/>
        <w:topLinePunct/>
        <w:adjustRightInd w:val="0"/>
        <w:snapToGrid w:val="0"/>
        <w:spacing w:after="200" w:line="360" w:lineRule="auto"/>
        <w:ind w:firstLine="617"/>
        <w:jc w:val="center"/>
        <w:rPr>
          <w:rFonts w:ascii="宋体" w:hAnsi="宋体"/>
          <w:spacing w:val="4"/>
          <w:kern w:val="0"/>
          <w:sz w:val="36"/>
          <w:szCs w:val="36"/>
        </w:rPr>
      </w:pPr>
      <w:r>
        <w:rPr>
          <w:rFonts w:hint="eastAsia" w:ascii="宋体" w:hAnsi="宋体"/>
          <w:spacing w:val="4"/>
          <w:kern w:val="0"/>
          <w:sz w:val="36"/>
          <w:szCs w:val="36"/>
        </w:rPr>
        <w:t>工程量清单计价表</w:t>
      </w:r>
    </w:p>
    <w:p w14:paraId="03B349F7">
      <w:pPr>
        <w:widowControl/>
        <w:topLinePunct/>
        <w:adjustRightInd w:val="0"/>
        <w:snapToGrid w:val="0"/>
        <w:spacing w:after="200" w:line="360" w:lineRule="auto"/>
        <w:ind w:firstLine="496" w:firstLineChars="200"/>
        <w:jc w:val="left"/>
        <w:rPr>
          <w:rFonts w:ascii="宋体" w:hAnsi="宋体"/>
          <w:spacing w:val="4"/>
          <w:kern w:val="0"/>
          <w:sz w:val="24"/>
          <w:szCs w:val="24"/>
        </w:rPr>
      </w:pPr>
    </w:p>
    <w:p w14:paraId="3393FE8C">
      <w:pPr>
        <w:tabs>
          <w:tab w:val="left" w:pos="720"/>
        </w:tabs>
        <w:snapToGrid w:val="0"/>
        <w:spacing w:line="360" w:lineRule="auto"/>
        <w:jc w:val="center"/>
        <w:rPr>
          <w:rFonts w:ascii="宋体" w:hAnsi="宋体"/>
        </w:rPr>
      </w:pPr>
      <w:r>
        <w:rPr>
          <w:rFonts w:hint="eastAsia" w:ascii="宋体" w:hAnsi="宋体"/>
        </w:rPr>
        <w:t>本部分内容详见招标文件第七章工程量清单。</w:t>
      </w:r>
    </w:p>
    <w:p w14:paraId="545594CD">
      <w:pPr>
        <w:tabs>
          <w:tab w:val="left" w:pos="720"/>
        </w:tabs>
        <w:snapToGrid w:val="0"/>
        <w:spacing w:line="360" w:lineRule="auto"/>
        <w:outlineLvl w:val="2"/>
        <w:rPr>
          <w:rFonts w:ascii="宋体" w:hAnsi="宋体"/>
          <w:snapToGrid w:val="0"/>
          <w:spacing w:val="4"/>
          <w:kern w:val="0"/>
          <w:sz w:val="24"/>
          <w:szCs w:val="24"/>
        </w:rPr>
      </w:pPr>
      <w:r>
        <w:br w:type="page"/>
      </w:r>
      <w:bookmarkStart w:id="120" w:name="_Toc62056050"/>
      <w:r>
        <w:rPr>
          <w:rFonts w:hint="eastAsia" w:ascii="宋体" w:hAnsi="宋体"/>
          <w:snapToGrid w:val="0"/>
          <w:spacing w:val="4"/>
          <w:kern w:val="0"/>
          <w:sz w:val="24"/>
          <w:szCs w:val="24"/>
        </w:rPr>
        <w:t>格式三：</w:t>
      </w:r>
      <w:r>
        <w:rPr>
          <w:rFonts w:hint="eastAsia"/>
          <w:sz w:val="24"/>
          <w:szCs w:val="24"/>
        </w:rPr>
        <w:t>参与编制经济标投标文件人员名单</w:t>
      </w:r>
      <w:bookmarkEnd w:id="120"/>
    </w:p>
    <w:p w14:paraId="72D648B6">
      <w:pPr>
        <w:tabs>
          <w:tab w:val="left" w:pos="720"/>
        </w:tabs>
        <w:snapToGrid w:val="0"/>
        <w:spacing w:line="360" w:lineRule="auto"/>
        <w:jc w:val="center"/>
        <w:rPr>
          <w:b/>
          <w:szCs w:val="21"/>
        </w:rPr>
      </w:pPr>
      <w:r>
        <w:rPr>
          <w:rFonts w:hint="eastAsia"/>
          <w:b/>
          <w:szCs w:val="21"/>
        </w:rPr>
        <w:t>参与编制经济标投标文件人员名单</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524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FAD270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投标人名称</w:t>
            </w:r>
          </w:p>
        </w:tc>
      </w:tr>
      <w:tr w14:paraId="270F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2E4B63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5904566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5A99ECC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33839C1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0F9106C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本人签名栏</w:t>
            </w:r>
          </w:p>
        </w:tc>
      </w:tr>
      <w:tr w14:paraId="06E3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8175A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D742E5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C1AEC1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FFE149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78B050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44B9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3F6886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13AC32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DA17AF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B5DC94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1F07B63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6CA8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7D83BA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5BEEF4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777B3B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1B4CA9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1E30D98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4982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A14887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49374A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6FA059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1B04C42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DE36D0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1D06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11D870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DFBA1E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6CF1ED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FE5110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47A936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4F80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59832ED">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56C25C8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462A47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A390A98">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705D84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03B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057AD2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B05401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315ADE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F2984E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AE32091">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r w14:paraId="1502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5FB187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9FF6C0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29134D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43D8071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1FDAA20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szCs w:val="21"/>
              </w:rPr>
            </w:pPr>
          </w:p>
        </w:tc>
      </w:tr>
    </w:tbl>
    <w:p w14:paraId="17BD6246">
      <w:pPr>
        <w:tabs>
          <w:tab w:val="left" w:pos="720"/>
        </w:tabs>
        <w:snapToGrid w:val="0"/>
        <w:spacing w:line="360" w:lineRule="auto"/>
        <w:rPr>
          <w:sz w:val="24"/>
          <w:szCs w:val="24"/>
        </w:rPr>
      </w:pPr>
    </w:p>
    <w:p w14:paraId="5AC2D3E9">
      <w:pPr>
        <w:spacing w:line="360" w:lineRule="auto"/>
        <w:ind w:left="-2" w:leftChars="-1" w:firstLine="350" w:firstLineChars="175"/>
        <w:jc w:val="left"/>
        <w:rPr>
          <w:kern w:val="0"/>
          <w:sz w:val="20"/>
          <w:szCs w:val="21"/>
        </w:rPr>
      </w:pPr>
      <w:r>
        <w:rPr>
          <w:rFonts w:hint="eastAsia"/>
          <w:kern w:val="0"/>
          <w:sz w:val="20"/>
          <w:szCs w:val="21"/>
        </w:rPr>
        <w:t>注：参与编制经济标投标文件所有人员名单应包括编制各种专业工程量清单投标报价、负责清样校对、负责打印及复印等所有人员在内的人员名单。</w:t>
      </w:r>
    </w:p>
    <w:p w14:paraId="011CCA43">
      <w:pPr>
        <w:spacing w:line="360" w:lineRule="auto"/>
        <w:ind w:left="-2" w:leftChars="-1" w:firstLine="420" w:firstLineChars="175"/>
        <w:jc w:val="center"/>
        <w:rPr>
          <w:kern w:val="0"/>
          <w:sz w:val="24"/>
          <w:szCs w:val="24"/>
        </w:rPr>
      </w:pPr>
    </w:p>
    <w:p w14:paraId="165BC218">
      <w:pPr>
        <w:autoSpaceDE w:val="0"/>
        <w:autoSpaceDN w:val="0"/>
        <w:adjustRightInd w:val="0"/>
        <w:outlineLvl w:val="2"/>
        <w:rPr>
          <w:szCs w:val="21"/>
        </w:rPr>
      </w:pPr>
      <w:r>
        <w:rPr>
          <w:szCs w:val="21"/>
        </w:rPr>
        <w:br w:type="page"/>
      </w:r>
      <w:bookmarkStart w:id="121" w:name="_Toc62056051"/>
      <w:r>
        <w:rPr>
          <w:rFonts w:hint="eastAsia" w:ascii="宋体" w:hAnsi="宋体"/>
          <w:snapToGrid w:val="0"/>
          <w:spacing w:val="4"/>
          <w:kern w:val="0"/>
          <w:sz w:val="24"/>
          <w:szCs w:val="24"/>
        </w:rPr>
        <w:t>格式四：对投标文件编制的承诺</w:t>
      </w:r>
      <w:bookmarkEnd w:id="121"/>
    </w:p>
    <w:p w14:paraId="5FB3F8C1">
      <w:pPr>
        <w:spacing w:line="360" w:lineRule="auto"/>
        <w:jc w:val="center"/>
        <w:rPr>
          <w:kern w:val="0"/>
          <w:sz w:val="32"/>
          <w:szCs w:val="32"/>
        </w:rPr>
      </w:pPr>
      <w:r>
        <w:rPr>
          <w:rFonts w:hint="eastAsia"/>
          <w:b/>
          <w:kern w:val="0"/>
          <w:sz w:val="32"/>
          <w:szCs w:val="32"/>
        </w:rPr>
        <w:t>对投标文件编制的承诺</w:t>
      </w:r>
    </w:p>
    <w:p w14:paraId="372D78C9">
      <w:pPr>
        <w:spacing w:line="360" w:lineRule="auto"/>
        <w:ind w:left="-2" w:leftChars="-1" w:firstLine="540" w:firstLineChars="225"/>
        <w:rPr>
          <w:rFonts w:ascii="宋体" w:hAnsi="宋体"/>
          <w:kern w:val="0"/>
          <w:sz w:val="24"/>
          <w:szCs w:val="24"/>
        </w:rPr>
      </w:pPr>
      <w:r>
        <w:rPr>
          <w:rFonts w:hint="eastAsia" w:ascii="宋体" w:hAnsi="宋体"/>
          <w:kern w:val="0"/>
          <w:sz w:val="24"/>
          <w:szCs w:val="24"/>
        </w:rPr>
        <w:t>本公司授权</w:t>
      </w:r>
      <w:r>
        <w:rPr>
          <w:rFonts w:hint="eastAsia" w:ascii="宋体" w:hAnsi="宋体"/>
          <w:kern w:val="0"/>
          <w:sz w:val="24"/>
          <w:szCs w:val="24"/>
          <w:u w:val="single"/>
        </w:rPr>
        <w:t xml:space="preserve">         （身份证号：               ）</w:t>
      </w:r>
      <w:r>
        <w:rPr>
          <w:rFonts w:hint="eastAsia" w:ascii="宋体" w:hAnsi="宋体"/>
          <w:kern w:val="0"/>
          <w:sz w:val="24"/>
          <w:szCs w:val="24"/>
        </w:rPr>
        <w:t>负责对投标文件的编制及内容进行解释、说明，并承诺以下事项：</w:t>
      </w:r>
    </w:p>
    <w:p w14:paraId="5F32BECC">
      <w:pPr>
        <w:spacing w:line="360" w:lineRule="auto"/>
        <w:ind w:left="-2" w:leftChars="-1" w:firstLine="540" w:firstLineChars="225"/>
        <w:rPr>
          <w:rFonts w:ascii="宋体" w:hAnsi="宋体"/>
          <w:kern w:val="0"/>
          <w:sz w:val="24"/>
          <w:szCs w:val="24"/>
        </w:rPr>
      </w:pPr>
      <w:r>
        <w:rPr>
          <w:rFonts w:hint="eastAsia" w:ascii="宋体" w:hAnsi="宋体"/>
          <w:kern w:val="0"/>
          <w:sz w:val="24"/>
          <w:szCs w:val="24"/>
        </w:rPr>
        <w:t>1.被授权人清楚投标文件编制的具体情况，包括技术方案文件、工程量清单、以及投标文件的加密打包的理解；</w:t>
      </w:r>
    </w:p>
    <w:p w14:paraId="6DB12F8C">
      <w:pPr>
        <w:spacing w:line="360" w:lineRule="auto"/>
        <w:ind w:left="-2" w:leftChars="-1" w:firstLine="540" w:firstLineChars="225"/>
        <w:rPr>
          <w:rFonts w:ascii="宋体" w:hAnsi="宋体"/>
          <w:kern w:val="0"/>
          <w:sz w:val="24"/>
          <w:szCs w:val="24"/>
        </w:rPr>
      </w:pPr>
      <w:r>
        <w:rPr>
          <w:rFonts w:hint="eastAsia" w:ascii="宋体" w:hAnsi="宋体"/>
          <w:kern w:val="0"/>
          <w:sz w:val="24"/>
          <w:szCs w:val="24"/>
        </w:rPr>
        <w:t>2.在本项目开标至评标结束前，努力确保被授权人在项目评标所在地附近；</w:t>
      </w:r>
    </w:p>
    <w:p w14:paraId="1D23D009">
      <w:pPr>
        <w:spacing w:line="360" w:lineRule="auto"/>
        <w:ind w:left="-2" w:leftChars="-1" w:firstLine="540" w:firstLineChars="225"/>
        <w:rPr>
          <w:rFonts w:ascii="宋体" w:hAnsi="宋体"/>
          <w:kern w:val="0"/>
          <w:sz w:val="24"/>
          <w:szCs w:val="24"/>
        </w:rPr>
      </w:pPr>
      <w:r>
        <w:rPr>
          <w:rFonts w:hint="eastAsia" w:ascii="宋体" w:hAnsi="宋体"/>
          <w:kern w:val="0"/>
          <w:sz w:val="24"/>
          <w:szCs w:val="24"/>
        </w:rPr>
        <w:t>3.从评标委员会要求澄清起二小时内，被授权人应如实地书面澄清。</w:t>
      </w:r>
    </w:p>
    <w:p w14:paraId="2E549A3A">
      <w:pPr>
        <w:spacing w:line="360" w:lineRule="auto"/>
        <w:ind w:left="-2" w:leftChars="-1" w:firstLine="540" w:firstLineChars="225"/>
        <w:rPr>
          <w:rFonts w:ascii="宋体" w:hAnsi="宋体"/>
          <w:kern w:val="0"/>
          <w:sz w:val="24"/>
          <w:szCs w:val="24"/>
        </w:rPr>
      </w:pPr>
      <w:r>
        <w:rPr>
          <w:rFonts w:hint="eastAsia" w:ascii="宋体" w:hAnsi="宋体"/>
          <w:kern w:val="0"/>
          <w:sz w:val="24"/>
          <w:szCs w:val="24"/>
        </w:rPr>
        <w:t>如由于未遵守上述承诺内容之一导致无法进行澄清的，我公司认可和接受评标委员会作出的评审结论。</w:t>
      </w:r>
    </w:p>
    <w:p w14:paraId="193AC2EA">
      <w:pPr>
        <w:spacing w:line="360" w:lineRule="auto"/>
        <w:ind w:firstLine="360" w:firstLineChars="150"/>
        <w:rPr>
          <w:rFonts w:ascii="宋体" w:hAnsi="宋体"/>
          <w:kern w:val="0"/>
          <w:sz w:val="24"/>
          <w:szCs w:val="24"/>
        </w:rPr>
      </w:pPr>
      <w:r>
        <w:rPr>
          <w:rFonts w:hint="eastAsia" w:ascii="宋体" w:hAnsi="宋体"/>
          <w:kern w:val="0"/>
          <w:sz w:val="24"/>
          <w:szCs w:val="24"/>
        </w:rPr>
        <w:t xml:space="preserve"> </w:t>
      </w:r>
    </w:p>
    <w:p w14:paraId="1AE2C016">
      <w:pPr>
        <w:spacing w:line="360" w:lineRule="auto"/>
        <w:ind w:firstLine="480" w:firstLineChars="200"/>
        <w:rPr>
          <w:rFonts w:ascii="宋体" w:hAnsi="宋体"/>
          <w:kern w:val="0"/>
          <w:sz w:val="24"/>
          <w:szCs w:val="24"/>
        </w:rPr>
      </w:pPr>
      <w:r>
        <w:rPr>
          <w:rFonts w:hint="eastAsia" w:ascii="宋体" w:hAnsi="宋体"/>
          <w:kern w:val="0"/>
          <w:sz w:val="24"/>
          <w:szCs w:val="24"/>
        </w:rPr>
        <w:t>附件：《投标文件编制情况》</w:t>
      </w:r>
    </w:p>
    <w:p w14:paraId="5374C04B">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w:t>
      </w:r>
      <w:r>
        <w:rPr>
          <w:rFonts w:hint="eastAsia" w:ascii="宋体" w:hAnsi="宋体"/>
          <w:sz w:val="24"/>
          <w:szCs w:val="24"/>
          <w:u w:val="single"/>
        </w:rPr>
        <w:t xml:space="preserve">                  </w:t>
      </w:r>
    </w:p>
    <w:p w14:paraId="148A10D0">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14:paraId="5C9F9F99">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14:paraId="16679577">
      <w:pPr>
        <w:spacing w:line="360" w:lineRule="auto"/>
        <w:rPr>
          <w:b/>
          <w:kern w:val="0"/>
          <w:sz w:val="32"/>
          <w:szCs w:val="32"/>
        </w:rPr>
      </w:pPr>
    </w:p>
    <w:p w14:paraId="736931D5">
      <w:pPr>
        <w:spacing w:line="360" w:lineRule="auto"/>
        <w:ind w:firstLine="643" w:firstLineChars="200"/>
        <w:jc w:val="center"/>
        <w:rPr>
          <w:kern w:val="0"/>
          <w:sz w:val="18"/>
          <w:szCs w:val="18"/>
        </w:rPr>
      </w:pPr>
      <w:r>
        <w:rPr>
          <w:rFonts w:hint="eastAsia"/>
          <w:b/>
          <w:kern w:val="0"/>
          <w:sz w:val="32"/>
          <w:szCs w:val="32"/>
        </w:rPr>
        <w:t>投标文件编制情况</w:t>
      </w:r>
    </w:p>
    <w:p w14:paraId="08F928F0">
      <w:pPr>
        <w:spacing w:line="360" w:lineRule="auto"/>
        <w:ind w:firstLine="480" w:firstLineChars="200"/>
        <w:rPr>
          <w:rFonts w:ascii="宋体" w:hAnsi="宋体"/>
          <w:kern w:val="0"/>
          <w:sz w:val="24"/>
          <w:szCs w:val="24"/>
          <w:u w:val="single"/>
        </w:rPr>
      </w:pPr>
      <w:r>
        <w:rPr>
          <w:rFonts w:hint="eastAsia" w:ascii="宋体" w:hAnsi="宋体"/>
          <w:kern w:val="0"/>
          <w:sz w:val="24"/>
          <w:szCs w:val="24"/>
        </w:rPr>
        <w:t>1.投标文件报价编制方式： □自行编制的，编制的负责人：</w:t>
      </w:r>
      <w:r>
        <w:rPr>
          <w:rFonts w:hint="eastAsia" w:ascii="宋体" w:hAnsi="宋体"/>
          <w:kern w:val="0"/>
          <w:sz w:val="24"/>
          <w:szCs w:val="24"/>
          <w:u w:val="single"/>
        </w:rPr>
        <w:t xml:space="preserve"> （盖造价工程师执业专用章或全国建设工程造价员章，执业单位应与投标人一致） </w:t>
      </w:r>
      <w:r>
        <w:rPr>
          <w:rFonts w:hint="eastAsia" w:ascii="宋体" w:hAnsi="宋体"/>
          <w:kern w:val="0"/>
          <w:sz w:val="24"/>
          <w:szCs w:val="24"/>
        </w:rPr>
        <w:t>。□委托编制的，受委托单位</w:t>
      </w:r>
      <w:r>
        <w:rPr>
          <w:rFonts w:hint="eastAsia" w:ascii="宋体" w:hAnsi="宋体"/>
          <w:kern w:val="0"/>
          <w:sz w:val="24"/>
          <w:szCs w:val="24"/>
          <w:u w:val="single"/>
        </w:rPr>
        <w:t xml:space="preserve">                    </w:t>
      </w:r>
      <w:r>
        <w:rPr>
          <w:rFonts w:hint="eastAsia" w:ascii="宋体" w:hAnsi="宋体"/>
          <w:kern w:val="0"/>
          <w:sz w:val="24"/>
          <w:szCs w:val="24"/>
        </w:rPr>
        <w:t>，编制的负责人：</w:t>
      </w:r>
      <w:r>
        <w:rPr>
          <w:rFonts w:hint="eastAsia" w:ascii="宋体" w:hAnsi="宋体"/>
          <w:kern w:val="0"/>
          <w:sz w:val="24"/>
          <w:szCs w:val="24"/>
          <w:u w:val="single"/>
        </w:rPr>
        <w:t xml:space="preserve"> （盖造价工程师执业专用章或全国建设工程造价员章，执业单位应与受委托单位一致） </w:t>
      </w:r>
      <w:r>
        <w:rPr>
          <w:rFonts w:hint="eastAsia" w:ascii="宋体" w:hAnsi="宋体"/>
          <w:kern w:val="0"/>
          <w:sz w:val="24"/>
          <w:szCs w:val="24"/>
        </w:rPr>
        <w:t>。</w:t>
      </w:r>
    </w:p>
    <w:p w14:paraId="3130AA6D">
      <w:pPr>
        <w:spacing w:line="360" w:lineRule="auto"/>
        <w:ind w:firstLine="480" w:firstLineChars="200"/>
        <w:rPr>
          <w:rFonts w:ascii="宋体" w:hAnsi="宋体"/>
          <w:kern w:val="0"/>
          <w:sz w:val="24"/>
          <w:szCs w:val="24"/>
        </w:rPr>
      </w:pPr>
      <w:r>
        <w:rPr>
          <w:rFonts w:hint="eastAsia" w:ascii="宋体" w:hAnsi="宋体"/>
          <w:kern w:val="0"/>
          <w:sz w:val="24"/>
          <w:szCs w:val="24"/>
        </w:rPr>
        <w:t>2.投标文件加密打包的电脑情况</w:t>
      </w:r>
    </w:p>
    <w:tbl>
      <w:tblPr>
        <w:tblStyle w:val="39"/>
        <w:tblW w:w="8522" w:type="dxa"/>
        <w:tblInd w:w="0" w:type="dxa"/>
        <w:tblLayout w:type="fixed"/>
        <w:tblCellMar>
          <w:top w:w="0" w:type="dxa"/>
          <w:left w:w="108" w:type="dxa"/>
          <w:bottom w:w="0" w:type="dxa"/>
          <w:right w:w="108" w:type="dxa"/>
        </w:tblCellMar>
      </w:tblPr>
      <w:tblGrid>
        <w:gridCol w:w="8522"/>
      </w:tblGrid>
      <w:tr w14:paraId="688F46AD">
        <w:tblPrEx>
          <w:tblCellMar>
            <w:top w:w="0" w:type="dxa"/>
            <w:left w:w="108" w:type="dxa"/>
            <w:bottom w:w="0" w:type="dxa"/>
            <w:right w:w="108" w:type="dxa"/>
          </w:tblCellMar>
        </w:tblPrEx>
        <w:trPr>
          <w:trHeight w:val="2819" w:hRule="atLeast"/>
        </w:trPr>
        <w:tc>
          <w:tcPr>
            <w:tcW w:w="8522" w:type="dxa"/>
          </w:tcPr>
          <w:p w14:paraId="35C71753">
            <w:pPr>
              <w:keepNext w:val="0"/>
              <w:keepLines w:val="0"/>
              <w:suppressLineNumbers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投标文件加密打包的电脑     自有    □      外包    □     其他    □</w:t>
            </w:r>
          </w:p>
          <w:p w14:paraId="7FE22D0B">
            <w:pPr>
              <w:keepNext w:val="0"/>
              <w:keepLines w:val="0"/>
              <w:suppressLineNumbers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电脑类型</w:t>
            </w:r>
          </w:p>
          <w:p w14:paraId="245A51EC">
            <w:pPr>
              <w:keepNext w:val="0"/>
              <w:keepLines w:val="0"/>
              <w:suppressLineNumbers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电脑所属单位</w:t>
            </w:r>
          </w:p>
          <w:p w14:paraId="2C647DB8">
            <w:pPr>
              <w:keepNext w:val="0"/>
              <w:keepLines w:val="0"/>
              <w:suppressLineNumbers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电脑所在地址   （如××市××区(县) ××街（路）××号××大厦××房）</w:t>
            </w:r>
          </w:p>
        </w:tc>
      </w:tr>
    </w:tbl>
    <w:p w14:paraId="748C2938">
      <w:pPr>
        <w:jc w:val="center"/>
        <w:rPr>
          <w:rStyle w:val="54"/>
          <w:rFonts w:ascii="宋体" w:hAnsi="宋体" w:cs="宋体"/>
          <w:color w:val="auto"/>
        </w:rPr>
      </w:pPr>
      <w:r>
        <w:rPr>
          <w:rFonts w:hint="eastAsia" w:ascii="宋体" w:hAnsi="宋体" w:cs="宋体"/>
          <w:color w:val="auto"/>
        </w:rPr>
        <w:br w:type="page"/>
      </w:r>
      <w:bookmarkStart w:id="122" w:name="_Toc22889"/>
      <w:r>
        <w:rPr>
          <w:rStyle w:val="54"/>
          <w:rFonts w:hint="eastAsia" w:ascii="宋体" w:hAnsi="宋体" w:cs="宋体"/>
          <w:color w:val="auto"/>
        </w:rPr>
        <w:t>第五章  技术条件（工程建设标准）</w:t>
      </w:r>
      <w:bookmarkEnd w:id="122"/>
    </w:p>
    <w:p w14:paraId="25E447A0">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bookmarkStart w:id="123" w:name="_Toc17006"/>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具体按施工图纸、中华人民共和国现行技术和验收规范、图纸中规定的其它技术和验收标准、遵照招标人相关规定要求为准</w:t>
      </w:r>
    </w:p>
    <w:p w14:paraId="22EF0689">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依据招标文件及相关文件的要求，本招标工程项目的材料、设备、施工须达到中华人民共和国以及省、市或行业的工程建设标准、规范的要求。</w:t>
      </w:r>
    </w:p>
    <w:p w14:paraId="031058C4">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施工现场建筑垃圾源头减量的具体要求和建筑垃圾综合利用产品的使用要求。</w:t>
      </w:r>
    </w:p>
    <w:p w14:paraId="7E523D8E">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3.1工程</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val="en-US" w:eastAsia="zh-CN"/>
        </w:rPr>
        <w:t>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97F5583">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3.2建筑垃圾应当按照国家有关规定进行分类，实行分类收集、分类贮存、分类运输、分类处置。</w:t>
      </w:r>
    </w:p>
    <w:p w14:paraId="085BF705">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3.3建设单位应当建立建筑垃圾分类收集、贮存以及台账管理等制度，督促施工单位开展建筑垃圾分类和合法装载，并及时向工程所在地县级人民政府建筑垃圾主管部门报送建筑垃圾处理方案。</w:t>
      </w:r>
    </w:p>
    <w:p w14:paraId="7D362862">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施工单位应当建立建筑垃圾管理台账，分类收集、贮存和及时清运施工过程中产生的建筑垃圾，采取有效措施防止混合已分类的建筑垃圾。</w:t>
      </w:r>
    </w:p>
    <w:p w14:paraId="07575519">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工程施工单位应当将建筑垃圾的产生量与种类、清运时间、最终去向等信息在施工现场公示，接受社会监督。</w:t>
      </w:r>
    </w:p>
    <w:p w14:paraId="7AF95DCF">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569E5CE2">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建筑垃圾运输车辆、船舶应当符合相应的载运技术条件。建筑垃圾处置场所为陆域的，不得采用开底式船舶运输建筑垃圾。</w:t>
      </w:r>
    </w:p>
    <w:p w14:paraId="0A6C09F1">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3.5工程泥浆应当在施工现场进行脱水固化处理。施工现场不具备条件的，应当采用罐装器具密闭运输至依法设置的建筑垃圾处置场所进行处置。水上工程中依法无需经脱水处理的除外。</w:t>
      </w:r>
    </w:p>
    <w:p w14:paraId="1911E21C">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3981837B">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具备现场综合利用条件的建设工程，应当进行建筑垃圾现场综合利用。</w:t>
      </w:r>
    </w:p>
    <w:p w14:paraId="387DA389">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3.7建设单位和施工单位严格遵守并执行《广东省建筑垃圾管理条例》。</w:t>
      </w:r>
    </w:p>
    <w:p w14:paraId="6CF23890">
      <w:pPr>
        <w:numPr>
          <w:ilvl w:val="0"/>
          <w:numId w:val="0"/>
        </w:numPr>
        <w:shd w:val="clear" w:color="auto" w:fill="auto"/>
        <w:spacing w:line="360" w:lineRule="auto"/>
        <w:ind w:firstLine="480" w:firstLineChars="200"/>
        <w:rPr>
          <w:rFonts w:hint="eastAsia"/>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其他要求详见《暨南大学学生宿舍及学生活动中心修缮项目实施需求书》。</w:t>
      </w:r>
    </w:p>
    <w:p w14:paraId="0037A612">
      <w:pPr>
        <w:pStyle w:val="138"/>
        <w:keepNext w:val="0"/>
        <w:keepLines w:val="0"/>
        <w:pageBreakBefore w:val="0"/>
        <w:widowControl/>
        <w:kinsoku/>
        <w:wordWrap/>
        <w:overflowPunct/>
        <w:topLinePunct w:val="0"/>
        <w:autoSpaceDE/>
        <w:autoSpaceDN/>
        <w:bidi w:val="0"/>
        <w:adjustRightInd/>
        <w:snapToGrid/>
        <w:spacing w:before="0" w:after="0" w:line="560" w:lineRule="exact"/>
        <w:ind w:right="-519" w:rightChars="-247"/>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r>
        <w:rPr>
          <w:rFonts w:hint="eastAsia" w:ascii="方正小标宋简体" w:hAnsi="方正小标宋简体" w:eastAsia="方正小标宋简体" w:cs="方正小标宋简体"/>
          <w:b w:val="0"/>
          <w:bCs w:val="0"/>
          <w:sz w:val="36"/>
          <w:szCs w:val="36"/>
        </w:rPr>
        <w:t>暨南大学学生宿舍</w:t>
      </w:r>
      <w:r>
        <w:rPr>
          <w:rFonts w:hint="eastAsia" w:ascii="方正小标宋简体" w:hAnsi="方正小标宋简体" w:eastAsia="方正小标宋简体" w:cs="方正小标宋简体"/>
          <w:b w:val="0"/>
          <w:bCs w:val="0"/>
          <w:sz w:val="36"/>
          <w:szCs w:val="36"/>
          <w:lang w:val="en-US" w:eastAsia="zh-CN"/>
        </w:rPr>
        <w:t>及学生活动中心</w:t>
      </w:r>
      <w:r>
        <w:rPr>
          <w:rFonts w:hint="eastAsia" w:ascii="方正小标宋简体" w:hAnsi="方正小标宋简体" w:eastAsia="方正小标宋简体" w:cs="方正小标宋简体"/>
          <w:b w:val="0"/>
          <w:bCs w:val="0"/>
          <w:sz w:val="36"/>
          <w:szCs w:val="36"/>
        </w:rPr>
        <w:t>修缮项目实施需求书</w:t>
      </w:r>
    </w:p>
    <w:p w14:paraId="3F318401">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一、项目背景</w:t>
      </w:r>
    </w:p>
    <w:p w14:paraId="596C88E0">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为进一步提升校园安全环境，确保学生住宿安全，暨南大学学生处计划于2025年暑期，对学生宿舍区与学生活动中心进行系统性修缮，包括学生宿舍粉刷、电气改造、加高或更换现有栏杆、</w:t>
      </w:r>
      <w:r>
        <w:rPr>
          <w:rFonts w:hint="eastAsia" w:ascii="宋体" w:hAnsi="宋体" w:eastAsia="宋体" w:cs="宋体"/>
          <w:b w:val="0"/>
          <w:bCs w:val="0"/>
          <w:kern w:val="0"/>
          <w:sz w:val="24"/>
          <w:szCs w:val="24"/>
          <w:lang w:val="en-US" w:eastAsia="zh-CN" w:bidi="ar-SA"/>
        </w:rPr>
        <w:t>根据消防部门要求改造洗衣房等，</w:t>
      </w:r>
      <w:r>
        <w:rPr>
          <w:rFonts w:hint="eastAsia" w:ascii="宋体" w:hAnsi="宋体" w:eastAsia="宋体" w:cs="宋体"/>
          <w:kern w:val="0"/>
          <w:sz w:val="24"/>
          <w:szCs w:val="24"/>
          <w:lang w:val="en-US" w:eastAsia="zh-CN" w:bidi="ar-SA"/>
        </w:rPr>
        <w:t>改善学生居住条件，有效防止安全隐患，为学生提供更加安全、舒适的住宿环境。</w:t>
      </w:r>
    </w:p>
    <w:p w14:paraId="29A74574">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二、项目目标</w:t>
      </w:r>
    </w:p>
    <w:p w14:paraId="6754BC0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一）对石牌校区学生宿舍1栋至学20栋、番禺校区T1-T5,T10-T12以及华景6号栋共计2313间，周转B、C栋93套，学生活动中心，进行维修改造和设施更新。其中，石牌校区1290间全部粉刷，华景6栋73间全部粉刷；番禺校区共950间，其中150间全部粉刷，800间局部粉刷。周转B、C栋93套全部粉刷，电气改造258间，补漏332间。此外，需根据消防部门要求，进行洗衣房改造。</w:t>
      </w:r>
    </w:p>
    <w:p w14:paraId="5BE2FF42">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对学16栋、学17栋、学18栋、学19栋、学20栋、学10A、学10B损坏严重的护栏进行更换，对锈蚀部分进行除锈和防锈处理，对松动部分进行加固。对学3栋、学4栋、学7栋、学8栋、学9栋、学11栋、学13栋、学14栋、学15栋进行不锈钢护栏加固加高。</w:t>
      </w:r>
    </w:p>
    <w:p w14:paraId="6A438866">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（三）确保所有施工活动不影响学生的正常学习生活秩序，避免因噪音、粉尘等问题引发学生不满情绪而造成舆情，对学校产生负面影响。</w:t>
      </w:r>
    </w:p>
    <w:p w14:paraId="5B001B01">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（四）确保修缮工作保质保量如期完成，宿舍整体安全性能有效提升，减少意外事件发生。</w:t>
      </w:r>
    </w:p>
    <w:p w14:paraId="2614623E">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（五）确保项目在极为紧迫的工期内，能够与学校多个职能部门和物业管理部门紧密协调配合，高效沟通，避免延误影响整体进度。</w:t>
      </w:r>
    </w:p>
    <w:p w14:paraId="0C3D612A">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三、施工要求</w:t>
      </w:r>
    </w:p>
    <w:p w14:paraId="64B9B98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（一）施工前准备</w:t>
      </w:r>
    </w:p>
    <w:p w14:paraId="0578EB8A">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1、施工单位需提前进行现场勘查（自行踏勘），明确施工范围及具体施工方案。</w:t>
      </w:r>
    </w:p>
    <w:p w14:paraId="0A104B73">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2、编制详细的施工计划与时间表，并提交学生处及物业管理部门审核备案。</w:t>
      </w:r>
    </w:p>
    <w:p w14:paraId="047FED1C">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3、确保所有施工人员具备相应资质，且施工前进行安全教育与技能培训。</w:t>
      </w:r>
    </w:p>
    <w:p w14:paraId="746624F3">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（二）施工期间管理</w:t>
      </w:r>
    </w:p>
    <w:p w14:paraId="38298C99">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1、空房施工：对于无人居住的空房间，施工单位可直接按计划进行施工，但需确保施工过程中不影响周边宿舍的安全与宁静。</w:t>
      </w:r>
    </w:p>
    <w:p w14:paraId="4C1FAD7B">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2、在住房间施工：</w:t>
      </w:r>
    </w:p>
    <w:p w14:paraId="05AE991E">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（1）施工单位需提前一周与学生处及物业管理部门沟通，确定施工预约时间。</w:t>
      </w:r>
    </w:p>
    <w:p w14:paraId="5FBDBB5D">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（2）施工前，必须与学生或学生所在学院的辅导员取得联系，确保其在场监督。</w:t>
      </w:r>
    </w:p>
    <w:p w14:paraId="06C1A066">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（3）施工过程中，需采取有效措施保护学生个人物品不受损坏，同时确保施工噪音、粉尘等对学生生活的影响降到最低。</w:t>
      </w:r>
    </w:p>
    <w:p w14:paraId="321D6B11">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（4）施工结束后，施工单位应负责清理现场，恢复房间原状。</w:t>
      </w:r>
    </w:p>
    <w:p w14:paraId="34AED620">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（三）材料与质量标准</w:t>
      </w:r>
    </w:p>
    <w:p w14:paraId="356C64FA">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1、所有用于项目施工</w:t>
      </w:r>
      <w:r>
        <w:rPr>
          <w:rFonts w:hint="eastAsia" w:ascii="宋体" w:hAnsi="宋体" w:eastAsia="宋体" w:cs="宋体"/>
          <w:color w:val="auto"/>
          <w:kern w:val="0"/>
          <w:sz w:val="24"/>
          <w:szCs w:val="24"/>
          <w:lang w:val="en-US" w:eastAsia="zh-CN" w:bidi="ar-SA"/>
        </w:rPr>
        <w:t>的</w:t>
      </w:r>
      <w:r>
        <w:rPr>
          <w:rFonts w:hint="eastAsia" w:ascii="宋体" w:hAnsi="宋体" w:eastAsia="宋体" w:cs="宋体"/>
          <w:kern w:val="0"/>
          <w:sz w:val="24"/>
          <w:szCs w:val="24"/>
          <w:lang w:val="en-US" w:eastAsia="zh-CN" w:bidi="ar-SA"/>
        </w:rPr>
        <w:t>材料需符合国家相关强度、耐性、耐火、环保标准，具有良好的安全性和耐用性；</w:t>
      </w:r>
    </w:p>
    <w:p w14:paraId="38B304CB">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2、施工过程中，应严格遵守建筑安全规范，确保施工质量；</w:t>
      </w:r>
    </w:p>
    <w:p w14:paraId="4456DA2D">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3、完工后，由学生处、物业管理部门及专业第三方机构共同进行验收。验收时必须提供持有CMA/CNAS资质的第三方检测机构出具的空气质量检测报告，确保修缮效果符合项目要求。</w:t>
      </w:r>
    </w:p>
    <w:p w14:paraId="38D5240A">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四、安全与环保要求</w:t>
      </w:r>
    </w:p>
    <w:p w14:paraId="0FCF1E8E">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（一）安全管理</w:t>
      </w:r>
      <w:r>
        <w:rPr>
          <w:rFonts w:hint="eastAsia" w:ascii="宋体" w:hAnsi="宋体" w:eastAsia="宋体" w:cs="宋体"/>
          <w:kern w:val="0"/>
          <w:sz w:val="24"/>
          <w:szCs w:val="24"/>
          <w:lang w:val="en-US" w:eastAsia="zh-CN" w:bidi="ar-SA"/>
        </w:rPr>
        <w:t>：施工单位需制定详细的安全管理制度与应急预案，确保施工期间人员与财产安全。</w:t>
      </w:r>
    </w:p>
    <w:p w14:paraId="22067BFA">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（二）环境保护</w:t>
      </w:r>
      <w:r>
        <w:rPr>
          <w:rFonts w:hint="eastAsia" w:ascii="宋体" w:hAnsi="宋体" w:eastAsia="宋体" w:cs="宋体"/>
          <w:kern w:val="0"/>
          <w:sz w:val="24"/>
          <w:szCs w:val="24"/>
          <w:lang w:val="en-US" w:eastAsia="zh-CN" w:bidi="ar-SA"/>
        </w:rPr>
        <w:t>：施工期间应采取有效措施控制噪音、粉尘等污染，保护校园环境不受影响。</w:t>
      </w:r>
    </w:p>
    <w:p w14:paraId="4733A82A">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（三）文明施工</w:t>
      </w:r>
      <w:r>
        <w:rPr>
          <w:rFonts w:hint="eastAsia" w:ascii="宋体" w:hAnsi="宋体" w:eastAsia="宋体" w:cs="宋体"/>
          <w:kern w:val="0"/>
          <w:sz w:val="24"/>
          <w:szCs w:val="24"/>
          <w:lang w:val="en-US" w:eastAsia="zh-CN" w:bidi="ar-SA"/>
        </w:rPr>
        <w:t>：施工人员需遵守校园规章制度，尊重师生，保持施工现场整洁有序。</w:t>
      </w:r>
    </w:p>
    <w:p w14:paraId="74E895E1">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五、施工时间要求</w:t>
      </w:r>
    </w:p>
    <w:p w14:paraId="6F9D7A87">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（一）学生宿舍修缮部分：</w:t>
      </w:r>
      <w:r>
        <w:rPr>
          <w:rFonts w:hint="eastAsia" w:ascii="宋体" w:hAnsi="宋体" w:eastAsia="宋体" w:cs="宋体"/>
          <w:b w:val="0"/>
          <w:bCs w:val="0"/>
          <w:kern w:val="0"/>
          <w:sz w:val="24"/>
          <w:szCs w:val="24"/>
          <w:lang w:val="en-US" w:eastAsia="zh-CN"/>
        </w:rPr>
        <w:t>由暑假开始时间7月19日开工，竣工日期为8月25号，工期37天。</w:t>
      </w:r>
    </w:p>
    <w:p w14:paraId="259B7461">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（二）栏杆维修部分：</w:t>
      </w:r>
      <w:r>
        <w:rPr>
          <w:rFonts w:hint="eastAsia" w:ascii="宋体" w:hAnsi="宋体" w:eastAsia="宋体" w:cs="宋体"/>
          <w:b w:val="0"/>
          <w:bCs w:val="0"/>
          <w:kern w:val="0"/>
          <w:sz w:val="24"/>
          <w:szCs w:val="24"/>
          <w:lang w:val="en-US" w:eastAsia="zh-CN"/>
        </w:rPr>
        <w:t>为减少对学生的影响，该分部工程与学生宿舍修缮部分同步进行，9月1号前完工。</w:t>
      </w:r>
    </w:p>
    <w:p w14:paraId="7255DAEA">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（三）学生活动中心部分：</w:t>
      </w:r>
      <w:r>
        <w:rPr>
          <w:rFonts w:hint="eastAsia" w:ascii="宋体" w:hAnsi="宋体" w:eastAsia="宋体" w:cs="宋体"/>
          <w:b w:val="0"/>
          <w:bCs w:val="0"/>
          <w:kern w:val="0"/>
          <w:sz w:val="24"/>
          <w:szCs w:val="24"/>
          <w:lang w:val="en-US" w:eastAsia="zh-CN"/>
        </w:rPr>
        <w:t>鉴于其工程量较大，预计工期为75天 ，具体施工安排将结合实际情况进一步规划。</w:t>
      </w:r>
    </w:p>
    <w:p w14:paraId="477E444E">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工期重要节点：</w:t>
      </w:r>
    </w:p>
    <w:p w14:paraId="2405B276">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施工面开放：</w:t>
      </w:r>
      <w:r>
        <w:rPr>
          <w:rFonts w:hint="eastAsia" w:ascii="宋体" w:hAnsi="宋体" w:eastAsia="宋体" w:cs="宋体"/>
          <w:b w:val="0"/>
          <w:bCs w:val="0"/>
          <w:kern w:val="0"/>
          <w:sz w:val="24"/>
          <w:szCs w:val="24"/>
          <w:lang w:val="en-US" w:eastAsia="zh-CN"/>
        </w:rPr>
        <w:t>学生宿舍修缮部分需在学生离校完成腾空后，方可启动退宿清运，展开主体施工。</w:t>
      </w:r>
    </w:p>
    <w:p w14:paraId="10ADC917">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工序节点控制：</w:t>
      </w:r>
      <w:r>
        <w:rPr>
          <w:rFonts w:hint="eastAsia" w:ascii="宋体" w:hAnsi="宋体" w:eastAsia="宋体" w:cs="宋体"/>
          <w:b w:val="0"/>
          <w:bCs w:val="0"/>
          <w:kern w:val="0"/>
          <w:sz w:val="24"/>
          <w:szCs w:val="24"/>
          <w:lang w:val="en-US" w:eastAsia="zh-CN"/>
        </w:rPr>
        <w:t>旧家具拆除与施工进场需无缝衔接，拆除延误将导致关键路径断链。</w:t>
      </w:r>
    </w:p>
    <w:p w14:paraId="15679B72">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交付节点：</w:t>
      </w:r>
      <w:r>
        <w:rPr>
          <w:rFonts w:hint="eastAsia" w:ascii="宋体" w:hAnsi="宋体" w:eastAsia="宋体" w:cs="宋体"/>
          <w:b w:val="0"/>
          <w:bCs w:val="0"/>
          <w:kern w:val="0"/>
          <w:sz w:val="24"/>
          <w:szCs w:val="24"/>
          <w:lang w:val="en-US" w:eastAsia="zh-CN" w:bidi="ar-SA"/>
        </w:rPr>
        <w:t>学生宿舍修缮及栏杆维修</w:t>
      </w:r>
      <w:r>
        <w:rPr>
          <w:rFonts w:hint="eastAsia" w:ascii="宋体" w:hAnsi="宋体" w:cs="宋体"/>
          <w:b w:val="0"/>
          <w:bCs w:val="0"/>
          <w:kern w:val="0"/>
          <w:sz w:val="24"/>
          <w:szCs w:val="24"/>
          <w:lang w:val="en-US" w:eastAsia="zh-CN" w:bidi="ar-SA"/>
        </w:rPr>
        <w:t>在</w:t>
      </w:r>
      <w:r>
        <w:rPr>
          <w:rFonts w:hint="eastAsia" w:ascii="宋体" w:hAnsi="宋体" w:eastAsia="宋体" w:cs="宋体"/>
          <w:b w:val="0"/>
          <w:bCs w:val="0"/>
          <w:kern w:val="0"/>
          <w:sz w:val="24"/>
          <w:szCs w:val="24"/>
          <w:lang w:val="en-US" w:eastAsia="zh-CN" w:bidi="ar-SA"/>
        </w:rPr>
        <w:t>新学期开学前必须完成施工修缮，并预留足够时间，按规定通风换气和环境空气检测。</w:t>
      </w:r>
    </w:p>
    <w:p w14:paraId="45C43596">
      <w:pPr>
        <w:keepNext w:val="0"/>
        <w:keepLines w:val="0"/>
        <w:pageBreakBefore w:val="0"/>
        <w:widowControl/>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六、项目要求</w:t>
      </w:r>
    </w:p>
    <w:p w14:paraId="069DDE49">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鉴于本项目工期紧迫，项目规模大、复杂</w:t>
      </w:r>
      <w:r>
        <w:rPr>
          <w:rFonts w:hint="eastAsia" w:ascii="宋体" w:hAnsi="宋体" w:eastAsia="宋体" w:cs="宋体"/>
          <w:kern w:val="0"/>
          <w:sz w:val="24"/>
          <w:szCs w:val="24"/>
          <w:highlight w:val="none"/>
          <w:lang w:val="en-US" w:eastAsia="zh-CN" w:bidi="ar-SA"/>
        </w:rPr>
        <w:t>度高，</w:t>
      </w:r>
      <w:r>
        <w:rPr>
          <w:rFonts w:hint="eastAsia" w:ascii="宋体" w:hAnsi="宋体" w:eastAsia="宋体" w:cs="宋体"/>
          <w:color w:val="auto"/>
          <w:kern w:val="0"/>
          <w:sz w:val="24"/>
          <w:szCs w:val="24"/>
          <w:highlight w:val="none"/>
          <w:lang w:val="en-US" w:eastAsia="zh-CN" w:bidi="ar-SA"/>
        </w:rPr>
        <w:t>涉及2406间</w:t>
      </w:r>
      <w:r>
        <w:rPr>
          <w:rFonts w:hint="eastAsia" w:ascii="宋体" w:hAnsi="宋体" w:eastAsia="宋体" w:cs="宋体"/>
          <w:kern w:val="0"/>
          <w:sz w:val="24"/>
          <w:szCs w:val="24"/>
          <w:highlight w:val="none"/>
          <w:lang w:val="en-US" w:eastAsia="zh-CN" w:bidi="ar-SA"/>
        </w:rPr>
        <w:t>分布于多栋楼的毕业生宿舍，需分阶段逐步腾退，期间涉及多方协调工作，多校区、多楼栋的协同施工，需分批次配合学</w:t>
      </w:r>
      <w:r>
        <w:rPr>
          <w:rFonts w:hint="eastAsia" w:ascii="宋体" w:hAnsi="宋体" w:eastAsia="宋体" w:cs="宋体"/>
          <w:kern w:val="0"/>
          <w:sz w:val="24"/>
          <w:szCs w:val="24"/>
          <w:lang w:val="en-US" w:eastAsia="zh-CN" w:bidi="ar-SA"/>
        </w:rPr>
        <w:t>生退房及家具搬运流程，实际有效施工时间极为有限。</w:t>
      </w:r>
    </w:p>
    <w:p w14:paraId="1FDDB008">
      <w:pPr>
        <w:keepNext w:val="0"/>
        <w:keepLines w:val="0"/>
        <w:pageBreakBefore w:val="0"/>
        <w:widowControl/>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为确保工程按期保质完成，避免因低价中标导致材料以次充好、施工力量不足或管理缺位等问题，特强调以下要求：</w:t>
      </w:r>
    </w:p>
    <w:p w14:paraId="5DC54A4C">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（一）合理造价保障。</w:t>
      </w:r>
      <w:r>
        <w:rPr>
          <w:rFonts w:hint="eastAsia" w:ascii="宋体" w:hAnsi="宋体" w:eastAsia="宋体" w:cs="宋体"/>
          <w:kern w:val="0"/>
          <w:sz w:val="24"/>
          <w:szCs w:val="24"/>
          <w:lang w:val="en-US" w:eastAsia="zh-CN" w:bidi="ar-SA"/>
        </w:rPr>
        <w:t>投标报价需符合市场行情，严禁恶意低价竞争。评标将重点考察技术方案、施工组织能力及同类项目经验，确保中标单位具备足够的资源投入和履约能力。</w:t>
      </w:r>
    </w:p>
    <w:p w14:paraId="2627C676">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（二）无条件按期完工。</w:t>
      </w:r>
      <w:r>
        <w:rPr>
          <w:rFonts w:hint="eastAsia" w:ascii="宋体" w:hAnsi="宋体" w:eastAsia="宋体" w:cs="宋体"/>
          <w:kern w:val="0"/>
          <w:sz w:val="24"/>
          <w:szCs w:val="24"/>
          <w:lang w:val="en-US" w:eastAsia="zh-CN" w:bidi="ar-SA"/>
        </w:rPr>
        <w:t>工期刚性约束，施工单位须制定详尽的进度计划，配备充足人力和设备，承诺无条件按期完工。若因乙方原因延误，需承担相应违约责任。</w:t>
      </w:r>
    </w:p>
    <w:p w14:paraId="544CDBF3">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（三）质量与安全优先。</w:t>
      </w:r>
      <w:r>
        <w:rPr>
          <w:rFonts w:hint="eastAsia" w:ascii="宋体" w:hAnsi="宋体" w:eastAsia="宋体" w:cs="宋体"/>
          <w:kern w:val="0"/>
          <w:sz w:val="24"/>
          <w:szCs w:val="24"/>
          <w:lang w:val="en-US" w:eastAsia="zh-CN" w:bidi="ar-SA"/>
        </w:rPr>
        <w:t>材料须严格符合国家标准（如不锈钢护栏的耐腐蚀性），施工过程接受多方监督，验收不合格须无条件返工。请各投标单位充分评估项目复杂性，审慎报价，避免因成本压缩影响工程质量和进度。</w:t>
      </w:r>
    </w:p>
    <w:p w14:paraId="5E4E6B09">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（四）本项目针对性。</w:t>
      </w:r>
      <w:r>
        <w:rPr>
          <w:rFonts w:hint="eastAsia" w:ascii="宋体" w:hAnsi="宋体" w:eastAsia="宋体" w:cs="宋体"/>
          <w:kern w:val="0"/>
          <w:sz w:val="24"/>
          <w:szCs w:val="24"/>
          <w:lang w:val="en-US" w:eastAsia="zh-CN" w:bidi="ar-SA"/>
        </w:rPr>
        <w:t>本项目暑期施工工期集中、施工面大、施工位置分散、施工位置主要位于学生密集区域、可能面临宿舍施工过程中与未搬离施工区域学生的沟通问题，施工单位须就以上内容编制具有针对性的施工组织设计，确保项目顺利如期施工。</w:t>
      </w:r>
    </w:p>
    <w:p w14:paraId="56480242">
      <w:pPr>
        <w:pStyle w:val="2"/>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第六章  图纸及勘察资料</w:t>
      </w:r>
      <w:bookmarkEnd w:id="123"/>
    </w:p>
    <w:p w14:paraId="54C4CBF5">
      <w:pPr>
        <w:rPr>
          <w:rFonts w:ascii="宋体" w:hAnsi="宋体" w:cs="宋体"/>
          <w:b/>
          <w:color w:val="auto"/>
          <w:sz w:val="36"/>
          <w:szCs w:val="36"/>
        </w:rPr>
      </w:pPr>
      <w:r>
        <w:rPr>
          <w:rFonts w:hint="eastAsia" w:ascii="宋体" w:hAnsi="宋体" w:cs="宋体"/>
          <w:color w:val="auto"/>
          <w:szCs w:val="21"/>
        </w:rPr>
        <w:t>另册。</w:t>
      </w:r>
    </w:p>
    <w:p w14:paraId="265BA506">
      <w:pPr>
        <w:pStyle w:val="2"/>
        <w:ind w:firstLine="420"/>
        <w:jc w:val="center"/>
        <w:rPr>
          <w:rFonts w:ascii="宋体" w:hAnsi="宋体" w:cs="宋体"/>
          <w:color w:val="auto"/>
        </w:rPr>
      </w:pPr>
      <w:r>
        <w:rPr>
          <w:rFonts w:hint="eastAsia" w:ascii="宋体" w:hAnsi="宋体" w:cs="宋体"/>
          <w:color w:val="auto"/>
          <w:sz w:val="24"/>
          <w:szCs w:val="24"/>
        </w:rPr>
        <w:br w:type="page"/>
      </w:r>
      <w:bookmarkStart w:id="124" w:name="_Toc2247"/>
      <w:r>
        <w:rPr>
          <w:rFonts w:hint="eastAsia" w:ascii="宋体" w:hAnsi="宋体" w:cs="宋体"/>
          <w:color w:val="auto"/>
        </w:rPr>
        <w:t>第七章  工程量清单</w:t>
      </w:r>
      <w:bookmarkEnd w:id="124"/>
    </w:p>
    <w:p w14:paraId="6491DE07">
      <w:pPr>
        <w:rPr>
          <w:rFonts w:ascii="宋体" w:hAnsi="宋体" w:cs="宋体"/>
          <w:b/>
          <w:color w:val="auto"/>
          <w:sz w:val="36"/>
          <w:szCs w:val="36"/>
        </w:rPr>
      </w:pPr>
      <w:r>
        <w:rPr>
          <w:rFonts w:hint="eastAsia" w:ascii="宋体" w:hAnsi="宋体" w:cs="宋体"/>
          <w:color w:val="auto"/>
          <w:szCs w:val="21"/>
        </w:rPr>
        <w:t>另册。</w:t>
      </w:r>
    </w:p>
    <w:p w14:paraId="6D059DA9">
      <w:pPr>
        <w:pStyle w:val="4"/>
        <w:spacing w:after="0" w:line="360" w:lineRule="auto"/>
        <w:ind w:left="-2" w:leftChars="-1" w:firstLine="960" w:firstLineChars="400"/>
        <w:rPr>
          <w:rFonts w:ascii="宋体" w:hAnsi="宋体" w:cs="宋体"/>
          <w:color w:val="auto"/>
          <w:sz w:val="24"/>
        </w:rPr>
      </w:pPr>
    </w:p>
    <w:p w14:paraId="32E839BE">
      <w:pPr>
        <w:pStyle w:val="2"/>
        <w:rPr>
          <w:rFonts w:ascii="宋体" w:hAnsi="宋体" w:cs="宋体"/>
          <w:color w:val="auto"/>
        </w:rPr>
      </w:pPr>
    </w:p>
    <w:p w14:paraId="0C7CF7A9">
      <w:pPr>
        <w:pStyle w:val="2"/>
        <w:jc w:val="center"/>
        <w:rPr>
          <w:rFonts w:ascii="宋体" w:hAnsi="宋体" w:cs="宋体"/>
          <w:color w:val="auto"/>
        </w:rPr>
      </w:pPr>
      <w:r>
        <w:rPr>
          <w:rFonts w:hint="eastAsia" w:ascii="宋体" w:hAnsi="宋体" w:cs="宋体"/>
          <w:color w:val="auto"/>
          <w:sz w:val="24"/>
          <w:szCs w:val="24"/>
        </w:rPr>
        <w:br w:type="page"/>
      </w:r>
      <w:bookmarkStart w:id="125" w:name="_Toc10163"/>
      <w:r>
        <w:rPr>
          <w:rFonts w:hint="eastAsia" w:ascii="宋体" w:hAnsi="宋体" w:cs="宋体"/>
          <w:color w:val="auto"/>
        </w:rPr>
        <w:t>第八章  最高投标限价</w:t>
      </w:r>
      <w:bookmarkEnd w:id="125"/>
    </w:p>
    <w:p w14:paraId="6FF45CA2">
      <w:pPr>
        <w:rPr>
          <w:rFonts w:ascii="宋体" w:hAnsi="宋体" w:cs="宋体"/>
          <w:b/>
          <w:color w:val="auto"/>
          <w:sz w:val="36"/>
          <w:szCs w:val="36"/>
        </w:rPr>
      </w:pPr>
      <w:r>
        <w:rPr>
          <w:rFonts w:hint="eastAsia" w:ascii="宋体" w:hAnsi="宋体" w:cs="宋体"/>
          <w:color w:val="auto"/>
          <w:szCs w:val="21"/>
        </w:rPr>
        <w:t>另册。</w:t>
      </w:r>
    </w:p>
    <w:p w14:paraId="32FDD641">
      <w:pPr>
        <w:rPr>
          <w:rFonts w:ascii="宋体" w:hAnsi="宋体" w:cs="宋体"/>
          <w:color w:val="auto"/>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宋体-繁">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宋体..胭..">
    <w:altName w:val="宋体"/>
    <w:panose1 w:val="00000000000000000000"/>
    <w:charset w:val="86"/>
    <w:family w:val="roman"/>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simsong">
    <w:altName w:val="宋体"/>
    <w:panose1 w:val="02020300000000000000"/>
    <w:charset w:val="86"/>
    <w:family w:val="auto"/>
    <w:pitch w:val="default"/>
    <w:sig w:usb0="00000000" w:usb1="00000000" w:usb2="00000016" w:usb3="00000000" w:csb0="0004000D"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9538">
    <w:pPr>
      <w:pStyle w:val="27"/>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BBE7">
    <w:pPr>
      <w:pStyle w:val="27"/>
      <w:ind w:firstLine="392"/>
      <w:rPr>
        <w:rStyle w:val="43"/>
      </w:rPr>
    </w:pPr>
    <w:r>
      <w:rPr>
        <w:rStyle w:val="43"/>
      </w:rP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39D8F060">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106F">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B898">
    <w:pPr>
      <w:pStyle w:val="27"/>
      <w:ind w:firstLine="392"/>
      <w:rPr>
        <w:rStyle w:val="4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B61F3">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3B61F3">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E1FD">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1446B">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81446B">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E642">
    <w:pPr>
      <w:pStyle w:val="2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4767E">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54767E">
                    <w:pPr>
                      <w:pStyle w:val="2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1324">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601B8">
                          <w:pPr>
                            <w:pStyle w:val="2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A601B8">
                    <w:pPr>
                      <w:pStyle w:val="2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CB93">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B977">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0D85">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D792">
    <w:pPr>
      <w:pStyle w:val="28"/>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0C2A">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03A85"/>
    <w:multiLevelType w:val="singleLevel"/>
    <w:tmpl w:val="57203A85"/>
    <w:lvl w:ilvl="0" w:tentative="0">
      <w:start w:val="5"/>
      <w:numFmt w:val="decimal"/>
      <w:suff w:val="nothing"/>
      <w:lvlText w:val="%1、"/>
      <w:lvlJc w:val="left"/>
    </w:lvl>
  </w:abstractNum>
  <w:abstractNum w:abstractNumId="1">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rsids>
    <w:rsidRoot w:val="00000000"/>
    <w:rsid w:val="091A7535"/>
    <w:rsid w:val="098506D5"/>
    <w:rsid w:val="0E346049"/>
    <w:rsid w:val="151121DB"/>
    <w:rsid w:val="173D69EE"/>
    <w:rsid w:val="18D94D16"/>
    <w:rsid w:val="1E423876"/>
    <w:rsid w:val="2059673D"/>
    <w:rsid w:val="20A43E5C"/>
    <w:rsid w:val="2B7E34FB"/>
    <w:rsid w:val="30406FD1"/>
    <w:rsid w:val="357A52BE"/>
    <w:rsid w:val="3D033860"/>
    <w:rsid w:val="3D793B23"/>
    <w:rsid w:val="3F9E5AC2"/>
    <w:rsid w:val="42AE0712"/>
    <w:rsid w:val="4B6B0F4E"/>
    <w:rsid w:val="50F4724F"/>
    <w:rsid w:val="567A473C"/>
    <w:rsid w:val="58226E39"/>
    <w:rsid w:val="67801DCE"/>
    <w:rsid w:val="6C6849F4"/>
    <w:rsid w:val="70E909E4"/>
    <w:rsid w:val="762B1026"/>
    <w:rsid w:val="7B644801"/>
    <w:rsid w:val="7E3FB001"/>
    <w:rsid w:val="FEED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54"/>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9"/>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10">
    <w:name w:val="heading 5"/>
    <w:basedOn w:val="8"/>
    <w:next w:val="9"/>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9"/>
    <w:qFormat/>
    <w:uiPriority w:val="0"/>
    <w:pPr>
      <w:keepNext/>
      <w:keepLines/>
      <w:spacing w:before="240" w:after="64" w:line="319" w:lineRule="auto"/>
      <w:outlineLvl w:val="6"/>
    </w:pPr>
    <w:rPr>
      <w:b/>
      <w:kern w:val="0"/>
      <w:sz w:val="24"/>
      <w:szCs w:val="20"/>
    </w:rPr>
  </w:style>
  <w:style w:type="paragraph" w:styleId="13">
    <w:name w:val="heading 8"/>
    <w:basedOn w:val="1"/>
    <w:next w:val="9"/>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9"/>
    <w:qFormat/>
    <w:uiPriority w:val="0"/>
    <w:pPr>
      <w:keepNext/>
      <w:keepLines/>
      <w:spacing w:before="240" w:after="64" w:line="319" w:lineRule="auto"/>
      <w:outlineLvl w:val="8"/>
    </w:pPr>
    <w:rPr>
      <w:rFonts w:ascii="Arial" w:hAnsi="Arial" w:eastAsia="黑体"/>
      <w:kern w:val="0"/>
      <w:sz w:val="20"/>
      <w:szCs w:val="20"/>
    </w:rPr>
  </w:style>
  <w:style w:type="character" w:default="1" w:styleId="40">
    <w:name w:val="Default Paragraph Font"/>
    <w:unhideWhenUsed/>
    <w:qFormat/>
    <w:uiPriority w:val="1"/>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next w:val="1"/>
    <w:link w:val="55"/>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9">
    <w:name w:val="Normal Indent"/>
    <w:basedOn w:val="1"/>
    <w:next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36">
    <w:name w:val="index 1"/>
    <w:basedOn w:val="1"/>
    <w:next w:val="1"/>
    <w:qFormat/>
    <w:uiPriority w:val="0"/>
    <w:rPr>
      <w:rFonts w:eastAsia="仿宋_GB2312"/>
      <w:sz w:val="28"/>
      <w:szCs w:val="20"/>
    </w:rPr>
  </w:style>
  <w:style w:type="paragraph" w:styleId="37">
    <w:name w:val="annotation subject"/>
    <w:basedOn w:val="16"/>
    <w:next w:val="1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1">
    <w:name w:val="Strong"/>
    <w:basedOn w:val="40"/>
    <w:qFormat/>
    <w:uiPriority w:val="0"/>
    <w:rPr>
      <w:b/>
      <w:bCs/>
    </w:rPr>
  </w:style>
  <w:style w:type="character" w:styleId="42">
    <w:name w:val="endnote reference"/>
    <w:qFormat/>
    <w:uiPriority w:val="0"/>
    <w:rPr>
      <w:vertAlign w:val="superscript"/>
    </w:rPr>
  </w:style>
  <w:style w:type="character" w:styleId="43">
    <w:name w:val="page number"/>
    <w:qFormat/>
    <w:uiPriority w:val="0"/>
    <w:rPr>
      <w:rFonts w:cs="Times New Roman"/>
    </w:rPr>
  </w:style>
  <w:style w:type="character" w:styleId="44">
    <w:name w:val="FollowedHyperlink"/>
    <w:qFormat/>
    <w:uiPriority w:val="0"/>
    <w:rPr>
      <w:color w:val="954F72"/>
      <w:u w:val="single"/>
    </w:rPr>
  </w:style>
  <w:style w:type="character" w:styleId="45">
    <w:name w:val="Emphasis"/>
    <w:basedOn w:val="40"/>
    <w:qFormat/>
    <w:uiPriority w:val="0"/>
    <w:rPr>
      <w:i/>
    </w:rPr>
  </w:style>
  <w:style w:type="character" w:styleId="46">
    <w:name w:val="HTML Definition"/>
    <w:basedOn w:val="40"/>
    <w:qFormat/>
    <w:uiPriority w:val="0"/>
    <w:rPr>
      <w:i/>
      <w:iCs/>
    </w:rPr>
  </w:style>
  <w:style w:type="character" w:styleId="47">
    <w:name w:val="Hyperlink"/>
    <w:qFormat/>
    <w:uiPriority w:val="0"/>
    <w:rPr>
      <w:color w:val="0000FF"/>
      <w:u w:val="single"/>
    </w:rPr>
  </w:style>
  <w:style w:type="character" w:styleId="48">
    <w:name w:val="HTML Code"/>
    <w:basedOn w:val="40"/>
    <w:qFormat/>
    <w:uiPriority w:val="0"/>
    <w:rPr>
      <w:rFonts w:ascii="Consolas" w:hAnsi="Consolas" w:eastAsia="Consolas" w:cs="Consolas"/>
      <w:color w:val="C7254E"/>
      <w:sz w:val="21"/>
      <w:szCs w:val="21"/>
      <w:bdr w:val="single" w:color="E1E1E1" w:sz="2" w:space="0"/>
      <w:shd w:val="clear" w:fill="F9F2F4"/>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styleId="51">
    <w:name w:val="HTML Keyboard"/>
    <w:basedOn w:val="40"/>
    <w:qFormat/>
    <w:uiPriority w:val="0"/>
    <w:rPr>
      <w:rFonts w:hint="default" w:ascii="Consolas" w:hAnsi="Consolas" w:eastAsia="Consolas" w:cs="Consolas"/>
      <w:color w:val="FFFFFF"/>
      <w:sz w:val="21"/>
      <w:szCs w:val="21"/>
      <w:shd w:val="clear" w:fill="333333"/>
    </w:rPr>
  </w:style>
  <w:style w:type="character" w:styleId="52">
    <w:name w:val="HTML Sample"/>
    <w:basedOn w:val="40"/>
    <w:qFormat/>
    <w:uiPriority w:val="0"/>
    <w:rPr>
      <w:rFonts w:hint="default" w:ascii="Consolas" w:hAnsi="Consolas" w:eastAsia="Consolas" w:cs="Consolas"/>
      <w:sz w:val="21"/>
      <w:szCs w:val="21"/>
    </w:rPr>
  </w:style>
  <w:style w:type="paragraph" w:customStyle="1" w:styleId="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标题 1 Char"/>
    <w:basedOn w:val="55"/>
    <w:link w:val="2"/>
    <w:qFormat/>
    <w:uiPriority w:val="0"/>
    <w:rPr>
      <w:rFonts w:ascii="Arial" w:hAnsi="Arial" w:eastAsia="宋体" w:cs="Times New Roman"/>
      <w:kern w:val="44"/>
      <w:sz w:val="28"/>
      <w:szCs w:val="28"/>
      <w:lang w:val="en-US" w:eastAsia="zh-CN" w:bidi="ar-SA"/>
    </w:rPr>
  </w:style>
  <w:style w:type="character" w:customStyle="1" w:styleId="55">
    <w:name w:val="标题 Char"/>
    <w:basedOn w:val="40"/>
    <w:link w:val="3"/>
    <w:qFormat/>
    <w:uiPriority w:val="0"/>
    <w:rPr>
      <w:rFonts w:ascii="Arial" w:hAnsi="Arial" w:eastAsia="宋体" w:cs="Times New Roman"/>
      <w:b/>
      <w:kern w:val="0"/>
      <w:sz w:val="44"/>
      <w:szCs w:val="20"/>
      <w:lang w:val="en-US" w:eastAsia="zh-CN" w:bidi="ar-SA"/>
    </w:rPr>
  </w:style>
  <w:style w:type="paragraph" w:customStyle="1" w:styleId="56">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7">
    <w:name w:val="纯文本 字符"/>
    <w:qFormat/>
    <w:uiPriority w:val="0"/>
    <w:rPr>
      <w:rFonts w:ascii="等线" w:hAnsi="等线" w:cs="Courier New"/>
    </w:rPr>
  </w:style>
  <w:style w:type="character" w:customStyle="1" w:styleId="58">
    <w:name w:val="批注文字 字符"/>
    <w:qFormat/>
    <w:uiPriority w:val="0"/>
    <w:rPr>
      <w:rFonts w:ascii="Calibri" w:hAnsi="Calibri" w:eastAsia="宋体" w:cs="Times New Roman"/>
    </w:rPr>
  </w:style>
  <w:style w:type="character" w:customStyle="1" w:styleId="59">
    <w:name w:val="标题 5 字符"/>
    <w:qFormat/>
    <w:uiPriority w:val="0"/>
    <w:rPr>
      <w:rFonts w:ascii="Calibri" w:hAnsi="Calibri" w:eastAsia="宋体" w:cs="Times New Roman"/>
      <w:b/>
      <w:bCs/>
      <w:sz w:val="28"/>
      <w:szCs w:val="28"/>
    </w:rPr>
  </w:style>
  <w:style w:type="paragraph" w:customStyle="1" w:styleId="60">
    <w:name w:val="_Style 48"/>
    <w:basedOn w:val="5"/>
    <w:next w:val="4"/>
    <w:qFormat/>
    <w:uiPriority w:val="0"/>
    <w:pPr>
      <w:ind w:firstLine="420"/>
    </w:pPr>
  </w:style>
  <w:style w:type="character" w:customStyle="1" w:styleId="61">
    <w:name w:val="正文文本缩进 字符"/>
    <w:qFormat/>
    <w:uiPriority w:val="0"/>
    <w:rPr>
      <w:rFonts w:ascii="Calibri" w:hAnsi="Calibri" w:eastAsia="宋体" w:cs="Times New Roman"/>
    </w:rPr>
  </w:style>
  <w:style w:type="character" w:customStyle="1" w:styleId="62">
    <w:name w:val="文档结构图 字符"/>
    <w:qFormat/>
    <w:uiPriority w:val="0"/>
    <w:rPr>
      <w:rFonts w:ascii="Microsoft YaHei UI" w:hAnsi="Microsoft YaHei UI" w:eastAsia="Microsoft YaHei UI" w:cs="Times New Roman"/>
      <w:sz w:val="18"/>
      <w:szCs w:val="18"/>
    </w:rPr>
  </w:style>
  <w:style w:type="character" w:customStyle="1" w:styleId="63">
    <w:name w:val="标题 2 字符"/>
    <w:qFormat/>
    <w:uiPriority w:val="0"/>
    <w:rPr>
      <w:rFonts w:ascii="等线 Light" w:eastAsia="等线 Light" w:cs="Times New Roman"/>
      <w:b/>
      <w:bCs/>
      <w:sz w:val="32"/>
      <w:szCs w:val="32"/>
    </w:rPr>
  </w:style>
  <w:style w:type="character" w:customStyle="1" w:styleId="64">
    <w:name w:val="正文文本缩进 3 字符"/>
    <w:qFormat/>
    <w:uiPriority w:val="0"/>
    <w:rPr>
      <w:rFonts w:ascii="Calibri" w:hAnsi="Calibri" w:eastAsia="宋体" w:cs="Times New Roman"/>
      <w:sz w:val="16"/>
      <w:szCs w:val="16"/>
    </w:rPr>
  </w:style>
  <w:style w:type="character" w:customStyle="1" w:styleId="65">
    <w:name w:val="正文首行缩进 字符"/>
    <w:qFormat/>
    <w:uiPriority w:val="0"/>
  </w:style>
  <w:style w:type="character" w:customStyle="1" w:styleId="66">
    <w:name w:val="日期 字符"/>
    <w:qFormat/>
    <w:uiPriority w:val="0"/>
    <w:rPr>
      <w:rFonts w:ascii="Calibri" w:hAnsi="Calibri" w:eastAsia="宋体" w:cs="Times New Roman"/>
    </w:rPr>
  </w:style>
  <w:style w:type="character" w:customStyle="1" w:styleId="67">
    <w:name w:val="批注主题 字符"/>
    <w:qFormat/>
    <w:uiPriority w:val="0"/>
    <w:rPr>
      <w:rFonts w:ascii="Calibri" w:hAnsi="Calibri" w:eastAsia="宋体" w:cs="Times New Roman"/>
      <w:b/>
      <w:bCs/>
    </w:rPr>
  </w:style>
  <w:style w:type="character" w:customStyle="1" w:styleId="68">
    <w:name w:val="页脚 字符"/>
    <w:qFormat/>
    <w:uiPriority w:val="0"/>
    <w:rPr>
      <w:rFonts w:ascii="Calibri" w:hAnsi="Calibri" w:eastAsia="宋体" w:cs="Times New Roman"/>
      <w:sz w:val="18"/>
      <w:szCs w:val="18"/>
    </w:rPr>
  </w:style>
  <w:style w:type="character" w:customStyle="1" w:styleId="69">
    <w:name w:val="尾注文本 字符"/>
    <w:qFormat/>
    <w:uiPriority w:val="0"/>
    <w:rPr>
      <w:rFonts w:ascii="Calibri" w:hAnsi="Calibri" w:eastAsia="宋体" w:cs="Times New Roman"/>
    </w:rPr>
  </w:style>
  <w:style w:type="character" w:customStyle="1" w:styleId="70">
    <w:name w:val="正文文本 字符"/>
    <w:qFormat/>
    <w:uiPriority w:val="0"/>
    <w:rPr>
      <w:rFonts w:ascii="Calibri" w:hAnsi="Calibri" w:eastAsia="宋体" w:cs="Times New Roman"/>
    </w:rPr>
  </w:style>
  <w:style w:type="character" w:customStyle="1" w:styleId="71">
    <w:name w:val="标题 8 字符"/>
    <w:qFormat/>
    <w:uiPriority w:val="0"/>
    <w:rPr>
      <w:rFonts w:ascii="等线 Light" w:eastAsia="等线 Light" w:cs="Times New Roman"/>
      <w:sz w:val="24"/>
      <w:szCs w:val="24"/>
    </w:rPr>
  </w:style>
  <w:style w:type="character" w:customStyle="1" w:styleId="72">
    <w:name w:val="正文文本 2 字符"/>
    <w:qFormat/>
    <w:uiPriority w:val="0"/>
    <w:rPr>
      <w:rFonts w:ascii="Calibri" w:hAnsi="Calibri" w:eastAsia="宋体" w:cs="Times New Roman"/>
    </w:rPr>
  </w:style>
  <w:style w:type="character" w:customStyle="1" w:styleId="73">
    <w:name w:val="标题 9 字符"/>
    <w:qFormat/>
    <w:uiPriority w:val="0"/>
    <w:rPr>
      <w:rFonts w:ascii="等线 Light" w:eastAsia="等线 Light" w:cs="Times New Roman"/>
      <w:szCs w:val="21"/>
    </w:rPr>
  </w:style>
  <w:style w:type="character" w:customStyle="1" w:styleId="74">
    <w:name w:val="标题 4 字符"/>
    <w:qFormat/>
    <w:uiPriority w:val="0"/>
    <w:rPr>
      <w:rFonts w:ascii="等线 Light" w:eastAsia="等线 Light" w:cs="Times New Roman"/>
      <w:b/>
      <w:bCs/>
      <w:sz w:val="28"/>
      <w:szCs w:val="28"/>
    </w:rPr>
  </w:style>
  <w:style w:type="character" w:customStyle="1" w:styleId="75">
    <w:name w:val="页眉 字符"/>
    <w:qFormat/>
    <w:uiPriority w:val="0"/>
    <w:rPr>
      <w:rFonts w:ascii="Calibri" w:hAnsi="Calibri" w:eastAsia="宋体" w:cs="Times New Roman"/>
      <w:sz w:val="18"/>
      <w:szCs w:val="18"/>
    </w:rPr>
  </w:style>
  <w:style w:type="character" w:customStyle="1" w:styleId="76">
    <w:name w:val="标题 3 字符"/>
    <w:qFormat/>
    <w:uiPriority w:val="0"/>
    <w:rPr>
      <w:rFonts w:ascii="Calibri" w:hAnsi="Calibri" w:eastAsia="宋体" w:cs="Times New Roman"/>
      <w:b/>
      <w:bCs/>
      <w:sz w:val="32"/>
      <w:szCs w:val="32"/>
    </w:rPr>
  </w:style>
  <w:style w:type="character" w:customStyle="1" w:styleId="77">
    <w:name w:val="正文文本缩进 2 字符"/>
    <w:qFormat/>
    <w:uiPriority w:val="0"/>
    <w:rPr>
      <w:rFonts w:ascii="Calibri" w:hAnsi="Calibri" w:eastAsia="宋体" w:cs="Times New Roman"/>
    </w:rPr>
  </w:style>
  <w:style w:type="character" w:customStyle="1" w:styleId="78">
    <w:name w:val="批注框文本 字符"/>
    <w:qFormat/>
    <w:uiPriority w:val="0"/>
    <w:rPr>
      <w:rFonts w:ascii="Calibri" w:hAnsi="Calibri" w:eastAsia="宋体" w:cs="Times New Roman"/>
      <w:sz w:val="18"/>
      <w:szCs w:val="18"/>
    </w:rPr>
  </w:style>
  <w:style w:type="character" w:customStyle="1" w:styleId="79">
    <w:name w:val="标题 1 字符"/>
    <w:qFormat/>
    <w:uiPriority w:val="0"/>
    <w:rPr>
      <w:rFonts w:ascii="Calibri" w:hAnsi="Calibri" w:eastAsia="宋体" w:cs="Times New Roman"/>
      <w:b/>
      <w:bCs/>
      <w:kern w:val="44"/>
      <w:sz w:val="44"/>
      <w:szCs w:val="44"/>
    </w:rPr>
  </w:style>
  <w:style w:type="character" w:customStyle="1" w:styleId="80">
    <w:name w:val="NormalCharacter"/>
    <w:qFormat/>
    <w:uiPriority w:val="0"/>
    <w:rPr>
      <w:rFonts w:ascii="Calibri" w:hAnsi="Calibri" w:eastAsia="宋体" w:cs="Times New Roman"/>
      <w:kern w:val="2"/>
      <w:sz w:val="21"/>
      <w:szCs w:val="22"/>
      <w:lang w:val="en-US" w:eastAsia="zh-CN" w:bidi="ar-SA"/>
    </w:rPr>
  </w:style>
  <w:style w:type="character" w:customStyle="1" w:styleId="81">
    <w:name w:val="脚注文本 字符"/>
    <w:qFormat/>
    <w:uiPriority w:val="0"/>
    <w:rPr>
      <w:rFonts w:ascii="Calibri" w:hAnsi="Calibri" w:eastAsia="宋体" w:cs="Times New Roman"/>
      <w:sz w:val="18"/>
      <w:szCs w:val="18"/>
    </w:rPr>
  </w:style>
  <w:style w:type="character" w:customStyle="1" w:styleId="82">
    <w:name w:val="标题 6 字符"/>
    <w:qFormat/>
    <w:uiPriority w:val="0"/>
    <w:rPr>
      <w:rFonts w:ascii="等线 Light" w:eastAsia="等线 Light" w:cs="Times New Roman"/>
      <w:b/>
      <w:bCs/>
      <w:sz w:val="24"/>
      <w:szCs w:val="24"/>
    </w:rPr>
  </w:style>
  <w:style w:type="character" w:customStyle="1" w:styleId="83">
    <w:name w:val="标题 字符"/>
    <w:qFormat/>
    <w:uiPriority w:val="0"/>
    <w:rPr>
      <w:rFonts w:ascii="等线 Light" w:eastAsia="等线 Light" w:cs="Times New Roman"/>
      <w:b/>
      <w:bCs/>
      <w:sz w:val="32"/>
      <w:szCs w:val="32"/>
    </w:rPr>
  </w:style>
  <w:style w:type="character" w:customStyle="1" w:styleId="84">
    <w:name w:val="标题 7 字符"/>
    <w:qFormat/>
    <w:uiPriority w:val="0"/>
    <w:rPr>
      <w:rFonts w:ascii="Calibri" w:hAnsi="Calibri" w:eastAsia="宋体" w:cs="Times New Roman"/>
      <w:b/>
      <w:bCs/>
      <w:sz w:val="24"/>
      <w:szCs w:val="24"/>
    </w:rPr>
  </w:style>
  <w:style w:type="paragraph" w:customStyle="1" w:styleId="85">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6">
    <w:name w:val="Char Char Char Char"/>
    <w:basedOn w:val="1"/>
    <w:qFormat/>
    <w:uiPriority w:val="0"/>
    <w:rPr>
      <w:sz w:val="30"/>
      <w:szCs w:val="24"/>
    </w:rPr>
  </w:style>
  <w:style w:type="paragraph" w:customStyle="1" w:styleId="87">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8">
    <w:name w:val="发文落款"/>
    <w:basedOn w:val="87"/>
    <w:qFormat/>
    <w:uiPriority w:val="0"/>
    <w:pPr>
      <w:ind w:left="4094" w:right="607" w:firstLine="0"/>
      <w:jc w:val="center"/>
    </w:pPr>
  </w:style>
  <w:style w:type="paragraph" w:customStyle="1" w:styleId="89">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90">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91">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92">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93">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4">
    <w:name w:val="1"/>
    <w:basedOn w:val="1"/>
    <w:next w:val="1"/>
    <w:qFormat/>
    <w:uiPriority w:val="0"/>
  </w:style>
  <w:style w:type="paragraph" w:customStyle="1" w:styleId="95">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6">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7">
    <w:name w:val="表头"/>
    <w:basedOn w:val="1"/>
    <w:qFormat/>
    <w:uiPriority w:val="0"/>
    <w:pPr>
      <w:spacing w:line="360" w:lineRule="auto"/>
      <w:jc w:val="center"/>
    </w:pPr>
    <w:rPr>
      <w:rFonts w:ascii="黑体" w:eastAsia="黑体"/>
      <w:kern w:val="0"/>
      <w:sz w:val="24"/>
      <w:szCs w:val="20"/>
    </w:rPr>
  </w:style>
  <w:style w:type="paragraph" w:customStyle="1" w:styleId="98">
    <w:name w:val="修订1"/>
    <w:qFormat/>
    <w:uiPriority w:val="0"/>
    <w:rPr>
      <w:rFonts w:ascii="Times New Roman" w:hAnsi="Times New Roman" w:eastAsia="宋体" w:cs="Times New Roman"/>
      <w:kern w:val="2"/>
      <w:sz w:val="21"/>
      <w:lang w:val="en-US" w:eastAsia="zh-CN" w:bidi="ar-SA"/>
    </w:rPr>
  </w:style>
  <w:style w:type="paragraph" w:customStyle="1" w:styleId="99">
    <w:name w:val="列出段落2"/>
    <w:basedOn w:val="1"/>
    <w:qFormat/>
    <w:uiPriority w:val="0"/>
    <w:pPr>
      <w:ind w:firstLine="200" w:firstLineChars="200"/>
    </w:pPr>
    <w:rPr>
      <w:szCs w:val="20"/>
    </w:rPr>
  </w:style>
  <w:style w:type="paragraph" w:customStyle="1" w:styleId="100">
    <w:name w:val="公文抬头"/>
    <w:basedOn w:val="9"/>
    <w:qFormat/>
    <w:uiPriority w:val="0"/>
    <w:pPr>
      <w:ind w:firstLine="0"/>
    </w:pPr>
    <w:rPr>
      <w:rFonts w:ascii="仿宋_GB2312" w:eastAsia="仿宋_GB2312"/>
      <w:sz w:val="30"/>
      <w:szCs w:val="24"/>
    </w:rPr>
  </w:style>
  <w:style w:type="paragraph" w:customStyle="1" w:styleId="101">
    <w:name w:val="文二"/>
    <w:basedOn w:val="1"/>
    <w:qFormat/>
    <w:uiPriority w:val="0"/>
    <w:pPr>
      <w:jc w:val="left"/>
    </w:pPr>
    <w:rPr>
      <w:rFonts w:ascii="宋体"/>
      <w:szCs w:val="21"/>
    </w:rPr>
  </w:style>
  <w:style w:type="paragraph" w:customStyle="1" w:styleId="102">
    <w:name w:val="_Style 49"/>
    <w:basedOn w:val="5"/>
    <w:next w:val="4"/>
    <w:qFormat/>
    <w:uiPriority w:val="0"/>
    <w:pPr>
      <w:ind w:firstLine="420"/>
    </w:pPr>
  </w:style>
  <w:style w:type="paragraph" w:customStyle="1" w:styleId="103">
    <w:name w:val="正题"/>
    <w:basedOn w:val="56"/>
    <w:next w:val="56"/>
    <w:qFormat/>
    <w:uiPriority w:val="0"/>
    <w:pPr>
      <w:ind w:firstLine="0" w:firstLineChars="0"/>
      <w:jc w:val="center"/>
    </w:pPr>
    <w:rPr>
      <w:rFonts w:eastAsia="黑体"/>
      <w:b/>
      <w:sz w:val="36"/>
      <w:szCs w:val="36"/>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6">
    <w:name w:val="Char"/>
    <w:basedOn w:val="1"/>
    <w:qFormat/>
    <w:uiPriority w:val="0"/>
    <w:rPr>
      <w:rFonts w:ascii="Tahoma" w:hAnsi="Tahoma"/>
      <w:sz w:val="24"/>
      <w:szCs w:val="20"/>
    </w:rPr>
  </w:style>
  <w:style w:type="paragraph" w:customStyle="1" w:styleId="107">
    <w:name w:val="Char Char Char1 Char"/>
    <w:basedOn w:val="15"/>
    <w:qFormat/>
    <w:uiPriority w:val="0"/>
    <w:rPr>
      <w:rFonts w:ascii="Tahoma" w:hAnsi="Tahoma"/>
      <w:sz w:val="24"/>
      <w:szCs w:val="24"/>
    </w:rPr>
  </w:style>
  <w:style w:type="paragraph" w:customStyle="1" w:styleId="108">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9">
    <w:name w:val="Char1"/>
    <w:basedOn w:val="1"/>
    <w:qFormat/>
    <w:uiPriority w:val="0"/>
    <w:pPr>
      <w:ind w:left="567" w:hanging="279"/>
    </w:pPr>
    <w:rPr>
      <w:sz w:val="24"/>
      <w:szCs w:val="24"/>
    </w:rPr>
  </w:style>
  <w:style w:type="paragraph" w:customStyle="1" w:styleId="110">
    <w:name w:val="章节三"/>
    <w:basedOn w:val="56"/>
    <w:next w:val="56"/>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11">
    <w:name w:val="_Style 4"/>
    <w:basedOn w:val="1"/>
    <w:qFormat/>
    <w:uiPriority w:val="0"/>
    <w:pPr>
      <w:ind w:firstLine="200" w:firstLineChars="200"/>
    </w:pPr>
    <w:rPr>
      <w:szCs w:val="20"/>
    </w:rPr>
  </w:style>
  <w:style w:type="paragraph" w:customStyle="1" w:styleId="112">
    <w:name w:val="列出段落21"/>
    <w:basedOn w:val="1"/>
    <w:qFormat/>
    <w:uiPriority w:val="0"/>
    <w:pPr>
      <w:ind w:firstLine="200" w:firstLineChars="200"/>
    </w:pPr>
  </w:style>
  <w:style w:type="paragraph" w:customStyle="1" w:styleId="113">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4">
    <w:name w:val="font21"/>
    <w:basedOn w:val="40"/>
    <w:qFormat/>
    <w:uiPriority w:val="0"/>
    <w:rPr>
      <w:rFonts w:ascii="微软雅黑" w:eastAsia="微软雅黑" w:cs="微软雅黑"/>
      <w:color w:val="000000"/>
      <w:sz w:val="22"/>
      <w:szCs w:val="22"/>
      <w:u w:val="none"/>
    </w:rPr>
  </w:style>
  <w:style w:type="paragraph" w:customStyle="1" w:styleId="115">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列出段落11"/>
    <w:basedOn w:val="1"/>
    <w:qFormat/>
    <w:uiPriority w:val="0"/>
    <w:pPr>
      <w:ind w:firstLine="200" w:firstLineChars="200"/>
    </w:pPr>
  </w:style>
  <w:style w:type="paragraph" w:customStyle="1" w:styleId="117">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18">
    <w:name w:val="font61"/>
    <w:qFormat/>
    <w:uiPriority w:val="0"/>
    <w:rPr>
      <w:rFonts w:hint="eastAsia" w:ascii="新宋体" w:hAnsi="新宋体" w:eastAsia="新宋体" w:cs="新宋体"/>
      <w:color w:val="000000"/>
      <w:sz w:val="22"/>
      <w:szCs w:val="22"/>
      <w:u w:val="none"/>
    </w:rPr>
  </w:style>
  <w:style w:type="character" w:customStyle="1" w:styleId="119">
    <w:name w:val="font01"/>
    <w:qFormat/>
    <w:uiPriority w:val="0"/>
    <w:rPr>
      <w:rFonts w:hint="eastAsia" w:ascii="宋体" w:hAnsi="宋体" w:eastAsia="宋体" w:cs="宋体"/>
      <w:color w:val="FF0000"/>
      <w:sz w:val="21"/>
      <w:szCs w:val="21"/>
      <w:u w:val="none"/>
    </w:rPr>
  </w:style>
  <w:style w:type="character" w:customStyle="1" w:styleId="120">
    <w:name w:val="font71"/>
    <w:qFormat/>
    <w:uiPriority w:val="0"/>
    <w:rPr>
      <w:rFonts w:hint="eastAsia" w:ascii="宋体" w:hAnsi="宋体" w:eastAsia="宋体" w:cs="宋体"/>
      <w:color w:val="000000"/>
      <w:sz w:val="22"/>
      <w:szCs w:val="22"/>
      <w:u w:val="none"/>
    </w:rPr>
  </w:style>
  <w:style w:type="character" w:customStyle="1" w:styleId="121">
    <w:name w:val="font112"/>
    <w:qFormat/>
    <w:uiPriority w:val="0"/>
    <w:rPr>
      <w:rFonts w:hint="eastAsia" w:ascii="新宋体" w:hAnsi="新宋体" w:eastAsia="新宋体" w:cs="新宋体"/>
      <w:color w:val="FF0000"/>
      <w:sz w:val="22"/>
      <w:szCs w:val="22"/>
      <w:u w:val="none"/>
    </w:rPr>
  </w:style>
  <w:style w:type="character" w:customStyle="1" w:styleId="122">
    <w:name w:val="font141"/>
    <w:qFormat/>
    <w:uiPriority w:val="0"/>
    <w:rPr>
      <w:rFonts w:hint="eastAsia" w:ascii="宋体" w:hAnsi="宋体" w:eastAsia="宋体" w:cs="宋体"/>
      <w:color w:val="000000"/>
      <w:sz w:val="22"/>
      <w:szCs w:val="22"/>
      <w:u w:val="none"/>
    </w:rPr>
  </w:style>
  <w:style w:type="paragraph" w:customStyle="1" w:styleId="123">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124">
    <w:name w:val="List Paragraph"/>
    <w:basedOn w:val="1"/>
    <w:qFormat/>
    <w:uiPriority w:val="34"/>
    <w:pPr>
      <w:ind w:firstLine="420" w:firstLineChars="200"/>
    </w:pPr>
  </w:style>
  <w:style w:type="character" w:customStyle="1" w:styleId="125">
    <w:name w:val="username"/>
    <w:basedOn w:val="40"/>
    <w:qFormat/>
    <w:uiPriority w:val="0"/>
  </w:style>
  <w:style w:type="character" w:customStyle="1" w:styleId="126">
    <w:name w:val="title26"/>
    <w:basedOn w:val="40"/>
    <w:qFormat/>
    <w:uiPriority w:val="0"/>
  </w:style>
  <w:style w:type="character" w:customStyle="1" w:styleId="127">
    <w:name w:val="title24"/>
    <w:basedOn w:val="40"/>
    <w:qFormat/>
    <w:uiPriority w:val="0"/>
  </w:style>
  <w:style w:type="character" w:customStyle="1" w:styleId="128">
    <w:name w:val="title23"/>
    <w:basedOn w:val="40"/>
    <w:qFormat/>
    <w:uiPriority w:val="0"/>
  </w:style>
  <w:style w:type="character" w:customStyle="1" w:styleId="129">
    <w:name w:val="title22"/>
    <w:basedOn w:val="40"/>
    <w:qFormat/>
    <w:uiPriority w:val="0"/>
  </w:style>
  <w:style w:type="character" w:customStyle="1" w:styleId="130">
    <w:name w:val="title21"/>
    <w:basedOn w:val="40"/>
    <w:qFormat/>
    <w:uiPriority w:val="0"/>
  </w:style>
  <w:style w:type="paragraph" w:customStyle="1" w:styleId="131">
    <w:name w:val="null3"/>
    <w:qFormat/>
    <w:uiPriority w:val="0"/>
    <w:rPr>
      <w:rFonts w:hint="eastAsia" w:ascii="Calibri" w:hAnsi="Calibri" w:eastAsia="宋体" w:cs="Times New Roman"/>
      <w:lang w:val="en-US" w:eastAsia="zh-Hans" w:bidi="ar-SA"/>
    </w:rPr>
  </w:style>
  <w:style w:type="paragraph" w:customStyle="1" w:styleId="132">
    <w:name w:val="p1"/>
    <w:basedOn w:val="1"/>
    <w:qFormat/>
    <w:uiPriority w:val="0"/>
    <w:pPr>
      <w:shd w:val="clear" w:fill="FFFFFF"/>
      <w:spacing w:before="0" w:beforeAutospacing="0" w:after="0" w:afterAutospacing="0"/>
      <w:ind w:left="0" w:right="0"/>
      <w:jc w:val="left"/>
    </w:pPr>
    <w:rPr>
      <w:rFonts w:ascii="simsong" w:hAnsi="simsong" w:eastAsia="simsong" w:cs="simsong"/>
      <w:color w:val="000000"/>
      <w:kern w:val="0"/>
      <w:sz w:val="16"/>
      <w:szCs w:val="16"/>
      <w:lang w:val="en-US" w:eastAsia="zh-CN" w:bidi="ar"/>
    </w:rPr>
  </w:style>
  <w:style w:type="paragraph" w:customStyle="1" w:styleId="133">
    <w:name w:val="p2"/>
    <w:basedOn w:val="1"/>
    <w:qFormat/>
    <w:uiPriority w:val="0"/>
    <w:pPr>
      <w:spacing w:before="0" w:beforeAutospacing="0" w:after="0" w:afterAutospacing="0" w:line="340" w:lineRule="atLeast"/>
      <w:ind w:left="0" w:right="0"/>
      <w:jc w:val="both"/>
    </w:pPr>
    <w:rPr>
      <w:rFonts w:ascii="simsong" w:hAnsi="simsong" w:eastAsia="simsong" w:cs="simsong"/>
      <w:color w:val="000000"/>
      <w:kern w:val="0"/>
      <w:sz w:val="16"/>
      <w:szCs w:val="16"/>
      <w:lang w:val="en-US" w:eastAsia="zh-CN" w:bidi="ar"/>
    </w:rPr>
  </w:style>
  <w:style w:type="character" w:customStyle="1" w:styleId="134">
    <w:name w:val="s1"/>
    <w:basedOn w:val="40"/>
    <w:qFormat/>
    <w:uiPriority w:val="0"/>
    <w:rPr>
      <w:rFonts w:ascii="Times New Roman" w:hAnsi="Times New Roman" w:cs="Times New Roman"/>
      <w:sz w:val="16"/>
      <w:szCs w:val="16"/>
    </w:rPr>
  </w:style>
  <w:style w:type="paragraph" w:customStyle="1" w:styleId="135">
    <w:name w:val="p3"/>
    <w:basedOn w:val="1"/>
    <w:qFormat/>
    <w:uiPriority w:val="0"/>
    <w:pPr>
      <w:shd w:val="clear" w:fill="FFFFFF"/>
      <w:spacing w:before="0" w:beforeAutospacing="0" w:after="0" w:afterAutospacing="0"/>
      <w:ind w:left="0" w:right="0"/>
      <w:jc w:val="left"/>
    </w:pPr>
    <w:rPr>
      <w:rFonts w:hint="eastAsia" w:ascii="simsong" w:hAnsi="simsong" w:eastAsia="simsong" w:cs="simsong"/>
      <w:color w:val="000000"/>
      <w:kern w:val="0"/>
      <w:sz w:val="16"/>
      <w:szCs w:val="16"/>
      <w:lang w:val="en-US" w:eastAsia="zh-CN" w:bidi="ar"/>
    </w:rPr>
  </w:style>
  <w:style w:type="paragraph" w:customStyle="1" w:styleId="136">
    <w:name w:val="Other|1"/>
    <w:basedOn w:val="1"/>
    <w:qFormat/>
    <w:uiPriority w:val="0"/>
    <w:pPr>
      <w:keepNext w:val="0"/>
      <w:keepLines w:val="0"/>
      <w:widowControl w:val="0"/>
      <w:suppressLineNumbers w:val="0"/>
      <w:spacing w:before="0" w:beforeAutospacing="0" w:after="0" w:afterAutospacing="0" w:line="228" w:lineRule="exact"/>
      <w:ind w:left="0" w:right="0"/>
      <w:jc w:val="both"/>
    </w:pPr>
    <w:rPr>
      <w:rFonts w:hint="eastAsia" w:ascii="宋体" w:hAnsi="宋体" w:eastAsia="宋体" w:cs="宋体"/>
      <w:kern w:val="2"/>
      <w:sz w:val="17"/>
      <w:szCs w:val="17"/>
      <w:lang w:val="en-US" w:eastAsia="zh-CN" w:bidi="ar"/>
    </w:rPr>
  </w:style>
  <w:style w:type="paragraph" w:customStyle="1" w:styleId="137">
    <w:name w:val="Compact"/>
    <w:basedOn w:val="5"/>
    <w:qFormat/>
    <w:uiPriority w:val="0"/>
    <w:pPr>
      <w:spacing w:before="36" w:after="36"/>
    </w:pPr>
  </w:style>
  <w:style w:type="paragraph" w:customStyle="1" w:styleId="138">
    <w:name w:val="First Paragraph"/>
    <w:basedOn w:val="5"/>
    <w:next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90</Pages>
  <Words>17437</Words>
  <Characters>18327</Characters>
  <Lines>1</Lines>
  <Paragraphs>1</Paragraphs>
  <TotalTime>22</TotalTime>
  <ScaleCrop>false</ScaleCrop>
  <LinksUpToDate>false</LinksUpToDate>
  <CharactersWithSpaces>18891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2025-01-09T23:28:00Z</dcterms:created>
  <dc:creator>管理员</dc:creator>
  <cp:lastModifiedBy>黄志轩</cp:lastModifiedBy>
  <cp:lastPrinted>2022-03-25T16:45:00Z</cp:lastPrinted>
  <dcterms:modified xsi:type="dcterms:W3CDTF">2025-05-16T02:53:30Z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4DE0CE2114278B3B535725686C39B9FE_43</vt:lpwstr>
  </property>
  <property fmtid="{D5CDD505-2E9C-101B-9397-08002B2CF9AE}" pid="4" name="commondata">
    <vt:lpwstr>eyJoZGlkIjoiNDcxNjdiZTdjOTc2MTkwNWM3NDg3YmYxMTBjZDU5ODgifQ==</vt:lpwstr>
  </property>
  <property fmtid="{D5CDD505-2E9C-101B-9397-08002B2CF9AE}" pid="5" name="KSOTemplateDocerSaveRecord">
    <vt:lpwstr>eyJoZGlkIjoiNDA5YTE4OWE0ODhhZTc0MDliNmNmNDZjODMyOWQyYzMiLCJ1c2VySWQiOiIxNzg3NjIyMyJ9</vt:lpwstr>
  </property>
</Properties>
</file>