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8A1D8">
      <w:pPr>
        <w:jc w:val="both"/>
        <w:rPr>
          <w:rFonts w:hint="eastAsia" w:ascii="仿宋" w:hAnsi="仿宋" w:eastAsia="仿宋" w:cs="仿宋"/>
          <w:b/>
          <w:bCs w:val="0"/>
          <w:color w:val="auto"/>
          <w:sz w:val="36"/>
          <w:szCs w:val="36"/>
          <w:highlight w:val="none"/>
          <w:lang w:eastAsia="zh-CN"/>
        </w:rPr>
      </w:pPr>
      <w:bookmarkStart w:id="0" w:name="_Toc530"/>
      <w:bookmarkStart w:id="1" w:name="_Toc52"/>
      <w:bookmarkStart w:id="2" w:name="_Toc10315"/>
      <w:bookmarkStart w:id="3" w:name="_Toc134"/>
      <w:bookmarkStart w:id="4" w:name="_Toc23904"/>
      <w:bookmarkStart w:id="5" w:name="_Toc19926"/>
      <w:bookmarkStart w:id="6" w:name="_Toc19332"/>
      <w:bookmarkStart w:id="7" w:name="_Toc18837"/>
    </w:p>
    <w:p w14:paraId="0A90D08C">
      <w:pPr>
        <w:jc w:val="both"/>
        <w:rPr>
          <w:rFonts w:hint="eastAsia" w:ascii="仿宋" w:hAnsi="仿宋" w:eastAsia="仿宋" w:cs="仿宋"/>
          <w:b/>
          <w:bCs w:val="0"/>
          <w:color w:val="auto"/>
          <w:sz w:val="36"/>
          <w:szCs w:val="36"/>
          <w:highlight w:val="none"/>
        </w:rPr>
      </w:pPr>
    </w:p>
    <w:bookmarkEnd w:id="0"/>
    <w:p w14:paraId="5E70204E">
      <w:pPr>
        <w:tabs>
          <w:tab w:val="left" w:pos="5834"/>
        </w:tabs>
        <w:kinsoku w:val="0"/>
        <w:overflowPunct w:val="0"/>
        <w:autoSpaceDE/>
        <w:autoSpaceDN/>
        <w:spacing w:before="0" w:beforeLines="0" w:afterLines="0" w:line="600" w:lineRule="exact"/>
        <w:ind w:left="0"/>
        <w:jc w:val="center"/>
        <w:rPr>
          <w:rFonts w:hint="eastAsia" w:ascii="宋体" w:hAnsi="宋体" w:eastAsia="宋体" w:cs="Times New Roman"/>
          <w:snapToGrid w:val="0"/>
          <w:color w:val="auto"/>
          <w:sz w:val="44"/>
          <w:szCs w:val="44"/>
          <w:highlight w:val="none"/>
        </w:rPr>
      </w:pPr>
      <w:r>
        <w:rPr>
          <w:rFonts w:hint="eastAsia" w:ascii="Times New Roman" w:hAnsi="Times New Roman" w:eastAsia="宋体" w:cs="Times New Roman"/>
          <w:color w:val="auto"/>
          <w:sz w:val="44"/>
          <w:szCs w:val="44"/>
          <w:u w:val="none"/>
          <w:lang w:val="en-US" w:eastAsia="zh-CN"/>
        </w:rPr>
        <w:t>石滩镇南北大道南段建设工程勘察设计</w:t>
      </w:r>
    </w:p>
    <w:p w14:paraId="63B9A527">
      <w:pPr>
        <w:kinsoku w:val="0"/>
        <w:overflowPunct w:val="0"/>
        <w:spacing w:before="3" w:beforeLines="0" w:afterLines="0" w:line="100" w:lineRule="exact"/>
        <w:jc w:val="both"/>
        <w:rPr>
          <w:rFonts w:hint="default"/>
          <w:color w:val="auto"/>
          <w:sz w:val="36"/>
          <w:szCs w:val="36"/>
          <w:highlight w:val="none"/>
        </w:rPr>
      </w:pPr>
    </w:p>
    <w:p w14:paraId="496C9083">
      <w:pPr>
        <w:kinsoku w:val="0"/>
        <w:overflowPunct w:val="0"/>
        <w:spacing w:beforeLines="0" w:afterLines="0" w:line="200" w:lineRule="exact"/>
        <w:jc w:val="both"/>
        <w:rPr>
          <w:rFonts w:hint="default"/>
          <w:color w:val="auto"/>
          <w:sz w:val="36"/>
          <w:szCs w:val="36"/>
          <w:highlight w:val="none"/>
        </w:rPr>
      </w:pPr>
    </w:p>
    <w:p w14:paraId="334C4618">
      <w:pPr>
        <w:tabs>
          <w:tab w:val="left" w:pos="5834"/>
        </w:tabs>
        <w:kinsoku w:val="0"/>
        <w:overflowPunct w:val="0"/>
        <w:spacing w:beforeLines="0" w:afterLines="0" w:line="381" w:lineRule="exact"/>
        <w:ind w:left="2685"/>
        <w:jc w:val="both"/>
        <w:rPr>
          <w:rFonts w:hint="eastAsia" w:ascii="宋体" w:hAnsi="宋体" w:eastAsia="宋体"/>
          <w:color w:val="auto"/>
          <w:sz w:val="36"/>
          <w:szCs w:val="36"/>
          <w:highlight w:val="none"/>
        </w:rPr>
      </w:pPr>
      <w:r>
        <w:rPr>
          <w:rFonts w:hint="eastAsia" w:ascii="宋体" w:hAnsi="宋体" w:eastAsia="宋体"/>
          <w:color w:val="auto"/>
          <w:sz w:val="36"/>
          <w:szCs w:val="36"/>
          <w:highlight w:val="none"/>
        </w:rPr>
        <w:t>（招标</w:t>
      </w:r>
      <w:r>
        <w:rPr>
          <w:rFonts w:hint="eastAsia" w:ascii="宋体" w:hAnsi="宋体" w:eastAsia="宋体"/>
          <w:color w:val="auto"/>
          <w:spacing w:val="-3"/>
          <w:sz w:val="36"/>
          <w:szCs w:val="36"/>
          <w:highlight w:val="none"/>
        </w:rPr>
        <w:t>编</w:t>
      </w:r>
      <w:r>
        <w:rPr>
          <w:rFonts w:hint="eastAsia" w:ascii="宋体" w:hAnsi="宋体" w:eastAsia="宋体"/>
          <w:color w:val="auto"/>
          <w:sz w:val="36"/>
          <w:szCs w:val="36"/>
          <w:highlight w:val="none"/>
        </w:rPr>
        <w:t>号：</w:t>
      </w:r>
      <w:r>
        <w:rPr>
          <w:rFonts w:hint="eastAsia" w:ascii="宋体" w:hAnsi="宋体" w:eastAsia="宋体"/>
          <w:color w:val="auto"/>
          <w:sz w:val="36"/>
          <w:szCs w:val="36"/>
          <w:highlight w:val="none"/>
          <w:u w:val="single"/>
        </w:rPr>
        <w:tab/>
      </w:r>
      <w:r>
        <w:rPr>
          <w:rFonts w:hint="eastAsia" w:ascii="宋体" w:hAnsi="宋体" w:eastAsia="宋体"/>
          <w:color w:val="auto"/>
          <w:sz w:val="36"/>
          <w:szCs w:val="36"/>
          <w:highlight w:val="none"/>
        </w:rPr>
        <w:t>）</w:t>
      </w:r>
    </w:p>
    <w:p w14:paraId="1BD4B22E">
      <w:pPr>
        <w:kinsoku w:val="0"/>
        <w:overflowPunct w:val="0"/>
        <w:spacing w:beforeLines="0" w:afterLines="0" w:line="200" w:lineRule="exact"/>
        <w:jc w:val="both"/>
        <w:rPr>
          <w:rFonts w:hint="default"/>
          <w:color w:val="auto"/>
          <w:sz w:val="20"/>
          <w:highlight w:val="none"/>
        </w:rPr>
      </w:pPr>
    </w:p>
    <w:p w14:paraId="656CD1F9">
      <w:pPr>
        <w:kinsoku w:val="0"/>
        <w:overflowPunct w:val="0"/>
        <w:spacing w:beforeLines="0" w:afterLines="0" w:line="200" w:lineRule="exact"/>
        <w:jc w:val="both"/>
        <w:rPr>
          <w:rFonts w:hint="default"/>
          <w:color w:val="auto"/>
          <w:sz w:val="20"/>
          <w:highlight w:val="none"/>
        </w:rPr>
      </w:pPr>
    </w:p>
    <w:p w14:paraId="310ABE67">
      <w:pPr>
        <w:kinsoku w:val="0"/>
        <w:overflowPunct w:val="0"/>
        <w:spacing w:beforeLines="0" w:afterLines="0" w:line="200" w:lineRule="exact"/>
        <w:jc w:val="both"/>
        <w:rPr>
          <w:rFonts w:hint="default"/>
          <w:color w:val="auto"/>
          <w:sz w:val="20"/>
          <w:highlight w:val="none"/>
        </w:rPr>
      </w:pPr>
    </w:p>
    <w:p w14:paraId="759A6F9A">
      <w:pPr>
        <w:kinsoku w:val="0"/>
        <w:overflowPunct w:val="0"/>
        <w:spacing w:beforeLines="0" w:afterLines="0" w:line="200" w:lineRule="exact"/>
        <w:jc w:val="both"/>
        <w:rPr>
          <w:rFonts w:hint="default"/>
          <w:color w:val="auto"/>
          <w:sz w:val="20"/>
          <w:highlight w:val="none"/>
        </w:rPr>
      </w:pPr>
    </w:p>
    <w:p w14:paraId="0FBA48D7">
      <w:pPr>
        <w:kinsoku w:val="0"/>
        <w:overflowPunct w:val="0"/>
        <w:spacing w:beforeLines="0" w:afterLines="0" w:line="200" w:lineRule="exact"/>
        <w:jc w:val="both"/>
        <w:rPr>
          <w:rFonts w:hint="default"/>
          <w:color w:val="auto"/>
          <w:sz w:val="20"/>
          <w:highlight w:val="none"/>
        </w:rPr>
      </w:pPr>
    </w:p>
    <w:p w14:paraId="213655E3">
      <w:pPr>
        <w:kinsoku w:val="0"/>
        <w:overflowPunct w:val="0"/>
        <w:spacing w:beforeLines="0" w:afterLines="0" w:line="200" w:lineRule="exact"/>
        <w:jc w:val="both"/>
        <w:rPr>
          <w:rFonts w:hint="default"/>
          <w:color w:val="auto"/>
          <w:sz w:val="20"/>
          <w:highlight w:val="none"/>
        </w:rPr>
      </w:pPr>
    </w:p>
    <w:p w14:paraId="3A53AC22">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00652E8D">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285C81AB">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7FA78880">
      <w:pPr>
        <w:keepNext w:val="0"/>
        <w:keepLines w:val="0"/>
        <w:pageBreakBefore w:val="0"/>
        <w:widowControl w:val="0"/>
        <w:kinsoku w:val="0"/>
        <w:wordWrap/>
        <w:overflowPunct w:val="0"/>
        <w:topLinePunct w:val="0"/>
        <w:autoSpaceDE/>
        <w:autoSpaceDN/>
        <w:bidi w:val="0"/>
        <w:adjustRightInd/>
        <w:snapToGrid/>
        <w:spacing w:beforeLines="0" w:afterLines="0" w:line="240" w:lineRule="auto"/>
        <w:ind w:right="0"/>
        <w:jc w:val="center"/>
        <w:textAlignment w:val="auto"/>
        <w:outlineLvl w:val="9"/>
        <w:rPr>
          <w:rFonts w:hint="eastAsia" w:ascii="宋体" w:hAnsi="宋体" w:eastAsia="宋体"/>
          <w:color w:val="auto"/>
          <w:sz w:val="72"/>
          <w:szCs w:val="72"/>
          <w:highlight w:val="none"/>
          <w:lang w:val="en-US" w:eastAsia="zh-CN"/>
        </w:rPr>
      </w:pPr>
      <w:r>
        <w:rPr>
          <w:rFonts w:hint="eastAsia" w:ascii="宋体" w:hAnsi="宋体" w:eastAsia="宋体"/>
          <w:color w:val="auto"/>
          <w:spacing w:val="1"/>
          <w:sz w:val="72"/>
          <w:szCs w:val="72"/>
          <w:highlight w:val="none"/>
        </w:rPr>
        <w:t>招</w:t>
      </w:r>
      <w:r>
        <w:rPr>
          <w:rFonts w:hint="eastAsia" w:ascii="宋体" w:hAnsi="宋体" w:eastAsia="宋体"/>
          <w:color w:val="auto"/>
          <w:sz w:val="72"/>
          <w:szCs w:val="72"/>
          <w:highlight w:val="none"/>
        </w:rPr>
        <w:t>标</w:t>
      </w:r>
      <w:r>
        <w:rPr>
          <w:rFonts w:hint="eastAsia" w:ascii="宋体" w:hAnsi="宋体" w:eastAsia="宋体"/>
          <w:color w:val="auto"/>
          <w:sz w:val="72"/>
          <w:szCs w:val="72"/>
          <w:highlight w:val="none"/>
          <w:lang w:eastAsia="zh-CN"/>
        </w:rPr>
        <w:t>公告</w:t>
      </w:r>
    </w:p>
    <w:p w14:paraId="410C446E">
      <w:pPr>
        <w:keepNext w:val="0"/>
        <w:keepLines w:val="0"/>
        <w:pageBreakBefore w:val="0"/>
        <w:widowControl w:val="0"/>
        <w:kinsoku w:val="0"/>
        <w:wordWrap/>
        <w:overflowPunct w:val="0"/>
        <w:topLinePunct w:val="0"/>
        <w:autoSpaceDE/>
        <w:autoSpaceDN/>
        <w:bidi w:val="0"/>
        <w:adjustRightInd/>
        <w:snapToGrid/>
        <w:spacing w:beforeLines="0" w:afterLines="0" w:line="170" w:lineRule="exact"/>
        <w:jc w:val="both"/>
        <w:textAlignment w:val="auto"/>
        <w:rPr>
          <w:rFonts w:hint="default"/>
          <w:color w:val="auto"/>
          <w:sz w:val="17"/>
          <w:highlight w:val="none"/>
        </w:rPr>
      </w:pPr>
    </w:p>
    <w:p w14:paraId="5271BFB0">
      <w:pPr>
        <w:kinsoku w:val="0"/>
        <w:overflowPunct w:val="0"/>
        <w:spacing w:beforeLines="0" w:afterLines="0" w:line="200" w:lineRule="exact"/>
        <w:jc w:val="both"/>
        <w:rPr>
          <w:rFonts w:hint="default"/>
          <w:color w:val="auto"/>
          <w:sz w:val="20"/>
          <w:highlight w:val="none"/>
        </w:rPr>
      </w:pPr>
    </w:p>
    <w:p w14:paraId="2355E38B">
      <w:pPr>
        <w:kinsoku w:val="0"/>
        <w:overflowPunct w:val="0"/>
        <w:spacing w:beforeLines="0" w:afterLines="0" w:line="200" w:lineRule="exact"/>
        <w:jc w:val="both"/>
        <w:rPr>
          <w:rFonts w:hint="default"/>
          <w:color w:val="auto"/>
          <w:sz w:val="20"/>
          <w:highlight w:val="none"/>
        </w:rPr>
      </w:pPr>
    </w:p>
    <w:p w14:paraId="0527D1EC">
      <w:pPr>
        <w:kinsoku w:val="0"/>
        <w:overflowPunct w:val="0"/>
        <w:spacing w:beforeLines="0" w:afterLines="0" w:line="200" w:lineRule="exact"/>
        <w:jc w:val="both"/>
        <w:rPr>
          <w:rFonts w:hint="default"/>
          <w:color w:val="auto"/>
          <w:sz w:val="20"/>
          <w:highlight w:val="none"/>
        </w:rPr>
      </w:pPr>
    </w:p>
    <w:p w14:paraId="1322FA7E">
      <w:pPr>
        <w:kinsoku w:val="0"/>
        <w:overflowPunct w:val="0"/>
        <w:spacing w:beforeLines="0" w:afterLines="0" w:line="200" w:lineRule="exact"/>
        <w:jc w:val="both"/>
        <w:rPr>
          <w:rFonts w:hint="default"/>
          <w:color w:val="auto"/>
          <w:sz w:val="20"/>
          <w:highlight w:val="none"/>
        </w:rPr>
      </w:pPr>
    </w:p>
    <w:p w14:paraId="74B9BD37">
      <w:pPr>
        <w:kinsoku w:val="0"/>
        <w:overflowPunct w:val="0"/>
        <w:spacing w:beforeLines="0" w:afterLines="0" w:line="200" w:lineRule="exact"/>
        <w:jc w:val="both"/>
        <w:rPr>
          <w:rFonts w:hint="default"/>
          <w:color w:val="auto"/>
          <w:sz w:val="20"/>
          <w:highlight w:val="none"/>
        </w:rPr>
      </w:pPr>
    </w:p>
    <w:p w14:paraId="49C2F67D">
      <w:pPr>
        <w:kinsoku w:val="0"/>
        <w:overflowPunct w:val="0"/>
        <w:spacing w:beforeLines="0" w:afterLines="0" w:line="200" w:lineRule="exact"/>
        <w:jc w:val="both"/>
        <w:rPr>
          <w:rFonts w:hint="default"/>
          <w:color w:val="auto"/>
          <w:sz w:val="20"/>
          <w:highlight w:val="none"/>
        </w:rPr>
      </w:pPr>
    </w:p>
    <w:p w14:paraId="4C24FD08">
      <w:pPr>
        <w:kinsoku w:val="0"/>
        <w:overflowPunct w:val="0"/>
        <w:spacing w:beforeLines="0" w:afterLines="0" w:line="200" w:lineRule="exact"/>
        <w:jc w:val="both"/>
        <w:rPr>
          <w:rFonts w:hint="default"/>
          <w:color w:val="auto"/>
          <w:sz w:val="20"/>
          <w:highlight w:val="none"/>
        </w:rPr>
      </w:pPr>
    </w:p>
    <w:p w14:paraId="7762F1F4">
      <w:pPr>
        <w:kinsoku w:val="0"/>
        <w:overflowPunct w:val="0"/>
        <w:spacing w:beforeLines="0" w:afterLines="0" w:line="200" w:lineRule="exact"/>
        <w:jc w:val="both"/>
        <w:rPr>
          <w:rFonts w:hint="default"/>
          <w:color w:val="auto"/>
          <w:sz w:val="20"/>
          <w:highlight w:val="none"/>
        </w:rPr>
      </w:pPr>
    </w:p>
    <w:p w14:paraId="701DA22F">
      <w:pPr>
        <w:kinsoku w:val="0"/>
        <w:overflowPunct w:val="0"/>
        <w:spacing w:beforeLines="0" w:afterLines="0" w:line="200" w:lineRule="exact"/>
        <w:jc w:val="both"/>
        <w:rPr>
          <w:rFonts w:hint="default"/>
          <w:color w:val="auto"/>
          <w:sz w:val="20"/>
          <w:highlight w:val="none"/>
        </w:rPr>
      </w:pPr>
    </w:p>
    <w:p w14:paraId="7ECD077D">
      <w:pPr>
        <w:kinsoku w:val="0"/>
        <w:overflowPunct w:val="0"/>
        <w:spacing w:beforeLines="0" w:afterLines="0" w:line="200" w:lineRule="exact"/>
        <w:jc w:val="both"/>
        <w:rPr>
          <w:rFonts w:hint="default"/>
          <w:color w:val="auto"/>
          <w:sz w:val="20"/>
          <w:highlight w:val="none"/>
        </w:rPr>
      </w:pPr>
    </w:p>
    <w:p w14:paraId="4BDFD37B">
      <w:pPr>
        <w:kinsoku w:val="0"/>
        <w:overflowPunct w:val="0"/>
        <w:spacing w:beforeLines="0" w:afterLines="0" w:line="200" w:lineRule="exact"/>
        <w:jc w:val="both"/>
        <w:rPr>
          <w:rFonts w:hint="default"/>
          <w:color w:val="auto"/>
          <w:sz w:val="20"/>
          <w:highlight w:val="none"/>
        </w:rPr>
      </w:pPr>
    </w:p>
    <w:p w14:paraId="0F67448B">
      <w:pPr>
        <w:kinsoku w:val="0"/>
        <w:overflowPunct w:val="0"/>
        <w:spacing w:beforeLines="0" w:afterLines="0" w:line="200" w:lineRule="exact"/>
        <w:jc w:val="both"/>
        <w:rPr>
          <w:rFonts w:hint="default"/>
          <w:color w:val="auto"/>
          <w:sz w:val="20"/>
          <w:highlight w:val="none"/>
        </w:rPr>
      </w:pPr>
    </w:p>
    <w:p w14:paraId="2B33A81B">
      <w:pPr>
        <w:kinsoku w:val="0"/>
        <w:overflowPunct w:val="0"/>
        <w:spacing w:beforeLines="0" w:afterLines="0" w:line="200" w:lineRule="exact"/>
        <w:jc w:val="both"/>
        <w:rPr>
          <w:rFonts w:hint="default"/>
          <w:color w:val="auto"/>
          <w:sz w:val="20"/>
          <w:highlight w:val="none"/>
        </w:rPr>
      </w:pPr>
    </w:p>
    <w:p w14:paraId="78B9FFD0">
      <w:pPr>
        <w:kinsoku w:val="0"/>
        <w:overflowPunct w:val="0"/>
        <w:spacing w:beforeLines="0" w:afterLines="0" w:line="200" w:lineRule="exact"/>
        <w:jc w:val="both"/>
        <w:rPr>
          <w:rFonts w:hint="eastAsia"/>
          <w:color w:val="auto"/>
          <w:sz w:val="20"/>
          <w:highlight w:val="none"/>
          <w:lang w:val="en-US" w:eastAsia="zh-CN"/>
        </w:rPr>
      </w:pPr>
    </w:p>
    <w:p w14:paraId="5B23E73C">
      <w:pPr>
        <w:kinsoku w:val="0"/>
        <w:overflowPunct w:val="0"/>
        <w:spacing w:beforeLines="0" w:afterLines="0" w:line="200" w:lineRule="exact"/>
        <w:jc w:val="both"/>
        <w:rPr>
          <w:rFonts w:hint="eastAsia"/>
          <w:color w:val="auto"/>
          <w:sz w:val="20"/>
          <w:highlight w:val="none"/>
          <w:lang w:val="en-US" w:eastAsia="zh-CN"/>
        </w:rPr>
      </w:pPr>
    </w:p>
    <w:p w14:paraId="5BABFB2E">
      <w:pPr>
        <w:kinsoku w:val="0"/>
        <w:overflowPunct w:val="0"/>
        <w:spacing w:beforeLines="0" w:afterLines="0" w:line="200" w:lineRule="exact"/>
        <w:jc w:val="both"/>
        <w:rPr>
          <w:rFonts w:hint="eastAsia"/>
          <w:color w:val="auto"/>
          <w:sz w:val="20"/>
          <w:highlight w:val="none"/>
          <w:lang w:val="en-US" w:eastAsia="zh-CN"/>
        </w:rPr>
      </w:pPr>
    </w:p>
    <w:p w14:paraId="5145083B">
      <w:pPr>
        <w:kinsoku w:val="0"/>
        <w:overflowPunct w:val="0"/>
        <w:spacing w:beforeLines="0" w:afterLines="0" w:line="200" w:lineRule="exact"/>
        <w:jc w:val="both"/>
        <w:rPr>
          <w:rFonts w:hint="eastAsia"/>
          <w:color w:val="auto"/>
          <w:sz w:val="20"/>
          <w:highlight w:val="none"/>
          <w:lang w:val="en-US" w:eastAsia="zh-CN"/>
        </w:rPr>
      </w:pPr>
    </w:p>
    <w:p w14:paraId="23158765">
      <w:pPr>
        <w:kinsoku w:val="0"/>
        <w:overflowPunct w:val="0"/>
        <w:spacing w:beforeLines="0" w:afterLines="0" w:line="200" w:lineRule="exact"/>
        <w:jc w:val="both"/>
        <w:rPr>
          <w:rFonts w:hint="eastAsia"/>
          <w:color w:val="auto"/>
          <w:sz w:val="20"/>
          <w:highlight w:val="none"/>
          <w:lang w:val="en-US" w:eastAsia="zh-CN"/>
        </w:rPr>
      </w:pPr>
    </w:p>
    <w:p w14:paraId="56FE00C8">
      <w:pPr>
        <w:kinsoku w:val="0"/>
        <w:overflowPunct w:val="0"/>
        <w:spacing w:beforeLines="0" w:afterLines="0" w:line="200" w:lineRule="exact"/>
        <w:jc w:val="both"/>
        <w:rPr>
          <w:rFonts w:hint="eastAsia"/>
          <w:color w:val="auto"/>
          <w:sz w:val="20"/>
          <w:highlight w:val="none"/>
          <w:lang w:val="en-US" w:eastAsia="zh-CN"/>
        </w:rPr>
      </w:pPr>
    </w:p>
    <w:p w14:paraId="204E8A52">
      <w:pPr>
        <w:kinsoku w:val="0"/>
        <w:overflowPunct w:val="0"/>
        <w:spacing w:beforeLines="0" w:afterLines="0" w:line="200" w:lineRule="exact"/>
        <w:jc w:val="both"/>
        <w:rPr>
          <w:rFonts w:hint="default"/>
          <w:color w:val="auto"/>
          <w:sz w:val="20"/>
          <w:highlight w:val="none"/>
        </w:rPr>
      </w:pPr>
    </w:p>
    <w:p w14:paraId="33E39176">
      <w:pPr>
        <w:kinsoku w:val="0"/>
        <w:overflowPunct w:val="0"/>
        <w:spacing w:beforeLines="0" w:afterLines="0" w:line="200" w:lineRule="exact"/>
        <w:jc w:val="both"/>
        <w:rPr>
          <w:rFonts w:hint="default"/>
          <w:color w:val="auto"/>
          <w:sz w:val="20"/>
          <w:highlight w:val="none"/>
        </w:rPr>
      </w:pPr>
    </w:p>
    <w:p w14:paraId="4210D9CB">
      <w:pPr>
        <w:kinsoku w:val="0"/>
        <w:overflowPunct w:val="0"/>
        <w:spacing w:beforeLines="0" w:afterLines="0" w:line="200" w:lineRule="exact"/>
        <w:jc w:val="both"/>
        <w:rPr>
          <w:rFonts w:hint="default"/>
          <w:color w:val="auto"/>
          <w:sz w:val="20"/>
          <w:highlight w:val="none"/>
        </w:rPr>
      </w:pPr>
    </w:p>
    <w:p w14:paraId="4530BFA4">
      <w:pPr>
        <w:kinsoku w:val="0"/>
        <w:overflowPunct w:val="0"/>
        <w:spacing w:beforeLines="0" w:afterLines="0" w:line="200" w:lineRule="exact"/>
        <w:jc w:val="both"/>
        <w:rPr>
          <w:rFonts w:hint="default"/>
          <w:color w:val="auto"/>
          <w:sz w:val="20"/>
          <w:highlight w:val="none"/>
        </w:rPr>
      </w:pPr>
    </w:p>
    <w:p w14:paraId="30250225">
      <w:pPr>
        <w:tabs>
          <w:tab w:val="left" w:pos="2593"/>
        </w:tabs>
        <w:kinsoku w:val="0"/>
        <w:overflowPunct w:val="0"/>
        <w:spacing w:beforeLines="0" w:afterLines="0"/>
        <w:ind w:left="3" w:firstLine="840" w:firstLineChars="300"/>
        <w:jc w:val="both"/>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招标人：</w:t>
      </w:r>
      <w:r>
        <w:rPr>
          <w:rFonts w:hint="eastAsia" w:ascii="宋体" w:hAnsi="宋体" w:eastAsia="宋体"/>
          <w:color w:val="auto"/>
          <w:sz w:val="28"/>
          <w:szCs w:val="28"/>
          <w:highlight w:val="none"/>
          <w:u w:val="single"/>
          <w:lang w:eastAsia="zh-CN"/>
        </w:rPr>
        <w:t>广州市增城区石滩镇人民政府</w:t>
      </w:r>
      <w:r>
        <w:rPr>
          <w:rFonts w:hint="eastAsia" w:ascii="宋体" w:hAnsi="宋体" w:eastAsia="宋体"/>
          <w:color w:val="auto"/>
          <w:sz w:val="28"/>
          <w:szCs w:val="28"/>
          <w:highlight w:val="none"/>
        </w:rPr>
        <w:t>（盖单位章）</w:t>
      </w:r>
    </w:p>
    <w:p w14:paraId="15121DA2">
      <w:pPr>
        <w:kinsoku w:val="0"/>
        <w:overflowPunct w:val="0"/>
        <w:ind w:left="3"/>
        <w:jc w:val="both"/>
        <w:rPr>
          <w:rFonts w:hint="eastAsia" w:ascii="宋体" w:hAnsi="宋体"/>
          <w:color w:val="auto"/>
          <w:sz w:val="28"/>
          <w:szCs w:val="28"/>
          <w:highlight w:val="none"/>
        </w:rPr>
      </w:pPr>
    </w:p>
    <w:p w14:paraId="1C225EFA">
      <w:pPr>
        <w:kinsoku w:val="0"/>
        <w:overflowPunct w:val="0"/>
        <w:ind w:left="-2" w:leftChars="0" w:firstLine="0" w:firstLineChars="0"/>
        <w:jc w:val="both"/>
        <w:rPr>
          <w:rFonts w:hint="eastAsia" w:ascii="宋体" w:hAnsi="宋体"/>
          <w:color w:val="auto"/>
          <w:sz w:val="28"/>
          <w:szCs w:val="28"/>
          <w:highlight w:val="none"/>
        </w:rPr>
      </w:pPr>
    </w:p>
    <w:p w14:paraId="38E2BD1E">
      <w:pPr>
        <w:kinsoku w:val="0"/>
        <w:overflowPunct w:val="0"/>
        <w:ind w:left="-2" w:leftChars="0" w:firstLine="840" w:firstLineChars="300"/>
        <w:jc w:val="both"/>
        <w:rPr>
          <w:rFonts w:hint="eastAsia" w:ascii="宋体" w:hAnsi="宋体"/>
          <w:color w:val="auto"/>
          <w:sz w:val="28"/>
          <w:szCs w:val="28"/>
          <w:highlight w:val="none"/>
        </w:rPr>
      </w:pPr>
      <w:r>
        <w:rPr>
          <w:rFonts w:hint="eastAsia" w:ascii="宋体" w:hAnsi="宋体"/>
          <w:color w:val="auto"/>
          <w:sz w:val="28"/>
          <w:szCs w:val="28"/>
          <w:highlight w:val="none"/>
        </w:rPr>
        <w:t>招标代理机构：</w:t>
      </w:r>
      <w:r>
        <w:rPr>
          <w:rFonts w:hint="eastAsia" w:ascii="宋体" w:hAnsi="宋体"/>
          <w:color w:val="auto"/>
          <w:sz w:val="28"/>
          <w:szCs w:val="28"/>
          <w:u w:val="single"/>
        </w:rPr>
        <w:t>广州建筑工程监理有限公司</w:t>
      </w:r>
      <w:r>
        <w:rPr>
          <w:rFonts w:hint="eastAsia" w:ascii="宋体" w:hAnsi="宋体"/>
          <w:color w:val="auto"/>
          <w:sz w:val="28"/>
          <w:szCs w:val="28"/>
          <w:highlight w:val="none"/>
        </w:rPr>
        <w:t xml:space="preserve">（盖单位章） </w:t>
      </w:r>
    </w:p>
    <w:p w14:paraId="6B1FD1BE">
      <w:pPr>
        <w:kinsoku w:val="0"/>
        <w:overflowPunct w:val="0"/>
        <w:spacing w:before="6" w:line="100" w:lineRule="exact"/>
        <w:jc w:val="both"/>
        <w:rPr>
          <w:color w:val="auto"/>
          <w:sz w:val="28"/>
          <w:szCs w:val="28"/>
          <w:highlight w:val="none"/>
        </w:rPr>
      </w:pPr>
    </w:p>
    <w:p w14:paraId="597015E5">
      <w:pPr>
        <w:kinsoku w:val="0"/>
        <w:overflowPunct w:val="0"/>
        <w:spacing w:line="200" w:lineRule="exact"/>
        <w:jc w:val="both"/>
        <w:rPr>
          <w:color w:val="auto"/>
          <w:sz w:val="28"/>
          <w:szCs w:val="28"/>
          <w:highlight w:val="none"/>
        </w:rPr>
      </w:pPr>
    </w:p>
    <w:p w14:paraId="5A41399E">
      <w:pPr>
        <w:pStyle w:val="6"/>
        <w:jc w:val="both"/>
        <w:rPr>
          <w:color w:val="auto"/>
          <w:sz w:val="28"/>
          <w:szCs w:val="28"/>
          <w:highlight w:val="none"/>
        </w:rPr>
      </w:pPr>
    </w:p>
    <w:p w14:paraId="5327F134">
      <w:pPr>
        <w:kinsoku w:val="0"/>
        <w:overflowPunct w:val="0"/>
        <w:spacing w:line="600" w:lineRule="auto"/>
        <w:ind w:left="-2"/>
        <w:jc w:val="center"/>
        <w:rPr>
          <w:rFonts w:hint="eastAsia" w:ascii="宋体" w:hAnsi="宋体" w:eastAsia="宋体" w:cs="Times New Roman"/>
          <w:color w:val="auto"/>
          <w:sz w:val="28"/>
          <w:szCs w:val="28"/>
          <w:highlight w:val="none"/>
          <w:lang w:val="en-US"/>
        </w:rPr>
        <w:sectPr>
          <w:footerReference r:id="rId3" w:type="default"/>
          <w:pgSz w:w="11906" w:h="16838"/>
          <w:pgMar w:top="1378" w:right="1720" w:bottom="1120" w:left="1720" w:header="0" w:footer="921" w:gutter="0"/>
          <w:pgBorders>
            <w:top w:val="none" w:sz="0" w:space="0"/>
            <w:left w:val="none" w:sz="0" w:space="0"/>
            <w:bottom w:val="none" w:sz="0" w:space="0"/>
            <w:right w:val="none" w:sz="0" w:space="0"/>
          </w:pgBorders>
          <w:lnNumType w:countBy="0" w:distance="360"/>
          <w:pgNumType w:fmt="decimal" w:start="1"/>
          <w:cols w:space="720" w:num="1"/>
        </w:sectPr>
      </w:pPr>
      <w:r>
        <w:rPr>
          <w:rFonts w:hint="eastAsia" w:ascii="宋体" w:hAnsi="宋体" w:eastAsia="宋体" w:cs="Times New Roman"/>
          <w:color w:val="auto"/>
          <w:sz w:val="28"/>
          <w:szCs w:val="28"/>
          <w:highlight w:val="none"/>
          <w:u w:val="none"/>
          <w:lang w:val="en-US" w:eastAsia="zh-CN"/>
        </w:rPr>
        <w:t>2025</w:t>
      </w:r>
      <w:r>
        <w:rPr>
          <w:rFonts w:hint="eastAsia" w:ascii="宋体" w:hAnsi="宋体" w:eastAsia="宋体" w:cs="Times New Roman"/>
          <w:color w:val="auto"/>
          <w:spacing w:val="0"/>
          <w:sz w:val="28"/>
          <w:szCs w:val="28"/>
          <w:highlight w:val="none"/>
        </w:rPr>
        <w:t>年</w:t>
      </w:r>
      <w:r>
        <w:rPr>
          <w:rFonts w:hint="eastAsia" w:ascii="宋体" w:hAnsi="宋体" w:eastAsia="宋体" w:cs="Times New Roman"/>
          <w:color w:val="auto"/>
          <w:spacing w:val="0"/>
          <w:sz w:val="28"/>
          <w:szCs w:val="28"/>
          <w:highlight w:val="none"/>
          <w:u w:val="none"/>
          <w:lang w:val="en-US" w:eastAsia="zh-CN"/>
        </w:rPr>
        <w:t xml:space="preserve"> </w:t>
      </w:r>
      <w:r>
        <w:rPr>
          <w:rFonts w:hint="eastAsia" w:ascii="宋体" w:hAnsi="宋体" w:cs="Times New Roman"/>
          <w:color w:val="auto"/>
          <w:spacing w:val="0"/>
          <w:sz w:val="28"/>
          <w:szCs w:val="28"/>
          <w:highlight w:val="none"/>
          <w:u w:val="none"/>
          <w:lang w:val="en-US" w:eastAsia="zh-CN"/>
        </w:rPr>
        <w:t>5</w:t>
      </w:r>
      <w:r>
        <w:rPr>
          <w:rFonts w:hint="eastAsia" w:ascii="宋体" w:hAnsi="宋体" w:eastAsia="宋体" w:cs="Times New Roman"/>
          <w:color w:val="auto"/>
          <w:spacing w:val="0"/>
          <w:sz w:val="28"/>
          <w:szCs w:val="28"/>
          <w:highlight w:val="none"/>
          <w:u w:val="none"/>
          <w:lang w:val="en-US" w:eastAsia="zh-CN"/>
        </w:rPr>
        <w:t xml:space="preserve"> </w:t>
      </w:r>
      <w:r>
        <w:rPr>
          <w:rFonts w:hint="eastAsia" w:ascii="宋体" w:hAnsi="宋体" w:eastAsia="宋体" w:cs="Times New Roman"/>
          <w:color w:val="auto"/>
          <w:spacing w:val="0"/>
          <w:sz w:val="28"/>
          <w:szCs w:val="28"/>
          <w:highlight w:val="none"/>
        </w:rPr>
        <w:t>月</w:t>
      </w:r>
    </w:p>
    <w:p w14:paraId="28A5322F">
      <w:pPr>
        <w:bidi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石滩镇南北大道南段建设工程勘察设计</w:t>
      </w:r>
    </w:p>
    <w:p w14:paraId="64084FAD">
      <w:pPr>
        <w:bidi w:val="0"/>
        <w:jc w:val="center"/>
        <w:rPr>
          <w:b/>
          <w:bCs/>
          <w:color w:val="auto"/>
        </w:rPr>
      </w:pPr>
      <w:r>
        <w:rPr>
          <w:rFonts w:hint="eastAsia" w:ascii="宋体" w:hAnsi="宋体" w:eastAsia="宋体" w:cs="宋体"/>
          <w:b/>
          <w:bCs/>
          <w:color w:val="auto"/>
          <w:sz w:val="32"/>
          <w:szCs w:val="32"/>
        </w:rPr>
        <w:t>招标公告</w:t>
      </w:r>
      <w:bookmarkEnd w:id="1"/>
      <w:bookmarkEnd w:id="2"/>
      <w:bookmarkEnd w:id="3"/>
      <w:bookmarkEnd w:id="4"/>
      <w:bookmarkEnd w:id="5"/>
      <w:bookmarkEnd w:id="6"/>
      <w:bookmarkEnd w:id="7"/>
    </w:p>
    <w:p w14:paraId="424A7986">
      <w:pPr>
        <w:pStyle w:val="3"/>
        <w:rPr>
          <w:rFonts w:hint="eastAsia"/>
          <w:color w:val="auto"/>
        </w:rPr>
      </w:pPr>
      <w:bookmarkStart w:id="8" w:name="bookmark2"/>
      <w:bookmarkEnd w:id="8"/>
      <w:bookmarkStart w:id="9" w:name="_Toc2178"/>
      <w:bookmarkStart w:id="10" w:name="_Toc20499"/>
      <w:bookmarkStart w:id="11" w:name="_Toc26166"/>
      <w:bookmarkStart w:id="12" w:name="_Toc20954"/>
      <w:bookmarkStart w:id="13" w:name="_Toc8245"/>
      <w:bookmarkStart w:id="14" w:name="_Toc32065"/>
      <w:r>
        <w:rPr>
          <w:rFonts w:hint="eastAsia"/>
          <w:color w:val="auto"/>
        </w:rPr>
        <w:t>1.招标条件</w:t>
      </w:r>
      <w:bookmarkEnd w:id="9"/>
      <w:bookmarkEnd w:id="10"/>
      <w:bookmarkEnd w:id="11"/>
      <w:bookmarkEnd w:id="12"/>
      <w:bookmarkEnd w:id="13"/>
      <w:bookmarkEnd w:id="14"/>
    </w:p>
    <w:p w14:paraId="4B4A1DA4">
      <w:pPr>
        <w:pStyle w:val="5"/>
        <w:keepNext w:val="0"/>
        <w:keepLines w:val="0"/>
        <w:pageBreakBefore w:val="0"/>
        <w:widowControl w:val="0"/>
        <w:tabs>
          <w:tab w:val="left" w:pos="1362"/>
          <w:tab w:val="left" w:pos="2712"/>
          <w:tab w:val="left" w:pos="3264"/>
          <w:tab w:val="left" w:pos="4896"/>
          <w:tab w:val="left" w:pos="6005"/>
          <w:tab w:val="left" w:pos="7085"/>
          <w:tab w:val="left" w:pos="7498"/>
        </w:tabs>
        <w:kinsoku w:val="0"/>
        <w:wordWrap/>
        <w:overflowPunct w:val="0"/>
        <w:topLinePunct w:val="0"/>
        <w:autoSpaceDE w:val="0"/>
        <w:autoSpaceDN w:val="0"/>
        <w:bidi w:val="0"/>
        <w:adjustRightInd/>
        <w:snapToGrid/>
        <w:spacing w:line="360" w:lineRule="auto"/>
        <w:ind w:left="102" w:right="-40" w:firstLine="420"/>
        <w:jc w:val="both"/>
        <w:textAlignment w:val="auto"/>
        <w:rPr>
          <w:color w:val="auto"/>
        </w:rPr>
      </w:pPr>
      <w:r>
        <w:rPr>
          <w:color w:val="auto"/>
        </w:rPr>
        <w:t>本招标项目</w:t>
      </w:r>
      <w:r>
        <w:rPr>
          <w:rFonts w:hint="eastAsia" w:ascii="Times New Roman" w:hAnsi="Times New Roman"/>
          <w:color w:val="auto"/>
          <w:u w:val="single"/>
        </w:rPr>
        <w:t>石滩镇南北大道南段建设工程勘察设计</w:t>
      </w:r>
      <w:r>
        <w:rPr>
          <w:color w:val="auto"/>
        </w:rPr>
        <w:t>已</w:t>
      </w:r>
      <w:r>
        <w:rPr>
          <w:color w:val="auto"/>
          <w:spacing w:val="-1"/>
        </w:rPr>
        <w:t>由</w:t>
      </w:r>
      <w:r>
        <w:rPr>
          <w:rFonts w:hint="eastAsia" w:ascii="Times New Roman" w:hAnsi="Times New Roman" w:eastAsia="宋体" w:cs="Times New Roman"/>
          <w:color w:val="auto"/>
          <w:u w:val="single"/>
        </w:rPr>
        <w:t>广州市增城区发展和改革局</w:t>
      </w:r>
      <w:r>
        <w:rPr>
          <w:color w:val="auto"/>
          <w:spacing w:val="-1"/>
        </w:rPr>
        <w:t>以</w:t>
      </w:r>
      <w:r>
        <w:rPr>
          <w:rFonts w:hint="eastAsia" w:ascii="Times New Roman" w:hAnsi="Times New Roman" w:eastAsia="宋体" w:cs="Times New Roman"/>
          <w:color w:val="auto"/>
          <w:u w:val="single"/>
        </w:rPr>
        <w:t>穗增发改函[2025]546号</w:t>
      </w:r>
      <w:r>
        <w:rPr>
          <w:color w:val="auto"/>
          <w:spacing w:val="-3"/>
        </w:rPr>
        <w:t>批</w:t>
      </w:r>
      <w:r>
        <w:rPr>
          <w:color w:val="auto"/>
        </w:rPr>
        <w:t>准建</w:t>
      </w:r>
      <w:r>
        <w:rPr>
          <w:color w:val="auto"/>
          <w:spacing w:val="-3"/>
        </w:rPr>
        <w:t>设</w:t>
      </w:r>
      <w:r>
        <w:rPr>
          <w:color w:val="auto"/>
          <w:spacing w:val="-17"/>
        </w:rPr>
        <w:t>，</w:t>
      </w:r>
      <w:r>
        <w:rPr>
          <w:color w:val="auto"/>
        </w:rPr>
        <w:t>项</w:t>
      </w:r>
      <w:r>
        <w:rPr>
          <w:color w:val="auto"/>
          <w:spacing w:val="-3"/>
        </w:rPr>
        <w:t>目</w:t>
      </w:r>
      <w:r>
        <w:rPr>
          <w:color w:val="auto"/>
        </w:rPr>
        <w:t>业</w:t>
      </w:r>
      <w:r>
        <w:rPr>
          <w:color w:val="auto"/>
          <w:spacing w:val="-3"/>
        </w:rPr>
        <w:t>主</w:t>
      </w:r>
      <w:r>
        <w:rPr>
          <w:color w:val="auto"/>
          <w:spacing w:val="-1"/>
        </w:rPr>
        <w:t>为</w:t>
      </w:r>
      <w:r>
        <w:rPr>
          <w:rFonts w:hint="eastAsia" w:ascii="Times New Roman" w:hAnsi="Times New Roman" w:eastAsia="宋体" w:cs="Times New Roman"/>
          <w:color w:val="auto"/>
          <w:u w:val="single"/>
        </w:rPr>
        <w:t>广州市增城区石滩镇人民政府</w:t>
      </w:r>
      <w:r>
        <w:rPr>
          <w:color w:val="auto"/>
          <w:spacing w:val="-17"/>
        </w:rPr>
        <w:t>，</w:t>
      </w:r>
      <w:r>
        <w:rPr>
          <w:color w:val="auto"/>
        </w:rPr>
        <w:t>建</w:t>
      </w:r>
      <w:r>
        <w:rPr>
          <w:color w:val="auto"/>
          <w:spacing w:val="-3"/>
        </w:rPr>
        <w:t>设</w:t>
      </w:r>
      <w:r>
        <w:rPr>
          <w:color w:val="auto"/>
        </w:rPr>
        <w:t>资</w:t>
      </w:r>
      <w:r>
        <w:rPr>
          <w:color w:val="auto"/>
          <w:spacing w:val="-3"/>
        </w:rPr>
        <w:t>金</w:t>
      </w:r>
      <w:r>
        <w:rPr>
          <w:color w:val="auto"/>
        </w:rPr>
        <w:t>来</w:t>
      </w:r>
      <w:r>
        <w:rPr>
          <w:color w:val="auto"/>
          <w:spacing w:val="-1"/>
        </w:rPr>
        <w:t>自</w:t>
      </w:r>
      <w:r>
        <w:rPr>
          <w:rFonts w:hint="eastAsia" w:ascii="Times New Roman" w:hAnsi="Times New Roman" w:eastAsia="宋体" w:cs="Times New Roman"/>
          <w:color w:val="auto"/>
          <w:u w:val="single"/>
        </w:rPr>
        <w:t>区财政资金</w:t>
      </w:r>
      <w:r>
        <w:rPr>
          <w:color w:val="auto"/>
          <w:spacing w:val="-20"/>
        </w:rPr>
        <w:t>，</w:t>
      </w:r>
      <w:r>
        <w:rPr>
          <w:color w:val="auto"/>
        </w:rPr>
        <w:t>出</w:t>
      </w:r>
      <w:r>
        <w:rPr>
          <w:color w:val="auto"/>
          <w:spacing w:val="-3"/>
        </w:rPr>
        <w:t>资</w:t>
      </w:r>
      <w:r>
        <w:rPr>
          <w:color w:val="auto"/>
        </w:rPr>
        <w:t>比</w:t>
      </w:r>
      <w:r>
        <w:rPr>
          <w:color w:val="auto"/>
          <w:spacing w:val="-3"/>
        </w:rPr>
        <w:t>例</w:t>
      </w:r>
      <w:r>
        <w:rPr>
          <w:color w:val="auto"/>
        </w:rPr>
        <w:t>为</w:t>
      </w:r>
      <w:r>
        <w:rPr>
          <w:rFonts w:hint="eastAsia" w:ascii="Times New Roman" w:hAnsi="Times New Roman" w:eastAsia="宋体" w:cs="Times New Roman"/>
          <w:color w:val="auto"/>
          <w:u w:val="single"/>
          <w:lang w:val="en-US" w:eastAsia="zh-CN"/>
        </w:rPr>
        <w:t xml:space="preserve">100% </w:t>
      </w:r>
      <w:r>
        <w:rPr>
          <w:color w:val="auto"/>
          <w:spacing w:val="-20"/>
        </w:rPr>
        <w:t>，</w:t>
      </w:r>
      <w:r>
        <w:rPr>
          <w:color w:val="auto"/>
        </w:rPr>
        <w:t>招</w:t>
      </w:r>
      <w:r>
        <w:rPr>
          <w:color w:val="auto"/>
          <w:spacing w:val="-3"/>
        </w:rPr>
        <w:t>标</w:t>
      </w:r>
      <w:r>
        <w:rPr>
          <w:color w:val="auto"/>
        </w:rPr>
        <w:t>人</w:t>
      </w:r>
      <w:r>
        <w:rPr>
          <w:color w:val="auto"/>
          <w:spacing w:val="-3"/>
        </w:rPr>
        <w:t>为</w:t>
      </w:r>
      <w:r>
        <w:rPr>
          <w:rFonts w:hint="eastAsia" w:ascii="Times New Roman" w:hAnsi="Times New Roman" w:eastAsia="宋体" w:cs="Times New Roman"/>
          <w:color w:val="auto"/>
          <w:u w:val="single"/>
        </w:rPr>
        <w:t>广州市增城区石滩镇人民政府</w:t>
      </w:r>
      <w:r>
        <w:rPr>
          <w:color w:val="auto"/>
          <w:spacing w:val="-22"/>
        </w:rPr>
        <w:t>。</w:t>
      </w:r>
      <w:r>
        <w:rPr>
          <w:color w:val="auto"/>
        </w:rPr>
        <w:t>项目</w:t>
      </w:r>
      <w:r>
        <w:rPr>
          <w:color w:val="auto"/>
          <w:spacing w:val="-3"/>
        </w:rPr>
        <w:t>已</w:t>
      </w:r>
      <w:r>
        <w:rPr>
          <w:color w:val="auto"/>
        </w:rPr>
        <w:t>具</w:t>
      </w:r>
      <w:r>
        <w:rPr>
          <w:color w:val="auto"/>
          <w:spacing w:val="-3"/>
        </w:rPr>
        <w:t>备招</w:t>
      </w:r>
      <w:r>
        <w:rPr>
          <w:color w:val="auto"/>
        </w:rPr>
        <w:t>标条件</w:t>
      </w:r>
      <w:r>
        <w:rPr>
          <w:color w:val="auto"/>
          <w:spacing w:val="-3"/>
        </w:rPr>
        <w:t>，</w:t>
      </w:r>
      <w:r>
        <w:rPr>
          <w:color w:val="auto"/>
        </w:rPr>
        <w:t>现</w:t>
      </w:r>
      <w:r>
        <w:rPr>
          <w:color w:val="auto"/>
          <w:spacing w:val="-3"/>
        </w:rPr>
        <w:t>对</w:t>
      </w:r>
      <w:r>
        <w:rPr>
          <w:color w:val="auto"/>
        </w:rPr>
        <w:t>该</w:t>
      </w:r>
      <w:r>
        <w:rPr>
          <w:color w:val="auto"/>
          <w:spacing w:val="-3"/>
        </w:rPr>
        <w:t>项</w:t>
      </w:r>
      <w:r>
        <w:rPr>
          <w:color w:val="auto"/>
        </w:rPr>
        <w:t>目</w:t>
      </w:r>
      <w:r>
        <w:rPr>
          <w:color w:val="auto"/>
          <w:spacing w:val="-3"/>
        </w:rPr>
        <w:t>的</w:t>
      </w:r>
      <w:r>
        <w:rPr>
          <w:rFonts w:hint="eastAsia"/>
          <w:color w:val="auto"/>
          <w:spacing w:val="-3"/>
          <w:lang w:eastAsia="zh-CN"/>
        </w:rPr>
        <w:t>勘察</w:t>
      </w:r>
      <w:r>
        <w:rPr>
          <w:color w:val="auto"/>
        </w:rPr>
        <w:t>设</w:t>
      </w:r>
      <w:r>
        <w:rPr>
          <w:color w:val="auto"/>
          <w:spacing w:val="-2"/>
        </w:rPr>
        <w:t>计</w:t>
      </w:r>
      <w:r>
        <w:rPr>
          <w:color w:val="auto"/>
        </w:rPr>
        <w:t>进行</w:t>
      </w:r>
      <w:r>
        <w:rPr>
          <w:color w:val="auto"/>
          <w:spacing w:val="-3"/>
        </w:rPr>
        <w:t>公</w:t>
      </w:r>
      <w:r>
        <w:rPr>
          <w:color w:val="auto"/>
        </w:rPr>
        <w:t>开</w:t>
      </w:r>
      <w:r>
        <w:rPr>
          <w:color w:val="auto"/>
          <w:spacing w:val="-3"/>
        </w:rPr>
        <w:t>招</w:t>
      </w:r>
      <w:r>
        <w:rPr>
          <w:color w:val="auto"/>
        </w:rPr>
        <w:t>标。</w:t>
      </w:r>
    </w:p>
    <w:p w14:paraId="7F7D2FEA">
      <w:pPr>
        <w:pStyle w:val="3"/>
        <w:rPr>
          <w:rFonts w:hint="eastAsia"/>
          <w:color w:val="auto"/>
        </w:rPr>
      </w:pPr>
      <w:bookmarkStart w:id="15" w:name="bookmark3"/>
      <w:bookmarkEnd w:id="15"/>
      <w:bookmarkStart w:id="16" w:name="_Toc14353"/>
      <w:bookmarkStart w:id="17" w:name="_Toc25151"/>
      <w:bookmarkStart w:id="18" w:name="_Toc28475"/>
      <w:bookmarkStart w:id="19" w:name="_Toc30473"/>
      <w:bookmarkStart w:id="20" w:name="_Toc13016"/>
      <w:bookmarkStart w:id="21" w:name="_Toc20470"/>
      <w:r>
        <w:rPr>
          <w:rFonts w:hint="eastAsia"/>
          <w:color w:val="auto"/>
        </w:rPr>
        <w:t>2.项目概况与招标范围</w:t>
      </w:r>
      <w:bookmarkEnd w:id="16"/>
      <w:bookmarkEnd w:id="17"/>
      <w:bookmarkEnd w:id="18"/>
      <w:bookmarkEnd w:id="19"/>
      <w:bookmarkEnd w:id="20"/>
      <w:bookmarkEnd w:id="21"/>
    </w:p>
    <w:p w14:paraId="3122385C">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jc w:val="both"/>
        <w:textAlignment w:val="auto"/>
        <w:rPr>
          <w:rFonts w:hint="default" w:ascii="宋体" w:hAnsi="宋体" w:eastAsia="宋体" w:cs="Times New Roman"/>
          <w:color w:val="auto"/>
          <w:sz w:val="21"/>
          <w:szCs w:val="21"/>
          <w:highlight w:val="none"/>
          <w:lang w:val="en-US" w:eastAsia="zh-CN"/>
        </w:rPr>
      </w:pPr>
      <w:bookmarkStart w:id="22" w:name="_Toc17345"/>
      <w:r>
        <w:rPr>
          <w:rFonts w:hint="default"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招标项目概况</w:t>
      </w:r>
      <w:bookmarkEnd w:id="22"/>
    </w:p>
    <w:p w14:paraId="79C55E9A">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eastAsia" w:ascii="宋体" w:hAnsi="宋体" w:eastAsia="宋体"/>
          <w:color w:val="auto"/>
          <w:sz w:val="21"/>
          <w:szCs w:val="21"/>
          <w:highlight w:val="none"/>
          <w:u w:val="single"/>
          <w:lang w:val="en-US" w:eastAsia="zh-CN"/>
        </w:rPr>
      </w:pPr>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1 招标项目固定资产投资项目代码：</w:t>
      </w:r>
      <w:r>
        <w:rPr>
          <w:rFonts w:hint="eastAsia" w:ascii="Times New Roman" w:hAnsi="Times New Roman" w:eastAsia="宋体" w:cs="Times New Roman"/>
          <w:color w:val="auto"/>
          <w:sz w:val="21"/>
          <w:u w:val="single"/>
          <w:lang w:val="en-US" w:eastAsia="zh-CN" w:bidi="ar-SA"/>
        </w:rPr>
        <w:t>2408-440118-04-01-433439</w:t>
      </w:r>
    </w:p>
    <w:p w14:paraId="201ED6B7">
      <w:pPr>
        <w:pStyle w:val="5"/>
        <w:keepNext w:val="0"/>
        <w:keepLines w:val="0"/>
        <w:pageBreakBefore w:val="0"/>
        <w:widowControl w:val="0"/>
        <w:tabs>
          <w:tab w:val="left" w:pos="1362"/>
          <w:tab w:val="left" w:pos="2712"/>
          <w:tab w:val="left" w:pos="3264"/>
          <w:tab w:val="left" w:pos="4896"/>
          <w:tab w:val="left" w:pos="6005"/>
          <w:tab w:val="left" w:pos="7085"/>
          <w:tab w:val="left" w:pos="7498"/>
        </w:tabs>
        <w:kinsoku w:val="0"/>
        <w:wordWrap/>
        <w:overflowPunct w:val="0"/>
        <w:topLinePunct w:val="0"/>
        <w:autoSpaceDE w:val="0"/>
        <w:autoSpaceDN w:val="0"/>
        <w:bidi w:val="0"/>
        <w:adjustRightInd/>
        <w:snapToGrid/>
        <w:spacing w:line="360" w:lineRule="auto"/>
        <w:ind w:left="102" w:right="-40" w:firstLine="420"/>
        <w:jc w:val="both"/>
        <w:textAlignment w:val="auto"/>
        <w:rPr>
          <w:rFonts w:hint="default" w:ascii="宋体" w:hAnsi="宋体"/>
          <w:color w:val="auto"/>
          <w:sz w:val="21"/>
          <w:szCs w:val="21"/>
          <w:highlight w:val="none"/>
          <w:u w:val="single"/>
          <w:lang w:val="en-US" w:eastAsia="zh-CN"/>
        </w:rPr>
      </w:pPr>
      <w:r>
        <w:rPr>
          <w:rFonts w:hint="eastAsia" w:ascii="宋体" w:hAnsi="宋体"/>
          <w:color w:val="auto"/>
          <w:sz w:val="21"/>
          <w:szCs w:val="21"/>
          <w:highlight w:val="none"/>
          <w:lang w:val="en-US" w:eastAsia="zh-CN"/>
        </w:rPr>
        <w:t>2.1.2 招标项目名称：</w:t>
      </w:r>
      <w:r>
        <w:rPr>
          <w:rFonts w:hint="eastAsia" w:ascii="Times New Roman" w:hAnsi="Times New Roman" w:eastAsia="宋体" w:cs="Times New Roman"/>
          <w:color w:val="auto"/>
          <w:sz w:val="21"/>
          <w:u w:val="single"/>
          <w:lang w:val="en-US" w:eastAsia="zh-CN" w:bidi="ar-SA"/>
        </w:rPr>
        <w:t>石滩镇南北大道南段建设工程勘察设计</w:t>
      </w:r>
    </w:p>
    <w:p w14:paraId="1AA8BBC0">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eastAsia="宋体" w:cs="宋体"/>
          <w:color w:val="auto"/>
          <w:sz w:val="21"/>
          <w:szCs w:val="21"/>
          <w:highlight w:val="none"/>
          <w:lang w:eastAsia="zh-CN"/>
        </w:rPr>
      </w:pPr>
      <w:r>
        <w:rPr>
          <w:rFonts w:hint="eastAsia" w:ascii="宋体" w:hAnsi="宋体"/>
          <w:color w:val="auto"/>
          <w:sz w:val="21"/>
          <w:szCs w:val="21"/>
          <w:highlight w:val="none"/>
          <w:lang w:val="en-US" w:eastAsia="zh-CN"/>
        </w:rPr>
        <w:t xml:space="preserve">2.1.3 </w:t>
      </w:r>
      <w:r>
        <w:rPr>
          <w:rFonts w:hint="default" w:ascii="宋体" w:hAnsi="宋体" w:eastAsia="宋体"/>
          <w:color w:val="auto"/>
          <w:sz w:val="21"/>
          <w:szCs w:val="21"/>
          <w:highlight w:val="none"/>
        </w:rPr>
        <w:t>工程建设地点：</w:t>
      </w:r>
      <w:r>
        <w:rPr>
          <w:rFonts w:hint="default" w:ascii="Times New Roman" w:hAnsi="Times New Roman" w:eastAsia="宋体" w:cs="Times New Roman"/>
          <w:color w:val="auto"/>
          <w:sz w:val="21"/>
          <w:u w:val="single"/>
          <w:lang w:val="en-US" w:eastAsia="zh-CN" w:bidi="ar-SA"/>
        </w:rPr>
        <w:t>项目位于增城区石滩镇，现状南北大道南段呈南北走向，北起仙塘一路，南至顾屋长堤路</w:t>
      </w:r>
      <w:r>
        <w:rPr>
          <w:rFonts w:hint="eastAsia" w:ascii="Times New Roman" w:hAnsi="Times New Roman" w:eastAsia="宋体" w:cs="Times New Roman"/>
          <w:color w:val="auto"/>
          <w:sz w:val="21"/>
          <w:u w:val="single"/>
          <w:lang w:val="en-US" w:eastAsia="zh-CN" w:bidi="ar-SA"/>
        </w:rPr>
        <w:t>。</w:t>
      </w:r>
      <w:r>
        <w:rPr>
          <w:rFonts w:hint="default" w:ascii="宋体" w:hAnsi="宋体" w:eastAsia="宋体"/>
          <w:color w:val="auto"/>
          <w:sz w:val="21"/>
          <w:szCs w:val="21"/>
          <w:highlight w:val="none"/>
          <w:lang w:val="en-US" w:eastAsia="zh-CN"/>
        </w:rPr>
        <w:t xml:space="preserve"> </w:t>
      </w:r>
    </w:p>
    <w:p w14:paraId="326D8F00">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left"/>
        <w:textAlignment w:val="auto"/>
        <w:rPr>
          <w:rFonts w:hint="default" w:ascii="Times New Roman" w:hAnsi="Times New Roman" w:eastAsia="宋体" w:cs="Times New Roman"/>
          <w:color w:val="auto"/>
          <w:sz w:val="21"/>
          <w:u w:val="single"/>
          <w:lang w:val="en-US" w:eastAsia="zh-CN" w:bidi="ar-SA"/>
        </w:rPr>
      </w:pPr>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 xml:space="preserve">4 </w:t>
      </w:r>
      <w:r>
        <w:rPr>
          <w:rFonts w:hint="default" w:ascii="宋体" w:hAnsi="宋体" w:eastAsia="宋体"/>
          <w:color w:val="auto"/>
          <w:sz w:val="21"/>
          <w:szCs w:val="21"/>
          <w:highlight w:val="none"/>
        </w:rPr>
        <w:t>工程建设规模</w:t>
      </w:r>
      <w:r>
        <w:rPr>
          <w:rFonts w:hint="default" w:ascii="宋体" w:hAnsi="Times New Roman" w:eastAsia="宋体"/>
          <w:color w:val="auto"/>
          <w:sz w:val="21"/>
          <w:szCs w:val="21"/>
          <w:highlight w:val="none"/>
        </w:rPr>
        <w:t>：</w:t>
      </w:r>
      <w:r>
        <w:rPr>
          <w:rFonts w:hint="default" w:ascii="Times New Roman" w:hAnsi="Times New Roman" w:eastAsia="宋体" w:cs="Times New Roman"/>
          <w:color w:val="auto"/>
          <w:sz w:val="21"/>
          <w:u w:val="single"/>
          <w:lang w:val="en-US" w:eastAsia="zh-CN" w:bidi="ar-SA"/>
        </w:rPr>
        <w:t>项目位于增城区石滩镇</w:t>
      </w:r>
      <w:r>
        <w:rPr>
          <w:rFonts w:hint="eastAsia" w:cs="Times New Roman"/>
          <w:color w:val="auto"/>
          <w:sz w:val="21"/>
          <w:u w:val="single"/>
          <w:lang w:val="en-US" w:eastAsia="zh-CN" w:bidi="ar-SA"/>
        </w:rPr>
        <w:t>，</w:t>
      </w:r>
      <w:r>
        <w:rPr>
          <w:rFonts w:hint="default" w:ascii="Times New Roman" w:hAnsi="Times New Roman" w:eastAsia="宋体" w:cs="Times New Roman"/>
          <w:color w:val="auto"/>
          <w:sz w:val="21"/>
          <w:u w:val="single"/>
          <w:lang w:val="en-US" w:eastAsia="zh-CN" w:bidi="ar-SA"/>
        </w:rPr>
        <w:t>现状南北大道南段呈南北走向</w:t>
      </w:r>
      <w:r>
        <w:rPr>
          <w:rFonts w:hint="eastAsia" w:cs="Times New Roman"/>
          <w:color w:val="auto"/>
          <w:sz w:val="21"/>
          <w:u w:val="single"/>
          <w:lang w:val="en-US" w:eastAsia="zh-CN" w:bidi="ar-SA"/>
        </w:rPr>
        <w:t>，</w:t>
      </w:r>
      <w:r>
        <w:rPr>
          <w:rFonts w:hint="default" w:ascii="Times New Roman" w:hAnsi="Times New Roman" w:eastAsia="宋体" w:cs="Times New Roman"/>
          <w:color w:val="auto"/>
          <w:sz w:val="21"/>
          <w:u w:val="single"/>
          <w:lang w:val="en-US" w:eastAsia="zh-CN" w:bidi="ar-SA"/>
        </w:rPr>
        <w:t>北起仙塘一路</w:t>
      </w:r>
      <w:r>
        <w:rPr>
          <w:rFonts w:hint="eastAsia" w:cs="Times New Roman"/>
          <w:color w:val="auto"/>
          <w:sz w:val="21"/>
          <w:u w:val="single"/>
          <w:lang w:val="en-US" w:eastAsia="zh-CN" w:bidi="ar-SA"/>
        </w:rPr>
        <w:t>，</w:t>
      </w:r>
      <w:r>
        <w:rPr>
          <w:rFonts w:hint="default" w:ascii="Times New Roman" w:hAnsi="Times New Roman" w:eastAsia="宋体" w:cs="Times New Roman"/>
          <w:color w:val="auto"/>
          <w:sz w:val="21"/>
          <w:u w:val="single"/>
          <w:lang w:val="en-US" w:eastAsia="zh-CN" w:bidi="ar-SA"/>
        </w:rPr>
        <w:t>南至顾屋长堤路</w:t>
      </w:r>
      <w:r>
        <w:rPr>
          <w:rFonts w:hint="eastAsia" w:cs="Times New Roman"/>
          <w:color w:val="auto"/>
          <w:sz w:val="21"/>
          <w:u w:val="single"/>
          <w:lang w:val="en-US" w:eastAsia="zh-CN" w:bidi="ar-SA"/>
        </w:rPr>
        <w:t>，</w:t>
      </w:r>
      <w:r>
        <w:rPr>
          <w:rFonts w:hint="default" w:ascii="Times New Roman" w:hAnsi="Times New Roman" w:eastAsia="宋体" w:cs="Times New Roman"/>
          <w:color w:val="auto"/>
          <w:sz w:val="21"/>
          <w:u w:val="single"/>
          <w:lang w:val="en-US" w:eastAsia="zh-CN" w:bidi="ar-SA"/>
        </w:rPr>
        <w:t>双向四车道</w:t>
      </w:r>
      <w:r>
        <w:rPr>
          <w:rFonts w:hint="eastAsia" w:cs="Times New Roman"/>
          <w:color w:val="auto"/>
          <w:sz w:val="21"/>
          <w:u w:val="single"/>
          <w:lang w:val="en-US" w:eastAsia="zh-CN" w:bidi="ar-SA"/>
        </w:rPr>
        <w:t>，</w:t>
      </w:r>
      <w:r>
        <w:rPr>
          <w:rFonts w:hint="default" w:ascii="Times New Roman" w:hAnsi="Times New Roman" w:eastAsia="宋体" w:cs="Times New Roman"/>
          <w:color w:val="auto"/>
          <w:sz w:val="21"/>
          <w:u w:val="single"/>
          <w:lang w:val="en-US" w:eastAsia="zh-CN" w:bidi="ar-SA"/>
        </w:rPr>
        <w:t>为城市主干道</w:t>
      </w:r>
      <w:r>
        <w:rPr>
          <w:rFonts w:hint="eastAsia" w:cs="Times New Roman"/>
          <w:color w:val="auto"/>
          <w:sz w:val="21"/>
          <w:u w:val="single"/>
          <w:lang w:val="en-US" w:eastAsia="zh-CN" w:bidi="ar-SA"/>
        </w:rPr>
        <w:t>，</w:t>
      </w:r>
      <w:r>
        <w:rPr>
          <w:rFonts w:hint="default" w:ascii="Times New Roman" w:hAnsi="Times New Roman" w:eastAsia="宋体" w:cs="Times New Roman"/>
          <w:color w:val="auto"/>
          <w:sz w:val="21"/>
          <w:u w:val="single"/>
          <w:lang w:val="en-US" w:eastAsia="zh-CN" w:bidi="ar-SA"/>
        </w:rPr>
        <w:t>红线宽度38.5至58m</w:t>
      </w:r>
      <w:r>
        <w:rPr>
          <w:rFonts w:hint="eastAsia" w:cs="Times New Roman"/>
          <w:color w:val="auto"/>
          <w:sz w:val="21"/>
          <w:u w:val="single"/>
          <w:lang w:val="en-US" w:eastAsia="zh-CN" w:bidi="ar-SA"/>
        </w:rPr>
        <w:t>，</w:t>
      </w:r>
      <w:r>
        <w:rPr>
          <w:rFonts w:hint="default" w:ascii="Times New Roman" w:hAnsi="Times New Roman" w:eastAsia="宋体" w:cs="Times New Roman"/>
          <w:color w:val="auto"/>
          <w:sz w:val="21"/>
          <w:u w:val="single"/>
          <w:lang w:val="en-US" w:eastAsia="zh-CN" w:bidi="ar-SA"/>
        </w:rPr>
        <w:t>路线总长2.659km。本次改造分东西大道以北段、东西大道以南段两段，长分别为1.283km、1.376km</w:t>
      </w:r>
      <w:r>
        <w:rPr>
          <w:rFonts w:hint="eastAsia" w:cs="Times New Roman"/>
          <w:color w:val="auto"/>
          <w:sz w:val="21"/>
          <w:u w:val="single"/>
          <w:lang w:val="en-US" w:eastAsia="zh-CN" w:bidi="ar-SA"/>
        </w:rPr>
        <w:t>，</w:t>
      </w:r>
      <w:r>
        <w:rPr>
          <w:rFonts w:hint="default" w:ascii="Times New Roman" w:hAnsi="Times New Roman" w:eastAsia="宋体" w:cs="Times New Roman"/>
          <w:color w:val="auto"/>
          <w:sz w:val="21"/>
          <w:u w:val="single"/>
          <w:lang w:val="en-US" w:eastAsia="zh-CN" w:bidi="ar-SA"/>
        </w:rPr>
        <w:t>以北段改造为双向八车道，以南段改造为双向六车道。建设内容包含道路、给排水、箱涵、电力、通信、照明、绿化及交通工程。</w:t>
      </w:r>
    </w:p>
    <w:p w14:paraId="305A5CAD">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color w:val="auto"/>
          <w:sz w:val="21"/>
          <w:szCs w:val="21"/>
          <w:highlight w:val="none"/>
          <w:u w:val="single"/>
          <w:lang w:val="en-US" w:eastAsia="zh-CN"/>
        </w:rPr>
      </w:pPr>
      <w:r>
        <w:rPr>
          <w:rFonts w:hint="default" w:ascii="宋体" w:hAnsi="宋体" w:eastAsia="宋体"/>
          <w:color w:val="auto"/>
          <w:sz w:val="21"/>
          <w:szCs w:val="21"/>
          <w:highlight w:val="none"/>
        </w:rPr>
        <w:t>2.1.</w:t>
      </w:r>
      <w:r>
        <w:rPr>
          <w:rFonts w:hint="eastAsia" w:ascii="宋体" w:hAnsi="宋体" w:eastAsia="宋体"/>
          <w:color w:val="auto"/>
          <w:sz w:val="21"/>
          <w:szCs w:val="21"/>
          <w:highlight w:val="none"/>
          <w:lang w:val="en-US" w:eastAsia="zh-CN"/>
        </w:rPr>
        <w:t xml:space="preserve">5 </w:t>
      </w:r>
      <w:r>
        <w:rPr>
          <w:rFonts w:hint="default" w:ascii="宋体" w:hAnsi="宋体" w:eastAsia="宋体"/>
          <w:color w:val="auto"/>
          <w:sz w:val="21"/>
          <w:szCs w:val="21"/>
          <w:highlight w:val="none"/>
        </w:rPr>
        <w:t>工程</w:t>
      </w:r>
      <w:r>
        <w:rPr>
          <w:rFonts w:hint="eastAsia" w:ascii="宋体" w:hAnsi="宋体" w:eastAsia="宋体"/>
          <w:color w:val="auto"/>
          <w:sz w:val="21"/>
          <w:szCs w:val="21"/>
          <w:highlight w:val="none"/>
          <w:u w:val="single"/>
          <w:lang w:eastAsia="zh-CN"/>
        </w:rPr>
        <w:t>估算</w:t>
      </w:r>
      <w:r>
        <w:rPr>
          <w:rFonts w:hint="default" w:ascii="宋体" w:hAnsi="宋体" w:eastAsia="宋体"/>
          <w:color w:val="auto"/>
          <w:sz w:val="21"/>
          <w:szCs w:val="22"/>
          <w:highlight w:val="none"/>
        </w:rPr>
        <w:t>建筑安装工程费</w:t>
      </w:r>
      <w:r>
        <w:rPr>
          <w:rFonts w:hint="default" w:ascii="宋体" w:hAnsi="Times New Roman" w:eastAsia="宋体"/>
          <w:color w:val="auto"/>
          <w:sz w:val="21"/>
          <w:szCs w:val="21"/>
          <w:highlight w:val="none"/>
        </w:rPr>
        <w:t>：</w:t>
      </w:r>
      <w:r>
        <w:rPr>
          <w:rFonts w:hint="eastAsia" w:ascii="Times New Roman" w:hAnsi="Times New Roman" w:eastAsia="宋体" w:cs="Times New Roman"/>
          <w:color w:val="auto"/>
          <w:sz w:val="21"/>
          <w:u w:val="single"/>
          <w:lang w:val="en-US" w:eastAsia="zh-CN" w:bidi="ar-SA"/>
        </w:rPr>
        <w:t>约为20875.36</w:t>
      </w:r>
      <w:r>
        <w:rPr>
          <w:rFonts w:hint="default" w:ascii="Times New Roman" w:hAnsi="Times New Roman" w:eastAsia="宋体" w:cs="Times New Roman"/>
          <w:color w:val="auto"/>
          <w:sz w:val="21"/>
          <w:u w:val="single"/>
          <w:lang w:val="en-US" w:eastAsia="zh-CN" w:bidi="ar-SA"/>
        </w:rPr>
        <w:t xml:space="preserve">万元 </w:t>
      </w:r>
      <w:bookmarkStart w:id="23" w:name="_Toc13481"/>
    </w:p>
    <w:p w14:paraId="28B14CE5">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jc w:val="both"/>
        <w:textAlignment w:val="auto"/>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2.2</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招标范围</w:t>
      </w:r>
      <w:bookmarkEnd w:id="23"/>
    </w:p>
    <w:p w14:paraId="651AEFC1">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s="宋体"/>
          <w:color w:val="auto"/>
          <w:sz w:val="21"/>
          <w:szCs w:val="21"/>
          <w:highlight w:val="none"/>
          <w:lang w:val="en-US"/>
        </w:rPr>
      </w:pPr>
      <w:r>
        <w:rPr>
          <w:rFonts w:hint="default" w:ascii="宋体" w:hAnsi="宋体" w:eastAsia="宋体"/>
          <w:color w:val="auto"/>
          <w:sz w:val="21"/>
          <w:szCs w:val="21"/>
          <w:highlight w:val="none"/>
        </w:rPr>
        <w:t>2.2.1</w:t>
      </w:r>
      <w:r>
        <w:rPr>
          <w:rFonts w:hint="eastAsia" w:ascii="宋体" w:hAnsi="宋体" w:eastAsia="宋体"/>
          <w:color w:val="auto"/>
          <w:sz w:val="21"/>
          <w:szCs w:val="21"/>
          <w:highlight w:val="none"/>
          <w:lang w:val="en-US" w:eastAsia="zh-CN"/>
        </w:rPr>
        <w:t xml:space="preserve"> </w:t>
      </w:r>
      <w:r>
        <w:rPr>
          <w:rFonts w:hint="default" w:ascii="宋体" w:hAnsi="Times New Roman" w:eastAsia="宋体"/>
          <w:color w:val="auto"/>
          <w:sz w:val="21"/>
          <w:szCs w:val="21"/>
          <w:highlight w:val="none"/>
        </w:rPr>
        <w:t>标段划分：</w:t>
      </w:r>
      <w:r>
        <w:rPr>
          <w:rFonts w:hint="default"/>
          <w:color w:val="auto"/>
          <w:sz w:val="21"/>
          <w:szCs w:val="21"/>
          <w:highlight w:val="none"/>
          <w:u w:val="single"/>
          <w:lang w:val="en-US" w:eastAsia="zh-CN"/>
        </w:rPr>
        <w:t xml:space="preserve"> </w:t>
      </w:r>
      <w:r>
        <w:rPr>
          <w:rFonts w:hint="default" w:ascii="Times New Roman" w:hAnsi="Times New Roman" w:eastAsia="宋体" w:cs="Times New Roman"/>
          <w:color w:val="auto"/>
          <w:sz w:val="21"/>
          <w:u w:val="single"/>
          <w:lang w:val="en-US" w:eastAsia="zh-CN" w:bidi="ar-SA"/>
        </w:rPr>
        <w:t xml:space="preserve">本项目划分1个标段  </w:t>
      </w:r>
      <w:r>
        <w:rPr>
          <w:rFonts w:hint="default"/>
          <w:color w:val="auto"/>
          <w:sz w:val="21"/>
          <w:szCs w:val="21"/>
          <w:highlight w:val="none"/>
          <w:lang w:val="en-US" w:eastAsia="zh-CN"/>
        </w:rPr>
        <w:t xml:space="preserve">     </w:t>
      </w:r>
    </w:p>
    <w:p w14:paraId="3D182CA2">
      <w:pPr>
        <w:keepNext w:val="0"/>
        <w:keepLines w:val="0"/>
        <w:pageBreakBefore w:val="0"/>
        <w:widowControl w:val="0"/>
        <w:kinsoku/>
        <w:overflowPunct/>
        <w:topLinePunct w:val="0"/>
        <w:autoSpaceDE w:val="0"/>
        <w:autoSpaceDN w:val="0"/>
        <w:bidi w:val="0"/>
        <w:snapToGrid/>
        <w:spacing w:line="360" w:lineRule="auto"/>
        <w:ind w:firstLine="420" w:firstLineChars="200"/>
        <w:jc w:val="both"/>
        <w:textAlignment w:val="auto"/>
        <w:rPr>
          <w:rFonts w:hint="eastAsia" w:eastAsia="宋体"/>
          <w:color w:val="auto"/>
          <w:lang w:eastAsia="zh-CN"/>
        </w:rPr>
      </w:pPr>
      <w:r>
        <w:rPr>
          <w:rFonts w:hint="eastAsia" w:ascii="楷体_GB2312" w:hAnsi="楷体_GB2312" w:eastAsia="楷体_GB2312" w:cs="楷体_GB2312"/>
          <w:color w:val="auto"/>
          <w:kern w:val="2"/>
          <w:sz w:val="21"/>
          <w:szCs w:val="21"/>
          <w:lang w:val="en-US" w:eastAsia="zh-CN" w:bidi="ar-SA"/>
        </w:rPr>
        <w:t>注：两个或两个以上标段的，应明确允许兼中或不兼中。</w:t>
      </w:r>
    </w:p>
    <w:p w14:paraId="722252AC">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宋体" w:hAnsi="宋体" w:eastAsia="宋体"/>
          <w:color w:val="auto"/>
          <w:sz w:val="21"/>
          <w:szCs w:val="21"/>
          <w:highlight w:val="none"/>
        </w:rPr>
        <w:t>2.2.2</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招标</w:t>
      </w:r>
      <w:r>
        <w:rPr>
          <w:rFonts w:hint="default" w:ascii="宋体" w:hAnsi="宋体" w:eastAsia="宋体"/>
          <w:color w:val="auto"/>
          <w:sz w:val="21"/>
          <w:szCs w:val="21"/>
          <w:highlight w:val="none"/>
        </w:rPr>
        <w:t>范围：</w:t>
      </w:r>
      <w:r>
        <w:rPr>
          <w:rFonts w:hint="default" w:ascii="Times New Roman" w:hAnsi="Times New Roman" w:eastAsia="宋体" w:cs="Times New Roman"/>
          <w:color w:val="auto"/>
          <w:sz w:val="21"/>
          <w:u w:val="single"/>
          <w:lang w:val="en-US" w:eastAsia="zh-CN" w:bidi="ar-SA"/>
        </w:rPr>
        <w:t>根据基础资料、勘察设计任务要求，完成本项目所涉及建设内容的全部勘察设计工作，包括但不限于：</w:t>
      </w:r>
    </w:p>
    <w:p w14:paraId="7EE38955">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Times New Roman" w:hAnsi="Times New Roman" w:eastAsia="宋体" w:cs="Times New Roman"/>
          <w:color w:val="auto"/>
          <w:sz w:val="21"/>
          <w:u w:val="single"/>
          <w:lang w:val="en-US" w:eastAsia="zh-CN" w:bidi="ar-SA"/>
        </w:rPr>
        <w:t>（一）本项目规划用地红线范围内，及经</w:t>
      </w:r>
      <w:r>
        <w:rPr>
          <w:rFonts w:hint="eastAsia" w:ascii="Times New Roman" w:hAnsi="Times New Roman" w:eastAsia="宋体" w:cs="Times New Roman"/>
          <w:color w:val="auto"/>
          <w:sz w:val="21"/>
          <w:u w:val="single"/>
          <w:lang w:val="en-US" w:eastAsia="zh-CN" w:bidi="ar-SA"/>
        </w:rPr>
        <w:t>发包人</w:t>
      </w:r>
      <w:r>
        <w:rPr>
          <w:rFonts w:hint="default" w:ascii="Times New Roman" w:hAnsi="Times New Roman" w:eastAsia="宋体" w:cs="Times New Roman"/>
          <w:color w:val="auto"/>
          <w:sz w:val="21"/>
          <w:u w:val="single"/>
          <w:lang w:val="en-US" w:eastAsia="zh-CN" w:bidi="ar-SA"/>
        </w:rPr>
        <w:t>审批同意用于辅助项目建设所需的红线范围外的工程勘察工作，包括但不限于以下内容：工程测量、</w:t>
      </w:r>
      <w:r>
        <w:rPr>
          <w:rFonts w:hint="eastAsia" w:ascii="Times New Roman" w:hAnsi="Times New Roman" w:eastAsia="宋体" w:cs="Times New Roman"/>
          <w:color w:val="auto"/>
          <w:sz w:val="21"/>
          <w:u w:val="single"/>
          <w:lang w:val="en-US" w:eastAsia="zh-CN" w:bidi="ar-SA"/>
        </w:rPr>
        <w:t>工程</w:t>
      </w:r>
      <w:r>
        <w:rPr>
          <w:rFonts w:hint="default" w:ascii="Times New Roman" w:hAnsi="Times New Roman" w:eastAsia="宋体" w:cs="Times New Roman"/>
          <w:color w:val="auto"/>
          <w:sz w:val="21"/>
          <w:u w:val="single"/>
          <w:lang w:val="en-US" w:eastAsia="zh-CN" w:bidi="ar-SA"/>
        </w:rPr>
        <w:t>物探、岩土工程勘察等；</w:t>
      </w:r>
    </w:p>
    <w:p w14:paraId="6DDF5F16">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Times New Roman" w:hAnsi="Times New Roman" w:eastAsia="宋体" w:cs="Times New Roman"/>
          <w:color w:val="auto"/>
          <w:sz w:val="21"/>
          <w:u w:val="single"/>
          <w:lang w:val="en-US" w:eastAsia="zh-CN" w:bidi="ar-SA"/>
        </w:rPr>
        <w:t>（二）设计部分：主要内容包括（但不限于）：方案设计、初步设计、编制初步设计概算和配合财政评审，施工图设计和报建，施工图取得施工图审查合格及通过行政主管部门的备案，现场指导与服务。最终以相关政府部门审查确定的建设项目、建设规模、建设标准等为准</w:t>
      </w:r>
      <w:r>
        <w:rPr>
          <w:rFonts w:hint="eastAsia" w:ascii="Times New Roman" w:hAnsi="Times New Roman" w:eastAsia="宋体" w:cs="Times New Roman"/>
          <w:color w:val="auto"/>
          <w:sz w:val="21"/>
          <w:u w:val="single"/>
          <w:lang w:val="en-US" w:eastAsia="zh-CN" w:bidi="ar-SA"/>
        </w:rPr>
        <w:t>。</w:t>
      </w:r>
    </w:p>
    <w:p w14:paraId="24072EF4">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olor w:val="auto"/>
          <w:sz w:val="21"/>
          <w:szCs w:val="21"/>
          <w:highlight w:val="none"/>
          <w:u w:val="single"/>
          <w:lang w:val="en-US" w:eastAsia="zh-CN"/>
        </w:rPr>
      </w:pPr>
      <w:r>
        <w:rPr>
          <w:rFonts w:hint="default" w:ascii="宋体" w:hAnsi="宋体" w:eastAsia="宋体"/>
          <w:color w:val="auto"/>
          <w:sz w:val="21"/>
          <w:szCs w:val="21"/>
          <w:highlight w:val="none"/>
        </w:rPr>
        <w:t>2.2.3</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设计</w:t>
      </w:r>
      <w:r>
        <w:rPr>
          <w:rFonts w:hint="default" w:ascii="宋体" w:hAnsi="宋体" w:eastAsia="宋体"/>
          <w:color w:val="auto"/>
          <w:sz w:val="21"/>
          <w:szCs w:val="21"/>
          <w:highlight w:val="none"/>
        </w:rPr>
        <w:t>服务期</w:t>
      </w:r>
      <w:r>
        <w:rPr>
          <w:rFonts w:hint="eastAsia" w:ascii="宋体" w:hAnsi="宋体"/>
          <w:color w:val="auto"/>
          <w:sz w:val="21"/>
          <w:szCs w:val="21"/>
          <w:highlight w:val="none"/>
          <w:lang w:eastAsia="zh-CN"/>
        </w:rPr>
        <w:t>限</w:t>
      </w:r>
      <w:r>
        <w:rPr>
          <w:rFonts w:hint="default" w:ascii="宋体" w:hAnsi="宋体" w:eastAsia="宋体"/>
          <w:color w:val="auto"/>
          <w:sz w:val="21"/>
          <w:szCs w:val="21"/>
          <w:highlight w:val="none"/>
        </w:rPr>
        <w:t>：</w:t>
      </w:r>
      <w:r>
        <w:rPr>
          <w:rFonts w:hint="default" w:ascii="Times New Roman" w:hAnsi="Times New Roman" w:eastAsia="宋体" w:cs="Times New Roman"/>
          <w:color w:val="auto"/>
          <w:sz w:val="21"/>
          <w:u w:val="single"/>
          <w:lang w:val="en-US" w:eastAsia="zh-CN" w:bidi="ar-SA"/>
        </w:rPr>
        <w:t>中标人应在收到中标通知书且收到方案修改意见后，</w:t>
      </w:r>
      <w:r>
        <w:rPr>
          <w:rFonts w:hint="eastAsia" w:cs="Times New Roman"/>
          <w:color w:val="auto"/>
          <w:sz w:val="21"/>
          <w:u w:val="single"/>
          <w:lang w:val="en-US" w:eastAsia="zh-CN" w:bidi="ar-SA"/>
        </w:rPr>
        <w:t>2</w:t>
      </w:r>
      <w:r>
        <w:rPr>
          <w:rFonts w:hint="default" w:ascii="Times New Roman" w:hAnsi="Times New Roman" w:eastAsia="宋体" w:cs="Times New Roman"/>
          <w:color w:val="auto"/>
          <w:sz w:val="21"/>
          <w:u w:val="single"/>
          <w:lang w:val="en-US" w:eastAsia="zh-CN" w:bidi="ar-SA"/>
        </w:rPr>
        <w:t>0天内完成初步设计（不含招标人对初步设计的审查时间），初步设计审查批准后</w:t>
      </w:r>
      <w:r>
        <w:rPr>
          <w:rFonts w:hint="eastAsia" w:cs="Times New Roman"/>
          <w:color w:val="auto"/>
          <w:sz w:val="21"/>
          <w:u w:val="single"/>
          <w:lang w:val="en-US" w:eastAsia="zh-CN" w:bidi="ar-SA"/>
        </w:rPr>
        <w:t>3</w:t>
      </w:r>
      <w:r>
        <w:rPr>
          <w:rFonts w:hint="default" w:ascii="Times New Roman" w:hAnsi="Times New Roman" w:eastAsia="宋体" w:cs="Times New Roman"/>
          <w:color w:val="auto"/>
          <w:sz w:val="21"/>
          <w:u w:val="single"/>
          <w:lang w:val="en-US" w:eastAsia="zh-CN" w:bidi="ar-SA"/>
        </w:rPr>
        <w:t>0天内完成施工图设计（含工程概算），施工图设计文件经审查发现问题后5天内完成补充、修改并送施工图审查单位。</w:t>
      </w:r>
    </w:p>
    <w:p w14:paraId="4FF8DA9F">
      <w:pPr>
        <w:keepNext w:val="0"/>
        <w:keepLines w:val="0"/>
        <w:pageBreakBefore w:val="0"/>
        <w:widowControl w:val="0"/>
        <w:numPr>
          <w:ilvl w:val="0"/>
          <w:numId w:val="0"/>
        </w:numPr>
        <w:kinsoku/>
        <w:overflowPunct/>
        <w:topLinePunct w:val="0"/>
        <w:autoSpaceDE w:val="0"/>
        <w:autoSpaceDN w:val="0"/>
        <w:bidi w:val="0"/>
        <w:snapToGrid/>
        <w:spacing w:line="360" w:lineRule="auto"/>
        <w:ind w:firstLine="420" w:firstLineChars="200"/>
        <w:jc w:val="both"/>
        <w:textAlignment w:val="auto"/>
        <w:rPr>
          <w:rFonts w:hint="eastAsia" w:ascii="Times New Roman" w:hAnsi="Times New Roman" w:eastAsia="宋体" w:cs="Times New Roman"/>
          <w:color w:val="auto"/>
          <w:sz w:val="21"/>
          <w:u w:val="single"/>
          <w:lang w:val="en-US" w:eastAsia="zh-CN" w:bidi="ar-SA"/>
        </w:rPr>
      </w:pPr>
      <w:r>
        <w:rPr>
          <w:rFonts w:hint="eastAsia" w:ascii="宋体" w:hAnsi="宋体" w:eastAsia="宋体"/>
          <w:color w:val="auto"/>
          <w:sz w:val="21"/>
          <w:szCs w:val="21"/>
          <w:highlight w:val="none"/>
          <w:lang w:val="en-US" w:eastAsia="zh-CN"/>
        </w:rPr>
        <w:t>设计</w:t>
      </w:r>
      <w:r>
        <w:rPr>
          <w:rFonts w:hint="eastAsia"/>
          <w:color w:val="auto"/>
          <w:sz w:val="21"/>
          <w:szCs w:val="21"/>
        </w:rPr>
        <w:t>专业内容：</w:t>
      </w:r>
      <w:r>
        <w:rPr>
          <w:rFonts w:hint="eastAsia" w:ascii="Times New Roman" w:hAnsi="Times New Roman" w:eastAsia="宋体" w:cs="Times New Roman"/>
          <w:color w:val="auto"/>
          <w:sz w:val="21"/>
          <w:u w:val="single"/>
          <w:lang w:val="en-US" w:eastAsia="zh-CN" w:bidi="ar-SA"/>
        </w:rPr>
        <w:t>☑城市道路工程、</w:t>
      </w:r>
      <w:r>
        <w:rPr>
          <w:rFonts w:hint="eastAsia" w:cs="Times New Roman"/>
          <w:color w:val="auto"/>
          <w:sz w:val="21"/>
          <w:u w:val="single"/>
          <w:lang w:val="en-US" w:eastAsia="zh-CN" w:bidi="ar-SA"/>
        </w:rPr>
        <w:t>☑</w:t>
      </w:r>
      <w:r>
        <w:rPr>
          <w:rFonts w:hint="eastAsia" w:ascii="Times New Roman" w:hAnsi="Times New Roman" w:eastAsia="宋体" w:cs="Times New Roman"/>
          <w:color w:val="auto"/>
          <w:sz w:val="21"/>
          <w:u w:val="single"/>
          <w:lang w:val="en-US" w:eastAsia="zh-CN" w:bidi="ar-SA"/>
        </w:rPr>
        <w:t>桥</w:t>
      </w:r>
      <w:r>
        <w:rPr>
          <w:rFonts w:hint="eastAsia" w:cs="Times New Roman"/>
          <w:color w:val="auto"/>
          <w:sz w:val="21"/>
          <w:u w:val="single"/>
          <w:lang w:val="en-US" w:eastAsia="zh-CN" w:bidi="ar-SA"/>
        </w:rPr>
        <w:t>涵</w:t>
      </w:r>
      <w:r>
        <w:rPr>
          <w:rFonts w:hint="eastAsia" w:ascii="Times New Roman" w:hAnsi="Times New Roman" w:eastAsia="宋体" w:cs="Times New Roman"/>
          <w:color w:val="auto"/>
          <w:sz w:val="21"/>
          <w:u w:val="single"/>
          <w:lang w:val="en-US" w:eastAsia="zh-CN" w:bidi="ar-SA"/>
        </w:rPr>
        <w:t>工程、□城市隧道工程、☑排水工程、☑给水工程、☑照明工程、☑交通工程、□城镇燃气工程、□热力工程、☑绿化工程、</w:t>
      </w:r>
      <w:r>
        <w:rPr>
          <w:rFonts w:hint="eastAsia" w:cs="Times New Roman"/>
          <w:color w:val="auto"/>
          <w:sz w:val="21"/>
          <w:u w:val="single"/>
          <w:lang w:val="en-US" w:eastAsia="zh-CN" w:bidi="ar-SA"/>
        </w:rPr>
        <w:t>☑</w:t>
      </w:r>
      <w:r>
        <w:rPr>
          <w:rFonts w:hint="eastAsia" w:ascii="Times New Roman" w:hAnsi="Times New Roman" w:eastAsia="宋体" w:cs="Times New Roman"/>
          <w:color w:val="auto"/>
          <w:sz w:val="21"/>
          <w:u w:val="single"/>
          <w:lang w:val="en-US" w:eastAsia="zh-CN" w:bidi="ar-SA"/>
        </w:rPr>
        <w:t>管线综合工程、☑电力管沟工程、□城市轨道交通工程。</w:t>
      </w:r>
    </w:p>
    <w:p w14:paraId="19245B84">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rPr>
          <w:rFonts w:hint="eastAsia" w:ascii="楷体_GB2312" w:hAnsi="楷体_GB2312" w:eastAsia="楷体_GB2312" w:cs="楷体_GB2312"/>
          <w:color w:val="auto"/>
          <w:sz w:val="20"/>
          <w:szCs w:val="21"/>
          <w:lang w:val="en-US" w:eastAsia="zh-CN"/>
        </w:rPr>
      </w:pPr>
      <w:r>
        <w:rPr>
          <w:rFonts w:hint="eastAsia" w:ascii="楷体_GB2312" w:hAnsi="楷体_GB2312" w:eastAsia="楷体_GB2312" w:cs="楷体_GB2312"/>
          <w:color w:val="auto"/>
          <w:sz w:val="20"/>
          <w:szCs w:val="21"/>
          <w:lang w:eastAsia="zh-CN"/>
        </w:rPr>
        <w:t>注：</w:t>
      </w:r>
      <w:r>
        <w:rPr>
          <w:rFonts w:hint="eastAsia" w:ascii="楷体_GB2312" w:hAnsi="楷体_GB2312" w:eastAsia="楷体_GB2312" w:cs="楷体_GB2312"/>
          <w:color w:val="auto"/>
          <w:sz w:val="20"/>
          <w:szCs w:val="21"/>
        </w:rPr>
        <w:t>以上专业内容选项可增加或减少，由招标人结合项目实际勾选。</w:t>
      </w:r>
    </w:p>
    <w:p w14:paraId="47102F2D">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2.2.</w:t>
      </w:r>
      <w:r>
        <w:rPr>
          <w:rFonts w:hint="eastAsia" w:ascii="宋体" w:hAnsi="宋体" w:eastAsia="宋体"/>
          <w:color w:val="auto"/>
          <w:sz w:val="21"/>
          <w:szCs w:val="21"/>
          <w:highlight w:val="none"/>
          <w:lang w:val="en-US" w:eastAsia="zh-CN"/>
        </w:rPr>
        <w:t xml:space="preserve">4 </w:t>
      </w:r>
      <w:r>
        <w:rPr>
          <w:rFonts w:hint="eastAsia" w:ascii="宋体" w:hAnsi="宋体" w:eastAsia="宋体"/>
          <w:color w:val="auto"/>
          <w:sz w:val="21"/>
          <w:szCs w:val="21"/>
          <w:highlight w:val="none"/>
          <w:lang w:eastAsia="zh-CN"/>
        </w:rPr>
        <w:t>勘察</w:t>
      </w:r>
      <w:r>
        <w:rPr>
          <w:rFonts w:hint="default" w:ascii="宋体" w:hAnsi="宋体" w:eastAsia="宋体"/>
          <w:color w:val="auto"/>
          <w:sz w:val="21"/>
          <w:szCs w:val="21"/>
          <w:highlight w:val="none"/>
        </w:rPr>
        <w:t>服务期</w:t>
      </w:r>
      <w:r>
        <w:rPr>
          <w:rFonts w:hint="eastAsia" w:ascii="宋体" w:hAnsi="宋体"/>
          <w:color w:val="auto"/>
          <w:sz w:val="21"/>
          <w:szCs w:val="21"/>
          <w:highlight w:val="none"/>
          <w:lang w:eastAsia="zh-CN"/>
        </w:rPr>
        <w:t>限</w:t>
      </w:r>
      <w:r>
        <w:rPr>
          <w:rFonts w:hint="default" w:ascii="宋体" w:hAnsi="宋体" w:eastAsia="宋体"/>
          <w:color w:val="auto"/>
          <w:sz w:val="21"/>
          <w:szCs w:val="21"/>
          <w:highlight w:val="none"/>
        </w:rPr>
        <w:t>：</w:t>
      </w:r>
      <w:r>
        <w:rPr>
          <w:rFonts w:hint="default" w:ascii="Times New Roman" w:hAnsi="Times New Roman" w:eastAsia="宋体" w:cs="Times New Roman"/>
          <w:color w:val="auto"/>
          <w:sz w:val="21"/>
          <w:u w:val="single"/>
          <w:lang w:val="en-US" w:eastAsia="zh-CN" w:bidi="ar-SA"/>
        </w:rPr>
        <w:t>中标通知书发出后，承包人收到发包人发出具备进场条件</w:t>
      </w:r>
      <w:bookmarkStart w:id="76" w:name="_GoBack"/>
      <w:bookmarkEnd w:id="76"/>
      <w:r>
        <w:rPr>
          <w:rFonts w:hint="default" w:ascii="Times New Roman" w:hAnsi="Times New Roman" w:eastAsia="宋体" w:cs="Times New Roman"/>
          <w:color w:val="auto"/>
          <w:sz w:val="21"/>
          <w:u w:val="single"/>
          <w:lang w:val="en-US" w:eastAsia="zh-CN" w:bidi="ar-SA"/>
        </w:rPr>
        <w:t>的通知起计</w:t>
      </w:r>
      <w:r>
        <w:rPr>
          <w:rFonts w:hint="eastAsia" w:cs="Times New Roman"/>
          <w:color w:val="auto"/>
          <w:sz w:val="21"/>
          <w:u w:val="single"/>
          <w:lang w:val="en-US" w:eastAsia="zh-CN" w:bidi="ar-SA"/>
        </w:rPr>
        <w:t>30</w:t>
      </w:r>
      <w:r>
        <w:rPr>
          <w:rFonts w:hint="default" w:ascii="Times New Roman" w:hAnsi="Times New Roman" w:eastAsia="宋体" w:cs="Times New Roman"/>
          <w:color w:val="auto"/>
          <w:sz w:val="21"/>
          <w:u w:val="single"/>
          <w:lang w:val="en-US" w:eastAsia="zh-CN" w:bidi="ar-SA"/>
        </w:rPr>
        <w:t>日内提交勘察成果文件。</w:t>
      </w:r>
      <w:r>
        <w:rPr>
          <w:rFonts w:hint="default" w:ascii="宋体" w:hAnsi="宋体" w:eastAsia="宋体"/>
          <w:color w:val="auto"/>
          <w:sz w:val="21"/>
          <w:szCs w:val="21"/>
          <w:highlight w:val="none"/>
          <w:lang w:val="en-US" w:eastAsia="zh-CN"/>
        </w:rPr>
        <w:t xml:space="preserve">                  </w:t>
      </w:r>
    </w:p>
    <w:p w14:paraId="24155275">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eastAsia" w:ascii="Times New Roman" w:hAnsi="Times New Roman" w:eastAsia="宋体" w:cs="Times New Roman"/>
          <w:color w:val="auto"/>
          <w:sz w:val="21"/>
          <w:u w:val="single"/>
          <w:lang w:val="en-US" w:eastAsia="zh-CN" w:bidi="ar-SA"/>
        </w:rPr>
      </w:pPr>
      <w:r>
        <w:rPr>
          <w:rFonts w:hint="eastAsia" w:ascii="宋体" w:hAnsi="宋体" w:eastAsia="宋体"/>
          <w:color w:val="auto"/>
          <w:sz w:val="21"/>
          <w:szCs w:val="21"/>
          <w:highlight w:val="none"/>
          <w:lang w:val="en-US" w:eastAsia="zh-CN"/>
        </w:rPr>
        <w:t>勘察</w:t>
      </w:r>
      <w:r>
        <w:rPr>
          <w:rFonts w:hint="eastAsia"/>
          <w:color w:val="auto"/>
          <w:sz w:val="21"/>
          <w:szCs w:val="21"/>
        </w:rPr>
        <w:t>内容：</w:t>
      </w:r>
      <w:r>
        <w:rPr>
          <w:rFonts w:hint="eastAsia" w:ascii="Times New Roman" w:hAnsi="Times New Roman" w:eastAsia="宋体" w:cs="Times New Roman"/>
          <w:color w:val="auto"/>
          <w:sz w:val="21"/>
          <w:u w:val="single"/>
          <w:lang w:val="en-US" w:eastAsia="zh-CN" w:bidi="ar-SA"/>
        </w:rPr>
        <w:t>☑工程测量、☑岩土工程勘察、□岩土工程设计与检测监测、□水文地质勘察、□工程水文气象勘察、☑工程物探（含管线探测）。</w:t>
      </w:r>
    </w:p>
    <w:p w14:paraId="1A336A6D">
      <w:pPr>
        <w:keepNext w:val="0"/>
        <w:keepLines w:val="0"/>
        <w:pageBreakBefore w:val="0"/>
        <w:widowControl w:val="0"/>
        <w:tabs>
          <w:tab w:val="left" w:pos="7513"/>
        </w:tabs>
        <w:kinsoku/>
        <w:overflowPunct/>
        <w:topLinePunct w:val="0"/>
        <w:autoSpaceDE w:val="0"/>
        <w:autoSpaceDN w:val="0"/>
        <w:bidi w:val="0"/>
        <w:snapToGrid/>
        <w:spacing w:line="360" w:lineRule="auto"/>
        <w:ind w:firstLine="400" w:firstLineChars="200"/>
        <w:jc w:val="left"/>
        <w:textAlignment w:val="auto"/>
        <w:rPr>
          <w:rFonts w:hint="eastAsia" w:ascii="楷体_GB2312" w:hAnsi="楷体_GB2312" w:eastAsia="楷体_GB2312" w:cs="楷体_GB2312"/>
          <w:color w:val="auto"/>
          <w:sz w:val="20"/>
          <w:szCs w:val="21"/>
          <w:lang w:val="en-US" w:eastAsia="zh-CN"/>
        </w:rPr>
      </w:pPr>
      <w:r>
        <w:rPr>
          <w:rFonts w:hint="eastAsia" w:ascii="楷体_GB2312" w:hAnsi="楷体_GB2312" w:eastAsia="楷体_GB2312" w:cs="楷体_GB2312"/>
          <w:color w:val="auto"/>
          <w:sz w:val="20"/>
          <w:szCs w:val="21"/>
          <w:lang w:eastAsia="zh-CN"/>
        </w:rPr>
        <w:t>注：</w:t>
      </w:r>
      <w:r>
        <w:rPr>
          <w:rFonts w:hint="eastAsia" w:ascii="楷体_GB2312" w:hAnsi="楷体_GB2312" w:eastAsia="楷体_GB2312" w:cs="楷体_GB2312"/>
          <w:color w:val="auto"/>
          <w:sz w:val="20"/>
          <w:szCs w:val="21"/>
        </w:rPr>
        <w:t>以上专业内容选项可增加或减少，由招标人结合项目实际勾选。</w:t>
      </w:r>
    </w:p>
    <w:p w14:paraId="6C149166">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left"/>
        <w:textAlignment w:val="auto"/>
        <w:rPr>
          <w:rFonts w:hint="default" w:ascii="宋体" w:hAnsi="宋体" w:eastAsia="宋体"/>
          <w:color w:val="auto"/>
          <w:sz w:val="21"/>
          <w:szCs w:val="21"/>
          <w:highlight w:val="none"/>
        </w:rPr>
      </w:pPr>
      <w:r>
        <w:rPr>
          <w:rFonts w:hint="default" w:ascii="宋体" w:hAnsi="宋体" w:eastAsia="宋体"/>
          <w:color w:val="auto"/>
          <w:sz w:val="21"/>
          <w:szCs w:val="21"/>
          <w:highlight w:val="none"/>
        </w:rPr>
        <w:t>2.2.</w:t>
      </w:r>
      <w:r>
        <w:rPr>
          <w:rFonts w:hint="eastAsia" w:ascii="宋体" w:hAnsi="宋体"/>
          <w:color w:val="auto"/>
          <w:sz w:val="21"/>
          <w:szCs w:val="21"/>
          <w:highlight w:val="none"/>
          <w:lang w:val="en-US" w:eastAsia="zh-CN"/>
        </w:rPr>
        <w:t xml:space="preserve">5 </w:t>
      </w:r>
      <w:r>
        <w:rPr>
          <w:rFonts w:hint="default" w:ascii="宋体" w:hAnsi="宋体" w:eastAsia="宋体"/>
          <w:color w:val="auto"/>
          <w:sz w:val="21"/>
          <w:szCs w:val="21"/>
          <w:highlight w:val="none"/>
        </w:rPr>
        <w:t>最高投标限价：</w:t>
      </w:r>
      <w:bookmarkStart w:id="24" w:name="OLE_LINK1"/>
      <w:r>
        <w:rPr>
          <w:rFonts w:hint="eastAsia" w:ascii="宋体" w:hAnsi="宋体" w:eastAsia="宋体" w:cs="宋体"/>
          <w:color w:val="auto"/>
          <w:sz w:val="21"/>
          <w:u w:val="single"/>
          <w:lang w:val="en-US" w:eastAsia="zh-CN" w:bidi="ar-SA"/>
        </w:rPr>
        <w:t xml:space="preserve">749.24万元，其中：工程勘察费最高投标限价：167.00万元，工程设计费最高投标限价：582.24万元 </w:t>
      </w:r>
      <w:r>
        <w:rPr>
          <w:rFonts w:hint="eastAsia" w:ascii="宋体" w:hAnsi="宋体" w:eastAsia="宋体" w:cs="宋体"/>
          <w:color w:val="auto"/>
          <w:sz w:val="21"/>
          <w:u w:val="none"/>
          <w:lang w:val="en-US" w:eastAsia="zh-CN" w:bidi="ar-SA"/>
        </w:rPr>
        <w:t xml:space="preserve">。 </w:t>
      </w:r>
      <w:r>
        <w:rPr>
          <w:rFonts w:hint="eastAsia" w:ascii="宋体" w:hAnsi="宋体" w:eastAsia="宋体" w:cs="宋体"/>
          <w:color w:val="auto"/>
          <w:sz w:val="21"/>
          <w:szCs w:val="21"/>
          <w:highlight w:val="none"/>
          <w:u w:val="none"/>
          <w:lang w:val="en-US" w:eastAsia="zh-CN" w:bidi="ar"/>
        </w:rPr>
        <w:t xml:space="preserve"> </w:t>
      </w:r>
      <w:r>
        <w:rPr>
          <w:rFonts w:hint="eastAsia" w:ascii="宋体" w:hAnsi="宋体" w:eastAsia="宋体" w:cs="宋体"/>
          <w:color w:val="auto"/>
          <w:sz w:val="21"/>
          <w:szCs w:val="21"/>
          <w:highlight w:val="none"/>
          <w:lang w:val="en-US" w:eastAsia="zh-CN" w:bidi="ar"/>
        </w:rPr>
        <w:t xml:space="preserve"> </w:t>
      </w:r>
      <w:r>
        <w:rPr>
          <w:rFonts w:hint="default" w:ascii="宋体" w:hAnsi="宋体" w:eastAsia="宋体" w:cs="宋体"/>
          <w:color w:val="auto"/>
          <w:sz w:val="21"/>
          <w:szCs w:val="21"/>
          <w:highlight w:val="none"/>
          <w:lang w:val="en-US" w:eastAsia="zh-CN" w:bidi="ar"/>
        </w:rPr>
        <w:t xml:space="preserve">    </w:t>
      </w:r>
      <w:bookmarkEnd w:id="24"/>
    </w:p>
    <w:p w14:paraId="218210F8">
      <w:pPr>
        <w:keepNext w:val="0"/>
        <w:keepLines w:val="0"/>
        <w:pageBreakBefore w:val="0"/>
        <w:widowControl w:val="0"/>
        <w:kinsoku/>
        <w:overflowPunct/>
        <w:topLinePunct w:val="0"/>
        <w:autoSpaceDE w:val="0"/>
        <w:autoSpaceDN w:val="0"/>
        <w:bidi w:val="0"/>
        <w:snapToGrid/>
        <w:spacing w:line="360" w:lineRule="auto"/>
        <w:ind w:firstLine="420" w:firstLineChars="200"/>
        <w:jc w:val="both"/>
        <w:textAlignment w:val="auto"/>
        <w:rPr>
          <w:rFonts w:hint="eastAsia" w:eastAsia="宋体"/>
          <w:color w:val="auto"/>
          <w:lang w:eastAsia="zh-CN"/>
        </w:rPr>
      </w:pPr>
      <w:r>
        <w:rPr>
          <w:rFonts w:hint="eastAsia" w:ascii="楷体_GB2312" w:hAnsi="楷体_GB2312" w:eastAsia="楷体_GB2312" w:cs="楷体_GB2312"/>
          <w:color w:val="auto"/>
          <w:kern w:val="2"/>
          <w:sz w:val="21"/>
          <w:szCs w:val="21"/>
          <w:lang w:val="en-US" w:eastAsia="zh-CN" w:bidi="ar-SA"/>
        </w:rPr>
        <w:t>注：两个或两个以上标段的，应明确各标段最高投标限价。</w:t>
      </w:r>
    </w:p>
    <w:p w14:paraId="466EB4A8">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2.2.6</w:t>
      </w:r>
      <w:r>
        <w:rPr>
          <w:rFonts w:hint="eastAsia" w:ascii="宋体" w:hAnsi="宋体" w:eastAsia="宋体" w:cs="Times New Roman"/>
          <w:color w:val="auto"/>
          <w:sz w:val="21"/>
          <w:szCs w:val="21"/>
          <w:highlight w:val="none"/>
        </w:rPr>
        <w:t xml:space="preserve"> 前期服务机构名称（□项目建议书、□可行性研究报告、□规划</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咨询</w:t>
      </w:r>
      <w:r>
        <w:rPr>
          <w:rFonts w:hint="eastAsia" w:ascii="宋体" w:hAnsi="宋体" w:eastAsia="宋体" w:cs="Times New Roman"/>
          <w:color w:val="auto"/>
          <w:sz w:val="21"/>
          <w:szCs w:val="21"/>
          <w:highlight w:val="none"/>
        </w:rPr>
        <w:t>等编制单位）：</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eastAsia="zh-CN"/>
        </w:rPr>
        <w:t>　</w:t>
      </w:r>
      <w:r>
        <w:rPr>
          <w:rFonts w:hint="eastAsia" w:ascii="宋体" w:hAnsi="宋体" w:eastAsia="宋体" w:cs="Times New Roman"/>
          <w:color w:val="auto"/>
          <w:sz w:val="21"/>
          <w:szCs w:val="21"/>
          <w:highlight w:val="none"/>
          <w:u w:val="single"/>
          <w:lang w:val="en-US" w:eastAsia="zh-CN"/>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lang w:eastAsia="zh-CN"/>
        </w:rPr>
        <w:t>（填写所有与招标内容相关的曾提供前期服务机构名称）</w:t>
      </w:r>
    </w:p>
    <w:p w14:paraId="48ACC9D1">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Cs w:val="21"/>
        </w:rPr>
        <w:t>注：</w:t>
      </w:r>
      <w:r>
        <w:rPr>
          <w:rFonts w:hint="eastAsia" w:ascii="楷体_GB2312" w:hAnsi="楷体_GB2312" w:eastAsia="楷体_GB2312" w:cs="楷体_GB2312"/>
          <w:color w:val="auto"/>
          <w:sz w:val="20"/>
          <w:szCs w:val="21"/>
        </w:rPr>
        <w:t>如果</w:t>
      </w:r>
      <w:r>
        <w:rPr>
          <w:rFonts w:hint="eastAsia" w:ascii="楷体_GB2312" w:hAnsi="楷体_GB2312" w:eastAsia="楷体_GB2312" w:cs="楷体_GB2312"/>
          <w:color w:val="auto"/>
          <w:sz w:val="20"/>
          <w:szCs w:val="21"/>
          <w:lang w:eastAsia="zh-CN"/>
        </w:rPr>
        <w:t>有</w:t>
      </w:r>
      <w:r>
        <w:rPr>
          <w:rFonts w:hint="eastAsia" w:ascii="楷体_GB2312" w:hAnsi="楷体_GB2312" w:eastAsia="楷体_GB2312" w:cs="楷体_GB2312"/>
          <w:color w:val="auto"/>
          <w:sz w:val="20"/>
          <w:szCs w:val="21"/>
        </w:rPr>
        <w:t>前期服务机构，应</w:t>
      </w:r>
      <w:r>
        <w:rPr>
          <w:rFonts w:hint="eastAsia" w:ascii="楷体_GB2312" w:hAnsi="楷体_GB2312" w:eastAsia="楷体_GB2312" w:cs="楷体_GB2312"/>
          <w:color w:val="auto"/>
          <w:sz w:val="20"/>
          <w:szCs w:val="21"/>
          <w:lang w:eastAsia="zh-CN"/>
        </w:rPr>
        <w:t>公开披露其名称及本公告发布前其最终完成的工作成果</w:t>
      </w:r>
      <w:r>
        <w:rPr>
          <w:rFonts w:hint="eastAsia" w:ascii="楷体_GB2312" w:hAnsi="楷体_GB2312" w:eastAsia="楷体_GB2312" w:cs="楷体_GB2312"/>
          <w:color w:val="auto"/>
          <w:sz w:val="20"/>
          <w:szCs w:val="21"/>
        </w:rPr>
        <w:t>（含电子文件</w:t>
      </w:r>
      <w:r>
        <w:rPr>
          <w:rFonts w:hint="eastAsia" w:ascii="楷体_GB2312" w:hAnsi="楷体_GB2312" w:eastAsia="楷体_GB2312" w:cs="楷体_GB2312"/>
          <w:color w:val="auto"/>
          <w:sz w:val="20"/>
          <w:szCs w:val="21"/>
          <w:lang w:eastAsia="zh-CN"/>
        </w:rPr>
        <w:t>，有保密要求不宜对外公布的除外</w:t>
      </w:r>
      <w:r>
        <w:rPr>
          <w:rFonts w:hint="eastAsia" w:ascii="楷体_GB2312" w:hAnsi="楷体_GB2312" w:eastAsia="楷体_GB2312" w:cs="楷体_GB2312"/>
          <w:color w:val="auto"/>
          <w:sz w:val="20"/>
          <w:szCs w:val="21"/>
        </w:rPr>
        <w:t>）</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否则前期参与的服务机构中标无效。</w:t>
      </w:r>
    </w:p>
    <w:p w14:paraId="34D31BCE">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left"/>
        <w:textAlignment w:val="auto"/>
        <w:rPr>
          <w:rFonts w:hint="default" w:ascii="宋体" w:hAnsi="宋体" w:eastAsia="宋体" w:cs="Times New Roman"/>
          <w:color w:val="auto"/>
          <w:sz w:val="21"/>
          <w:szCs w:val="21"/>
          <w:highlight w:val="none"/>
          <w:lang w:eastAsia="zh-CN"/>
        </w:rPr>
      </w:pPr>
      <w:r>
        <w:rPr>
          <w:rFonts w:hint="default" w:ascii="宋体" w:hAnsi="宋体" w:eastAsia="宋体" w:cs="Times New Roman"/>
          <w:color w:val="auto"/>
          <w:sz w:val="21"/>
          <w:szCs w:val="21"/>
          <w:highlight w:val="none"/>
          <w:lang w:eastAsia="zh-CN"/>
        </w:rPr>
        <w:t>2.2.7 设计合理使用年限：各项目需达到招标文件要求且不低于相关规范作出的要求。</w:t>
      </w:r>
    </w:p>
    <w:p w14:paraId="55E4A1CD">
      <w:pPr>
        <w:pStyle w:val="3"/>
        <w:rPr>
          <w:rFonts w:hint="eastAsia"/>
          <w:color w:val="auto"/>
        </w:rPr>
      </w:pPr>
      <w:bookmarkStart w:id="25" w:name="bookmark4"/>
      <w:bookmarkEnd w:id="25"/>
      <w:bookmarkStart w:id="26" w:name="_Toc22036"/>
      <w:bookmarkStart w:id="27" w:name="_Toc31380"/>
      <w:bookmarkStart w:id="28" w:name="_Toc6675"/>
      <w:bookmarkStart w:id="29" w:name="_Toc31271"/>
      <w:bookmarkStart w:id="30" w:name="_Toc30484"/>
      <w:bookmarkStart w:id="31" w:name="_Toc19512"/>
      <w:r>
        <w:rPr>
          <w:rFonts w:hint="eastAsia"/>
          <w:color w:val="auto"/>
        </w:rPr>
        <w:t>3.投标人资格要求</w:t>
      </w:r>
      <w:bookmarkEnd w:id="26"/>
      <w:bookmarkEnd w:id="27"/>
      <w:bookmarkEnd w:id="28"/>
      <w:bookmarkEnd w:id="29"/>
      <w:bookmarkEnd w:id="30"/>
      <w:bookmarkEnd w:id="31"/>
    </w:p>
    <w:p w14:paraId="3D78852F">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rPr>
        <w:t>3.1</w:t>
      </w:r>
      <w:r>
        <w:rPr>
          <w:rFonts w:hint="eastAsia" w:eastAsia="宋体" w:cs="宋体"/>
          <w:color w:val="auto"/>
          <w:lang w:val="en-US" w:eastAsia="zh-CN"/>
        </w:rPr>
        <w:t xml:space="preserve">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6794B300">
      <w:pPr>
        <w:pStyle w:val="5"/>
        <w:keepNext w:val="0"/>
        <w:keepLines w:val="0"/>
        <w:pageBreakBefore w:val="0"/>
        <w:widowControl w:val="0"/>
        <w:numPr>
          <w:ilvl w:val="0"/>
          <w:numId w:val="0"/>
        </w:numPr>
        <w:tabs>
          <w:tab w:val="left" w:pos="2812"/>
          <w:tab w:val="left" w:pos="3986"/>
        </w:tabs>
        <w:kinsoku w:val="0"/>
        <w:wordWrap/>
        <w:overflowPunct w:val="0"/>
        <w:topLinePunct w:val="0"/>
        <w:autoSpaceDE w:val="0"/>
        <w:autoSpaceDN w:val="0"/>
        <w:bidi w:val="0"/>
        <w:adjustRightInd/>
        <w:snapToGrid/>
        <w:spacing w:line="360" w:lineRule="auto"/>
        <w:ind w:right="223" w:firstLine="420" w:firstLineChars="200"/>
        <w:jc w:val="both"/>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3.2 </w:t>
      </w:r>
      <w:r>
        <w:rPr>
          <w:rFonts w:hint="eastAsia" w:ascii="宋体" w:hAnsi="宋体" w:eastAsia="宋体" w:cs="宋体"/>
          <w:color w:val="auto"/>
          <w:sz w:val="21"/>
          <w:szCs w:val="21"/>
          <w:highlight w:val="none"/>
        </w:rPr>
        <w:t>投标人是法人或其他组织，按国家法律经营</w:t>
      </w:r>
      <w:r>
        <w:rPr>
          <w:rFonts w:hint="eastAsia" w:ascii="宋体" w:hAnsi="宋体" w:eastAsia="宋体" w:cs="宋体"/>
          <w:color w:val="auto"/>
          <w:lang w:eastAsia="zh-CN"/>
        </w:rPr>
        <w:t>。</w:t>
      </w:r>
    </w:p>
    <w:p w14:paraId="2FD318BE">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0" w:firstLineChars="200"/>
        <w:jc w:val="left"/>
        <w:textAlignment w:val="auto"/>
        <w:rPr>
          <w:rFonts w:hint="eastAsia" w:ascii="宋体" w:hAnsi="宋体" w:eastAsia="宋体" w:cs="宋体"/>
          <w:color w:val="auto"/>
          <w:spacing w:val="2"/>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pacing w:val="2"/>
        </w:rPr>
        <w:t>投标人须具备建设行政主管部门颁发的（1）、（2）资质：</w:t>
      </w:r>
    </w:p>
    <w:p w14:paraId="3D917938">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8" w:firstLineChars="200"/>
        <w:jc w:val="left"/>
        <w:textAlignment w:val="auto"/>
        <w:rPr>
          <w:rFonts w:hint="eastAsia" w:ascii="宋体" w:hAnsi="宋体" w:eastAsia="宋体" w:cs="宋体"/>
          <w:color w:val="auto"/>
          <w:spacing w:val="2"/>
        </w:rPr>
      </w:pPr>
      <w:r>
        <w:rPr>
          <w:rFonts w:hint="eastAsia" w:ascii="宋体" w:hAnsi="宋体" w:eastAsia="宋体" w:cs="宋体"/>
          <w:color w:val="auto"/>
          <w:spacing w:val="2"/>
        </w:rPr>
        <w:t>（1）工程勘察资质：</w:t>
      </w:r>
      <w:r>
        <w:rPr>
          <w:rFonts w:hint="eastAsia" w:ascii="宋体" w:hAnsi="宋体" w:eastAsia="宋体" w:cs="宋体"/>
          <w:color w:val="auto"/>
          <w:sz w:val="21"/>
          <w:szCs w:val="21"/>
          <w:u w:val="single"/>
          <w:lang w:eastAsia="zh-CN"/>
        </w:rPr>
        <w:t>工程勘察综合类甲级资质；或同时具备工程勘察专业类（岩土工程）甲级和工程勘察专业类（工程测量）</w:t>
      </w:r>
      <w:r>
        <w:rPr>
          <w:rFonts w:hint="eastAsia" w:cs="宋体"/>
          <w:color w:val="auto"/>
          <w:sz w:val="21"/>
          <w:szCs w:val="21"/>
          <w:u w:val="single"/>
          <w:lang w:eastAsia="zh-CN"/>
        </w:rPr>
        <w:t>丙</w:t>
      </w:r>
      <w:r>
        <w:rPr>
          <w:rFonts w:hint="eastAsia" w:ascii="宋体" w:hAnsi="宋体" w:eastAsia="宋体" w:cs="宋体"/>
          <w:color w:val="auto"/>
          <w:sz w:val="21"/>
          <w:szCs w:val="21"/>
          <w:u w:val="single"/>
          <w:lang w:eastAsia="zh-CN"/>
        </w:rPr>
        <w:t>级（或以上）资质；或同时具备工程勘察专业类（岩土工程勘察）甲级和工程勘察专业类（工程测量）</w:t>
      </w:r>
      <w:r>
        <w:rPr>
          <w:rFonts w:hint="eastAsia" w:cs="宋体"/>
          <w:color w:val="auto"/>
          <w:sz w:val="21"/>
          <w:szCs w:val="21"/>
          <w:u w:val="single"/>
          <w:lang w:eastAsia="zh-CN"/>
        </w:rPr>
        <w:t>丙</w:t>
      </w:r>
      <w:r>
        <w:rPr>
          <w:rFonts w:hint="eastAsia" w:ascii="宋体" w:hAnsi="宋体" w:eastAsia="宋体" w:cs="宋体"/>
          <w:color w:val="auto"/>
          <w:sz w:val="21"/>
          <w:szCs w:val="21"/>
          <w:u w:val="single"/>
          <w:lang w:eastAsia="zh-CN"/>
        </w:rPr>
        <w:t>级（或以上）资质。</w:t>
      </w:r>
    </w:p>
    <w:p w14:paraId="30C98AC4">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8" w:firstLineChars="200"/>
        <w:jc w:val="left"/>
        <w:textAlignment w:val="auto"/>
        <w:rPr>
          <w:rFonts w:hint="eastAsia" w:eastAsia="宋体" w:cs="宋体"/>
          <w:color w:val="auto"/>
          <w:lang w:eastAsia="zh-CN"/>
        </w:rPr>
      </w:pPr>
      <w:r>
        <w:rPr>
          <w:rFonts w:hint="eastAsia" w:ascii="宋体" w:hAnsi="宋体" w:eastAsia="宋体" w:cs="宋体"/>
          <w:color w:val="auto"/>
          <w:spacing w:val="2"/>
        </w:rPr>
        <w:t>（2）工程设计资质：</w:t>
      </w:r>
      <w:r>
        <w:rPr>
          <w:rFonts w:hint="eastAsia" w:ascii="宋体" w:hAnsi="宋体" w:eastAsia="宋体" w:cs="宋体"/>
          <w:color w:val="auto"/>
          <w:sz w:val="21"/>
          <w:szCs w:val="21"/>
          <w:u w:val="single"/>
          <w:lang w:eastAsia="zh-CN"/>
        </w:rPr>
        <w:t>工程设计综合甲级资质；或工程设计市政行业甲级资质；或工程设计市政行业（道路工程专业甲级）资质。</w:t>
      </w:r>
    </w:p>
    <w:p w14:paraId="02C8E039">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eastAsia="宋体" w:cs="宋体"/>
          <w:color w:val="auto"/>
          <w:lang w:val="en-US" w:eastAsia="zh-CN"/>
        </w:rPr>
      </w:pPr>
      <w:r>
        <w:rPr>
          <w:rFonts w:hint="eastAsia" w:eastAsia="宋体" w:cs="宋体"/>
          <w:color w:val="auto"/>
          <w:lang w:val="en-US" w:eastAsia="zh-CN"/>
        </w:rPr>
        <w:t>对应所设置资质要求的勘察设计规模指标：</w:t>
      </w:r>
    </w:p>
    <w:p w14:paraId="02D01ED9">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u w:val="single"/>
        </w:rPr>
        <w:sym w:font="Wingdings 2" w:char="0052"/>
      </w:r>
      <w:r>
        <w:rPr>
          <w:rFonts w:hint="eastAsia" w:ascii="宋体" w:hAnsi="宋体" w:eastAsia="宋体" w:cs="宋体"/>
          <w:color w:val="auto"/>
          <w:sz w:val="21"/>
          <w:szCs w:val="21"/>
          <w:u w:val="single"/>
          <w:lang w:eastAsia="zh-CN"/>
        </w:rPr>
        <w:t>城市主干道</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城市次干路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□城市</w:t>
      </w:r>
      <w:r>
        <w:rPr>
          <w:rFonts w:hint="eastAsia" w:ascii="宋体" w:hAnsi="宋体" w:eastAsia="宋体" w:cs="宋体"/>
          <w:color w:val="auto"/>
          <w:sz w:val="21"/>
          <w:szCs w:val="21"/>
          <w:u w:val="single"/>
          <w:lang w:eastAsia="zh-CN"/>
        </w:rPr>
        <w:t>支路</w:t>
      </w:r>
      <w:r>
        <w:rPr>
          <w:rFonts w:hint="eastAsia" w:ascii="宋体" w:hAnsi="宋体" w:eastAsia="宋体" w:cs="宋体"/>
          <w:color w:val="auto"/>
          <w:sz w:val="21"/>
          <w:szCs w:val="21"/>
          <w:u w:val="single"/>
          <w:lang w:val="en-US" w:eastAsia="zh-CN"/>
        </w:rPr>
        <w:t xml:space="preserve">  </w:t>
      </w:r>
      <w:r>
        <w:rPr>
          <w:rFonts w:hint="eastAsia" w:cs="宋体"/>
          <w:color w:val="auto"/>
          <w:sz w:val="21"/>
          <w:szCs w:val="21"/>
          <w:u w:val="single"/>
          <w:lang w:eastAsia="zh-CN"/>
        </w:rPr>
        <w:t>□</w:t>
      </w:r>
      <w:r>
        <w:rPr>
          <w:rFonts w:hint="eastAsia" w:ascii="宋体" w:hAnsi="宋体" w:eastAsia="宋体" w:cs="宋体"/>
          <w:color w:val="auto"/>
          <w:sz w:val="21"/>
          <w:szCs w:val="21"/>
          <w:u w:val="single"/>
          <w:lang w:eastAsia="zh-CN"/>
        </w:rPr>
        <w:t>桥梁单跨≥</w:t>
      </w:r>
      <w:r>
        <w:rPr>
          <w:rFonts w:hint="eastAsia" w:ascii="宋体" w:hAnsi="宋体" w:eastAsia="宋体" w:cs="宋体"/>
          <w:color w:val="auto"/>
          <w:sz w:val="21"/>
          <w:szCs w:val="21"/>
          <w:u w:val="single"/>
          <w:lang w:val="en-US" w:eastAsia="zh-CN"/>
        </w:rPr>
        <w:t>40米、总长</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100米</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5</w:t>
      </w:r>
      <w:r>
        <w:rPr>
          <w:rFonts w:hint="eastAsia" w:cs="宋体"/>
          <w:color w:val="auto"/>
          <w:sz w:val="21"/>
          <w:szCs w:val="21"/>
          <w:u w:val="single"/>
          <w:lang w:val="en-US" w:eastAsia="zh-CN"/>
        </w:rPr>
        <w:t>km</w:t>
      </w:r>
      <w:r>
        <w:rPr>
          <w:rFonts w:hint="eastAsia" w:ascii="宋体" w:hAnsi="宋体" w:eastAsia="宋体" w:cs="宋体"/>
          <w:color w:val="auto"/>
          <w:sz w:val="21"/>
          <w:szCs w:val="21"/>
          <w:u w:val="single"/>
          <w:lang w:val="en-US" w:eastAsia="zh-CN"/>
        </w:rPr>
        <w:t>及以下线路工程测量）</w:t>
      </w:r>
    </w:p>
    <w:p w14:paraId="65258A93">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注：（1）国内申请人具体资质要求按照《建设工程勘察设计资质管理规定》（建设部令第160号）、《工程勘察、工程设计资质分级标准补充规定》（建设〔2001〕178号）、《工程设计资质标准》（建市〔2007〕86号）、《建设工程勘察设计资质管理规定实施意见》（建市[2007]202号）、《工程勘察资质标准》（建市[2013]9号）、《住房城乡建设部关于促进建筑工程设计事务所发展有关事项的通知》（建市〔2016〕261号）填写。</w:t>
      </w:r>
    </w:p>
    <w:p w14:paraId="2230ED52">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（2）工程勘察、工程设计企业资质证书有效期按</w:t>
      </w:r>
      <w:r>
        <w:rPr>
          <w:rFonts w:hint="eastAsia" w:ascii="楷体_GB2312" w:hAnsi="楷体_GB2312" w:eastAsia="楷体_GB2312" w:cs="楷体_GB2312"/>
          <w:color w:val="auto"/>
          <w:kern w:val="2"/>
          <w:sz w:val="21"/>
          <w:szCs w:val="21"/>
          <w:lang w:val="en-US" w:eastAsia="zh-CN" w:bidi="ar-SA"/>
        </w:rPr>
        <w:t>《住房城乡建设部关于简化建筑业企业资质标准部分指标的通知》(建市〔2016〕226号)、《住房和城乡建设部关于印发建设工程企业资质管理制度改革方案的通知》（建市〔2020〕94号、</w:t>
      </w:r>
      <w:r>
        <w:rPr>
          <w:rFonts w:hint="eastAsia" w:ascii="楷体_GB2312" w:hAnsi="楷体_GB2312" w:eastAsia="楷体_GB2312" w:cs="楷体_GB2312"/>
          <w:color w:val="auto"/>
          <w:sz w:val="20"/>
          <w:szCs w:val="21"/>
        </w:rPr>
        <w:t>《住房和城乡建设部办公厅关于做好建筑业“证照分离”改革衔接有关工作的通知》（建办市〔2021〕30号）、《住房和城乡建设部办公厅关于建设工程企业资质统一延续有关事项的通知》（建办市函〔2021〕510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《广东省住房和城乡建设厅关于建设工程企业资质有效期延期的通知》（粤建许函〔2021〕849号）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《住房和城乡建设部办公厅关于建设工程企业资质有关事宜的通知》（建办市函〔2022〕361号）、《广东省住房和城乡建设厅关于建设工程企业资质有关事宜的通知》（粤建许函〔2022〕846号）、</w:t>
      </w:r>
      <w:r>
        <w:rPr>
          <w:rFonts w:hint="eastAsia" w:ascii="楷体_GB2312" w:hAnsi="楷体_GB2312" w:eastAsia="楷体_GB2312" w:cs="楷体_GB2312"/>
          <w:color w:val="auto"/>
          <w:sz w:val="20"/>
          <w:szCs w:val="21"/>
          <w:lang w:eastAsia="zh-CN"/>
        </w:rPr>
        <w:t>《住房和城乡建设部关于进一步加强建设工程企业资质审批管理工作的通知》（建市规</w:t>
      </w:r>
      <w:r>
        <w:rPr>
          <w:rFonts w:hint="eastAsia" w:ascii="楷体_GB2312" w:hAnsi="楷体_GB2312" w:eastAsia="楷体_GB2312" w:cs="楷体_GB2312"/>
          <w:color w:val="auto"/>
          <w:sz w:val="20"/>
          <w:szCs w:val="21"/>
        </w:rPr>
        <w:t>〔20</w:t>
      </w:r>
      <w:r>
        <w:rPr>
          <w:rFonts w:hint="eastAsia" w:ascii="楷体_GB2312" w:hAnsi="楷体_GB2312" w:eastAsia="楷体_GB2312" w:cs="楷体_GB2312"/>
          <w:color w:val="auto"/>
          <w:sz w:val="20"/>
          <w:szCs w:val="21"/>
          <w:lang w:val="en-US" w:eastAsia="zh-CN"/>
        </w:rPr>
        <w:t>23</w:t>
      </w:r>
      <w:r>
        <w:rPr>
          <w:rFonts w:hint="eastAsia" w:ascii="楷体_GB2312" w:hAnsi="楷体_GB2312" w:eastAsia="楷体_GB2312" w:cs="楷体_GB2312"/>
          <w:color w:val="auto"/>
          <w:sz w:val="20"/>
          <w:szCs w:val="21"/>
        </w:rPr>
        <w:t>〕</w:t>
      </w:r>
      <w:r>
        <w:rPr>
          <w:rFonts w:hint="eastAsia" w:ascii="楷体_GB2312" w:hAnsi="楷体_GB2312" w:eastAsia="楷体_GB2312" w:cs="楷体_GB2312"/>
          <w:color w:val="auto"/>
          <w:sz w:val="20"/>
          <w:szCs w:val="21"/>
          <w:lang w:val="en-US" w:eastAsia="zh-CN"/>
        </w:rPr>
        <w:t>3号）、</w:t>
      </w:r>
      <w:r>
        <w:rPr>
          <w:rFonts w:hint="eastAsia" w:ascii="楷体_GB2312" w:hAnsi="楷体_GB2312" w:eastAsia="楷体_GB2312" w:cs="楷体_GB2312"/>
          <w:color w:val="auto"/>
          <w:sz w:val="20"/>
          <w:szCs w:val="21"/>
        </w:rPr>
        <w:t>《住房城乡建设部办公厅关于做好有关建设工程企业资质证书换领和延续工作的通知》（建办市〔2023〕47号）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楷体_GB2312" w:hAnsi="楷体_GB2312" w:eastAsia="楷体_GB2312" w:cs="楷体_GB2312"/>
          <w:color w:val="auto"/>
          <w:sz w:val="20"/>
          <w:szCs w:val="21"/>
          <w:lang w:val="en-US" w:eastAsia="zh-CN"/>
        </w:rPr>
        <w:t>《广东省住房和城乡建设厅关于做好有关建设工程企业资质证书换领工作的通知》（粤建许函〔2024〕124号）</w:t>
      </w:r>
      <w:r>
        <w:rPr>
          <w:rFonts w:hint="eastAsia" w:ascii="楷体_GB2312" w:hAnsi="楷体_GB2312" w:eastAsia="楷体_GB2312" w:cs="楷体_GB2312"/>
          <w:color w:val="auto"/>
          <w:sz w:val="20"/>
          <w:szCs w:val="21"/>
        </w:rPr>
        <w:t>等相关规定执行。根据上述文件的要求，投标人需办理企业资质有效期延续的，应当按照相关规定及时办理。</w:t>
      </w:r>
      <w:r>
        <w:rPr>
          <w:rFonts w:hint="eastAsia" w:ascii="楷体_GB2312" w:hAnsi="楷体_GB2312" w:eastAsia="楷体_GB2312" w:cs="楷体_GB2312"/>
          <w:color w:val="auto"/>
          <w:kern w:val="2"/>
          <w:sz w:val="21"/>
          <w:szCs w:val="21"/>
          <w:lang w:val="en-US" w:eastAsia="zh-CN" w:bidi="ar-SA"/>
        </w:rPr>
        <w:t>招标期间如行政主管部门对建设工程企业资质有效期发布新规定的，按新规定相应调整执行。</w:t>
      </w:r>
      <w:r>
        <w:rPr>
          <w:rFonts w:hint="eastAsia" w:ascii="楷体_GB2312" w:hAnsi="楷体_GB2312" w:eastAsia="楷体_GB2312" w:cs="楷体_GB2312"/>
          <w:color w:val="auto"/>
          <w:sz w:val="20"/>
          <w:szCs w:val="21"/>
        </w:rPr>
        <w:t xml:space="preserve"> </w:t>
      </w:r>
    </w:p>
    <w:p w14:paraId="17D59B70">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3）香港企业独立参加投标的，须在广东省住房和城乡建设主管部门备案且备案的业务范围应符合本招标项目对工程勘察、设计资质的要求。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楷体_GB2312" w:hAnsi="楷体_GB2312" w:eastAsia="楷体_GB2312" w:cs="楷体_GB2312"/>
          <w:color w:val="auto"/>
          <w:sz w:val="20"/>
          <w:szCs w:val="21"/>
        </w:rPr>
        <w:fldChar w:fldCharType="begin"/>
      </w:r>
      <w:r>
        <w:rPr>
          <w:rFonts w:hint="eastAsia" w:ascii="楷体_GB2312" w:hAnsi="楷体_GB2312" w:eastAsia="楷体_GB2312" w:cs="楷体_GB2312"/>
          <w:color w:val="auto"/>
          <w:sz w:val="20"/>
          <w:szCs w:val="21"/>
        </w:rPr>
        <w:instrText xml:space="preserve"> HYPERLINK "http://zfcxjst.gd.gov.cn/xxgk/wjtz/content/post_3137220.html）确定。香港企业须提供满足招标文件要求的相应资质证书及备案证明资料扫描件。" </w:instrText>
      </w:r>
      <w:r>
        <w:rPr>
          <w:rFonts w:hint="eastAsia" w:ascii="楷体_GB2312" w:hAnsi="楷体_GB2312" w:eastAsia="楷体_GB2312" w:cs="楷体_GB2312"/>
          <w:color w:val="auto"/>
          <w:sz w:val="20"/>
          <w:szCs w:val="21"/>
        </w:rPr>
        <w:fldChar w:fldCharType="separate"/>
      </w:r>
      <w:r>
        <w:rPr>
          <w:rFonts w:hint="eastAsia" w:ascii="楷体_GB2312" w:hAnsi="楷体_GB2312" w:eastAsia="楷体_GB2312" w:cs="楷体_GB2312"/>
          <w:color w:val="auto"/>
          <w:sz w:val="20"/>
          <w:szCs w:val="21"/>
        </w:rPr>
        <w:t>http://zfcxjst.gd.gov.cn/xxgk/wjtz/content/post_3137220.html）确定。香港企业须提供满足招标文件要求的相应资质证书及备案证明资料扫描件。</w:t>
      </w:r>
      <w:r>
        <w:rPr>
          <w:rFonts w:hint="eastAsia" w:ascii="楷体_GB2312" w:hAnsi="楷体_GB2312" w:eastAsia="楷体_GB2312" w:cs="楷体_GB2312"/>
          <w:color w:val="auto"/>
          <w:sz w:val="20"/>
          <w:szCs w:val="21"/>
        </w:rPr>
        <w:fldChar w:fldCharType="end"/>
      </w:r>
    </w:p>
    <w:p w14:paraId="02DD1B85">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20" w:firstLineChars="200"/>
        <w:jc w:val="both"/>
        <w:textAlignment w:val="auto"/>
        <w:rPr>
          <w:rFonts w:hint="default" w:ascii="宋体" w:hAnsi="宋体" w:eastAsia="宋体" w:cs="宋体"/>
          <w:color w:val="auto"/>
          <w:highlight w:val="yellow"/>
          <w:u w:val="none"/>
          <w:lang w:val="en-US" w:eastAsia="zh-CN"/>
        </w:rPr>
      </w:pPr>
      <w:r>
        <w:rPr>
          <w:rFonts w:hint="eastAsia" w:ascii="宋体" w:hAnsi="宋体" w:eastAsia="宋体" w:cs="宋体"/>
          <w:color w:val="auto"/>
        </w:rPr>
        <w:t>3.</w:t>
      </w:r>
      <w:r>
        <w:rPr>
          <w:rFonts w:hint="eastAsia" w:ascii="宋体" w:hAnsi="宋体" w:eastAsia="宋体" w:cs="宋体"/>
          <w:color w:val="auto"/>
          <w:lang w:val="en-US" w:eastAsia="zh-CN"/>
        </w:rPr>
        <w:t>4 投标人</w:t>
      </w:r>
      <w:r>
        <w:rPr>
          <w:rFonts w:hint="eastAsia" w:ascii="宋体" w:hAnsi="宋体" w:eastAsia="宋体" w:cs="宋体"/>
          <w:color w:val="auto"/>
        </w:rPr>
        <w:t>拟委派</w:t>
      </w:r>
      <w:r>
        <w:rPr>
          <w:rFonts w:hint="eastAsia" w:ascii="宋体" w:hAnsi="宋体" w:eastAsia="宋体" w:cs="宋体"/>
          <w:color w:val="auto"/>
          <w:lang w:eastAsia="zh-CN"/>
        </w:rPr>
        <w:t>的</w:t>
      </w:r>
      <w:r>
        <w:rPr>
          <w:rFonts w:hint="eastAsia" w:ascii="宋体" w:hAnsi="宋体" w:eastAsia="宋体" w:cs="宋体"/>
          <w:color w:val="auto"/>
        </w:rPr>
        <w:t>项目负责人须具备</w:t>
      </w:r>
      <w:r>
        <w:rPr>
          <w:rFonts w:hint="eastAsia" w:ascii="宋体" w:hAnsi="宋体" w:eastAsia="宋体" w:cs="宋体"/>
          <w:color w:val="auto"/>
          <w:u w:val="single"/>
          <w:lang w:val="en-US" w:eastAsia="zh-CN"/>
        </w:rPr>
        <w:t>市政或路桥或道桥专业（含相近专业）高级工程师或以上资格，或从事本专业工作10年以上的工程师资格，或在广东省住房和城乡建设主管部门备案且备案的业务范围符合本招标项目对项目负责人要求的香港专业人士</w:t>
      </w:r>
      <w:r>
        <w:rPr>
          <w:rFonts w:hint="eastAsia" w:ascii="宋体" w:hAnsi="宋体" w:eastAsia="宋体" w:cs="宋体"/>
          <w:color w:val="auto"/>
          <w:u w:val="single"/>
        </w:rPr>
        <w:t>。</w:t>
      </w:r>
      <w:r>
        <w:rPr>
          <w:rFonts w:hint="eastAsia" w:ascii="宋体" w:hAnsi="宋体" w:eastAsia="宋体" w:cs="宋体"/>
          <w:color w:val="auto"/>
          <w:sz w:val="21"/>
          <w:szCs w:val="21"/>
          <w:highlight w:val="none"/>
          <w:u w:val="single"/>
        </w:rPr>
        <w:t>需提供离投标截止时间最近</w:t>
      </w:r>
      <w:r>
        <w:rPr>
          <w:rFonts w:hint="eastAsia" w:ascii="宋体" w:hAnsi="宋体" w:eastAsia="宋体" w:cs="宋体"/>
          <w:color w:val="auto"/>
          <w:sz w:val="21"/>
          <w:szCs w:val="21"/>
          <w:highlight w:val="none"/>
          <w:u w:val="single"/>
          <w:lang w:val="en-US" w:eastAsia="zh-CN"/>
        </w:rPr>
        <w:t>的至少</w:t>
      </w:r>
      <w:r>
        <w:rPr>
          <w:rFonts w:hint="eastAsia"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个月</w:t>
      </w:r>
      <w:r>
        <w:rPr>
          <w:rFonts w:hint="eastAsia" w:eastAsia="宋体" w:cs="宋体"/>
          <w:color w:val="auto"/>
          <w:sz w:val="21"/>
          <w:szCs w:val="21"/>
          <w:highlight w:val="none"/>
          <w:u w:val="single"/>
          <w:lang w:eastAsia="zh-CN"/>
        </w:rPr>
        <w:t>（即</w:t>
      </w:r>
      <w:r>
        <w:rPr>
          <w:rFonts w:hint="eastAsia" w:eastAsia="宋体" w:cs="宋体"/>
          <w:color w:val="auto"/>
          <w:sz w:val="21"/>
          <w:szCs w:val="21"/>
          <w:highlight w:val="none"/>
          <w:u w:val="single"/>
          <w:lang w:val="en-US" w:eastAsia="zh-CN"/>
        </w:rPr>
        <w:t>2025年4月）</w:t>
      </w:r>
      <w:r>
        <w:rPr>
          <w:rFonts w:hint="eastAsia" w:ascii="宋体" w:hAnsi="宋体" w:eastAsia="宋体" w:cs="宋体"/>
          <w:color w:val="auto"/>
          <w:sz w:val="21"/>
          <w:szCs w:val="21"/>
          <w:highlight w:val="none"/>
          <w:u w:val="single"/>
        </w:rPr>
        <w:t>在本单位缴纳的社保证明文件</w:t>
      </w:r>
      <w:r>
        <w:rPr>
          <w:rFonts w:hint="eastAsia" w:ascii="宋体" w:hAnsi="宋体" w:eastAsia="宋体" w:cs="宋体"/>
          <w:color w:val="auto"/>
          <w:sz w:val="21"/>
          <w:szCs w:val="21"/>
          <w:highlight w:val="none"/>
          <w:u w:val="single"/>
          <w:lang w:eastAsia="zh-CN"/>
        </w:rPr>
        <w:t>。</w:t>
      </w:r>
    </w:p>
    <w:p w14:paraId="1820572D">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00" w:firstLineChars="200"/>
        <w:jc w:val="both"/>
        <w:textAlignment w:val="auto"/>
        <w:rPr>
          <w:rFonts w:hint="eastAsia" w:ascii="楷体_GB2312" w:hAnsi="楷体_GB2312" w:eastAsia="楷体_GB2312" w:cs="楷体_GB2312"/>
          <w:color w:val="auto"/>
          <w:sz w:val="20"/>
          <w:szCs w:val="21"/>
          <w:lang w:val="en-US" w:eastAsia="zh-CN" w:bidi="ar-SA"/>
        </w:rPr>
      </w:pPr>
      <w:r>
        <w:rPr>
          <w:rFonts w:hint="eastAsia" w:ascii="楷体_GB2312" w:hAnsi="楷体_GB2312" w:eastAsia="楷体_GB2312" w:cs="楷体_GB2312"/>
          <w:color w:val="auto"/>
          <w:sz w:val="20"/>
          <w:szCs w:val="21"/>
          <w:lang w:val="en-US" w:eastAsia="zh-CN" w:bidi="ar-SA"/>
        </w:rPr>
        <w:t>注：（1）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w:t>
      </w:r>
    </w:p>
    <w:p w14:paraId="5B153ADC">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00" w:firstLineChars="200"/>
        <w:jc w:val="both"/>
        <w:textAlignment w:val="auto"/>
        <w:rPr>
          <w:rFonts w:hint="eastAsia" w:ascii="楷体_GB2312" w:hAnsi="楷体_GB2312" w:eastAsia="宋体" w:cs="楷体_GB2312"/>
          <w:color w:val="auto"/>
          <w:sz w:val="20"/>
          <w:szCs w:val="21"/>
          <w:lang w:val="en-US" w:eastAsia="zh-CN" w:bidi="ar-SA"/>
        </w:rPr>
      </w:pPr>
      <w:r>
        <w:rPr>
          <w:rFonts w:hint="eastAsia" w:ascii="楷体_GB2312" w:hAnsi="楷体_GB2312" w:eastAsia="楷体_GB2312" w:cs="楷体_GB2312"/>
          <w:color w:val="auto"/>
          <w:sz w:val="20"/>
          <w:szCs w:val="21"/>
          <w:lang w:val="en-US" w:eastAsia="zh-CN" w:bidi="ar-SA"/>
        </w:rPr>
        <w:t>（2）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14:paraId="05049853">
      <w:pPr>
        <w:pStyle w:val="4"/>
        <w:rPr>
          <w:rFonts w:hint="default" w:ascii="楷体_GB2312" w:hAnsi="楷体_GB2312" w:eastAsia="楷体_GB2312" w:cs="楷体_GB2312"/>
          <w:color w:val="auto"/>
          <w:kern w:val="0"/>
          <w:sz w:val="20"/>
          <w:szCs w:val="21"/>
          <w:lang w:val="en-US" w:eastAsia="zh-CN" w:bidi="ar-SA"/>
        </w:rPr>
      </w:pPr>
      <w:r>
        <w:rPr>
          <w:rFonts w:hint="eastAsia" w:ascii="宋体" w:hAnsi="宋体" w:eastAsia="宋体" w:cs="宋体"/>
          <w:color w:val="auto"/>
          <w:sz w:val="21"/>
          <w:lang w:val="en-US" w:eastAsia="zh-CN" w:bidi="ar-SA"/>
        </w:rPr>
        <w:t>3.5  投标申请人业绩要求（</w:t>
      </w:r>
      <w:r>
        <w:rPr>
          <w:rFonts w:hint="eastAsia"/>
          <w:color w:val="auto"/>
          <w:sz w:val="21"/>
          <w:szCs w:val="21"/>
          <w:u w:val="none"/>
        </w:rPr>
        <w:sym w:font="Wingdings 2" w:char="00A3"/>
      </w:r>
      <w:r>
        <w:rPr>
          <w:rFonts w:hint="eastAsia" w:ascii="宋体" w:hAnsi="宋体" w:eastAsia="宋体" w:cs="宋体"/>
          <w:color w:val="auto"/>
          <w:sz w:val="21"/>
          <w:lang w:val="en-US" w:eastAsia="zh-CN" w:bidi="ar-SA"/>
        </w:rPr>
        <w:t>需要 /</w:t>
      </w:r>
      <w:r>
        <w:rPr>
          <w:rFonts w:hint="eastAsia"/>
          <w:color w:val="auto"/>
          <w:sz w:val="21"/>
          <w:szCs w:val="21"/>
          <w:u w:val="none"/>
          <w:lang w:eastAsia="zh-CN"/>
        </w:rPr>
        <w:t>☑</w:t>
      </w:r>
      <w:r>
        <w:rPr>
          <w:rFonts w:hint="eastAsia" w:ascii="宋体" w:hAnsi="宋体" w:eastAsia="宋体" w:cs="宋体"/>
          <w:color w:val="auto"/>
          <w:sz w:val="21"/>
          <w:lang w:val="en-US" w:eastAsia="zh-CN" w:bidi="ar-SA"/>
        </w:rPr>
        <w:t>不需要）</w:t>
      </w:r>
    </w:p>
    <w:p w14:paraId="2E701307">
      <w:pPr>
        <w:spacing w:line="400" w:lineRule="exact"/>
        <w:ind w:left="714" w:leftChars="208" w:hanging="298" w:hangingChars="142"/>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关于联合体投标：</w:t>
      </w:r>
    </w:p>
    <w:p w14:paraId="7A5C4908">
      <w:pPr>
        <w:spacing w:line="400" w:lineRule="exact"/>
        <w:ind w:firstLine="420" w:firstLineChars="2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3.6.1</w:t>
      </w: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lang w:eastAsia="zh-CN"/>
        </w:rPr>
        <w:t>（</w:t>
      </w:r>
      <w:r>
        <w:rPr>
          <w:rFonts w:hint="eastAsia"/>
          <w:color w:val="auto"/>
          <w:sz w:val="21"/>
          <w:szCs w:val="21"/>
          <w:u w:val="none"/>
        </w:rPr>
        <w:sym w:font="Wingdings 2" w:char="0052"/>
      </w:r>
      <w:r>
        <w:rPr>
          <w:rFonts w:hint="eastAsia"/>
          <w:color w:val="auto"/>
          <w:sz w:val="21"/>
          <w:szCs w:val="21"/>
          <w:u w:val="none"/>
          <w:lang w:eastAsia="zh-CN"/>
        </w:rPr>
        <w:t>接受</w:t>
      </w:r>
      <w:r>
        <w:rPr>
          <w:rFonts w:hint="eastAsia" w:ascii="宋体" w:hAnsi="宋体" w:eastAsia="宋体" w:cs="宋体"/>
          <w:color w:val="auto"/>
          <w:sz w:val="21"/>
          <w:lang w:val="en-US" w:eastAsia="zh-CN" w:bidi="ar-SA"/>
        </w:rPr>
        <w:t xml:space="preserve"> /</w:t>
      </w:r>
      <w:r>
        <w:rPr>
          <w:rFonts w:hint="eastAsia"/>
          <w:color w:val="auto"/>
          <w:sz w:val="21"/>
          <w:szCs w:val="21"/>
          <w:u w:val="none"/>
        </w:rPr>
        <w:t>□</w:t>
      </w:r>
      <w:r>
        <w:rPr>
          <w:rFonts w:hint="eastAsia" w:ascii="宋体" w:hAnsi="宋体" w:eastAsia="宋体" w:cs="宋体"/>
          <w:color w:val="auto"/>
          <w:sz w:val="21"/>
          <w:lang w:val="en-US" w:eastAsia="zh-CN" w:bidi="ar-SA"/>
        </w:rPr>
        <w:t>不接受）</w:t>
      </w:r>
      <w:r>
        <w:rPr>
          <w:rFonts w:hint="eastAsia" w:ascii="宋体" w:hAnsi="宋体" w:eastAsia="宋体" w:cs="宋体"/>
          <w:color w:val="auto"/>
          <w:sz w:val="21"/>
          <w:szCs w:val="21"/>
          <w:highlight w:val="none"/>
        </w:rPr>
        <w:t>联合体投标</w:t>
      </w:r>
      <w:r>
        <w:rPr>
          <w:rFonts w:hint="eastAsia" w:ascii="宋体" w:hAnsi="宋体" w:eastAsia="宋体" w:cs="宋体"/>
          <w:color w:val="auto"/>
          <w:sz w:val="21"/>
          <w:szCs w:val="21"/>
          <w:highlight w:val="none"/>
          <w:lang w:eastAsia="zh-CN"/>
        </w:rPr>
        <w:t>。</w:t>
      </w:r>
    </w:p>
    <w:p w14:paraId="69B613F5">
      <w:pPr>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3.6.2如</w:t>
      </w:r>
      <w:r>
        <w:rPr>
          <w:rFonts w:hint="eastAsia" w:ascii="宋体" w:hAnsi="宋体" w:eastAsia="宋体" w:cs="宋体"/>
          <w:color w:val="auto"/>
          <w:sz w:val="21"/>
          <w:szCs w:val="21"/>
          <w:highlight w:val="none"/>
        </w:rPr>
        <w:t>投标人组成联合体，应以</w:t>
      </w:r>
      <w:r>
        <w:rPr>
          <w:rFonts w:hint="eastAsia" w:ascii="宋体" w:hAnsi="宋体" w:eastAsia="宋体" w:cs="宋体"/>
          <w:color w:val="auto"/>
          <w:sz w:val="21"/>
          <w:szCs w:val="21"/>
          <w:highlight w:val="none"/>
          <w:u w:val="single"/>
        </w:rPr>
        <w:t>具备相应设计资质且承接设计任务的一方</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，并签定联合体共同投标协议。投标人拟任本工程项目负责人应为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正式员工。联合体共同投标协议应明确约定各方拟承担的工作和责任。</w:t>
      </w:r>
      <w:r>
        <w:rPr>
          <w:rFonts w:hint="eastAsia" w:ascii="宋体" w:hAnsi="宋体" w:eastAsia="宋体" w:cs="宋体"/>
          <w:color w:val="auto"/>
          <w:w w:val="100"/>
          <w:sz w:val="21"/>
          <w:szCs w:val="21"/>
          <w:highlight w:val="none"/>
        </w:rPr>
        <w:t>投标登记截止后</w:t>
      </w:r>
      <w:r>
        <w:rPr>
          <w:rFonts w:hint="eastAsia" w:ascii="宋体" w:hAnsi="宋体" w:eastAsia="宋体" w:cs="宋体"/>
          <w:color w:val="auto"/>
          <w:sz w:val="21"/>
          <w:szCs w:val="21"/>
          <w:highlight w:val="none"/>
        </w:rPr>
        <w:t>联合体增减、更换成员的，其投标无效。</w:t>
      </w:r>
    </w:p>
    <w:p w14:paraId="41CCF52C">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3.6.3如投标人组成联合体投标的，</w:t>
      </w:r>
      <w:r>
        <w:rPr>
          <w:rFonts w:hint="eastAsia" w:ascii="宋体" w:hAnsi="宋体" w:eastAsia="宋体" w:cs="宋体"/>
          <w:color w:val="auto"/>
          <w:sz w:val="21"/>
          <w:szCs w:val="21"/>
          <w:highlight w:val="none"/>
          <w:lang w:eastAsia="zh-CN"/>
        </w:rPr>
        <w:t>应满足下列要求：</w:t>
      </w:r>
    </w:p>
    <w:p w14:paraId="7C922682">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（1）由同一专业的单位组成的联合体，按照资质等级较低的单位确定资质等级。</w:t>
      </w:r>
    </w:p>
    <w:p w14:paraId="5C74E6CC">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（2）联合体各方不得再以自己名义单独或参加其他联合体在同一标段中投标。</w:t>
      </w:r>
    </w:p>
    <w:p w14:paraId="6CFA8A81">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3）按资质标准划分为多个资质的，应在联合体协议中明确承接每一个资质类别的成员单位；若联合体协议约定同一专业分工由两个及以上单位共同承担的，按照就低不就高的原则确定联合体的资质；不同专业分工由不同单位分别承担的，按照各自的专业资质确定联合体的资质。</w:t>
      </w:r>
    </w:p>
    <w:p w14:paraId="19F7EC3F">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4）联合体各方应分别按照本招标文件的要求，填写投标文件中的相应表格，并由联合体主办方负责对联合体各成员的资料进行统一汇总后一并提交给招标人；联合体主办方所提交的投标文件应认为已代表了联合体各成员的真实情况； </w:t>
      </w:r>
    </w:p>
    <w:p w14:paraId="34511FBD">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（5）尽管委任了联合体主办方，但联合体各成员在投标、签订合同与履行合同过程中，仍负有连带的和各自的法律责任。</w:t>
      </w:r>
    </w:p>
    <w:p w14:paraId="7CD2EC50">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（6）联合体各方（包括主办方及联合体成员）不得再单独或与其他单位组成联合体参与本项目投标，出现上述情况者，其投标和与此有关的联合体的投标将被拒绝。</w:t>
      </w:r>
    </w:p>
    <w:p w14:paraId="2CF6D120">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3.</w:t>
      </w:r>
      <w:r>
        <w:rPr>
          <w:rFonts w:hint="eastAsia" w:eastAsia="宋体" w:cs="宋体"/>
          <w:color w:val="auto"/>
          <w:lang w:val="en-US" w:eastAsia="zh-CN"/>
        </w:rPr>
        <w:t>7</w:t>
      </w:r>
      <w:r>
        <w:rPr>
          <w:rFonts w:hint="eastAsia" w:ascii="宋体" w:hAnsi="宋体" w:eastAsia="宋体" w:cs="宋体"/>
          <w:color w:val="auto"/>
        </w:rPr>
        <w:t xml:space="preserve"> 投标人（如为联合体，则联合体各方）</w:t>
      </w:r>
      <w:r>
        <w:rPr>
          <w:rFonts w:hint="eastAsia" w:ascii="宋体" w:hAnsi="宋体" w:eastAsia="宋体" w:cs="宋体"/>
          <w:color w:val="auto"/>
          <w:lang w:eastAsia="zh-CN"/>
        </w:rPr>
        <w:t>须</w:t>
      </w:r>
      <w:r>
        <w:rPr>
          <w:rFonts w:hint="eastAsia" w:ascii="宋体" w:hAnsi="宋体" w:eastAsia="宋体" w:cs="宋体"/>
          <w:color w:val="auto"/>
        </w:rPr>
        <w:t>在广州交易集团有限公司（广州公共资源交易中心）办理企业信息登记，及拟担任本工程项目负责人须是本企业在广州交易集团有限公司（广州公共资源交易中心）企业信息登记中的在册人员。</w:t>
      </w:r>
    </w:p>
    <w:p w14:paraId="76E21AF4">
      <w:pPr>
        <w:spacing w:line="400" w:lineRule="exact"/>
        <w:ind w:firstLine="420" w:firstLineChars="200"/>
        <w:jc w:val="both"/>
        <w:rPr>
          <w:rFonts w:hint="eastAsia" w:ascii="宋体" w:hAnsi="宋体" w:eastAsia="宋体" w:cs="宋体"/>
          <w:color w:val="auto"/>
          <w:szCs w:val="20"/>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如为联合体，则联合体各方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未出现招标文件第二章投标人须知第1.4.3项所规定的任何一种情形</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已按规定格式签名盖章《投标人声明》（按投标人提供的《投标人声明》内容进行评审）</w:t>
      </w:r>
      <w:r>
        <w:rPr>
          <w:rFonts w:hint="eastAsia" w:ascii="宋体" w:hAnsi="宋体" w:eastAsia="宋体" w:cs="宋体"/>
          <w:color w:val="auto"/>
          <w:sz w:val="21"/>
          <w:szCs w:val="21"/>
          <w:highlight w:val="none"/>
          <w:lang w:eastAsia="zh-CN"/>
        </w:rPr>
        <w:t>。</w:t>
      </w:r>
    </w:p>
    <w:p w14:paraId="4E5D989D">
      <w:pPr>
        <w:spacing w:line="400" w:lineRule="exact"/>
        <w:ind w:firstLine="420" w:firstLineChars="200"/>
        <w:jc w:val="both"/>
        <w:rPr>
          <w:rFonts w:hint="eastAsia" w:ascii="宋体" w:hAnsi="宋体" w:eastAsia="宋体" w:cs="宋体"/>
          <w:color w:val="auto"/>
          <w:sz w:val="21"/>
          <w:szCs w:val="20"/>
          <w:highlight w:val="none"/>
          <w:u w:val="single"/>
          <w:lang w:val="en-US" w:eastAsia="zh-CN" w:bidi="ar-SA"/>
        </w:rPr>
      </w:pPr>
      <w:r>
        <w:rPr>
          <w:rFonts w:hint="eastAsia" w:ascii="宋体" w:hAnsi="宋体" w:eastAsia="宋体" w:cs="宋体"/>
          <w:color w:val="auto"/>
          <w:sz w:val="21"/>
          <w:szCs w:val="20"/>
          <w:highlight w:val="none"/>
          <w:lang w:val="en-US" w:eastAsia="zh-CN" w:bidi="ar-SA"/>
        </w:rPr>
        <w:t>3.9在投标截止时间前，投标人（如为联合体，则联合体各方）未被列入拖欠农民工工资失信联合惩戒对象名单。</w:t>
      </w:r>
      <w:r>
        <w:rPr>
          <w:rFonts w:hint="eastAsia" w:ascii="宋体" w:hAnsi="宋体" w:eastAsia="宋体" w:cs="宋体"/>
          <w:color w:val="auto"/>
          <w:sz w:val="21"/>
          <w:szCs w:val="20"/>
          <w:highlight w:val="none"/>
          <w:u w:val="single"/>
          <w:lang w:val="en-US" w:eastAsia="zh-CN" w:bidi="ar-SA"/>
        </w:rPr>
        <w:t>（注：本项投标人无需提供资料，按投标截止时间交易系统比对结果进行评审）</w:t>
      </w:r>
    </w:p>
    <w:p w14:paraId="5921F566">
      <w:pPr>
        <w:spacing w:line="400" w:lineRule="exact"/>
        <w:ind w:firstLine="420" w:firstLineChars="200"/>
        <w:jc w:val="both"/>
        <w:rPr>
          <w:rFonts w:hint="default"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eastAsia="zh-CN" w:bidi="ar-SA"/>
        </w:rPr>
        <w:t>3.10政府投资项目，在投标截止时间前，</w:t>
      </w:r>
      <w:r>
        <w:rPr>
          <w:rFonts w:hint="default" w:ascii="宋体" w:hAnsi="宋体" w:eastAsia="宋体" w:cs="宋体"/>
          <w:color w:val="auto"/>
          <w:sz w:val="21"/>
          <w:szCs w:val="20"/>
          <w:highlight w:val="none"/>
          <w:lang w:val="en-US" w:eastAsia="zh-CN" w:bidi="ar-SA"/>
        </w:rPr>
        <w:t>投标人</w:t>
      </w:r>
      <w:r>
        <w:rPr>
          <w:rFonts w:hint="eastAsia" w:ascii="宋体" w:hAnsi="宋体" w:eastAsia="宋体" w:cs="宋体"/>
          <w:color w:val="auto"/>
          <w:sz w:val="21"/>
          <w:szCs w:val="20"/>
          <w:highlight w:val="none"/>
          <w:lang w:val="en-US" w:eastAsia="zh-CN" w:bidi="ar-SA"/>
        </w:rPr>
        <w:t>（如为联合体，则联合体各方）</w:t>
      </w:r>
      <w:r>
        <w:rPr>
          <w:rFonts w:hint="default" w:ascii="宋体" w:hAnsi="宋体" w:eastAsia="宋体" w:cs="宋体"/>
          <w:color w:val="auto"/>
          <w:sz w:val="21"/>
          <w:szCs w:val="20"/>
          <w:highlight w:val="none"/>
          <w:lang w:val="en-US" w:eastAsia="zh-CN" w:bidi="ar-SA"/>
        </w:rPr>
        <w:t>未被列入“</w:t>
      </w:r>
      <w:r>
        <w:rPr>
          <w:rFonts w:hint="eastAsia" w:ascii="宋体" w:hAnsi="宋体" w:eastAsia="宋体" w:cs="宋体"/>
          <w:color w:val="auto"/>
          <w:sz w:val="21"/>
          <w:szCs w:val="20"/>
          <w:highlight w:val="none"/>
          <w:lang w:val="en-US" w:eastAsia="zh-CN" w:bidi="ar-SA"/>
        </w:rPr>
        <w:t>失信被执行人</w:t>
      </w:r>
      <w:r>
        <w:rPr>
          <w:rFonts w:hint="default" w:ascii="宋体" w:hAnsi="宋体" w:eastAsia="宋体" w:cs="宋体"/>
          <w:color w:val="auto"/>
          <w:sz w:val="21"/>
          <w:szCs w:val="20"/>
          <w:highlight w:val="none"/>
          <w:lang w:val="en-US" w:eastAsia="zh-CN" w:bidi="ar-SA"/>
        </w:rPr>
        <w:t>”</w:t>
      </w:r>
      <w:r>
        <w:rPr>
          <w:rFonts w:hint="eastAsia" w:ascii="宋体" w:hAnsi="宋体" w:eastAsia="宋体" w:cs="宋体"/>
          <w:color w:val="auto"/>
          <w:sz w:val="21"/>
          <w:szCs w:val="20"/>
          <w:highlight w:val="none"/>
          <w:lang w:val="en-US" w:eastAsia="zh-CN" w:bidi="ar-SA"/>
        </w:rPr>
        <w:t>名单</w:t>
      </w:r>
      <w:r>
        <w:rPr>
          <w:rFonts w:hint="default" w:ascii="宋体" w:hAnsi="宋体" w:eastAsia="宋体" w:cs="宋体"/>
          <w:color w:val="auto"/>
          <w:sz w:val="21"/>
          <w:szCs w:val="20"/>
          <w:highlight w:val="none"/>
          <w:lang w:val="en-US" w:eastAsia="zh-CN" w:bidi="ar-SA"/>
        </w:rPr>
        <w:t>。</w:t>
      </w:r>
    </w:p>
    <w:p w14:paraId="604D5C3D">
      <w:pPr>
        <w:spacing w:line="400" w:lineRule="exact"/>
        <w:ind w:firstLine="400" w:firstLineChars="200"/>
        <w:jc w:val="both"/>
        <w:rPr>
          <w:rFonts w:hint="eastAsia" w:ascii="楷体_GB2312" w:hAnsi="楷体_GB2312" w:eastAsia="楷体_GB2312" w:cs="楷体_GB2312"/>
          <w:color w:val="auto"/>
          <w:sz w:val="20"/>
          <w:szCs w:val="21"/>
          <w:lang w:val="en-US" w:eastAsia="zh-CN" w:bidi="ar-SA"/>
        </w:rPr>
      </w:pPr>
      <w:r>
        <w:rPr>
          <w:rFonts w:hint="default" w:ascii="楷体_GB2312" w:hAnsi="楷体_GB2312" w:eastAsia="楷体_GB2312" w:cs="楷体_GB2312"/>
          <w:color w:val="auto"/>
          <w:sz w:val="20"/>
          <w:szCs w:val="21"/>
          <w:lang w:val="en-US" w:eastAsia="zh-CN" w:bidi="ar-SA"/>
        </w:rPr>
        <w:t>注：</w:t>
      </w:r>
      <w:r>
        <w:rPr>
          <w:rFonts w:hint="eastAsia" w:ascii="楷体_GB2312" w:hAnsi="楷体_GB2312" w:eastAsia="楷体_GB2312" w:cs="楷体_GB2312"/>
          <w:color w:val="auto"/>
          <w:sz w:val="20"/>
          <w:szCs w:val="21"/>
          <w:lang w:val="en-US" w:eastAsia="zh-CN" w:bidi="ar-SA"/>
        </w:rPr>
        <w:t>按</w:t>
      </w:r>
      <w:r>
        <w:rPr>
          <w:rFonts w:hint="default" w:ascii="楷体_GB2312" w:hAnsi="楷体_GB2312" w:eastAsia="楷体_GB2312" w:cs="楷体_GB2312"/>
          <w:color w:val="auto"/>
          <w:sz w:val="20"/>
          <w:szCs w:val="21"/>
          <w:lang w:val="en-US" w:eastAsia="zh-CN" w:bidi="ar-SA"/>
        </w:rPr>
        <w:t>《全国失信惩戒措施清单基础清单》（2024版）</w:t>
      </w:r>
      <w:r>
        <w:rPr>
          <w:rFonts w:hint="eastAsia" w:ascii="楷体_GB2312" w:hAnsi="楷体_GB2312" w:eastAsia="楷体_GB2312" w:cs="楷体_GB2312"/>
          <w:color w:val="auto"/>
          <w:sz w:val="20"/>
          <w:szCs w:val="21"/>
          <w:lang w:val="en-US" w:eastAsia="zh-CN" w:bidi="ar-SA"/>
        </w:rPr>
        <w:t>的有关规定执行。</w:t>
      </w:r>
    </w:p>
    <w:p w14:paraId="2F35B60C">
      <w:pPr>
        <w:pStyle w:val="3"/>
        <w:rPr>
          <w:rFonts w:hint="eastAsia"/>
          <w:color w:val="auto"/>
        </w:rPr>
      </w:pPr>
      <w:bookmarkStart w:id="32" w:name="_Toc13334"/>
      <w:bookmarkStart w:id="33" w:name="_Toc21448"/>
      <w:bookmarkStart w:id="34" w:name="_Toc13451"/>
      <w:bookmarkStart w:id="35" w:name="_Toc18023"/>
      <w:bookmarkStart w:id="36" w:name="_Toc14531"/>
      <w:bookmarkStart w:id="37" w:name="_Toc2167"/>
      <w:r>
        <w:rPr>
          <w:rFonts w:hint="eastAsia"/>
          <w:color w:val="auto"/>
        </w:rPr>
        <w:t>4.技术成果经济补偿</w:t>
      </w:r>
      <w:bookmarkEnd w:id="32"/>
      <w:bookmarkEnd w:id="33"/>
      <w:bookmarkEnd w:id="34"/>
      <w:bookmarkEnd w:id="35"/>
      <w:bookmarkEnd w:id="36"/>
      <w:bookmarkEnd w:id="37"/>
    </w:p>
    <w:p w14:paraId="256F0AD1">
      <w:pPr>
        <w:spacing w:line="400" w:lineRule="exact"/>
        <w:ind w:firstLine="420" w:firstLineChars="200"/>
        <w:jc w:val="both"/>
        <w:rPr>
          <w:rFonts w:hint="eastAsia"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eastAsia="zh-CN" w:bidi="ar-SA"/>
        </w:rPr>
        <w:t>4.1本工程不设未中标单位经济补偿，投标费用由投标人自理。</w:t>
      </w:r>
    </w:p>
    <w:p w14:paraId="6D65D440">
      <w:pPr>
        <w:pStyle w:val="3"/>
        <w:rPr>
          <w:rFonts w:hint="eastAsia"/>
          <w:color w:val="auto"/>
        </w:rPr>
      </w:pPr>
      <w:bookmarkStart w:id="38" w:name="bookmark6"/>
      <w:bookmarkEnd w:id="38"/>
      <w:bookmarkStart w:id="39" w:name="_Toc20442"/>
      <w:bookmarkStart w:id="40" w:name="_Toc30112"/>
      <w:bookmarkStart w:id="41" w:name="_Toc13926"/>
      <w:bookmarkStart w:id="42" w:name="_Toc27703"/>
      <w:bookmarkStart w:id="43" w:name="_Toc9630"/>
      <w:bookmarkStart w:id="44" w:name="_Toc23453"/>
      <w:r>
        <w:rPr>
          <w:rFonts w:hint="eastAsia"/>
          <w:color w:val="auto"/>
        </w:rPr>
        <w:t>5.招标文件的获取</w:t>
      </w:r>
      <w:bookmarkEnd w:id="39"/>
      <w:bookmarkEnd w:id="40"/>
      <w:bookmarkEnd w:id="41"/>
      <w:bookmarkEnd w:id="42"/>
      <w:bookmarkEnd w:id="43"/>
      <w:bookmarkEnd w:id="44"/>
    </w:p>
    <w:p w14:paraId="7CABCD67">
      <w:pPr>
        <w:pStyle w:val="5"/>
        <w:keepNext w:val="0"/>
        <w:keepLines w:val="0"/>
        <w:pageBreakBefore w:val="0"/>
        <w:widowControl w:val="0"/>
        <w:tabs>
          <w:tab w:val="left" w:pos="4704"/>
          <w:tab w:val="left" w:pos="6012"/>
          <w:tab w:val="left" w:pos="7166"/>
          <w:tab w:val="left" w:pos="8533"/>
        </w:tabs>
        <w:kinsoku w:val="0"/>
        <w:wordWrap/>
        <w:overflowPunct w:val="0"/>
        <w:topLinePunct w:val="0"/>
        <w:autoSpaceDE w:val="0"/>
        <w:autoSpaceDN w:val="0"/>
        <w:bidi w:val="0"/>
        <w:adjustRightInd/>
        <w:snapToGrid/>
        <w:spacing w:beforeLines="0" w:afterLines="0" w:line="360" w:lineRule="auto"/>
        <w:ind w:left="0" w:firstLine="424" w:firstLineChars="202"/>
        <w:jc w:val="both"/>
        <w:textAlignment w:val="auto"/>
        <w:rPr>
          <w:color w:val="auto"/>
        </w:rPr>
      </w:pPr>
      <w:r>
        <w:rPr>
          <w:rFonts w:hint="eastAsia" w:ascii="宋体" w:hAnsi="宋体" w:eastAsia="宋体" w:cs="宋体"/>
          <w:color w:val="auto"/>
          <w:szCs w:val="21"/>
          <w:lang w:val="en-US" w:eastAsia="zh-CN"/>
        </w:rPr>
        <w:t xml:space="preserve">5.1 </w:t>
      </w:r>
      <w:r>
        <w:rPr>
          <w:rFonts w:hint="eastAsia" w:ascii="Times New Roman" w:hAnsi="Times New Roman" w:eastAsia="宋体" w:cs="Times New Roman"/>
          <w:color w:val="auto"/>
          <w:szCs w:val="21"/>
        </w:rPr>
        <w:t>凡</w:t>
      </w:r>
      <w:r>
        <w:rPr>
          <w:rFonts w:hint="eastAsia" w:ascii="Times New Roman" w:hAnsi="Times New Roman"/>
          <w:color w:val="auto"/>
          <w:szCs w:val="21"/>
        </w:rPr>
        <w:t>有意参加投标者，请于</w:t>
      </w:r>
      <w:r>
        <w:rPr>
          <w:rFonts w:hint="eastAsia" w:ascii="Times New Roman" w:hAnsi="Times New Roman"/>
          <w:color w:val="auto"/>
          <w:szCs w:val="21"/>
          <w:lang w:val="en-US" w:eastAsia="zh-CN"/>
        </w:rPr>
        <w:t xml:space="preserve"> </w:t>
      </w:r>
      <w:r>
        <w:rPr>
          <w:rFonts w:hint="eastAsia" w:ascii="宋体" w:hAnsi="宋体" w:eastAsia="宋体" w:cs="宋体"/>
          <w:color w:val="auto"/>
          <w:sz w:val="21"/>
          <w:szCs w:val="21"/>
          <w:u w:val="single"/>
          <w:lang w:val="en-US" w:eastAsia="zh-CN"/>
        </w:rPr>
        <w:t>2025</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r>
        <w:rPr>
          <w:rFonts w:hint="eastAsia" w:ascii="Times New Roman" w:hAnsi="Times New Roman"/>
          <w:color w:val="auto"/>
          <w:szCs w:val="21"/>
        </w:rPr>
        <w:t>至</w:t>
      </w:r>
      <w:r>
        <w:rPr>
          <w:rFonts w:ascii="Times New Roman" w:hAnsi="Times New Roman"/>
          <w:color w:val="auto"/>
          <w:szCs w:val="21"/>
          <w:u w:val="single"/>
        </w:rPr>
        <w:t xml:space="preserve"> </w:t>
      </w:r>
      <w:r>
        <w:rPr>
          <w:rFonts w:hint="eastAsia" w:ascii="宋体" w:hAnsi="宋体" w:eastAsia="宋体" w:cs="宋体"/>
          <w:color w:val="auto"/>
          <w:sz w:val="21"/>
          <w:szCs w:val="21"/>
          <w:u w:val="single"/>
          <w:lang w:val="en-US" w:eastAsia="zh-CN"/>
        </w:rPr>
        <w:t>2025</w:t>
      </w:r>
      <w:r>
        <w:rPr>
          <w:rFonts w:ascii="Times New Roman" w:hAnsi="Times New Roman"/>
          <w:color w:val="auto"/>
          <w:szCs w:val="21"/>
          <w:u w:val="single"/>
        </w:rPr>
        <w:t xml:space="preserve"> </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r>
        <w:rPr>
          <w:rFonts w:ascii="Times New Roman" w:hAnsi="Times New Roman"/>
          <w:color w:val="auto"/>
          <w:szCs w:val="21"/>
        </w:rPr>
        <w:t>(</w:t>
      </w:r>
      <w:r>
        <w:rPr>
          <w:rFonts w:hint="eastAsia" w:ascii="Times New Roman" w:hAnsi="Times New Roman"/>
          <w:color w:val="auto"/>
          <w:szCs w:val="21"/>
        </w:rPr>
        <w:t>北京时间，下同</w:t>
      </w:r>
      <w:r>
        <w:rPr>
          <w:rFonts w:ascii="Times New Roman" w:hAnsi="Times New Roman"/>
          <w:color w:val="auto"/>
          <w:szCs w:val="21"/>
        </w:rPr>
        <w:t>)</w:t>
      </w:r>
      <w:r>
        <w:rPr>
          <w:rFonts w:hint="eastAsia" w:ascii="Times New Roman" w:hAnsi="Times New Roman"/>
          <w:color w:val="auto"/>
          <w:szCs w:val="21"/>
        </w:rPr>
        <w:t>，登录</w:t>
      </w:r>
      <w:r>
        <w:rPr>
          <w:rFonts w:hint="eastAsia" w:ascii="宋体" w:hAnsi="宋体" w:eastAsia="宋体" w:cs="宋体"/>
          <w:color w:val="auto"/>
          <w:u w:val="single"/>
          <w:lang w:val="en-US" w:eastAsia="zh-CN"/>
        </w:rPr>
        <w:t>广州交易集团有限公司（广州公共资源交易中心）官网（网址：http://www.gzggzy.cn）</w:t>
      </w:r>
      <w:r>
        <w:rPr>
          <w:rFonts w:hint="eastAsia" w:ascii="Times New Roman" w:hAnsi="Times New Roman"/>
          <w:color w:val="auto"/>
          <w:szCs w:val="21"/>
        </w:rPr>
        <w:t>下载电子招标文件。</w:t>
      </w:r>
    </w:p>
    <w:p w14:paraId="0BFD5449">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 w:val="21"/>
          <w:szCs w:val="21"/>
        </w:rPr>
      </w:pPr>
      <w:r>
        <w:rPr>
          <w:rFonts w:hint="eastAsia" w:ascii="宋体" w:hAnsi="宋体" w:cs="宋体"/>
          <w:color w:val="auto"/>
          <w:sz w:val="21"/>
          <w:szCs w:val="21"/>
        </w:rPr>
        <w:t>5.2</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发布招标公告时间（含本日）：</w:t>
      </w:r>
      <w:r>
        <w:rPr>
          <w:rFonts w:hint="eastAsia" w:ascii="宋体" w:hAnsi="宋体" w:eastAsia="宋体" w:cs="宋体"/>
          <w:color w:val="auto"/>
          <w:sz w:val="21"/>
          <w:szCs w:val="21"/>
          <w:u w:val="single"/>
          <w:lang w:val="en-US" w:eastAsia="zh-CN"/>
        </w:rPr>
        <w:t>2025</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p>
    <w:p w14:paraId="370B0A41">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注：本公告发布之日起开始发布招标文件，发布招标公告的时间为招标公告发出之日起至递交投标文件截止时间止,并从招标公告发布之日起开始计算备标时间。</w:t>
      </w:r>
    </w:p>
    <w:p w14:paraId="64B67AA8">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5.3 本项目招标文件随招标公告一并在</w:t>
      </w:r>
      <w:r>
        <w:rPr>
          <w:rFonts w:hint="eastAsia" w:ascii="宋体" w:hAnsi="宋体" w:eastAsia="宋体" w:cs="宋体"/>
          <w:color w:val="auto"/>
          <w:sz w:val="21"/>
          <w:szCs w:val="21"/>
          <w:u w:val="single"/>
          <w:lang w:val="en-US" w:eastAsia="zh-CN" w:bidi="ar-SA"/>
        </w:rPr>
        <w:t>广州交易集团有限公司（广州公共资源交易中心）</w:t>
      </w:r>
      <w:r>
        <w:rPr>
          <w:rFonts w:hint="eastAsia" w:ascii="宋体" w:hAnsi="宋体" w:eastAsia="宋体" w:cs="宋体"/>
          <w:color w:val="auto"/>
          <w:sz w:val="21"/>
          <w:szCs w:val="21"/>
          <w:lang w:val="en-US" w:eastAsia="zh-CN" w:bidi="ar-SA"/>
        </w:rPr>
        <w:t>网站交易平台发布。招标文件一经在</w:t>
      </w:r>
      <w:r>
        <w:rPr>
          <w:rFonts w:hint="eastAsia" w:ascii="宋体" w:hAnsi="宋体" w:eastAsia="宋体" w:cs="宋体"/>
          <w:color w:val="auto"/>
          <w:sz w:val="21"/>
          <w:szCs w:val="21"/>
          <w:u w:val="single"/>
          <w:lang w:val="en-US" w:eastAsia="zh-CN" w:bidi="ar-SA"/>
        </w:rPr>
        <w:t>广州交易集团有限公司（广州公共资源交易中心）</w:t>
      </w:r>
      <w:r>
        <w:rPr>
          <w:rFonts w:hint="eastAsia" w:ascii="宋体" w:hAnsi="宋体" w:eastAsia="宋体" w:cs="宋体"/>
          <w:color w:val="auto"/>
          <w:sz w:val="21"/>
          <w:szCs w:val="21"/>
          <w:lang w:val="en-US" w:eastAsia="zh-CN" w:bidi="ar-SA"/>
        </w:rPr>
        <w:t>交易平台发布，视为发出给投标人，招标文件由投标人自行在交易平台下载。</w:t>
      </w:r>
    </w:p>
    <w:p w14:paraId="611A9CB9">
      <w:pPr>
        <w:pStyle w:val="3"/>
        <w:rPr>
          <w:rFonts w:hint="eastAsia"/>
          <w:color w:val="auto"/>
        </w:rPr>
      </w:pPr>
      <w:bookmarkStart w:id="45" w:name="bookmark7"/>
      <w:bookmarkEnd w:id="45"/>
      <w:bookmarkStart w:id="46" w:name="_Toc28454"/>
      <w:bookmarkStart w:id="47" w:name="_Toc4745"/>
      <w:bookmarkStart w:id="48" w:name="_Toc7106"/>
      <w:bookmarkStart w:id="49" w:name="_Toc17994"/>
      <w:bookmarkStart w:id="50" w:name="_Toc24268"/>
      <w:bookmarkStart w:id="51" w:name="_Toc1406"/>
      <w:r>
        <w:rPr>
          <w:rFonts w:hint="eastAsia"/>
          <w:color w:val="auto"/>
        </w:rPr>
        <w:t>6. 投标文件的递交</w:t>
      </w:r>
      <w:bookmarkEnd w:id="46"/>
      <w:bookmarkEnd w:id="47"/>
      <w:bookmarkEnd w:id="48"/>
      <w:bookmarkEnd w:id="49"/>
      <w:bookmarkEnd w:id="50"/>
      <w:bookmarkEnd w:id="51"/>
    </w:p>
    <w:p w14:paraId="35502746">
      <w:pPr>
        <w:tabs>
          <w:tab w:val="left" w:pos="360"/>
        </w:tabs>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投标文件递交的截止时间（投标截止时间，下同）为</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分，投标人应在截止时间前通过</w:t>
      </w:r>
      <w:r>
        <w:rPr>
          <w:rFonts w:hint="eastAsia" w:ascii="宋体" w:hAnsi="宋体" w:eastAsia="宋体" w:cs="宋体"/>
          <w:color w:val="auto"/>
          <w:sz w:val="21"/>
          <w:szCs w:val="21"/>
          <w:u w:val="single"/>
          <w:lang w:val="en-US" w:eastAsia="zh-CN"/>
        </w:rPr>
        <w:t>广州交易集团有限公司（广州公共资源交易中心）数字交易平台（网址：http://www.gzggzy.cn）</w:t>
      </w:r>
      <w:r>
        <w:rPr>
          <w:rFonts w:hint="eastAsia" w:ascii="宋体" w:hAnsi="宋体" w:eastAsia="宋体" w:cs="宋体"/>
          <w:color w:val="auto"/>
          <w:sz w:val="21"/>
          <w:szCs w:val="21"/>
        </w:rPr>
        <w:t>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eastAsia="zh-CN"/>
        </w:rPr>
        <w:t>广州交易集团有限公司（广州公共资源交易中心）数字交易平台</w:t>
      </w:r>
      <w:r>
        <w:rPr>
          <w:rFonts w:hint="eastAsia" w:ascii="宋体" w:hAnsi="宋体" w:eastAsia="宋体" w:cs="宋体"/>
          <w:color w:val="auto"/>
          <w:sz w:val="21"/>
          <w:szCs w:val="21"/>
          <w:highlight w:val="none"/>
          <w:lang w:eastAsia="zh-CN"/>
        </w:rPr>
        <w:t>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76B8DAA5">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w:t>
      </w:r>
      <w:r>
        <w:rPr>
          <w:rFonts w:hint="eastAsia" w:ascii="宋体" w:hAnsi="宋体" w:eastAsia="宋体" w:cs="宋体"/>
          <w:color w:val="auto"/>
          <w:w w:val="100"/>
          <w:sz w:val="21"/>
          <w:szCs w:val="21"/>
          <w:highlight w:val="none"/>
          <w:u w:val="single"/>
          <w:lang w:eastAsia="zh-CN"/>
        </w:rPr>
        <w:t>一</w:t>
      </w:r>
      <w:r>
        <w:rPr>
          <w:rFonts w:hint="eastAsia" w:ascii="宋体" w:hAnsi="宋体" w:eastAsia="宋体" w:cs="宋体"/>
          <w:color w:val="auto"/>
          <w:w w:val="100"/>
          <w:sz w:val="21"/>
          <w:szCs w:val="21"/>
          <w:highlight w:val="none"/>
        </w:rPr>
        <w:t>小时内，投标人通过</w:t>
      </w:r>
      <w:r>
        <w:rPr>
          <w:rFonts w:hint="eastAsia" w:ascii="宋体" w:hAnsi="宋体" w:eastAsia="宋体" w:cs="宋体"/>
          <w:color w:val="auto"/>
          <w:w w:val="100"/>
          <w:sz w:val="21"/>
          <w:szCs w:val="21"/>
          <w:highlight w:val="none"/>
          <w:u w:val="single"/>
          <w:lang w:val="en-US" w:eastAsia="zh-CN"/>
        </w:rPr>
        <w:t>广州交易集团有限公司（广州公共资源交易中心）数字交易平台</w:t>
      </w:r>
      <w:r>
        <w:rPr>
          <w:rFonts w:hint="eastAsia" w:ascii="宋体" w:hAnsi="宋体" w:eastAsia="宋体" w:cs="宋体"/>
          <w:color w:val="auto"/>
          <w:w w:val="100"/>
          <w:sz w:val="21"/>
          <w:szCs w:val="21"/>
          <w:highlight w:val="none"/>
        </w:rPr>
        <w:t>对已递交的电子投标文件进行解密。</w:t>
      </w:r>
    </w:p>
    <w:p w14:paraId="4D999959">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left"/>
        <w:textAlignment w:val="auto"/>
        <w:rPr>
          <w:rFonts w:hint="eastAsia" w:ascii="Times New Roman" w:hAnsi="Times New Roman"/>
          <w:color w:val="auto"/>
          <w:szCs w:val="21"/>
          <w:u w:val="single"/>
        </w:rPr>
      </w:pPr>
      <w:r>
        <w:rPr>
          <w:rFonts w:hint="eastAsia" w:ascii="宋体" w:hAnsi="宋体" w:eastAsia="宋体" w:cs="宋体"/>
          <w:color w:val="auto"/>
          <w:sz w:val="21"/>
          <w:szCs w:val="21"/>
          <w:lang w:val="en-US" w:eastAsia="zh-CN" w:bidi="ar-SA"/>
        </w:rPr>
        <w:t>6.2 投标人应在递交投标文件截止时间前，登录</w:t>
      </w:r>
      <w:r>
        <w:rPr>
          <w:rFonts w:hint="eastAsia" w:ascii="宋体" w:hAnsi="宋体" w:eastAsia="宋体" w:cs="宋体"/>
          <w:color w:val="auto"/>
          <w:sz w:val="21"/>
          <w:szCs w:val="21"/>
          <w:u w:val="single"/>
          <w:lang w:val="en-US" w:eastAsia="zh-CN" w:bidi="ar-SA"/>
        </w:rPr>
        <w:t>广州交易集团有限公司（广州公共资源交易中心）数字</w:t>
      </w:r>
      <w:r>
        <w:rPr>
          <w:rFonts w:hint="eastAsia" w:ascii="宋体" w:hAnsi="宋体" w:eastAsia="宋体" w:cs="宋体"/>
          <w:color w:val="auto"/>
          <w:sz w:val="21"/>
          <w:szCs w:val="21"/>
          <w:lang w:val="en-US" w:eastAsia="zh-CN" w:bidi="ar-SA"/>
        </w:rPr>
        <w:t>交易平台办理网上投标登记手续；投标登记时间（含本日）</w:t>
      </w:r>
      <w:r>
        <w:rPr>
          <w:rFonts w:hint="eastAsia" w:ascii="Times New Roman" w:hAnsi="Times New Roman"/>
          <w:color w:val="auto"/>
          <w:szCs w:val="21"/>
        </w:rPr>
        <w:t>：</w:t>
      </w:r>
      <w:r>
        <w:rPr>
          <w:rFonts w:hint="eastAsia" w:ascii="宋体" w:hAnsi="宋体" w:eastAsia="宋体" w:cs="宋体"/>
          <w:color w:val="auto"/>
          <w:sz w:val="21"/>
          <w:szCs w:val="21"/>
          <w:u w:val="single"/>
          <w:lang w:val="en-US" w:eastAsia="zh-CN"/>
        </w:rPr>
        <w:t>2025</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rPr>
        <w:t>时</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hint="eastAsia" w:ascii="Times New Roman" w:hAnsi="Times New Roman"/>
          <w:color w:val="auto"/>
          <w:szCs w:val="21"/>
        </w:rPr>
        <w:t>分至</w:t>
      </w:r>
      <w:r>
        <w:rPr>
          <w:rFonts w:hint="eastAsia" w:ascii="宋体" w:hAnsi="宋体" w:eastAsia="宋体" w:cs="宋体"/>
          <w:color w:val="auto"/>
          <w:u w:val="single"/>
          <w:lang w:val="en-US" w:eastAsia="zh-CN"/>
        </w:rPr>
        <w:t xml:space="preserve">     </w:t>
      </w:r>
      <w:r>
        <w:rPr>
          <w:rFonts w:hint="eastAsia" w:ascii="Times New Roman" w:hAnsi="Times New Roman"/>
          <w:color w:val="auto"/>
          <w:szCs w:val="21"/>
        </w:rPr>
        <w:t>年</w:t>
      </w:r>
      <w:r>
        <w:rPr>
          <w:rFonts w:hint="eastAsia"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时</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分</w:t>
      </w:r>
      <w:r>
        <w:rPr>
          <w:rFonts w:hint="eastAsia" w:ascii="Times New Roman" w:hAnsi="Times New Roman"/>
          <w:color w:val="auto"/>
          <w:szCs w:val="21"/>
        </w:rPr>
        <w:t>。</w:t>
      </w:r>
    </w:p>
    <w:p w14:paraId="4ADF7CA5">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注：详见电子招标投标交易平台网站发布的最新版操作指引。</w:t>
      </w:r>
    </w:p>
    <w:p w14:paraId="6F43EEE8">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开标开始时间：</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分；地点：</w:t>
      </w:r>
      <w:r>
        <w:rPr>
          <w:rFonts w:hint="eastAsia" w:ascii="宋体" w:hAnsi="宋体" w:eastAsia="宋体" w:cs="宋体"/>
          <w:color w:val="auto"/>
          <w:sz w:val="21"/>
          <w:szCs w:val="21"/>
          <w:u w:val="single"/>
        </w:rPr>
        <w:t>广州交易集团有限公司（广州公共资源交易中心）</w:t>
      </w:r>
      <w:r>
        <w:rPr>
          <w:rFonts w:hint="eastAsia" w:ascii="宋体" w:hAnsi="宋体" w:eastAsia="宋体" w:cs="宋体"/>
          <w:color w:val="auto"/>
          <w:sz w:val="21"/>
          <w:szCs w:val="21"/>
          <w:highlight w:val="none"/>
          <w:u w:val="single"/>
          <w:lang w:val="en-US" w:eastAsia="zh-CN"/>
        </w:rPr>
        <w:t>增城交易部分</w:t>
      </w:r>
      <w:r>
        <w:rPr>
          <w:rFonts w:hint="eastAsia" w:ascii="宋体" w:hAnsi="宋体" w:eastAsia="宋体" w:cs="宋体"/>
          <w:color w:val="auto"/>
          <w:sz w:val="21"/>
          <w:szCs w:val="21"/>
          <w:highlight w:val="none"/>
          <w:u w:val="single"/>
        </w:rPr>
        <w:t>开标室</w:t>
      </w:r>
      <w:r>
        <w:rPr>
          <w:rFonts w:hint="eastAsia" w:ascii="宋体" w:hAnsi="宋体" w:eastAsia="宋体" w:cs="宋体"/>
          <w:color w:val="auto"/>
          <w:sz w:val="21"/>
          <w:szCs w:val="21"/>
          <w:u w:val="single"/>
        </w:rPr>
        <w:t>（增城区荔城街增城大道2号金河湾3栋108，具体详见本项目公告的日程安排）。投标人也可选择参加在线开标，具体按照交易平台相关指南进行操作。</w:t>
      </w:r>
    </w:p>
    <w:p w14:paraId="76DD7E4A">
      <w:pPr>
        <w:tabs>
          <w:tab w:val="left" w:pos="360"/>
        </w:tabs>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rPr>
        <w:t>投标文件光盘（备用）递交时间：</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p>
    <w:p w14:paraId="309996C6">
      <w:pPr>
        <w:tabs>
          <w:tab w:val="left" w:pos="360"/>
        </w:tabs>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分；地点：</w:t>
      </w:r>
      <w:r>
        <w:rPr>
          <w:rFonts w:hint="eastAsia" w:ascii="宋体" w:hAnsi="宋体" w:eastAsia="宋体" w:cs="宋体"/>
          <w:color w:val="auto"/>
          <w:sz w:val="21"/>
          <w:szCs w:val="21"/>
          <w:u w:val="single"/>
        </w:rPr>
        <w:t>广州交易集团有限公司（广州公共资源交易中心）增城交易部分开标室（增城区荔城街增城大道2号金河湾3栋108，具体详见本项目公告的日程安排）</w:t>
      </w:r>
      <w:r>
        <w:rPr>
          <w:rFonts w:hint="eastAsia" w:ascii="宋体" w:hAnsi="宋体" w:eastAsia="宋体" w:cs="宋体"/>
          <w:color w:val="auto"/>
          <w:sz w:val="21"/>
          <w:szCs w:val="21"/>
        </w:rPr>
        <w:t>。（投标人自行决定是否递交备用电子光盘，若提交电子光盘需则按规定封装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投标人将数据刻录到光盘之后，投标前自行检查文件是否可以读取）。</w:t>
      </w:r>
      <w:r>
        <w:rPr>
          <w:rFonts w:hint="eastAsia" w:ascii="宋体" w:hAnsi="宋体" w:eastAsia="宋体" w:cs="宋体"/>
          <w:color w:val="auto"/>
          <w:sz w:val="21"/>
          <w:szCs w:val="21"/>
          <w:lang w:eastAsia="zh-CN"/>
        </w:rPr>
        <w:t>逾期送达的投标文件光盘（备用），招标人将予以拒收。</w:t>
      </w:r>
    </w:p>
    <w:p w14:paraId="0F3BF580">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6.5 </w:t>
      </w:r>
      <w:r>
        <w:rPr>
          <w:rFonts w:hint="eastAsia" w:ascii="宋体" w:hAnsi="宋体" w:eastAsia="宋体" w:cs="宋体"/>
          <w:color w:val="auto"/>
          <w:sz w:val="21"/>
          <w:szCs w:val="21"/>
        </w:rPr>
        <w:t>投标时</w:t>
      </w:r>
      <w:r>
        <w:rPr>
          <w:rFonts w:hint="eastAsia" w:ascii="宋体" w:hAnsi="宋体" w:eastAsia="宋体" w:cs="宋体"/>
          <w:color w:val="auto"/>
          <w:sz w:val="21"/>
          <w:lang w:val="en-US" w:eastAsia="zh-CN" w:bidi="ar-SA"/>
        </w:rPr>
        <w:t>（</w:t>
      </w:r>
      <w:r>
        <w:rPr>
          <w:rFonts w:hint="eastAsia"/>
          <w:color w:val="auto"/>
          <w:sz w:val="21"/>
          <w:szCs w:val="21"/>
          <w:u w:val="none"/>
        </w:rPr>
        <w:sym w:font="Wingdings 2" w:char="00A3"/>
      </w:r>
      <w:r>
        <w:rPr>
          <w:rFonts w:hint="eastAsia" w:ascii="宋体" w:hAnsi="宋体" w:eastAsia="宋体" w:cs="宋体"/>
          <w:color w:val="auto"/>
          <w:sz w:val="21"/>
          <w:lang w:val="en-US" w:eastAsia="zh-CN" w:bidi="ar-SA"/>
        </w:rPr>
        <w:t>需要 /</w:t>
      </w:r>
      <w:r>
        <w:rPr>
          <w:rFonts w:hint="eastAsia"/>
          <w:color w:val="auto"/>
          <w:sz w:val="21"/>
          <w:szCs w:val="21"/>
          <w:u w:val="none"/>
          <w:lang w:eastAsia="zh-CN"/>
        </w:rPr>
        <w:t>☑</w:t>
      </w:r>
      <w:r>
        <w:rPr>
          <w:rFonts w:hint="eastAsia" w:ascii="宋体" w:hAnsi="宋体" w:eastAsia="宋体" w:cs="宋体"/>
          <w:color w:val="auto"/>
          <w:sz w:val="21"/>
          <w:lang w:val="en-US" w:eastAsia="zh-CN" w:bidi="ar-SA"/>
        </w:rPr>
        <w:t>不需要）</w:t>
      </w:r>
      <w:r>
        <w:rPr>
          <w:rFonts w:hint="eastAsia" w:ascii="宋体" w:hAnsi="宋体" w:eastAsia="宋体" w:cs="宋体"/>
          <w:color w:val="auto"/>
          <w:sz w:val="21"/>
          <w:szCs w:val="21"/>
        </w:rPr>
        <w:t>提交设计模型：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66899ED7">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投标文件解密时间为：</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分，投标人应在截止时间前通过</w:t>
      </w:r>
      <w:r>
        <w:rPr>
          <w:rFonts w:hint="eastAsia" w:ascii="宋体" w:hAnsi="宋体" w:eastAsia="宋体" w:cs="宋体"/>
          <w:color w:val="auto"/>
          <w:sz w:val="21"/>
          <w:szCs w:val="21"/>
          <w:u w:val="single"/>
          <w:lang w:val="en-US" w:eastAsia="zh-CN"/>
        </w:rPr>
        <w:t>广州交易集团有限公司（广州公共资源交易中心）数字交易平台（网址：http://www.gzggzy.cn）</w:t>
      </w:r>
      <w:r>
        <w:rPr>
          <w:rFonts w:hint="eastAsia" w:ascii="宋体" w:hAnsi="宋体" w:eastAsia="宋体" w:cs="宋体"/>
          <w:color w:val="auto"/>
          <w:sz w:val="21"/>
          <w:szCs w:val="21"/>
        </w:rPr>
        <w:t>对电子投标文件进行投标文件解密。</w:t>
      </w:r>
    </w:p>
    <w:p w14:paraId="2A397586">
      <w:pPr>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逾期送达的投标文件，电子招标投标交易平台将予以拒收。</w:t>
      </w:r>
    </w:p>
    <w:p w14:paraId="1B791A2C">
      <w:pPr>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 xml:space="preserve"> 递交投标文件截止时间及开标时间是否有变化，请密切留意</w:t>
      </w:r>
      <w:r>
        <w:rPr>
          <w:rFonts w:hint="eastAsia" w:ascii="宋体" w:hAnsi="宋体" w:eastAsia="宋体" w:cs="宋体"/>
          <w:color w:val="auto"/>
          <w:sz w:val="21"/>
          <w:szCs w:val="21"/>
          <w:u w:val="single"/>
          <w:lang w:val="en-US" w:eastAsia="zh-CN"/>
        </w:rPr>
        <w:t>广州交易集团有限公司（广州公共资源交易中心）网站</w:t>
      </w:r>
      <w:r>
        <w:rPr>
          <w:rFonts w:hint="eastAsia" w:ascii="宋体" w:hAnsi="宋体" w:eastAsia="宋体" w:cs="宋体"/>
          <w:color w:val="auto"/>
          <w:sz w:val="21"/>
          <w:szCs w:val="21"/>
        </w:rPr>
        <w:t>中的相关信息。递交投标文件截止时间后，投标文件评审时间因故推迟的，相关资审信息仍以原递交投标文件截止时间的信息为准。</w:t>
      </w:r>
    </w:p>
    <w:p w14:paraId="252B9C77">
      <w:pPr>
        <w:pStyle w:val="3"/>
        <w:rPr>
          <w:rFonts w:hint="eastAsia"/>
          <w:color w:val="auto"/>
        </w:rPr>
      </w:pPr>
      <w:bookmarkStart w:id="52" w:name="bookmark8"/>
      <w:bookmarkEnd w:id="52"/>
      <w:bookmarkStart w:id="53" w:name="_Toc15032"/>
      <w:bookmarkStart w:id="54" w:name="_Toc1566"/>
      <w:bookmarkStart w:id="55" w:name="_Toc27805"/>
      <w:bookmarkStart w:id="56" w:name="_Toc30636"/>
      <w:bookmarkStart w:id="57" w:name="_Toc2931"/>
      <w:bookmarkStart w:id="58" w:name="_Toc25685"/>
      <w:r>
        <w:rPr>
          <w:rFonts w:hint="eastAsia"/>
          <w:color w:val="auto"/>
        </w:rPr>
        <w:t>7.发布公告的媒介</w:t>
      </w:r>
      <w:bookmarkEnd w:id="53"/>
      <w:bookmarkEnd w:id="54"/>
      <w:bookmarkEnd w:id="55"/>
      <w:bookmarkEnd w:id="56"/>
      <w:bookmarkEnd w:id="57"/>
      <w:bookmarkEnd w:id="58"/>
    </w:p>
    <w:p w14:paraId="74B9500D">
      <w:pPr>
        <w:keepNext w:val="0"/>
        <w:keepLines w:val="0"/>
        <w:pageBreakBefore w:val="0"/>
        <w:widowControl w:val="0"/>
        <w:kinsoku/>
        <w:wordWrap w:val="0"/>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本次招标公告同时在</w:t>
      </w:r>
      <w:r>
        <w:rPr>
          <w:rFonts w:hint="eastAsia" w:ascii="宋体" w:hAnsi="宋体" w:eastAsia="宋体" w:cs="宋体"/>
          <w:b w:val="0"/>
          <w:bCs w:val="0"/>
          <w:color w:val="auto"/>
          <w:sz w:val="21"/>
          <w:szCs w:val="21"/>
          <w:u w:val="single"/>
          <w:lang w:val="en-US" w:eastAsia="zh-CN" w:bidi="ar-SA"/>
        </w:rPr>
        <w:t>广州交易集团有限公司（广州公共资源交易中心）官网（网址：http://www.gzggzy.cn</w:t>
      </w:r>
      <w:r>
        <w:rPr>
          <w:rFonts w:hint="eastAsia" w:ascii="宋体" w:hAnsi="宋体" w:eastAsia="宋体" w:cs="宋体"/>
          <w:b w:val="0"/>
          <w:bCs w:val="0"/>
          <w:color w:val="auto"/>
          <w:sz w:val="21"/>
          <w:szCs w:val="21"/>
          <w:u w:val="none"/>
          <w:lang w:val="en-US" w:eastAsia="zh-CN" w:bidi="ar-SA"/>
        </w:rPr>
        <w:t>）、</w:t>
      </w:r>
      <w:r>
        <w:rPr>
          <w:rFonts w:hint="eastAsia" w:ascii="宋体" w:hAnsi="宋体" w:eastAsia="宋体" w:cs="宋体"/>
          <w:b w:val="0"/>
          <w:bCs w:val="0"/>
          <w:color w:val="auto"/>
          <w:sz w:val="21"/>
          <w:szCs w:val="21"/>
          <w:u w:val="single"/>
          <w:lang w:val="en-US" w:eastAsia="zh-CN" w:bidi="ar-SA"/>
        </w:rPr>
        <w:t>广东省招标投标监管网（网址：http://zbtb.gd.gov.cn/login）</w:t>
      </w:r>
      <w:r>
        <w:rPr>
          <w:rFonts w:hint="eastAsia" w:ascii="宋体" w:hAnsi="宋体" w:eastAsia="宋体" w:cs="宋体"/>
          <w:b w:val="0"/>
          <w:bCs w:val="0"/>
          <w:color w:val="auto"/>
          <w:sz w:val="21"/>
          <w:szCs w:val="21"/>
          <w:lang w:val="en-US" w:eastAsia="zh-CN" w:bidi="ar-SA"/>
        </w:rPr>
        <w:t>、中国招标投标公共服务平台（网址：http://www.cebpubservice.com/）</w:t>
      </w:r>
      <w:r>
        <w:rPr>
          <w:rFonts w:hint="eastAsia" w:ascii="宋体" w:hAnsi="宋体" w:cs="宋体"/>
          <w:b w:val="0"/>
          <w:bCs w:val="0"/>
          <w:color w:val="auto"/>
          <w:sz w:val="21"/>
          <w:szCs w:val="21"/>
          <w:lang w:val="en-US" w:eastAsia="zh-CN" w:bidi="ar-SA"/>
        </w:rPr>
        <w:t>、广州市增城区人民政府门户网站的“首页&gt;公开&gt;公共资源配置领域&gt;工程建设项目招投标”栏目（网址：http://www.zc.gov.cn/gk/ggzypzly/gcjsxmztb/index_7.html）</w:t>
      </w:r>
      <w:r>
        <w:rPr>
          <w:rFonts w:hint="eastAsia" w:ascii="宋体" w:hAnsi="宋体" w:eastAsia="宋体" w:cs="宋体"/>
          <w:b w:val="0"/>
          <w:bCs w:val="0"/>
          <w:color w:val="auto"/>
          <w:sz w:val="21"/>
          <w:szCs w:val="21"/>
          <w:lang w:val="en-US" w:eastAsia="zh-CN" w:bidi="ar-SA"/>
        </w:rPr>
        <w:t>上发布。</w:t>
      </w:r>
      <w:bookmarkStart w:id="59" w:name="_Toc4036"/>
      <w:bookmarkStart w:id="60" w:name="_Toc60344359"/>
      <w:bookmarkStart w:id="61" w:name="_Toc25499"/>
      <w:bookmarkStart w:id="62" w:name="_Toc11452"/>
      <w:bookmarkStart w:id="63" w:name="_Toc7928"/>
      <w:r>
        <w:rPr>
          <w:rFonts w:hint="eastAsia" w:ascii="宋体" w:hAnsi="宋体" w:eastAsia="宋体" w:cs="宋体"/>
          <w:b w:val="0"/>
          <w:bCs w:val="0"/>
          <w:color w:val="auto"/>
          <w:sz w:val="21"/>
          <w:szCs w:val="21"/>
          <w:lang w:val="en-US" w:eastAsia="zh-CN" w:bidi="ar-SA"/>
        </w:rPr>
        <w:t>本公告的修改、补充，在</w:t>
      </w:r>
      <w:r>
        <w:rPr>
          <w:rFonts w:hint="eastAsia" w:ascii="宋体" w:hAnsi="宋体" w:eastAsia="宋体" w:cs="宋体"/>
          <w:b w:val="0"/>
          <w:bCs w:val="0"/>
          <w:color w:val="auto"/>
          <w:sz w:val="21"/>
          <w:szCs w:val="21"/>
          <w:u w:val="single"/>
          <w:lang w:val="en-US" w:eastAsia="zh-CN" w:bidi="ar-SA"/>
        </w:rPr>
        <w:t>广州交易集团有限公司（广州公共资源交易中心）官网</w:t>
      </w:r>
      <w:r>
        <w:rPr>
          <w:rFonts w:hint="eastAsia" w:ascii="宋体" w:hAnsi="宋体" w:eastAsia="宋体" w:cs="宋体"/>
          <w:b w:val="0"/>
          <w:bCs w:val="0"/>
          <w:color w:val="auto"/>
          <w:sz w:val="21"/>
          <w:szCs w:val="21"/>
          <w:lang w:val="en-US" w:eastAsia="zh-CN" w:bidi="ar-SA"/>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宋体" w:hAnsi="宋体" w:eastAsia="宋体" w:cs="宋体"/>
          <w:b w:val="0"/>
          <w:bCs w:val="0"/>
          <w:color w:val="auto"/>
          <w:sz w:val="21"/>
          <w:szCs w:val="21"/>
          <w:u w:val="single"/>
          <w:lang w:val="en-US" w:eastAsia="zh-CN" w:bidi="ar-SA"/>
        </w:rPr>
        <w:t>广州交易集团有限公司（广州公共资源交易中心）官网（网址：http://www.gzggzy.cn）</w:t>
      </w:r>
      <w:r>
        <w:rPr>
          <w:rFonts w:hint="eastAsia" w:ascii="宋体" w:hAnsi="宋体" w:eastAsia="宋体" w:cs="宋体"/>
          <w:b w:val="0"/>
          <w:bCs w:val="0"/>
          <w:color w:val="auto"/>
          <w:sz w:val="21"/>
          <w:szCs w:val="21"/>
          <w:lang w:val="en-US" w:eastAsia="zh-CN" w:bidi="ar-SA"/>
        </w:rPr>
        <w:t>。</w:t>
      </w:r>
    </w:p>
    <w:p w14:paraId="24E9D5F8">
      <w:pPr>
        <w:pStyle w:val="3"/>
        <w:rPr>
          <w:rFonts w:hint="eastAsia"/>
          <w:color w:val="auto"/>
          <w:lang w:eastAsia="zh-CN"/>
        </w:rPr>
      </w:pPr>
      <w:bookmarkStart w:id="64" w:name="_Toc6143"/>
      <w:bookmarkStart w:id="65" w:name="_Toc7778"/>
      <w:r>
        <w:rPr>
          <w:rFonts w:hint="eastAsia"/>
          <w:color w:val="auto"/>
        </w:rPr>
        <w:t>8.</w:t>
      </w:r>
      <w:r>
        <w:rPr>
          <w:rFonts w:hint="eastAsia"/>
          <w:color w:val="auto"/>
          <w:lang w:eastAsia="zh-CN"/>
        </w:rPr>
        <w:t>资格审查方式</w:t>
      </w:r>
      <w:bookmarkEnd w:id="64"/>
    </w:p>
    <w:p w14:paraId="5693AAD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 本工程采用资格后审方式，由评标委员会负责资格审查。</w:t>
      </w:r>
    </w:p>
    <w:p w14:paraId="50431F6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hAnsi="宋体" w:eastAsia="宋体" w:cs="宋体"/>
          <w:b w:val="0"/>
          <w:bCs w:val="0"/>
          <w:color w:val="auto"/>
          <w:w w:val="100"/>
          <w:sz w:val="21"/>
          <w:szCs w:val="21"/>
          <w:highlight w:val="none"/>
          <w:lang w:val="en-US" w:eastAsia="zh-CN"/>
        </w:rPr>
      </w:pPr>
      <w:r>
        <w:rPr>
          <w:rFonts w:hint="eastAsia" w:ascii="宋体" w:hAnsi="宋体" w:eastAsia="宋体" w:cs="宋体"/>
          <w:color w:val="auto"/>
          <w:sz w:val="21"/>
          <w:szCs w:val="21"/>
          <w:lang w:val="en-US" w:eastAsia="zh-CN"/>
        </w:rPr>
        <w:t>8.2 资格审查结果将在</w:t>
      </w:r>
      <w:r>
        <w:rPr>
          <w:rFonts w:hint="eastAsia" w:ascii="宋体" w:hAnsi="宋体" w:eastAsia="宋体" w:cs="宋体"/>
          <w:color w:val="auto"/>
          <w:sz w:val="21"/>
          <w:szCs w:val="21"/>
          <w:u w:val="single"/>
          <w:lang w:val="en-US" w:eastAsia="zh-CN"/>
        </w:rPr>
        <w:t>广州交易集团有限公司（广州公共资源交易中心）官网</w:t>
      </w:r>
      <w:r>
        <w:rPr>
          <w:rFonts w:hint="eastAsia" w:ascii="宋体" w:hAnsi="宋体" w:eastAsia="宋体" w:cs="宋体"/>
          <w:color w:val="auto"/>
          <w:sz w:val="21"/>
          <w:szCs w:val="21"/>
          <w:lang w:val="en-US" w:eastAsia="zh-CN"/>
        </w:rPr>
        <w:t>和广东省招标投标监管网公示，公示时间不得少于3日，最后一天应为工作日。</w:t>
      </w:r>
    </w:p>
    <w:p w14:paraId="69903AC1">
      <w:pPr>
        <w:pStyle w:val="3"/>
        <w:rPr>
          <w:rFonts w:hint="eastAsia"/>
          <w:color w:val="auto"/>
          <w:lang w:eastAsia="zh-CN"/>
        </w:rPr>
      </w:pPr>
      <w:bookmarkStart w:id="66" w:name="_Toc31661"/>
      <w:r>
        <w:rPr>
          <w:rFonts w:hint="eastAsia"/>
          <w:color w:val="auto"/>
          <w:lang w:val="en-US" w:eastAsia="zh-CN"/>
        </w:rPr>
        <w:t>9</w:t>
      </w:r>
      <w:r>
        <w:rPr>
          <w:rFonts w:hint="eastAsia"/>
          <w:color w:val="auto"/>
        </w:rPr>
        <w:t>.</w:t>
      </w:r>
      <w:r>
        <w:rPr>
          <w:rFonts w:hint="eastAsia"/>
          <w:color w:val="auto"/>
          <w:lang w:eastAsia="zh-CN"/>
        </w:rPr>
        <w:t>疑问、异议、投诉处理</w:t>
      </w:r>
      <w:bookmarkEnd w:id="66"/>
    </w:p>
    <w:p w14:paraId="7E251FF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9.1 </w:t>
      </w:r>
      <w:r>
        <w:rPr>
          <w:rFonts w:hint="default" w:ascii="宋体" w:hAnsi="宋体" w:eastAsia="宋体" w:cs="宋体"/>
          <w:color w:val="auto"/>
          <w:w w:val="100"/>
          <w:sz w:val="21"/>
          <w:szCs w:val="21"/>
          <w:highlight w:val="none"/>
          <w:lang w:val="en-US" w:eastAsia="zh-CN"/>
        </w:rPr>
        <w:t>关于疑问、异议、投诉的基本概念和处理程序详见《中华人民共和国招标投标法》、《中华人民共和国招标投标法实施条例》、《工程建设项目招标投标活动投诉处理办法》</w:t>
      </w:r>
      <w:r>
        <w:rPr>
          <w:rFonts w:hint="eastAsia" w:ascii="宋体" w:hAnsi="宋体" w:eastAsia="宋体" w:cs="宋体"/>
          <w:color w:val="auto"/>
          <w:sz w:val="21"/>
          <w:szCs w:val="21"/>
        </w:rPr>
        <w:t>。</w:t>
      </w:r>
    </w:p>
    <w:p w14:paraId="62EA655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9.2 </w:t>
      </w:r>
      <w:r>
        <w:rPr>
          <w:rFonts w:hint="default" w:ascii="宋体" w:hAnsi="宋体" w:eastAsia="宋体" w:cs="宋体"/>
          <w:color w:val="auto"/>
          <w:w w:val="100"/>
          <w:sz w:val="21"/>
          <w:szCs w:val="21"/>
          <w:highlight w:val="none"/>
          <w:lang w:val="en-US" w:eastAsia="zh-CN"/>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s="宋体"/>
          <w:color w:val="auto"/>
          <w:sz w:val="21"/>
          <w:szCs w:val="21"/>
        </w:rPr>
        <w:t>。</w:t>
      </w:r>
    </w:p>
    <w:p w14:paraId="425AA07C">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 xml:space="preserve">9.3 </w:t>
      </w:r>
      <w:r>
        <w:rPr>
          <w:rFonts w:hint="eastAsia" w:ascii="宋体" w:hAnsi="宋体" w:eastAsia="宋体" w:cs="宋体"/>
          <w:b w:val="0"/>
          <w:bCs w:val="0"/>
          <w:color w:val="auto"/>
          <w:sz w:val="21"/>
          <w:szCs w:val="21"/>
        </w:rPr>
        <w:t>潜在投标人或利害关系人对本招标公告</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招标文件有异议的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应当在招标投标相关法律法规规定的时间内</w:t>
      </w:r>
      <w:r>
        <w:rPr>
          <w:rFonts w:hint="eastAsia" w:ascii="宋体" w:hAnsi="宋体" w:eastAsia="宋体" w:cs="宋体"/>
          <w:b w:val="0"/>
          <w:bCs w:val="0"/>
          <w:color w:val="auto"/>
          <w:sz w:val="21"/>
          <w:szCs w:val="21"/>
          <w:lang w:eastAsia="zh-CN"/>
        </w:rPr>
        <w:t>（投标截止时间</w:t>
      </w:r>
      <w:r>
        <w:rPr>
          <w:rFonts w:hint="eastAsia" w:ascii="宋体" w:hAnsi="宋体" w:eastAsia="宋体" w:cs="宋体"/>
          <w:b w:val="0"/>
          <w:bCs w:val="0"/>
          <w:color w:val="auto"/>
          <w:sz w:val="21"/>
          <w:szCs w:val="21"/>
          <w:u w:val="single"/>
          <w:lang w:val="en-US" w:eastAsia="zh-CN"/>
        </w:rPr>
        <w:t xml:space="preserve"> 10 </w:t>
      </w:r>
      <w:r>
        <w:rPr>
          <w:rFonts w:hint="eastAsia" w:ascii="宋体" w:hAnsi="宋体" w:eastAsia="宋体" w:cs="宋体"/>
          <w:b w:val="0"/>
          <w:bCs w:val="0"/>
          <w:color w:val="auto"/>
          <w:sz w:val="21"/>
          <w:szCs w:val="21"/>
          <w:u w:val="none"/>
          <w:lang w:val="en-US" w:eastAsia="zh-CN"/>
        </w:rPr>
        <w:t>日前）</w:t>
      </w:r>
      <w:r>
        <w:rPr>
          <w:rFonts w:hint="eastAsia" w:ascii="宋体" w:hAnsi="宋体" w:eastAsia="宋体" w:cs="宋体"/>
          <w:b w:val="0"/>
          <w:bCs w:val="0"/>
          <w:color w:val="auto"/>
          <w:sz w:val="21"/>
          <w:szCs w:val="21"/>
        </w:rPr>
        <w:t>通过电子交易系统</w:t>
      </w:r>
      <w:r>
        <w:rPr>
          <w:rFonts w:hint="eastAsia" w:ascii="宋体" w:hAnsi="宋体" w:eastAsia="宋体" w:cs="宋体"/>
          <w:b w:val="0"/>
          <w:bCs w:val="0"/>
          <w:color w:val="auto"/>
          <w:sz w:val="21"/>
          <w:szCs w:val="21"/>
          <w:u w:val="none"/>
          <w:lang w:val="en-US" w:eastAsia="zh-CN"/>
        </w:rPr>
        <w:t>向招标人</w:t>
      </w:r>
      <w:r>
        <w:rPr>
          <w:rFonts w:hint="eastAsia" w:ascii="宋体" w:hAnsi="宋体" w:eastAsia="宋体" w:cs="宋体"/>
          <w:b w:val="0"/>
          <w:bCs w:val="0"/>
          <w:color w:val="auto"/>
          <w:sz w:val="21"/>
          <w:szCs w:val="21"/>
        </w:rPr>
        <w:t>提出，具体按照</w:t>
      </w:r>
      <w:r>
        <w:rPr>
          <w:rFonts w:hint="eastAsia" w:ascii="宋体" w:hAnsi="宋体" w:eastAsia="宋体" w:cs="宋体"/>
          <w:b w:val="0"/>
          <w:bCs w:val="0"/>
          <w:color w:val="auto"/>
          <w:sz w:val="21"/>
          <w:szCs w:val="21"/>
          <w:u w:val="single"/>
          <w:lang w:val="en-US" w:eastAsia="zh-CN"/>
        </w:rPr>
        <w:t xml:space="preserve"> 广州交易集团有限公司（广州公共资源交易中心）官网</w:t>
      </w:r>
      <w:r>
        <w:rPr>
          <w:rFonts w:hint="eastAsia" w:ascii="宋体" w:hAnsi="宋体" w:eastAsia="宋体" w:cs="宋体"/>
          <w:b w:val="0"/>
          <w:bCs w:val="0"/>
          <w:color w:val="auto"/>
          <w:sz w:val="21"/>
          <w:szCs w:val="21"/>
        </w:rPr>
        <w:t>相关指南进行操作；尚未登记注册的，可</w:t>
      </w:r>
      <w:r>
        <w:rPr>
          <w:rFonts w:hint="eastAsia" w:ascii="宋体" w:hAnsi="宋体" w:eastAsia="宋体" w:cs="宋体"/>
          <w:b w:val="0"/>
          <w:bCs w:val="0"/>
          <w:color w:val="auto"/>
          <w:sz w:val="21"/>
          <w:szCs w:val="21"/>
          <w:u w:val="single"/>
          <w:lang w:val="en-US" w:eastAsia="zh-CN"/>
        </w:rPr>
        <w:t>书面</w:t>
      </w:r>
      <w:r>
        <w:rPr>
          <w:rFonts w:hint="eastAsia" w:ascii="宋体" w:hAnsi="宋体" w:eastAsia="宋体" w:cs="宋体"/>
          <w:b w:val="0"/>
          <w:bCs w:val="0"/>
          <w:color w:val="auto"/>
          <w:sz w:val="21"/>
          <w:szCs w:val="21"/>
        </w:rPr>
        <w:t>向招标人提出。招标人应当在规定的异议答复期限内作出答复；作出答复前，应当暂停招标投标活动。招标人依法作出答复、发布招标文件澄清或者修改文件的，应当通过电子交易系统进</w:t>
      </w:r>
      <w:r>
        <w:rPr>
          <w:rFonts w:hint="eastAsia" w:ascii="宋体" w:hAnsi="宋体" w:eastAsia="宋体" w:cs="宋体"/>
          <w:b w:val="0"/>
          <w:bCs w:val="0"/>
          <w:color w:val="auto"/>
          <w:sz w:val="21"/>
          <w:szCs w:val="21"/>
          <w:lang w:eastAsia="zh-CN"/>
        </w:rPr>
        <w:t>行。</w:t>
      </w:r>
    </w:p>
    <w:p w14:paraId="55A1E4DA">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异议受理部门：</w:t>
      </w:r>
      <w:r>
        <w:rPr>
          <w:rFonts w:hint="eastAsia" w:ascii="宋体" w:hAnsi="宋体" w:eastAsia="宋体" w:cs="宋体"/>
          <w:color w:val="auto"/>
          <w:sz w:val="21"/>
          <w:szCs w:val="21"/>
          <w:u w:val="single"/>
        </w:rPr>
        <w:t>广州市增城区石滩镇人民政府</w:t>
      </w:r>
      <w:r>
        <w:rPr>
          <w:rFonts w:hint="eastAsia" w:ascii="宋体" w:hAnsi="宋体" w:eastAsia="宋体" w:cs="宋体"/>
          <w:color w:val="auto"/>
          <w:sz w:val="21"/>
          <w:szCs w:val="21"/>
        </w:rPr>
        <w:t xml:space="preserve">            </w:t>
      </w:r>
    </w:p>
    <w:p w14:paraId="0CE7AEA4">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异议受理电话：</w:t>
      </w:r>
      <w:r>
        <w:rPr>
          <w:rFonts w:hint="eastAsia" w:ascii="宋体" w:hAnsi="宋体" w:eastAsia="宋体" w:cs="宋体"/>
          <w:color w:val="auto"/>
          <w:sz w:val="21"/>
          <w:szCs w:val="21"/>
          <w:u w:val="single"/>
          <w:lang w:val="en-US" w:eastAsia="zh-CN"/>
        </w:rPr>
        <w:t>020-82926222</w:t>
      </w:r>
    </w:p>
    <w:p w14:paraId="287C19CD">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地</w:t>
      </w:r>
      <w:r>
        <w:rPr>
          <w:rFonts w:hint="eastAsia" w:ascii="宋体" w:hAnsi="宋体" w:eastAsia="宋体" w:cs="宋体"/>
          <w:color w:val="auto"/>
          <w:sz w:val="21"/>
          <w:szCs w:val="21"/>
        </w:rPr>
        <w:t>址：</w:t>
      </w:r>
      <w:r>
        <w:rPr>
          <w:rFonts w:hint="eastAsia" w:ascii="宋体" w:hAnsi="宋体" w:eastAsia="宋体" w:cs="宋体"/>
          <w:color w:val="auto"/>
          <w:sz w:val="21"/>
          <w:szCs w:val="21"/>
          <w:u w:val="single"/>
          <w:lang w:val="en-US" w:eastAsia="zh-CN"/>
        </w:rPr>
        <w:t>广州市增城区解放南路38号</w:t>
      </w:r>
      <w:r>
        <w:rPr>
          <w:rFonts w:hint="eastAsia" w:ascii="宋体" w:hAnsi="宋体" w:eastAsia="宋体" w:cs="宋体"/>
          <w:color w:val="auto"/>
          <w:sz w:val="21"/>
          <w:szCs w:val="21"/>
        </w:rPr>
        <w:t xml:space="preserve">  </w:t>
      </w:r>
    </w:p>
    <w:p w14:paraId="417C94FA">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u w:val="single"/>
          <w:lang w:val="en-US" w:eastAsia="zh-CN"/>
        </w:rPr>
        <w:t>注：具体操作详见“广州交易集团有限公司（广州公共资源交易中心）门户网站首页-&gt;服务指南-&gt;系统帮助-&gt;操作手册-&gt;发起及受理异议操作指引”。</w:t>
      </w:r>
      <w:r>
        <w:rPr>
          <w:rFonts w:hint="eastAsia" w:ascii="宋体" w:hAnsi="宋体" w:eastAsia="宋体" w:cs="宋体"/>
          <w:color w:val="auto"/>
          <w:sz w:val="21"/>
          <w:szCs w:val="21"/>
        </w:rPr>
        <w:t xml:space="preserve"> </w:t>
      </w:r>
      <w:bookmarkStart w:id="67" w:name="_Toc8225"/>
    </w:p>
    <w:p w14:paraId="69A4230F">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hint="default" w:ascii="宋体" w:hAnsi="宋体" w:eastAsia="宋体" w:cs="宋体"/>
          <w:b w:val="0"/>
          <w:bCs w:val="0"/>
          <w:color w:val="auto"/>
          <w:sz w:val="21"/>
          <w:szCs w:val="21"/>
          <w:lang w:val="en-US" w:eastAsia="zh-CN"/>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s="宋体"/>
          <w:b w:val="0"/>
          <w:bCs w:val="0"/>
          <w:color w:val="auto"/>
          <w:sz w:val="21"/>
          <w:szCs w:val="21"/>
          <w:lang w:val="en-US" w:eastAsia="zh-CN"/>
        </w:rPr>
        <w:t>同时将记录到广州市交通建设项目企业信息库诚信评价管理系统。</w:t>
      </w:r>
      <w:bookmarkEnd w:id="67"/>
    </w:p>
    <w:p w14:paraId="40A6775D">
      <w:pPr>
        <w:pStyle w:val="3"/>
        <w:rPr>
          <w:rFonts w:hint="eastAsia"/>
          <w:color w:val="auto"/>
        </w:rPr>
      </w:pPr>
      <w:bookmarkStart w:id="68" w:name="_Toc12791"/>
      <w:r>
        <w:rPr>
          <w:rFonts w:hint="eastAsia"/>
          <w:color w:val="auto"/>
          <w:lang w:val="en-US" w:eastAsia="zh-CN"/>
        </w:rPr>
        <w:t>10</w:t>
      </w:r>
      <w:r>
        <w:rPr>
          <w:rFonts w:hint="eastAsia"/>
          <w:color w:val="auto"/>
        </w:rPr>
        <w:t>.其它事项</w:t>
      </w:r>
      <w:bookmarkEnd w:id="59"/>
      <w:bookmarkEnd w:id="60"/>
      <w:bookmarkEnd w:id="61"/>
      <w:bookmarkEnd w:id="62"/>
      <w:bookmarkEnd w:id="63"/>
      <w:bookmarkEnd w:id="65"/>
      <w:bookmarkEnd w:id="68"/>
    </w:p>
    <w:p w14:paraId="7E72F7A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10.1 </w:t>
      </w:r>
      <w:r>
        <w:rPr>
          <w:rFonts w:hint="eastAsia" w:ascii="宋体" w:hAnsi="宋体" w:eastAsia="宋体" w:cs="宋体"/>
          <w:color w:val="auto"/>
          <w:sz w:val="21"/>
          <w:szCs w:val="21"/>
        </w:rPr>
        <w:t>招标项目的电子地形图</w:t>
      </w:r>
      <w:r>
        <w:rPr>
          <w:rFonts w:hint="eastAsia" w:ascii="宋体" w:hAnsi="宋体" w:eastAsia="宋体" w:cs="宋体"/>
          <w:color w:val="auto"/>
          <w:sz w:val="21"/>
          <w:szCs w:val="21"/>
          <w:u w:val="single"/>
          <w:lang w:val="en-US" w:eastAsia="zh-CN"/>
        </w:rPr>
        <w:t>及相关资料由投标人自行</w:t>
      </w:r>
      <w:r>
        <w:rPr>
          <w:rFonts w:hint="eastAsia" w:ascii="宋体" w:hAnsi="宋体" w:eastAsia="宋体" w:cs="宋体"/>
          <w:color w:val="auto"/>
          <w:sz w:val="21"/>
          <w:szCs w:val="21"/>
        </w:rPr>
        <w:t>收集。投标人可通过相关http://maps.google.com选择satellite（卫星图象）软件观察本项目的周边环境。</w:t>
      </w:r>
    </w:p>
    <w:p w14:paraId="0F4467F3">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w:t>
      </w:r>
      <w:r>
        <w:rPr>
          <w:rFonts w:hint="eastAsia" w:hAnsi="宋体" w:eastAsia="宋体" w:cs="宋体"/>
          <w:color w:val="auto"/>
          <w:sz w:val="21"/>
          <w:szCs w:val="21"/>
          <w:lang w:val="en-US" w:eastAsia="zh-CN"/>
        </w:rPr>
        <w:t xml:space="preserve">2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7B22E9A">
      <w:pPr>
        <w:pStyle w:val="3"/>
        <w:rPr>
          <w:rFonts w:hint="eastAsia"/>
          <w:color w:val="auto"/>
        </w:rPr>
      </w:pPr>
      <w:bookmarkStart w:id="69" w:name="bookmark9"/>
      <w:bookmarkEnd w:id="69"/>
      <w:bookmarkStart w:id="70" w:name="_Toc30163"/>
      <w:bookmarkStart w:id="71" w:name="_Toc9802"/>
      <w:bookmarkStart w:id="72" w:name="_Toc25287"/>
      <w:bookmarkStart w:id="73" w:name="_Toc20345"/>
      <w:bookmarkStart w:id="74" w:name="_Toc15585"/>
      <w:bookmarkStart w:id="75" w:name="_Toc26307"/>
      <w:r>
        <w:rPr>
          <w:rFonts w:hint="eastAsia"/>
          <w:color w:val="auto"/>
          <w:lang w:val="en-US" w:eastAsia="zh-CN"/>
        </w:rPr>
        <w:t>11</w:t>
      </w:r>
      <w:r>
        <w:rPr>
          <w:rFonts w:hint="eastAsia"/>
          <w:color w:val="auto"/>
        </w:rPr>
        <w:t>.联系方式</w:t>
      </w:r>
      <w:bookmarkEnd w:id="70"/>
      <w:bookmarkEnd w:id="71"/>
      <w:bookmarkEnd w:id="72"/>
      <w:bookmarkEnd w:id="73"/>
      <w:bookmarkEnd w:id="74"/>
      <w:bookmarkEnd w:id="75"/>
    </w:p>
    <w:p w14:paraId="431AC2A2">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eastAsia="宋体"/>
          <w:color w:val="auto"/>
          <w:u w:val="single"/>
          <w:lang w:val="en-US" w:eastAsia="zh-CN"/>
        </w:rPr>
      </w:pPr>
      <w:r>
        <w:rPr>
          <w:color w:val="auto"/>
        </w:rPr>
        <w:t>招 标</w:t>
      </w:r>
      <w:r>
        <w:rPr>
          <w:color w:val="auto"/>
          <w:spacing w:val="-2"/>
        </w:rPr>
        <w:t xml:space="preserve"> </w:t>
      </w:r>
      <w:r>
        <w:rPr>
          <w:color w:val="auto"/>
        </w:rPr>
        <w:t>人：</w:t>
      </w:r>
      <w:r>
        <w:rPr>
          <w:rFonts w:hint="eastAsia" w:cs="宋体"/>
          <w:color w:val="auto"/>
          <w:szCs w:val="21"/>
          <w:u w:val="single"/>
        </w:rPr>
        <w:t>广州市增城区石滩镇人民政府</w:t>
      </w:r>
    </w:p>
    <w:p w14:paraId="2626816A">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color w:val="auto"/>
        </w:rPr>
      </w:pPr>
      <w:r>
        <w:rPr>
          <w:rFonts w:hint="eastAsia"/>
          <w:color w:val="auto"/>
          <w:lang w:eastAsia="zh-CN"/>
        </w:rPr>
        <w:t>邮政编码</w:t>
      </w:r>
      <w:r>
        <w:rPr>
          <w:color w:val="auto"/>
        </w:rPr>
        <w:t>：</w:t>
      </w:r>
      <w:r>
        <w:rPr>
          <w:rFonts w:hint="eastAsia"/>
          <w:color w:val="auto"/>
          <w:u w:val="single"/>
        </w:rPr>
        <w:t>511300</w:t>
      </w:r>
      <w:r>
        <w:rPr>
          <w:color w:val="auto"/>
        </w:rPr>
        <w:t xml:space="preserve"> </w:t>
      </w:r>
    </w:p>
    <w:p w14:paraId="0E5E103C">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eastAsia="宋体"/>
          <w:color w:val="auto"/>
          <w:u w:val="single"/>
          <w:lang w:val="en-US" w:eastAsia="zh-CN"/>
        </w:rPr>
      </w:pPr>
      <w:r>
        <w:rPr>
          <w:color w:val="auto"/>
        </w:rPr>
        <w:t>地</w:t>
      </w:r>
      <w:r>
        <w:rPr>
          <w:color w:val="auto"/>
        </w:rPr>
        <w:tab/>
      </w:r>
      <w:r>
        <w:rPr>
          <w:color w:val="auto"/>
        </w:rPr>
        <w:t>址：</w:t>
      </w:r>
      <w:r>
        <w:rPr>
          <w:rFonts w:hint="eastAsia"/>
          <w:color w:val="auto"/>
          <w:u w:val="single"/>
        </w:rPr>
        <w:t>广州市增城区解放南路38号</w:t>
      </w:r>
    </w:p>
    <w:p w14:paraId="4477251B">
      <w:pPr>
        <w:pStyle w:val="5"/>
        <w:keepNext w:val="0"/>
        <w:keepLines w:val="0"/>
        <w:pageBreakBefore w:val="0"/>
        <w:widowControl w:val="0"/>
        <w:tabs>
          <w:tab w:val="left" w:pos="1151"/>
          <w:tab w:val="left" w:pos="4228"/>
          <w:tab w:val="left" w:pos="7942"/>
          <w:tab w:val="left" w:pos="9400"/>
        </w:tabs>
        <w:kinsoku w:val="0"/>
        <w:wordWrap/>
        <w:overflowPunct w:val="0"/>
        <w:topLinePunct w:val="0"/>
        <w:autoSpaceDE w:val="0"/>
        <w:autoSpaceDN w:val="0"/>
        <w:bidi w:val="0"/>
        <w:adjustRightInd/>
        <w:snapToGrid/>
        <w:spacing w:line="360" w:lineRule="exact"/>
        <w:ind w:left="522" w:right="913"/>
        <w:jc w:val="both"/>
        <w:textAlignment w:val="auto"/>
        <w:rPr>
          <w:rFonts w:hint="default"/>
          <w:color w:val="auto"/>
          <w:lang w:val="en-US"/>
        </w:rPr>
      </w:pPr>
      <w:r>
        <w:rPr>
          <w:rFonts w:hint="eastAsia"/>
          <w:color w:val="auto"/>
          <w:lang w:eastAsia="zh-CN"/>
        </w:rPr>
        <w:t>联系电话</w:t>
      </w:r>
      <w:r>
        <w:rPr>
          <w:color w:val="auto"/>
        </w:rPr>
        <w:t>：</w:t>
      </w:r>
      <w:r>
        <w:rPr>
          <w:rFonts w:hint="eastAsia"/>
          <w:color w:val="auto"/>
          <w:u w:val="single"/>
        </w:rPr>
        <w:t>020-82926222</w:t>
      </w:r>
    </w:p>
    <w:p w14:paraId="40B85261">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eastAsia="宋体"/>
          <w:color w:val="auto"/>
          <w:u w:val="single"/>
          <w:lang w:val="en-US" w:eastAsia="zh-CN"/>
        </w:rPr>
      </w:pPr>
      <w:r>
        <w:rPr>
          <w:rFonts w:hint="eastAsia"/>
          <w:color w:val="auto"/>
          <w:lang w:eastAsia="zh-CN"/>
        </w:rPr>
        <w:t>传真号码</w:t>
      </w:r>
      <w:r>
        <w:rPr>
          <w:color w:val="auto"/>
        </w:rPr>
        <w:t>：</w:t>
      </w:r>
      <w:r>
        <w:rPr>
          <w:rFonts w:hint="eastAsia"/>
          <w:color w:val="auto"/>
          <w:u w:val="single"/>
          <w:lang w:val="en-US" w:eastAsia="zh-CN"/>
        </w:rPr>
        <w:t xml:space="preserve">   /  </w:t>
      </w:r>
    </w:p>
    <w:p w14:paraId="14357689">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color w:val="auto"/>
          <w:lang w:val="en-US"/>
        </w:rPr>
      </w:pPr>
      <w:r>
        <w:rPr>
          <w:rFonts w:hint="eastAsia"/>
          <w:color w:val="auto"/>
          <w:lang w:eastAsia="zh-CN"/>
        </w:rPr>
        <w:t>电子邮箱</w:t>
      </w:r>
      <w:r>
        <w:rPr>
          <w:color w:val="auto"/>
        </w:rPr>
        <w:t>：</w:t>
      </w:r>
      <w:r>
        <w:rPr>
          <w:rFonts w:hint="eastAsia"/>
          <w:color w:val="auto"/>
          <w:u w:val="single"/>
          <w:lang w:val="en-US" w:eastAsia="zh-CN"/>
        </w:rPr>
        <w:t xml:space="preserve">   /  </w:t>
      </w:r>
    </w:p>
    <w:p w14:paraId="6DC0F1B3">
      <w:pPr>
        <w:pStyle w:val="5"/>
        <w:tabs>
          <w:tab w:val="left" w:pos="1151"/>
          <w:tab w:val="left" w:pos="4228"/>
          <w:tab w:val="left" w:pos="4862"/>
          <w:tab w:val="left" w:pos="7942"/>
        </w:tabs>
        <w:kinsoku w:val="0"/>
        <w:overflowPunct w:val="0"/>
        <w:spacing w:line="310" w:lineRule="auto"/>
        <w:ind w:right="915"/>
        <w:jc w:val="both"/>
        <w:rPr>
          <w:rFonts w:hint="eastAsia"/>
          <w:color w:val="auto"/>
          <w:lang w:val="en-US" w:eastAsia="zh-CN"/>
        </w:rPr>
      </w:pPr>
      <w:r>
        <w:rPr>
          <w:rFonts w:hint="eastAsia"/>
          <w:color w:val="auto"/>
          <w:lang w:val="en-US" w:eastAsia="zh-CN"/>
        </w:rPr>
        <w:t xml:space="preserve"> </w:t>
      </w:r>
    </w:p>
    <w:p w14:paraId="780E8D3D">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eastAsia="宋体"/>
          <w:color w:val="auto"/>
          <w:u w:val="single"/>
          <w:lang w:val="en-US" w:eastAsia="zh-CN"/>
        </w:rPr>
      </w:pPr>
      <w:r>
        <w:rPr>
          <w:color w:val="auto"/>
        </w:rPr>
        <w:t>招</w:t>
      </w:r>
      <w:r>
        <w:rPr>
          <w:rFonts w:hint="eastAsia"/>
          <w:color w:val="auto"/>
          <w:lang w:eastAsia="zh-CN"/>
        </w:rPr>
        <w:t>标代理</w:t>
      </w:r>
      <w:r>
        <w:rPr>
          <w:rFonts w:hint="eastAsia"/>
          <w:color w:val="auto"/>
          <w:lang w:val="en-US" w:eastAsia="zh-CN"/>
        </w:rPr>
        <w:t>机构</w:t>
      </w:r>
      <w:r>
        <w:rPr>
          <w:color w:val="auto"/>
        </w:rPr>
        <w:t>：</w:t>
      </w:r>
      <w:r>
        <w:rPr>
          <w:rFonts w:hint="eastAsia" w:cs="宋体"/>
          <w:color w:val="auto"/>
          <w:szCs w:val="21"/>
          <w:u w:val="single"/>
        </w:rPr>
        <w:t>广州建筑工程监理有限公司</w:t>
      </w:r>
    </w:p>
    <w:p w14:paraId="2223789A">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color w:val="auto"/>
        </w:rPr>
      </w:pPr>
      <w:r>
        <w:rPr>
          <w:rFonts w:hint="eastAsia"/>
          <w:color w:val="auto"/>
          <w:lang w:eastAsia="zh-CN"/>
        </w:rPr>
        <w:t>邮政编码</w:t>
      </w:r>
      <w:r>
        <w:rPr>
          <w:color w:val="auto"/>
        </w:rPr>
        <w:t>：</w:t>
      </w:r>
      <w:r>
        <w:rPr>
          <w:rFonts w:hint="eastAsia"/>
          <w:color w:val="auto"/>
          <w:u w:val="single"/>
        </w:rPr>
        <w:t>510030</w:t>
      </w:r>
      <w:r>
        <w:rPr>
          <w:color w:val="auto"/>
        </w:rPr>
        <w:t xml:space="preserve"> </w:t>
      </w:r>
    </w:p>
    <w:p w14:paraId="2A2AD336">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eastAsia="宋体"/>
          <w:color w:val="auto"/>
          <w:u w:val="single"/>
          <w:lang w:val="en-US" w:eastAsia="zh-CN"/>
        </w:rPr>
      </w:pPr>
      <w:r>
        <w:rPr>
          <w:color w:val="auto"/>
        </w:rPr>
        <w:t>地</w:t>
      </w:r>
      <w:r>
        <w:rPr>
          <w:color w:val="auto"/>
        </w:rPr>
        <w:tab/>
      </w:r>
      <w:r>
        <w:rPr>
          <w:color w:val="auto"/>
        </w:rPr>
        <w:t>址：</w:t>
      </w:r>
      <w:r>
        <w:rPr>
          <w:rFonts w:hint="eastAsia"/>
          <w:color w:val="auto"/>
          <w:u w:val="single"/>
        </w:rPr>
        <w:t>广州市越秀区广卫路4号20楼</w:t>
      </w:r>
    </w:p>
    <w:p w14:paraId="4E2A68B1">
      <w:pPr>
        <w:pStyle w:val="5"/>
        <w:keepNext w:val="0"/>
        <w:keepLines w:val="0"/>
        <w:pageBreakBefore w:val="0"/>
        <w:widowControl w:val="0"/>
        <w:tabs>
          <w:tab w:val="left" w:pos="1151"/>
          <w:tab w:val="left" w:pos="4228"/>
          <w:tab w:val="left" w:pos="7942"/>
          <w:tab w:val="left" w:pos="9400"/>
        </w:tabs>
        <w:kinsoku w:val="0"/>
        <w:wordWrap/>
        <w:overflowPunct w:val="0"/>
        <w:topLinePunct w:val="0"/>
        <w:autoSpaceDE w:val="0"/>
        <w:autoSpaceDN w:val="0"/>
        <w:bidi w:val="0"/>
        <w:adjustRightInd/>
        <w:snapToGrid/>
        <w:spacing w:line="360" w:lineRule="exact"/>
        <w:ind w:left="522" w:right="913"/>
        <w:jc w:val="both"/>
        <w:textAlignment w:val="auto"/>
        <w:rPr>
          <w:rFonts w:hint="default"/>
          <w:color w:val="auto"/>
          <w:lang w:val="en-US"/>
        </w:rPr>
      </w:pPr>
      <w:r>
        <w:rPr>
          <w:rFonts w:hint="eastAsia"/>
          <w:color w:val="auto"/>
          <w:lang w:eastAsia="zh-CN"/>
        </w:rPr>
        <w:t>联系电话</w:t>
      </w:r>
      <w:r>
        <w:rPr>
          <w:color w:val="auto"/>
        </w:rPr>
        <w:t>：</w:t>
      </w:r>
      <w:r>
        <w:rPr>
          <w:rFonts w:hint="eastAsia"/>
          <w:color w:val="auto"/>
          <w:u w:val="single"/>
          <w:lang w:val="en-US" w:eastAsia="zh-CN"/>
        </w:rPr>
        <w:t>020-82627566</w:t>
      </w:r>
    </w:p>
    <w:p w14:paraId="4F2449D4">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eastAsia"/>
          <w:color w:val="auto"/>
          <w:u w:val="single"/>
        </w:rPr>
      </w:pPr>
      <w:r>
        <w:rPr>
          <w:rFonts w:hint="eastAsia"/>
          <w:color w:val="auto"/>
          <w:lang w:eastAsia="zh-CN"/>
        </w:rPr>
        <w:t>传真号码</w:t>
      </w:r>
      <w:r>
        <w:rPr>
          <w:color w:val="auto"/>
        </w:rPr>
        <w:t>：</w:t>
      </w:r>
      <w:r>
        <w:rPr>
          <w:rFonts w:hint="eastAsia"/>
          <w:color w:val="auto"/>
          <w:u w:val="single"/>
          <w:lang w:val="en-US" w:eastAsia="zh-CN"/>
        </w:rPr>
        <w:t xml:space="preserve">   /  </w:t>
      </w:r>
    </w:p>
    <w:p w14:paraId="376F364D">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eastAsia="宋体"/>
          <w:color w:val="auto"/>
          <w:lang w:val="en-US" w:eastAsia="zh-CN"/>
        </w:rPr>
      </w:pPr>
      <w:r>
        <w:rPr>
          <w:rFonts w:hint="eastAsia"/>
          <w:color w:val="auto"/>
          <w:lang w:eastAsia="zh-CN"/>
        </w:rPr>
        <w:t>电子邮箱</w:t>
      </w:r>
      <w:r>
        <w:rPr>
          <w:color w:val="auto"/>
        </w:rPr>
        <w:t>：</w:t>
      </w:r>
      <w:r>
        <w:rPr>
          <w:rFonts w:hint="eastAsia" w:ascii="宋体" w:hAnsi="宋体" w:eastAsia="宋体" w:cs="Times New Roman"/>
          <w:color w:val="auto"/>
          <w:u w:val="single"/>
          <w:lang w:val="en-US" w:eastAsia="zh-CN"/>
        </w:rPr>
        <w:t>gjjlns@126.com</w:t>
      </w:r>
    </w:p>
    <w:p w14:paraId="54689A91">
      <w:pPr>
        <w:pStyle w:val="5"/>
        <w:tabs>
          <w:tab w:val="left" w:pos="1151"/>
          <w:tab w:val="left" w:pos="4228"/>
          <w:tab w:val="left" w:pos="4862"/>
          <w:tab w:val="left" w:pos="7942"/>
        </w:tabs>
        <w:kinsoku w:val="0"/>
        <w:overflowPunct w:val="0"/>
        <w:spacing w:line="310" w:lineRule="auto"/>
        <w:ind w:right="915"/>
        <w:jc w:val="both"/>
        <w:rPr>
          <w:color w:val="auto"/>
        </w:rPr>
      </w:pPr>
    </w:p>
    <w:p w14:paraId="12C630EC">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color w:val="auto"/>
          <w:u w:val="single"/>
          <w:lang w:val="en-US" w:eastAsia="zh-CN"/>
        </w:rPr>
      </w:pPr>
      <w:r>
        <w:rPr>
          <w:color w:val="auto"/>
        </w:rPr>
        <w:t>招标</w:t>
      </w:r>
      <w:r>
        <w:rPr>
          <w:rFonts w:hint="eastAsia"/>
          <w:color w:val="auto"/>
          <w:lang w:eastAsia="zh-CN"/>
        </w:rPr>
        <w:t>管理机构</w:t>
      </w:r>
      <w:r>
        <w:rPr>
          <w:color w:val="auto"/>
        </w:rPr>
        <w:t xml:space="preserve">： </w:t>
      </w:r>
      <w:r>
        <w:rPr>
          <w:rFonts w:hint="eastAsia"/>
          <w:color w:val="auto"/>
          <w:u w:val="single"/>
          <w:lang w:eastAsia="zh-CN"/>
        </w:rPr>
        <w:t>广州市增城区建设工程招标管理办公室</w:t>
      </w:r>
    </w:p>
    <w:p w14:paraId="1DA4052A">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color w:val="auto"/>
          <w:lang w:val="en-US"/>
        </w:rPr>
      </w:pPr>
      <w:r>
        <w:rPr>
          <w:rFonts w:hint="eastAsia"/>
          <w:color w:val="auto"/>
          <w:lang w:eastAsia="zh-CN"/>
        </w:rPr>
        <w:t>邮政编码</w:t>
      </w:r>
      <w:r>
        <w:rPr>
          <w:color w:val="auto"/>
        </w:rPr>
        <w:t>：</w:t>
      </w:r>
      <w:r>
        <w:rPr>
          <w:rFonts w:hint="eastAsia"/>
          <w:color w:val="auto"/>
          <w:u w:val="single"/>
          <w:lang w:val="en-US" w:eastAsia="zh-CN"/>
        </w:rPr>
        <w:t>511300</w:t>
      </w:r>
    </w:p>
    <w:p w14:paraId="79C671A5">
      <w:pPr>
        <w:pStyle w:val="5"/>
        <w:keepNext w:val="0"/>
        <w:keepLines w:val="0"/>
        <w:pageBreakBefore w:val="0"/>
        <w:widowControl w:val="0"/>
        <w:tabs>
          <w:tab w:val="left" w:pos="1151"/>
          <w:tab w:val="left" w:pos="4228"/>
          <w:tab w:val="left" w:pos="4862"/>
          <w:tab w:val="left" w:pos="7942"/>
        </w:tabs>
        <w:kinsoku w:val="0"/>
        <w:wordWrap/>
        <w:overflowPunct w:val="0"/>
        <w:topLinePunct w:val="0"/>
        <w:autoSpaceDE w:val="0"/>
        <w:autoSpaceDN w:val="0"/>
        <w:bidi w:val="0"/>
        <w:adjustRightInd/>
        <w:snapToGrid/>
        <w:spacing w:line="360" w:lineRule="exact"/>
        <w:ind w:left="522" w:right="913"/>
        <w:jc w:val="both"/>
        <w:textAlignment w:val="auto"/>
        <w:rPr>
          <w:rFonts w:hint="default" w:eastAsia="宋体"/>
          <w:color w:val="auto"/>
          <w:u w:val="single"/>
          <w:lang w:val="en-US" w:eastAsia="zh-CN"/>
        </w:rPr>
      </w:pPr>
      <w:r>
        <w:rPr>
          <w:color w:val="auto"/>
        </w:rPr>
        <w:t>地</w:t>
      </w:r>
      <w:r>
        <w:rPr>
          <w:color w:val="auto"/>
        </w:rPr>
        <w:tab/>
      </w:r>
      <w:r>
        <w:rPr>
          <w:color w:val="auto"/>
        </w:rPr>
        <w:t>址：</w:t>
      </w:r>
      <w:r>
        <w:rPr>
          <w:rFonts w:hint="eastAsia"/>
          <w:color w:val="auto"/>
          <w:u w:val="single"/>
          <w:lang w:eastAsia="zh-CN"/>
        </w:rPr>
        <w:t>广州市增城区荔城街挂绿路12号</w:t>
      </w:r>
    </w:p>
    <w:p w14:paraId="548A9E15">
      <w:pPr>
        <w:pStyle w:val="5"/>
        <w:keepNext w:val="0"/>
        <w:keepLines w:val="0"/>
        <w:pageBreakBefore w:val="0"/>
        <w:widowControl w:val="0"/>
        <w:tabs>
          <w:tab w:val="left" w:pos="1151"/>
          <w:tab w:val="left" w:pos="4228"/>
          <w:tab w:val="left" w:pos="7942"/>
          <w:tab w:val="left" w:pos="9400"/>
        </w:tabs>
        <w:kinsoku w:val="0"/>
        <w:wordWrap/>
        <w:overflowPunct w:val="0"/>
        <w:topLinePunct w:val="0"/>
        <w:autoSpaceDE w:val="0"/>
        <w:autoSpaceDN w:val="0"/>
        <w:bidi w:val="0"/>
        <w:adjustRightInd/>
        <w:snapToGrid/>
        <w:spacing w:line="360" w:lineRule="exact"/>
        <w:ind w:left="522" w:right="913"/>
        <w:jc w:val="both"/>
        <w:textAlignment w:val="auto"/>
        <w:rPr>
          <w:rFonts w:hint="default"/>
          <w:color w:val="auto"/>
          <w:lang w:val="en-US"/>
        </w:rPr>
      </w:pPr>
      <w:r>
        <w:rPr>
          <w:rFonts w:hint="eastAsia"/>
          <w:color w:val="auto"/>
          <w:lang w:eastAsia="zh-CN"/>
        </w:rPr>
        <w:t>电</w:t>
      </w:r>
      <w:r>
        <w:rPr>
          <w:rFonts w:hint="eastAsia"/>
          <w:color w:val="auto"/>
          <w:lang w:val="en-US" w:eastAsia="zh-CN"/>
        </w:rPr>
        <w:t xml:space="preserve">    </w:t>
      </w:r>
      <w:r>
        <w:rPr>
          <w:rFonts w:hint="eastAsia"/>
          <w:color w:val="auto"/>
          <w:lang w:eastAsia="zh-CN"/>
        </w:rPr>
        <w:t>话</w:t>
      </w:r>
      <w:r>
        <w:rPr>
          <w:color w:val="auto"/>
        </w:rPr>
        <w:t>：</w:t>
      </w:r>
      <w:r>
        <w:rPr>
          <w:rFonts w:hint="eastAsia"/>
          <w:color w:val="auto"/>
          <w:u w:val="single"/>
          <w:lang w:eastAsia="zh-CN"/>
        </w:rPr>
        <w:t>020-32821156</w:t>
      </w:r>
    </w:p>
    <w:p w14:paraId="23D9F366">
      <w:pPr>
        <w:spacing w:line="400" w:lineRule="exact"/>
        <w:jc w:val="both"/>
        <w:rPr>
          <w:rFonts w:hint="eastAsia"/>
          <w:color w:val="auto"/>
        </w:rPr>
      </w:pPr>
    </w:p>
    <w:p w14:paraId="5AE5CD9D">
      <w:pPr>
        <w:spacing w:line="400" w:lineRule="exact"/>
        <w:ind w:firstLine="210" w:firstLineChars="100"/>
        <w:jc w:val="right"/>
        <w:rPr>
          <w:color w:val="auto"/>
        </w:rPr>
      </w:pPr>
      <w:r>
        <w:rPr>
          <w:rFonts w:hint="eastAsia" w:ascii="宋体" w:hAnsi="宋体" w:eastAsia="宋体" w:cs="Times New Roman"/>
          <w:color w:val="auto"/>
          <w:sz w:val="21"/>
          <w:u w:val="single"/>
          <w:lang w:val="en-US" w:eastAsia="zh-CN" w:bidi="ar-SA"/>
        </w:rPr>
        <w:t>2025年    月    日</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9E0EF">
    <w:pPr>
      <w:tabs>
        <w:tab w:val="center" w:pos="4400"/>
      </w:tabs>
      <w:kinsoku w:val="0"/>
      <w:overflowPunct w:val="0"/>
      <w:spacing w:line="200" w:lineRule="exact"/>
    </w:pPr>
    <w:r>
      <w:rPr>
        <w:rFonts w:ascii="Calibri" w:hAnsi="Calibri" w:eastAsia="Calibri"/>
        <w:sz w:val="21"/>
      </w:rPr>
      <mc:AlternateContent>
        <mc:Choice Requires="wps">
          <w:drawing>
            <wp:anchor distT="0" distB="0" distL="114300" distR="114300" simplePos="0" relativeHeight="251659264" behindDoc="1" locked="0" layoutInCell="1" allowOverlap="1">
              <wp:simplePos x="0" y="0"/>
              <wp:positionH relativeFrom="page">
                <wp:posOffset>3832225</wp:posOffset>
              </wp:positionH>
              <wp:positionV relativeFrom="page">
                <wp:posOffset>9333865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66B817C3">
                          <w:pPr>
                            <w:kinsoku w:val="0"/>
                            <w:overflowPunct w:val="0"/>
                            <w:spacing w:line="203" w:lineRule="exact"/>
                            <w:ind w:left="40"/>
                            <w:rPr>
                              <w:rFonts w:ascii="Calibri" w:hAnsi="Calibri" w:eastAsia="Calibri"/>
                              <w:sz w:val="18"/>
                            </w:rPr>
                          </w:pPr>
                        </w:p>
                      </w:txbxContent>
                    </wps:txbx>
                    <wps:bodyPr lIns="0" tIns="0" rIns="0" bIns="0" upright="1"/>
                  </wps:wsp>
                </a:graphicData>
              </a:graphic>
            </wp:anchor>
          </w:drawing>
        </mc:Choice>
        <mc:Fallback>
          <w:pict>
            <v:shape id="_x0000_s1026" o:spid="_x0000_s1026" o:spt="202" type="#_x0000_t202" style="position:absolute;left:0pt;margin-left:301.75pt;margin-top:734.95pt;height:11pt;width:8.6pt;mso-position-horizontal-relative:page;mso-position-vertical-relative:page;z-index:-251657216;mso-width-relative:page;mso-height-relative:page;" filled="f" stroked="f" coordsize="21600,21600" o:gfxdata="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8jqa2gAAAA0BAAAPAAAAAAAAAAEAIAAAACIAAABkcnMvZG93bnJldi54bWxQSwEC&#10;FAAUAAAACACHTuJA1YPnMrkBAABxAwAADgAAAAAAAAABACAAAAApAQAAZHJzL2Uyb0RvYy54bWxQ&#10;SwUGAAAAAAYABgBZAQAAVAUAAAAA&#10;">
              <v:fill on="f" focussize="0,0"/>
              <v:stroke on="f"/>
              <v:imagedata o:title=""/>
              <o:lock v:ext="edit" aspectratio="f"/>
              <v:textbox inset="0mm,0mm,0mm,0mm">
                <w:txbxContent>
                  <w:p w14:paraId="66B817C3">
                    <w:pPr>
                      <w:kinsoku w:val="0"/>
                      <w:overflowPunct w:val="0"/>
                      <w:spacing w:line="203" w:lineRule="exact"/>
                      <w:ind w:left="40"/>
                      <w:rPr>
                        <w:rFonts w:ascii="Calibri" w:hAnsi="Calibri" w:eastAsia="Calibri"/>
                        <w:sz w:val="18"/>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D340">
    <w:pPr>
      <w:tabs>
        <w:tab w:val="center" w:pos="4400"/>
      </w:tabs>
      <w:kinsoku w:val="0"/>
      <w:overflowPunct w:val="0"/>
      <w:spacing w:line="200"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7C1D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07C1DC">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sz w:val="21"/>
      </w:rPr>
      <mc:AlternateContent>
        <mc:Choice Requires="wps">
          <w:drawing>
            <wp:anchor distT="0" distB="0" distL="114300" distR="114300" simplePos="0" relativeHeight="251660288" behindDoc="1" locked="0" layoutInCell="1" allowOverlap="1">
              <wp:simplePos x="0" y="0"/>
              <wp:positionH relativeFrom="page">
                <wp:posOffset>3832225</wp:posOffset>
              </wp:positionH>
              <wp:positionV relativeFrom="page">
                <wp:posOffset>9333865</wp:posOffset>
              </wp:positionV>
              <wp:extent cx="1092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1CE4F37E">
                          <w:pPr>
                            <w:kinsoku w:val="0"/>
                            <w:overflowPunct w:val="0"/>
                            <w:spacing w:line="203" w:lineRule="exact"/>
                            <w:ind w:left="40"/>
                            <w:rPr>
                              <w:rFonts w:ascii="Calibri" w:hAnsi="Calibri" w:eastAsia="Calibri"/>
                              <w:sz w:val="18"/>
                            </w:rPr>
                          </w:pPr>
                        </w:p>
                      </w:txbxContent>
                    </wps:txbx>
                    <wps:bodyPr lIns="0" tIns="0" rIns="0" bIns="0" upright="1"/>
                  </wps:wsp>
                </a:graphicData>
              </a:graphic>
            </wp:anchor>
          </w:drawing>
        </mc:Choice>
        <mc:Fallback>
          <w:pict>
            <v:shape id="_x0000_s1026" o:spid="_x0000_s1026" o:spt="202" type="#_x0000_t202" style="position:absolute;left:0pt;margin-left:301.75pt;margin-top:734.95pt;height:11pt;width:8.6pt;mso-position-horizontal-relative:page;mso-position-vertical-relative:page;z-index:-251656192;mso-width-relative:page;mso-height-relative:page;" filled="f" stroked="f" coordsize="21600,21600" o:gfxdata="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8jqa2gAAAA0BAAAPAAAAAAAAAAEAIAAAACIAAABkcnMvZG93bnJldi54bWxQSwEC&#10;FAAUAAAACACHTuJAN7/6cLkBAABxAwAADgAAAAAAAAABACAAAAApAQAAZHJzL2Uyb0RvYy54bWxQ&#10;SwUGAAAAAAYABgBZAQAAVAUAAAAA&#10;">
              <v:fill on="f" focussize="0,0"/>
              <v:stroke on="f"/>
              <v:imagedata o:title=""/>
              <o:lock v:ext="edit" aspectratio="f"/>
              <v:textbox inset="0mm,0mm,0mm,0mm">
                <w:txbxContent>
                  <w:p w14:paraId="1CE4F37E">
                    <w:pPr>
                      <w:kinsoku w:val="0"/>
                      <w:overflowPunct w:val="0"/>
                      <w:spacing w:line="203" w:lineRule="exact"/>
                      <w:ind w:left="40"/>
                      <w:rPr>
                        <w:rFonts w:ascii="Calibri" w:hAnsi="Calibri" w:eastAsia="Calibri"/>
                        <w:sz w:val="18"/>
                      </w:rPr>
                    </w:pP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84FE5"/>
    <w:rsid w:val="0879295B"/>
    <w:rsid w:val="0C354C94"/>
    <w:rsid w:val="0FD04C63"/>
    <w:rsid w:val="126E4CAD"/>
    <w:rsid w:val="140E726D"/>
    <w:rsid w:val="1C484FE5"/>
    <w:rsid w:val="22E83DA8"/>
    <w:rsid w:val="350506BD"/>
    <w:rsid w:val="3B1654FE"/>
    <w:rsid w:val="3F5742F4"/>
    <w:rsid w:val="4A530BC3"/>
    <w:rsid w:val="4DF96CE5"/>
    <w:rsid w:val="54912ED1"/>
    <w:rsid w:val="55BC082F"/>
    <w:rsid w:val="626E5E0B"/>
    <w:rsid w:val="778E171B"/>
    <w:rsid w:val="784F105D"/>
    <w:rsid w:val="7D740615"/>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宋体" w:cs="Times New Roman"/>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qFormat/>
    <w:uiPriority w:val="9"/>
    <w:pPr>
      <w:widowControl/>
      <w:autoSpaceDE/>
      <w:autoSpaceDN/>
      <w:spacing w:before="100" w:beforeAutospacing="1" w:after="100" w:afterAutospacing="1"/>
      <w:outlineLvl w:val="2"/>
    </w:pPr>
    <w:rPr>
      <w:rFonts w:ascii="宋体" w:hAnsi="宋体"/>
      <w:b/>
      <w:bCs/>
      <w:sz w:val="27"/>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jc w:val="left"/>
    </w:pPr>
    <w:rPr>
      <w:rFonts w:eastAsia="Calibri"/>
      <w:kern w:val="0"/>
      <w:sz w:val="22"/>
      <w:szCs w:val="22"/>
      <w:lang w:eastAsia="en-US"/>
    </w:rPr>
  </w:style>
  <w:style w:type="paragraph" w:styleId="5">
    <w:name w:val="Body Text"/>
    <w:basedOn w:val="1"/>
    <w:unhideWhenUsed/>
    <w:qFormat/>
    <w:uiPriority w:val="1"/>
    <w:pPr>
      <w:spacing w:beforeLines="0" w:afterLines="0"/>
      <w:ind w:left="520"/>
    </w:pPr>
    <w:rPr>
      <w:rFonts w:ascii="宋体" w:hAnsi="宋体"/>
      <w:sz w:val="21"/>
    </w:r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7239</Words>
  <Characters>8015</Characters>
  <Lines>0</Lines>
  <Paragraphs>0</Paragraphs>
  <TotalTime>38</TotalTime>
  <ScaleCrop>false</ScaleCrop>
  <LinksUpToDate>false</LinksUpToDate>
  <CharactersWithSpaces>8393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2025-04-23T14:57:00Z</dcterms:created>
  <dc:creator>Administrator</dc:creator>
  <cp:lastModifiedBy>NTKO</cp:lastModifiedBy>
  <dcterms:modified xsi:type="dcterms:W3CDTF">2025-05-16T03:56:36Z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0D849292E04D477087D9114E0846D7ED_13</vt:lpwstr>
  </property>
  <property fmtid="{D5CDD505-2E9C-101B-9397-08002B2CF9AE}" pid="4" name="KSOTemplateDocerSaveRecord">
    <vt:lpwstr>eyJoZGlkIjoiMDJmZDg4NzIzNTAyMjFkOGEyMjA2YTMwMDE0OGVmZjAiLCJ1c2VySWQiOiI1MDk3ODM1OTQifQ==</vt:lpwstr>
  </property>
</Properties>
</file>